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B243" w14:textId="40DDF3B2" w:rsidR="00D72CF0" w:rsidRDefault="00D72CF0" w:rsidP="008A4BDC">
      <w:pPr>
        <w:autoSpaceDE w:val="0"/>
        <w:autoSpaceDN w:val="0"/>
        <w:adjustRightInd w:val="0"/>
        <w:spacing w:after="0" w:line="240" w:lineRule="auto"/>
        <w:jc w:val="both"/>
        <w:rPr>
          <w:rFonts w:cstheme="minorHAnsi"/>
          <w:b/>
          <w:sz w:val="24"/>
          <w:szCs w:val="24"/>
        </w:rPr>
      </w:pPr>
    </w:p>
    <w:p w14:paraId="2FFAA725" w14:textId="77777777" w:rsidR="00D72CF0" w:rsidRPr="003D6BE3" w:rsidRDefault="00D72CF0" w:rsidP="00D72CF0">
      <w:pPr>
        <w:autoSpaceDE w:val="0"/>
        <w:autoSpaceDN w:val="0"/>
        <w:adjustRightInd w:val="0"/>
        <w:spacing w:after="0" w:line="240" w:lineRule="auto"/>
        <w:jc w:val="center"/>
        <w:rPr>
          <w:rFonts w:ascii="Times New Roman" w:hAnsi="Times New Roman" w:cs="Times New Roman"/>
          <w:b/>
          <w:bCs/>
          <w:sz w:val="36"/>
          <w:szCs w:val="36"/>
          <w14:textOutline w14:w="38100" w14:cap="rnd" w14:cmpd="sng" w14:algn="ctr">
            <w14:solidFill>
              <w14:srgbClr w14:val="000000"/>
            </w14:solidFill>
            <w14:prstDash w14:val="solid"/>
            <w14:bevel/>
          </w14:textOutline>
        </w:rPr>
      </w:pPr>
      <w:r w:rsidRPr="003D6BE3">
        <w:rPr>
          <w:rFonts w:ascii="Times New Roman" w:hAnsi="Times New Roman" w:cs="Times New Roman"/>
          <w:b/>
          <w:bCs/>
          <w:sz w:val="36"/>
          <w:szCs w:val="36"/>
          <w14:textOutline w14:w="38100" w14:cap="rnd" w14:cmpd="sng" w14:algn="ctr">
            <w14:solidFill>
              <w14:srgbClr w14:val="000000"/>
            </w14:solidFill>
            <w14:prstDash w14:val="solid"/>
            <w14:bevel/>
          </w14:textOutline>
        </w:rPr>
        <w:t>__________________________</w:t>
      </w:r>
    </w:p>
    <w:p w14:paraId="3DEAFA54" w14:textId="77777777" w:rsidR="00D72CF0" w:rsidRDefault="00D72CF0" w:rsidP="00D72CF0">
      <w:pPr>
        <w:jc w:val="center"/>
        <w:rPr>
          <w:sz w:val="52"/>
          <w:szCs w:val="52"/>
        </w:rPr>
      </w:pPr>
    </w:p>
    <w:p w14:paraId="7A9231B8" w14:textId="6AE2CC08" w:rsidR="00D72CF0" w:rsidRDefault="00D72CF0" w:rsidP="00D72CF0">
      <w:pPr>
        <w:jc w:val="center"/>
      </w:pPr>
      <w:r>
        <w:rPr>
          <w:sz w:val="52"/>
          <w:szCs w:val="52"/>
        </w:rPr>
        <w:t>Cartographie des moyens de paiement scripturaux</w:t>
      </w:r>
    </w:p>
    <w:p w14:paraId="558A4B71" w14:textId="2C1F991F" w:rsidR="00D72CF0" w:rsidRDefault="00D72CF0" w:rsidP="00D72CF0">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__________________________</w:t>
      </w:r>
    </w:p>
    <w:p w14:paraId="357D0199" w14:textId="77777777" w:rsidR="00D72CF0" w:rsidRDefault="00D72CF0" w:rsidP="00D72CF0"/>
    <w:p w14:paraId="17B3125E" w14:textId="0AAAF062" w:rsidR="00D72CF0" w:rsidRPr="00C343AE" w:rsidRDefault="00D72CF0" w:rsidP="00D72CF0">
      <w:pPr>
        <w:jc w:val="center"/>
        <w:rPr>
          <w:sz w:val="52"/>
          <w:szCs w:val="52"/>
        </w:rPr>
      </w:pPr>
      <w:r w:rsidRPr="00C343AE">
        <w:rPr>
          <w:sz w:val="52"/>
          <w:szCs w:val="52"/>
        </w:rPr>
        <w:t xml:space="preserve">Collecte </w:t>
      </w:r>
      <w:r>
        <w:rPr>
          <w:sz w:val="52"/>
          <w:szCs w:val="52"/>
        </w:rPr>
        <w:t>de la Banque de France</w:t>
      </w:r>
    </w:p>
    <w:p w14:paraId="4BD45413" w14:textId="61C746CD" w:rsidR="00D72CF0" w:rsidRDefault="00D72CF0" w:rsidP="00D72CF0">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__________________________</w:t>
      </w:r>
    </w:p>
    <w:p w14:paraId="2BAA3206" w14:textId="1436EA4D" w:rsidR="00D72CF0" w:rsidRDefault="00D72CF0" w:rsidP="00D72CF0"/>
    <w:p w14:paraId="3B4DD0D8" w14:textId="30A44EAD" w:rsidR="00D72CF0" w:rsidRDefault="00D72CF0" w:rsidP="00D72CF0"/>
    <w:p w14:paraId="3351BEF1" w14:textId="22B1FE93" w:rsidR="00D72CF0" w:rsidRDefault="00D72CF0" w:rsidP="00D72CF0"/>
    <w:p w14:paraId="62170089" w14:textId="5558E76E" w:rsidR="00D72CF0" w:rsidRPr="00E077A7" w:rsidRDefault="00D72CF0" w:rsidP="00D72CF0">
      <w:pPr>
        <w:jc w:val="center"/>
        <w:rPr>
          <w:b/>
          <w:sz w:val="52"/>
          <w:szCs w:val="52"/>
        </w:rPr>
      </w:pPr>
      <w:r w:rsidRPr="00E077A7">
        <w:rPr>
          <w:b/>
          <w:sz w:val="52"/>
          <w:szCs w:val="52"/>
        </w:rPr>
        <w:t>Guide de remplissage</w:t>
      </w:r>
    </w:p>
    <w:p w14:paraId="277C7192" w14:textId="414165C7" w:rsidR="00D72CF0" w:rsidRDefault="00D72CF0" w:rsidP="00D72CF0">
      <w:pPr>
        <w:jc w:val="center"/>
        <w:rPr>
          <w:sz w:val="36"/>
          <w:szCs w:val="36"/>
        </w:rPr>
      </w:pPr>
      <w:proofErr w:type="gramStart"/>
      <w:r w:rsidRPr="00E077A7">
        <w:rPr>
          <w:sz w:val="36"/>
          <w:szCs w:val="36"/>
        </w:rPr>
        <w:t>à</w:t>
      </w:r>
      <w:proofErr w:type="gramEnd"/>
      <w:r w:rsidRPr="00E077A7">
        <w:rPr>
          <w:sz w:val="36"/>
          <w:szCs w:val="36"/>
        </w:rPr>
        <w:t xml:space="preserve"> l’attention des déclarants</w:t>
      </w:r>
    </w:p>
    <w:p w14:paraId="67770BFC" w14:textId="29DDDAD8" w:rsidR="00841F90" w:rsidRDefault="005654FF" w:rsidP="00D72CF0">
      <w:r>
        <w:rPr>
          <w:noProof/>
          <w:lang w:eastAsia="fr-FR"/>
        </w:rPr>
        <mc:AlternateContent>
          <mc:Choice Requires="wps">
            <w:drawing>
              <wp:anchor distT="0" distB="0" distL="114300" distR="114300" simplePos="0" relativeHeight="251661312" behindDoc="0" locked="0" layoutInCell="1" allowOverlap="1" wp14:anchorId="08EE1414" wp14:editId="18ADA1E8">
                <wp:simplePos x="0" y="0"/>
                <wp:positionH relativeFrom="margin">
                  <wp:posOffset>239158</wp:posOffset>
                </wp:positionH>
                <wp:positionV relativeFrom="paragraph">
                  <wp:posOffset>17278</wp:posOffset>
                </wp:positionV>
                <wp:extent cx="5553075" cy="1985749"/>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553075" cy="1985749"/>
                        </a:xfrm>
                        <a:prstGeom prst="rect">
                          <a:avLst/>
                        </a:prstGeom>
                        <a:noFill/>
                        <a:ln>
                          <a:noFill/>
                        </a:ln>
                      </wps:spPr>
                      <wps:txbx>
                        <w:txbxContent>
                          <w:p w14:paraId="04AC6B9B" w14:textId="30FD7CFD" w:rsidR="00913556" w:rsidRPr="00792D27" w:rsidRDefault="00913556" w:rsidP="00792D27">
                            <w:pPr>
                              <w:autoSpaceDE w:val="0"/>
                              <w:autoSpaceDN w:val="0"/>
                              <w:adjustRightInd w:val="0"/>
                              <w:spacing w:after="0" w:line="240" w:lineRule="auto"/>
                              <w:jc w:val="center"/>
                              <w:rPr>
                                <w:rFonts w:cstheme="minorHAnsi"/>
                                <w:b/>
                                <w:color w:val="FF0000"/>
                                <w:sz w:val="48"/>
                                <w:szCs w:val="48"/>
                                <w14:textOutline w14:w="11112" w14:cap="flat" w14:cmpd="sng" w14:algn="ctr">
                                  <w14:solidFill>
                                    <w14:schemeClr w14:val="accent2"/>
                                  </w14:solidFill>
                                  <w14:prstDash w14:val="solid"/>
                                  <w14:round/>
                                </w14:textOutline>
                              </w:rPr>
                            </w:pPr>
                            <w:r w:rsidRPr="00792D27">
                              <w:rPr>
                                <w:rFonts w:cstheme="minorHAnsi"/>
                                <w:b/>
                                <w:color w:val="FF0000"/>
                                <w:sz w:val="48"/>
                                <w:szCs w:val="48"/>
                                <w14:textOutline w14:w="11112" w14:cap="flat" w14:cmpd="sng" w14:algn="ctr">
                                  <w14:solidFill>
                                    <w14:schemeClr w14:val="accent2"/>
                                  </w14:solidFill>
                                  <w14:prstDash w14:val="solid"/>
                                  <w14:round/>
                                </w14:textOutline>
                              </w:rPr>
                              <w:t>Applicable à partir de</w:t>
                            </w:r>
                            <w:r>
                              <w:rPr>
                                <w:rFonts w:cstheme="minorHAnsi"/>
                                <w:b/>
                                <w:color w:val="FF0000"/>
                                <w:sz w:val="48"/>
                                <w:szCs w:val="48"/>
                                <w14:textOutline w14:w="11112" w14:cap="flat" w14:cmpd="sng" w14:algn="ctr">
                                  <w14:solidFill>
                                    <w14:schemeClr w14:val="accent2"/>
                                  </w14:solidFill>
                                  <w14:prstDash w14:val="solid"/>
                                  <w14:round/>
                                </w14:textOutline>
                              </w:rPr>
                              <w:t xml:space="preserve"> la collecte de</w:t>
                            </w:r>
                            <w:r w:rsidRPr="00792D27">
                              <w:rPr>
                                <w:rFonts w:cstheme="minorHAnsi"/>
                                <w:b/>
                                <w:color w:val="FF0000"/>
                                <w:sz w:val="48"/>
                                <w:szCs w:val="48"/>
                                <w14:textOutline w14:w="11112" w14:cap="flat" w14:cmpd="sng" w14:algn="ctr">
                                  <w14:solidFill>
                                    <w14:schemeClr w14:val="accent2"/>
                                  </w14:solidFill>
                                  <w14:prstDash w14:val="solid"/>
                                  <w14:round/>
                                </w14:textOutline>
                              </w:rPr>
                              <w:t xml:space="preserve">s données du </w:t>
                            </w:r>
                            <w:r w:rsidR="001E134A">
                              <w:rPr>
                                <w:rFonts w:cstheme="minorHAnsi"/>
                                <w:b/>
                                <w:color w:val="FF0000"/>
                                <w:sz w:val="48"/>
                                <w:szCs w:val="48"/>
                                <w14:textOutline w14:w="11112" w14:cap="flat" w14:cmpd="sng" w14:algn="ctr">
                                  <w14:solidFill>
                                    <w14:schemeClr w14:val="accent2"/>
                                  </w14:solidFill>
                                  <w14:prstDash w14:val="solid"/>
                                  <w14:round/>
                                </w14:textOutline>
                              </w:rPr>
                              <w:t>2</w:t>
                            </w:r>
                            <w:r w:rsidR="001E134A">
                              <w:rPr>
                                <w:rFonts w:cstheme="minorHAnsi"/>
                                <w:b/>
                                <w:color w:val="FF0000"/>
                                <w:sz w:val="48"/>
                                <w:szCs w:val="48"/>
                                <w:vertAlign w:val="superscript"/>
                                <w14:textOutline w14:w="11112" w14:cap="flat" w14:cmpd="sng" w14:algn="ctr">
                                  <w14:solidFill>
                                    <w14:schemeClr w14:val="accent2"/>
                                  </w14:solidFill>
                                  <w14:prstDash w14:val="solid"/>
                                  <w14:round/>
                                </w14:textOutline>
                              </w:rPr>
                              <w:t>nd</w:t>
                            </w:r>
                            <w:r w:rsidRPr="00831BD5">
                              <w:rPr>
                                <w:rFonts w:cstheme="minorHAnsi"/>
                                <w:b/>
                                <w:color w:val="FF0000"/>
                                <w:sz w:val="48"/>
                                <w:szCs w:val="48"/>
                                <w14:textOutline w14:w="11112" w14:cap="flat" w14:cmpd="sng" w14:algn="ctr">
                                  <w14:solidFill>
                                    <w14:schemeClr w14:val="accent2"/>
                                  </w14:solidFill>
                                  <w14:prstDash w14:val="solid"/>
                                  <w14:round/>
                                </w14:textOutline>
                              </w:rPr>
                              <w:t xml:space="preserve"> semestre 202</w:t>
                            </w:r>
                            <w:r w:rsidR="001E134A">
                              <w:rPr>
                                <w:rFonts w:cstheme="minorHAnsi"/>
                                <w:b/>
                                <w:color w:val="FF0000"/>
                                <w:sz w:val="48"/>
                                <w:szCs w:val="48"/>
                                <w14:textOutline w14:w="11112" w14:cap="flat" w14:cmpd="sng" w14:algn="ctr">
                                  <w14:solidFill>
                                    <w14:schemeClr w14:val="accent2"/>
                                  </w14:solidFill>
                                  <w14:prstDash w14:val="solid"/>
                                  <w14:round/>
                                </w14:textOutline>
                              </w:rPr>
                              <w:t>6</w:t>
                            </w:r>
                            <w:r>
                              <w:rPr>
                                <w:rFonts w:cstheme="minorHAnsi"/>
                                <w:b/>
                                <w:color w:val="FF0000"/>
                                <w:sz w:val="48"/>
                                <w:szCs w:val="48"/>
                                <w14:textOutline w14:w="11112" w14:cap="flat" w14:cmpd="sng" w14:algn="ctr">
                                  <w14:solidFill>
                                    <w14:schemeClr w14:val="accent2"/>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E1414" id="_x0000_t202" coordsize="21600,21600" o:spt="202" path="m,l,21600r21600,l21600,xe">
                <v:stroke joinstyle="miter"/>
                <v:path gradientshapeok="t" o:connecttype="rect"/>
              </v:shapetype>
              <v:shape id="Zone de texte 2" o:spid="_x0000_s1026" type="#_x0000_t202" style="position:absolute;margin-left:18.85pt;margin-top:1.35pt;width:437.25pt;height:156.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uHEQIAACQEAAAOAAAAZHJzL2Uyb0RvYy54bWysU01v2zAMvQ/YfxB0X5yk8dIYcYqsRYYB&#10;QVsgLXpWZCk2YImapMTOfv0o2flot9Owi0yR9CP5+DS/a1VNDsK6CnROR4MhJUJzKCq9y+nry+rL&#10;LSXOM12wGrTI6VE4erf4/GnemEyMoYS6EJYgiHZZY3Jaem+yJHG8FIq5ARihMSjBKubxandJYVmD&#10;6KpOxsPh16QBWxgLXDiH3ocuSBcRX0rB/ZOUTnhS5xR78/G08dyGM1nMWbazzJQV79tg/9CFYpXG&#10;omeoB+YZ2dvqDyhVcQsOpB9wUAlIWXERZ8BpRsMP02xKZkScBclx5kyT+3+w/PGwMc+W+PYbtLjA&#10;QEhjXObQGeZppVXhi50SjCOFxzNtovWEozNN05vhNKWEY2w0u02nk1nASS6/G+v8dwGKBCOnFvcS&#10;6WKHtfNd6iklVNOwquo67qbW7xyIGTzJpcdg+Xbb9o1voTjiPBa6VTvDVxXWXDPnn5nF3eIIqFf/&#10;hIesockp9BYlJdhff/OHfKQco5Q0qJWcup97ZgUl9Q+Ny5iNJpMgrniZpNMxXux1ZHsd0Xt1DyjH&#10;Eb4Mw6MZ8n19MqUF9YayXoaqGGKaY+2c+pN57zsF47PgYrmMSSgnw/xabwwP0IG0wOhL+8as6Wn3&#10;uLFHOKmKZR/Y73I7upd7D7KKqwkEd6z2vKMU43L7ZxO0fn2PWZfHvfgNAAD//wMAUEsDBBQABgAI&#10;AAAAIQAA/xWR3gAAAAgBAAAPAAAAZHJzL2Rvd25yZXYueG1sTI9BT8MwDIXvSPyHyJO4saRlY6xr&#10;OiEQV9AGm8Qta7y2onGqJlvLv593gpNlv6fn7+Xr0bXijH1oPGlIpgoEUultQ5WGr8+3+ycQIRqy&#10;pvWEGn4xwLq4vclNZv1AGzxvYyU4hEJmNNQxdpmUoazRmTD1HRJrR987E3ntK2l7M3C4a2Wq1KN0&#10;piH+UJsOX2osf7Ynp2H3fvzez9RH9erm3eBHJcktpdZ3k/F5BSLiGP/McMVndCiY6eBPZINoNTws&#10;FuzUkPJgeZmkKYgD35P5DGSRy/8FigsAAAD//wMAUEsBAi0AFAAGAAgAAAAhALaDOJL+AAAA4QEA&#10;ABMAAAAAAAAAAAAAAAAAAAAAAFtDb250ZW50X1R5cGVzXS54bWxQSwECLQAUAAYACAAAACEAOP0h&#10;/9YAAACUAQAACwAAAAAAAAAAAAAAAAAvAQAAX3JlbHMvLnJlbHNQSwECLQAUAAYACAAAACEAX5b7&#10;hxECAAAkBAAADgAAAAAAAAAAAAAAAAAuAgAAZHJzL2Uyb0RvYy54bWxQSwECLQAUAAYACAAAACEA&#10;AP8Vkd4AAAAIAQAADwAAAAAAAAAAAAAAAABrBAAAZHJzL2Rvd25yZXYueG1sUEsFBgAAAAAEAAQA&#10;8wAAAHYFAAAAAA==&#10;" filled="f" stroked="f">
                <v:textbox>
                  <w:txbxContent>
                    <w:p w14:paraId="04AC6B9B" w14:textId="30FD7CFD" w:rsidR="00913556" w:rsidRPr="00792D27" w:rsidRDefault="00913556" w:rsidP="00792D27">
                      <w:pPr>
                        <w:autoSpaceDE w:val="0"/>
                        <w:autoSpaceDN w:val="0"/>
                        <w:adjustRightInd w:val="0"/>
                        <w:spacing w:after="0" w:line="240" w:lineRule="auto"/>
                        <w:jc w:val="center"/>
                        <w:rPr>
                          <w:rFonts w:cstheme="minorHAnsi"/>
                          <w:b/>
                          <w:color w:val="FF0000"/>
                          <w:sz w:val="48"/>
                          <w:szCs w:val="48"/>
                          <w14:textOutline w14:w="11112" w14:cap="flat" w14:cmpd="sng" w14:algn="ctr">
                            <w14:solidFill>
                              <w14:schemeClr w14:val="accent2"/>
                            </w14:solidFill>
                            <w14:prstDash w14:val="solid"/>
                            <w14:round/>
                          </w14:textOutline>
                        </w:rPr>
                      </w:pPr>
                      <w:r w:rsidRPr="00792D27">
                        <w:rPr>
                          <w:rFonts w:cstheme="minorHAnsi"/>
                          <w:b/>
                          <w:color w:val="FF0000"/>
                          <w:sz w:val="48"/>
                          <w:szCs w:val="48"/>
                          <w14:textOutline w14:w="11112" w14:cap="flat" w14:cmpd="sng" w14:algn="ctr">
                            <w14:solidFill>
                              <w14:schemeClr w14:val="accent2"/>
                            </w14:solidFill>
                            <w14:prstDash w14:val="solid"/>
                            <w14:round/>
                          </w14:textOutline>
                        </w:rPr>
                        <w:t>Applicable à partir de</w:t>
                      </w:r>
                      <w:r>
                        <w:rPr>
                          <w:rFonts w:cstheme="minorHAnsi"/>
                          <w:b/>
                          <w:color w:val="FF0000"/>
                          <w:sz w:val="48"/>
                          <w:szCs w:val="48"/>
                          <w14:textOutline w14:w="11112" w14:cap="flat" w14:cmpd="sng" w14:algn="ctr">
                            <w14:solidFill>
                              <w14:schemeClr w14:val="accent2"/>
                            </w14:solidFill>
                            <w14:prstDash w14:val="solid"/>
                            <w14:round/>
                          </w14:textOutline>
                        </w:rPr>
                        <w:t xml:space="preserve"> la collecte de</w:t>
                      </w:r>
                      <w:r w:rsidRPr="00792D27">
                        <w:rPr>
                          <w:rFonts w:cstheme="minorHAnsi"/>
                          <w:b/>
                          <w:color w:val="FF0000"/>
                          <w:sz w:val="48"/>
                          <w:szCs w:val="48"/>
                          <w14:textOutline w14:w="11112" w14:cap="flat" w14:cmpd="sng" w14:algn="ctr">
                            <w14:solidFill>
                              <w14:schemeClr w14:val="accent2"/>
                            </w14:solidFill>
                            <w14:prstDash w14:val="solid"/>
                            <w14:round/>
                          </w14:textOutline>
                        </w:rPr>
                        <w:t xml:space="preserve">s données du </w:t>
                      </w:r>
                      <w:r w:rsidR="001E134A">
                        <w:rPr>
                          <w:rFonts w:cstheme="minorHAnsi"/>
                          <w:b/>
                          <w:color w:val="FF0000"/>
                          <w:sz w:val="48"/>
                          <w:szCs w:val="48"/>
                          <w14:textOutline w14:w="11112" w14:cap="flat" w14:cmpd="sng" w14:algn="ctr">
                            <w14:solidFill>
                              <w14:schemeClr w14:val="accent2"/>
                            </w14:solidFill>
                            <w14:prstDash w14:val="solid"/>
                            <w14:round/>
                          </w14:textOutline>
                        </w:rPr>
                        <w:t>2</w:t>
                      </w:r>
                      <w:r w:rsidR="001E134A">
                        <w:rPr>
                          <w:rFonts w:cstheme="minorHAnsi"/>
                          <w:b/>
                          <w:color w:val="FF0000"/>
                          <w:sz w:val="48"/>
                          <w:szCs w:val="48"/>
                          <w:vertAlign w:val="superscript"/>
                          <w14:textOutline w14:w="11112" w14:cap="flat" w14:cmpd="sng" w14:algn="ctr">
                            <w14:solidFill>
                              <w14:schemeClr w14:val="accent2"/>
                            </w14:solidFill>
                            <w14:prstDash w14:val="solid"/>
                            <w14:round/>
                          </w14:textOutline>
                        </w:rPr>
                        <w:t>nd</w:t>
                      </w:r>
                      <w:r w:rsidRPr="00831BD5">
                        <w:rPr>
                          <w:rFonts w:cstheme="minorHAnsi"/>
                          <w:b/>
                          <w:color w:val="FF0000"/>
                          <w:sz w:val="48"/>
                          <w:szCs w:val="48"/>
                          <w14:textOutline w14:w="11112" w14:cap="flat" w14:cmpd="sng" w14:algn="ctr">
                            <w14:solidFill>
                              <w14:schemeClr w14:val="accent2"/>
                            </w14:solidFill>
                            <w14:prstDash w14:val="solid"/>
                            <w14:round/>
                          </w14:textOutline>
                        </w:rPr>
                        <w:t xml:space="preserve"> semestre 202</w:t>
                      </w:r>
                      <w:r w:rsidR="001E134A">
                        <w:rPr>
                          <w:rFonts w:cstheme="minorHAnsi"/>
                          <w:b/>
                          <w:color w:val="FF0000"/>
                          <w:sz w:val="48"/>
                          <w:szCs w:val="48"/>
                          <w14:textOutline w14:w="11112" w14:cap="flat" w14:cmpd="sng" w14:algn="ctr">
                            <w14:solidFill>
                              <w14:schemeClr w14:val="accent2"/>
                            </w14:solidFill>
                            <w14:prstDash w14:val="solid"/>
                            <w14:round/>
                          </w14:textOutline>
                        </w:rPr>
                        <w:t>6</w:t>
                      </w:r>
                      <w:r>
                        <w:rPr>
                          <w:rFonts w:cstheme="minorHAnsi"/>
                          <w:b/>
                          <w:color w:val="FF0000"/>
                          <w:sz w:val="48"/>
                          <w:szCs w:val="48"/>
                          <w14:textOutline w14:w="11112" w14:cap="flat" w14:cmpd="sng" w14:algn="ctr">
                            <w14:solidFill>
                              <w14:schemeClr w14:val="accent2"/>
                            </w14:solidFill>
                            <w14:prstDash w14:val="solid"/>
                            <w14:round/>
                          </w14:textOutline>
                        </w:rPr>
                        <w:t xml:space="preserve"> </w:t>
                      </w:r>
                    </w:p>
                  </w:txbxContent>
                </v:textbox>
                <w10:wrap anchorx="margin"/>
              </v:shape>
            </w:pict>
          </mc:Fallback>
        </mc:AlternateContent>
      </w:r>
    </w:p>
    <w:p w14:paraId="6C1DB3CC" w14:textId="5EC7964C" w:rsidR="00D72CF0" w:rsidRDefault="00D72CF0" w:rsidP="00D72CF0"/>
    <w:p w14:paraId="4A877712" w14:textId="567D609C" w:rsidR="00D72CF0" w:rsidRDefault="00FA12E8" w:rsidP="00D72CF0">
      <w:r>
        <w:rPr>
          <w:noProof/>
          <w:lang w:eastAsia="fr-FR"/>
        </w:rPr>
        <mc:AlternateContent>
          <mc:Choice Requires="wps">
            <w:drawing>
              <wp:anchor distT="0" distB="0" distL="114300" distR="114300" simplePos="0" relativeHeight="251659264" behindDoc="0" locked="0" layoutInCell="1" allowOverlap="1" wp14:anchorId="5DAABF2F" wp14:editId="6E193BDB">
                <wp:simplePos x="0" y="0"/>
                <wp:positionH relativeFrom="margin">
                  <wp:align>center</wp:align>
                </wp:positionH>
                <wp:positionV relativeFrom="paragraph">
                  <wp:posOffset>27940</wp:posOffset>
                </wp:positionV>
                <wp:extent cx="4248150" cy="1042670"/>
                <wp:effectExtent l="0" t="0" r="0" b="5080"/>
                <wp:wrapNone/>
                <wp:docPr id="4" name="Zone de texte 4"/>
                <wp:cNvGraphicFramePr/>
                <a:graphic xmlns:a="http://schemas.openxmlformats.org/drawingml/2006/main">
                  <a:graphicData uri="http://schemas.microsoft.com/office/word/2010/wordprocessingShape">
                    <wps:wsp>
                      <wps:cNvSpPr txBox="1"/>
                      <wps:spPr>
                        <a:xfrm>
                          <a:off x="0" y="0"/>
                          <a:ext cx="4248150" cy="1042670"/>
                        </a:xfrm>
                        <a:prstGeom prst="rect">
                          <a:avLst/>
                        </a:prstGeom>
                        <a:noFill/>
                        <a:ln>
                          <a:noFill/>
                        </a:ln>
                      </wps:spPr>
                      <wps:txbx>
                        <w:txbxContent>
                          <w:p w14:paraId="5D84F254" w14:textId="59F6DF2D" w:rsidR="00913556" w:rsidRPr="00FA12E8" w:rsidRDefault="00913556" w:rsidP="00FA12E8">
                            <w:pPr>
                              <w:jc w:val="center"/>
                              <w:rPr>
                                <w:b/>
                                <w:color w:val="FF0000"/>
                                <w:sz w:val="72"/>
                                <w:szCs w:val="72"/>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ABF2F" id="Zone de texte 4" o:spid="_x0000_s1027" type="#_x0000_t202" style="position:absolute;margin-left:0;margin-top:2.2pt;width:334.5pt;height:82.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zVEgIAACsEAAAOAAAAZHJzL2Uyb0RvYy54bWysU8lu2zAQvRfoPxC817IMZalgOXATuChg&#10;JAGcImeaIi0CFIclaUvu13dIeWuaU9ALNZwZzfLe4/SubzXZCecVmIrmozElwnColdlU9OfL4sst&#10;JT4wUzMNRlR0Lzy9m33+NO1sKSbQgK6FI1jE+LKzFW1CsGWWed6IlvkRWGEwKMG1LODVbbLasQ6r&#10;tzqbjMfXWQeutg648B69D0OQzlJ9KQUPT1J6EYiuKM4W0unSuY5nNpuycuOYbRQ/jME+MEXLlMGm&#10;p1IPLDCydeqfUq3iDjzIMOLQZiCl4iLtgNvk4zfbrBpmRdoFwfH2BJP/f2X5425lnx0J/TfokcAI&#10;SGd96dEZ9+mla+MXJyUYRwj3J9hEHwhHZzEpbvMrDHGM5eNicn2TgM3Ov1vnw3cBLYlGRR3ykuBi&#10;u6UP2BJTjymxm4GF0jpxo81fDkyMnuw8Y7RCv+6Jqi/mX0O9x7UcDIx7yxcKWy+ZD8/MIcU4Lso2&#10;POEhNXQVhYNFSQPu93v+mI/IY5SSDiVTUf9ry5ygRP8wyMnXvCiixtKluLqZ4MVdRtaXEbNt7wFV&#10;meMDsTyZMT/ooykdtK+o7nnsiiFmOPauaDia92EQMr4OLubzlISqsiwszcryWDpiF4F96V+Zswf0&#10;AxL3CEdxsfINCUPugPp8G0CqxFDEeUD1AD8qMhF3eD1R8pf3lHV+47M/AAAA//8DAFBLAwQUAAYA&#10;CAAAACEAQy+NudoAAAAGAQAADwAAAGRycy9kb3ducmV2LnhtbEyPzU7DMBCE70h9B2uRuFEbFKw2&#10;jVNVIK4g+oPEzY23SdR4HcVuE96e5QTH0YxmvinWk+/EFYfYBjLwMFcgkKrgWqoN7Hev9wsQMVly&#10;tguEBr4xwrqc3RQ2d2GkD7xuUy24hGJuDTQp9bmUsWrQ2zgPPRJ7pzB4m1gOtXSDHbncd/JRKS29&#10;bYkXGtvjc4PVeXvxBg5vp6/PTL3XL/6pH8OkJPmlNObudtqsQCSc0l8YfvEZHUpmOoYLuSg6A3wk&#10;GcgyEGxqvWR95JReaJBlIf/jlz8AAAD//wMAUEsBAi0AFAAGAAgAAAAhALaDOJL+AAAA4QEAABMA&#10;AAAAAAAAAAAAAAAAAAAAAFtDb250ZW50X1R5cGVzXS54bWxQSwECLQAUAAYACAAAACEAOP0h/9YA&#10;AACUAQAACwAAAAAAAAAAAAAAAAAvAQAAX3JlbHMvLnJlbHNQSwECLQAUAAYACAAAACEAFb3s1RIC&#10;AAArBAAADgAAAAAAAAAAAAAAAAAuAgAAZHJzL2Uyb0RvYy54bWxQSwECLQAUAAYACAAAACEAQy+N&#10;udoAAAAGAQAADwAAAAAAAAAAAAAAAABsBAAAZHJzL2Rvd25yZXYueG1sUEsFBgAAAAAEAAQA8wAA&#10;AHMFAAAAAA==&#10;" filled="f" stroked="f">
                <v:textbox>
                  <w:txbxContent>
                    <w:p w14:paraId="5D84F254" w14:textId="59F6DF2D" w:rsidR="00913556" w:rsidRPr="00FA12E8" w:rsidRDefault="00913556" w:rsidP="00FA12E8">
                      <w:pPr>
                        <w:jc w:val="center"/>
                        <w:rPr>
                          <w:b/>
                          <w:color w:val="FF0000"/>
                          <w:sz w:val="72"/>
                          <w:szCs w:val="72"/>
                          <w14:textOutline w14:w="11112" w14:cap="flat" w14:cmpd="sng" w14:algn="ctr">
                            <w14:solidFill>
                              <w14:schemeClr w14:val="accent2"/>
                            </w14:solidFill>
                            <w14:prstDash w14:val="solid"/>
                            <w14:round/>
                          </w14:textOutline>
                        </w:rPr>
                      </w:pPr>
                    </w:p>
                  </w:txbxContent>
                </v:textbox>
                <w10:wrap anchorx="margin"/>
              </v:shape>
            </w:pict>
          </mc:Fallback>
        </mc:AlternateContent>
      </w:r>
    </w:p>
    <w:p w14:paraId="49EFBEFC" w14:textId="7556BC96" w:rsidR="00D72CF0" w:rsidRDefault="00D72CF0" w:rsidP="00D72CF0"/>
    <w:p w14:paraId="0D7EB466" w14:textId="5D6119F7" w:rsidR="00D72CF0" w:rsidRDefault="00D72CF0" w:rsidP="00D72CF0"/>
    <w:p w14:paraId="50DB6147" w14:textId="41CAE22E" w:rsidR="00D72CF0" w:rsidRDefault="00D72CF0" w:rsidP="00D72CF0"/>
    <w:p w14:paraId="0B2FD1CA" w14:textId="1647486C" w:rsidR="00D72CF0" w:rsidRDefault="00D72CF0" w:rsidP="00D72CF0"/>
    <w:p w14:paraId="448FE290" w14:textId="77777777" w:rsidR="00D72CF0" w:rsidRDefault="00D72CF0" w:rsidP="00D72CF0">
      <w:pPr>
        <w:jc w:val="center"/>
      </w:pPr>
      <w:r w:rsidRPr="002D14AB">
        <w:rPr>
          <w:rFonts w:cstheme="minorHAnsi"/>
          <w:noProof/>
          <w:lang w:eastAsia="fr-FR"/>
        </w:rPr>
        <w:drawing>
          <wp:inline distT="0" distB="0" distL="0" distR="0" wp14:anchorId="5EF38048" wp14:editId="3E8D3F6B">
            <wp:extent cx="2190466" cy="1460311"/>
            <wp:effectExtent l="0" t="0" r="635" b="0"/>
            <wp:docPr id="1" name="Image 1" descr="logo_BDF800epaiss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DF800epaisseur"/>
                    <pic:cNvPicPr>
                      <a:picLocks noChangeAspect="1" noChangeArrowheads="1"/>
                    </pic:cNvPicPr>
                  </pic:nvPicPr>
                  <pic:blipFill>
                    <a:blip r:embed="rId8" cstate="print"/>
                    <a:srcRect t="-10638" b="-49644"/>
                    <a:stretch>
                      <a:fillRect/>
                    </a:stretch>
                  </pic:blipFill>
                  <pic:spPr bwMode="auto">
                    <a:xfrm>
                      <a:off x="0" y="0"/>
                      <a:ext cx="2190466" cy="1460311"/>
                    </a:xfrm>
                    <a:prstGeom prst="rect">
                      <a:avLst/>
                    </a:prstGeom>
                    <a:noFill/>
                    <a:ln w="9525">
                      <a:noFill/>
                      <a:miter lim="800000"/>
                      <a:headEnd/>
                      <a:tailEnd/>
                    </a:ln>
                  </pic:spPr>
                </pic:pic>
              </a:graphicData>
            </a:graphic>
          </wp:inline>
        </w:drawing>
      </w:r>
    </w:p>
    <w:p w14:paraId="329FD306" w14:textId="77777777" w:rsidR="0027154D" w:rsidRDefault="0027154D">
      <w:pPr>
        <w:rPr>
          <w:rFonts w:cstheme="minorHAnsi"/>
          <w:b/>
          <w:sz w:val="28"/>
          <w:szCs w:val="28"/>
        </w:rPr>
      </w:pPr>
      <w:r w:rsidRPr="0027154D">
        <w:rPr>
          <w:rFonts w:cstheme="minorHAnsi"/>
          <w:b/>
          <w:sz w:val="28"/>
          <w:szCs w:val="28"/>
        </w:rPr>
        <w:lastRenderedPageBreak/>
        <w:t>S</w:t>
      </w:r>
      <w:r>
        <w:rPr>
          <w:rFonts w:cstheme="minorHAnsi"/>
          <w:b/>
          <w:sz w:val="28"/>
          <w:szCs w:val="28"/>
        </w:rPr>
        <w:t>uivi des versions</w:t>
      </w:r>
    </w:p>
    <w:tbl>
      <w:tblPr>
        <w:tblStyle w:val="Grilledutableau"/>
        <w:tblW w:w="0" w:type="auto"/>
        <w:tblLook w:val="04A0" w:firstRow="1" w:lastRow="0" w:firstColumn="1" w:lastColumn="0" w:noHBand="0" w:noVBand="1"/>
      </w:tblPr>
      <w:tblGrid>
        <w:gridCol w:w="1400"/>
        <w:gridCol w:w="1278"/>
        <w:gridCol w:w="6382"/>
      </w:tblGrid>
      <w:tr w:rsidR="0027154D" w14:paraId="4B3BA12A" w14:textId="77777777" w:rsidTr="0027154D">
        <w:tc>
          <w:tcPr>
            <w:tcW w:w="1400" w:type="dxa"/>
          </w:tcPr>
          <w:p w14:paraId="5B186890" w14:textId="0BEB729B" w:rsidR="0027154D" w:rsidRPr="0027154D" w:rsidRDefault="0027154D">
            <w:pPr>
              <w:rPr>
                <w:rFonts w:cstheme="minorHAnsi"/>
                <w:b/>
              </w:rPr>
            </w:pPr>
            <w:r w:rsidRPr="0027154D">
              <w:rPr>
                <w:rFonts w:cstheme="minorHAnsi"/>
                <w:b/>
              </w:rPr>
              <w:t>Version</w:t>
            </w:r>
          </w:p>
        </w:tc>
        <w:tc>
          <w:tcPr>
            <w:tcW w:w="1278" w:type="dxa"/>
          </w:tcPr>
          <w:p w14:paraId="52703195" w14:textId="5B25F434" w:rsidR="0027154D" w:rsidRPr="0027154D" w:rsidRDefault="0027154D">
            <w:pPr>
              <w:rPr>
                <w:rFonts w:cstheme="minorHAnsi"/>
                <w:b/>
              </w:rPr>
            </w:pPr>
            <w:r w:rsidRPr="0027154D">
              <w:rPr>
                <w:rFonts w:cstheme="minorHAnsi"/>
                <w:b/>
              </w:rPr>
              <w:t>Date</w:t>
            </w:r>
          </w:p>
        </w:tc>
        <w:tc>
          <w:tcPr>
            <w:tcW w:w="6382" w:type="dxa"/>
          </w:tcPr>
          <w:p w14:paraId="352AEFBB" w14:textId="1DBA94CF" w:rsidR="0027154D" w:rsidRPr="0027154D" w:rsidRDefault="0027154D">
            <w:pPr>
              <w:rPr>
                <w:rFonts w:cstheme="minorHAnsi"/>
                <w:b/>
              </w:rPr>
            </w:pPr>
            <w:r w:rsidRPr="0027154D">
              <w:rPr>
                <w:rFonts w:cstheme="minorHAnsi"/>
                <w:b/>
              </w:rPr>
              <w:t>Commentaires</w:t>
            </w:r>
          </w:p>
        </w:tc>
      </w:tr>
      <w:tr w:rsidR="0027154D" w14:paraId="471938B5" w14:textId="77777777" w:rsidTr="0027154D">
        <w:tc>
          <w:tcPr>
            <w:tcW w:w="1400" w:type="dxa"/>
          </w:tcPr>
          <w:p w14:paraId="49A2A5FE" w14:textId="00521DA2" w:rsidR="0027154D" w:rsidRPr="0027154D" w:rsidRDefault="0027154D">
            <w:pPr>
              <w:rPr>
                <w:rFonts w:cstheme="minorHAnsi"/>
                <w:sz w:val="18"/>
              </w:rPr>
            </w:pPr>
            <w:r w:rsidRPr="0027154D">
              <w:rPr>
                <w:rFonts w:cstheme="minorHAnsi"/>
                <w:sz w:val="18"/>
              </w:rPr>
              <w:t>1.0</w:t>
            </w:r>
          </w:p>
        </w:tc>
        <w:tc>
          <w:tcPr>
            <w:tcW w:w="1278" w:type="dxa"/>
          </w:tcPr>
          <w:p w14:paraId="7FC6E406" w14:textId="508F5E50" w:rsidR="0027154D" w:rsidRPr="0027154D" w:rsidRDefault="0027154D">
            <w:pPr>
              <w:rPr>
                <w:rFonts w:cstheme="minorHAnsi"/>
                <w:sz w:val="18"/>
              </w:rPr>
            </w:pPr>
            <w:r w:rsidRPr="0027154D">
              <w:rPr>
                <w:rFonts w:cstheme="minorHAnsi"/>
                <w:sz w:val="18"/>
              </w:rPr>
              <w:t>30/09/2021</w:t>
            </w:r>
          </w:p>
        </w:tc>
        <w:tc>
          <w:tcPr>
            <w:tcW w:w="6382" w:type="dxa"/>
          </w:tcPr>
          <w:p w14:paraId="0C26C9D2" w14:textId="77777777" w:rsidR="0027154D" w:rsidRPr="0027154D" w:rsidRDefault="0027154D">
            <w:pPr>
              <w:rPr>
                <w:rFonts w:cstheme="minorHAnsi"/>
                <w:sz w:val="18"/>
              </w:rPr>
            </w:pPr>
          </w:p>
        </w:tc>
      </w:tr>
      <w:tr w:rsidR="0027154D" w14:paraId="679D27D3" w14:textId="77777777" w:rsidTr="0027154D">
        <w:tc>
          <w:tcPr>
            <w:tcW w:w="1400" w:type="dxa"/>
          </w:tcPr>
          <w:p w14:paraId="2DA1532B" w14:textId="19B67B08" w:rsidR="0027154D" w:rsidRPr="0027154D" w:rsidRDefault="0027154D" w:rsidP="0027154D">
            <w:pPr>
              <w:rPr>
                <w:rFonts w:cstheme="minorHAnsi"/>
                <w:sz w:val="18"/>
              </w:rPr>
            </w:pPr>
            <w:r w:rsidRPr="0027154D">
              <w:rPr>
                <w:rFonts w:cstheme="minorHAnsi"/>
                <w:sz w:val="18"/>
              </w:rPr>
              <w:t>1.1</w:t>
            </w:r>
          </w:p>
        </w:tc>
        <w:tc>
          <w:tcPr>
            <w:tcW w:w="1278" w:type="dxa"/>
          </w:tcPr>
          <w:p w14:paraId="2100632D" w14:textId="2B17A50E" w:rsidR="0027154D" w:rsidRPr="0027154D" w:rsidRDefault="0027154D" w:rsidP="0027154D">
            <w:pPr>
              <w:rPr>
                <w:rFonts w:cstheme="minorHAnsi"/>
                <w:sz w:val="18"/>
              </w:rPr>
            </w:pPr>
            <w:r w:rsidRPr="0027154D">
              <w:rPr>
                <w:rFonts w:cstheme="minorHAnsi"/>
                <w:sz w:val="18"/>
              </w:rPr>
              <w:t>27/11/2021</w:t>
            </w:r>
          </w:p>
        </w:tc>
        <w:tc>
          <w:tcPr>
            <w:tcW w:w="6382" w:type="dxa"/>
          </w:tcPr>
          <w:p w14:paraId="48D99128" w14:textId="77777777" w:rsidR="0027154D" w:rsidRPr="0027154D" w:rsidRDefault="0027154D" w:rsidP="007B3D6D">
            <w:pPr>
              <w:jc w:val="both"/>
              <w:rPr>
                <w:rFonts w:cstheme="minorHAnsi"/>
                <w:sz w:val="18"/>
              </w:rPr>
            </w:pPr>
            <w:r w:rsidRPr="0027154D">
              <w:rPr>
                <w:rFonts w:cstheme="minorHAnsi"/>
                <w:sz w:val="18"/>
              </w:rPr>
              <w:t>Précisions apportées sur la définition :</w:t>
            </w:r>
          </w:p>
          <w:p w14:paraId="11D93241" w14:textId="757A8FFA" w:rsidR="0027154D" w:rsidRPr="0027154D" w:rsidRDefault="0027154D" w:rsidP="007B3D6D">
            <w:pPr>
              <w:pStyle w:val="Paragraphedeliste"/>
              <w:numPr>
                <w:ilvl w:val="0"/>
                <w:numId w:val="36"/>
              </w:numPr>
              <w:jc w:val="both"/>
              <w:rPr>
                <w:rFonts w:cstheme="minorHAnsi"/>
                <w:sz w:val="18"/>
              </w:rPr>
            </w:pPr>
            <w:r w:rsidRPr="0027154D">
              <w:rPr>
                <w:rFonts w:cstheme="minorHAnsi"/>
                <w:sz w:val="18"/>
              </w:rPr>
              <w:t>Des virements initiés via un canal de paiement à distance</w:t>
            </w:r>
          </w:p>
          <w:p w14:paraId="0B0036BF" w14:textId="77777777" w:rsidR="0027154D" w:rsidRPr="0027154D" w:rsidRDefault="0027154D" w:rsidP="007B3D6D">
            <w:pPr>
              <w:pStyle w:val="Paragraphedeliste"/>
              <w:numPr>
                <w:ilvl w:val="0"/>
                <w:numId w:val="36"/>
              </w:numPr>
              <w:jc w:val="both"/>
              <w:rPr>
                <w:rFonts w:cstheme="minorHAnsi"/>
                <w:sz w:val="18"/>
              </w:rPr>
            </w:pPr>
            <w:r w:rsidRPr="0027154D">
              <w:rPr>
                <w:rFonts w:cstheme="minorHAnsi"/>
                <w:sz w:val="18"/>
              </w:rPr>
              <w:t>Des virements initiés via un canal de paiement non distant</w:t>
            </w:r>
          </w:p>
          <w:p w14:paraId="26E984EC" w14:textId="504FCC53" w:rsidR="0027154D" w:rsidRPr="0027154D" w:rsidRDefault="0027154D" w:rsidP="007B3D6D">
            <w:pPr>
              <w:pStyle w:val="Paragraphedeliste"/>
              <w:numPr>
                <w:ilvl w:val="0"/>
                <w:numId w:val="36"/>
              </w:numPr>
              <w:jc w:val="both"/>
              <w:rPr>
                <w:rFonts w:cstheme="minorHAnsi"/>
                <w:sz w:val="18"/>
              </w:rPr>
            </w:pPr>
            <w:r w:rsidRPr="0027154D">
              <w:rPr>
                <w:rFonts w:cstheme="minorHAnsi"/>
                <w:sz w:val="18"/>
              </w:rPr>
              <w:t>Des virements traités par un schéma non SEPA de type VGM</w:t>
            </w:r>
          </w:p>
        </w:tc>
      </w:tr>
      <w:tr w:rsidR="0027154D" w14:paraId="2CA2F643" w14:textId="77777777" w:rsidTr="0027154D">
        <w:tc>
          <w:tcPr>
            <w:tcW w:w="1400" w:type="dxa"/>
          </w:tcPr>
          <w:p w14:paraId="130DBE8B" w14:textId="1327E2D7" w:rsidR="0027154D" w:rsidRPr="0027154D" w:rsidRDefault="00842A27" w:rsidP="0027154D">
            <w:pPr>
              <w:rPr>
                <w:rFonts w:cstheme="minorHAnsi"/>
                <w:sz w:val="18"/>
              </w:rPr>
            </w:pPr>
            <w:r>
              <w:rPr>
                <w:rFonts w:cstheme="minorHAnsi"/>
                <w:sz w:val="18"/>
              </w:rPr>
              <w:t xml:space="preserve">1.2 </w:t>
            </w:r>
          </w:p>
        </w:tc>
        <w:tc>
          <w:tcPr>
            <w:tcW w:w="1278" w:type="dxa"/>
          </w:tcPr>
          <w:p w14:paraId="11539BC3" w14:textId="142B95C8" w:rsidR="0027154D" w:rsidRPr="0027154D" w:rsidRDefault="00842A27" w:rsidP="0027154D">
            <w:pPr>
              <w:rPr>
                <w:rFonts w:cstheme="minorHAnsi"/>
                <w:sz w:val="18"/>
              </w:rPr>
            </w:pPr>
            <w:r>
              <w:rPr>
                <w:rFonts w:cstheme="minorHAnsi"/>
                <w:sz w:val="18"/>
              </w:rPr>
              <w:t>17/12/2021</w:t>
            </w:r>
          </w:p>
        </w:tc>
        <w:tc>
          <w:tcPr>
            <w:tcW w:w="6382" w:type="dxa"/>
          </w:tcPr>
          <w:p w14:paraId="4F8B4355" w14:textId="26ECE8B8" w:rsidR="0027154D" w:rsidRPr="0027154D" w:rsidRDefault="00842A27" w:rsidP="0027154D">
            <w:pPr>
              <w:rPr>
                <w:rFonts w:cstheme="minorHAnsi"/>
                <w:sz w:val="18"/>
              </w:rPr>
            </w:pPr>
            <w:r>
              <w:rPr>
                <w:rFonts w:cstheme="minorHAnsi"/>
                <w:sz w:val="18"/>
              </w:rPr>
              <w:t>Corrections d’erreurs de saisie (en marques de révision)</w:t>
            </w:r>
          </w:p>
        </w:tc>
      </w:tr>
      <w:tr w:rsidR="0027154D" w14:paraId="659D68FC" w14:textId="77777777" w:rsidTr="0027154D">
        <w:tc>
          <w:tcPr>
            <w:tcW w:w="1400" w:type="dxa"/>
          </w:tcPr>
          <w:p w14:paraId="02CE2EC7" w14:textId="7BB2BB2D" w:rsidR="0027154D" w:rsidRPr="0027154D" w:rsidRDefault="007B3D6D" w:rsidP="0027154D">
            <w:pPr>
              <w:rPr>
                <w:rFonts w:cstheme="minorHAnsi"/>
                <w:sz w:val="18"/>
              </w:rPr>
            </w:pPr>
            <w:r>
              <w:rPr>
                <w:rFonts w:cstheme="minorHAnsi"/>
                <w:sz w:val="18"/>
              </w:rPr>
              <w:t>1.3</w:t>
            </w:r>
          </w:p>
        </w:tc>
        <w:tc>
          <w:tcPr>
            <w:tcW w:w="1278" w:type="dxa"/>
          </w:tcPr>
          <w:p w14:paraId="3AE531E1" w14:textId="0A68453C" w:rsidR="0027154D" w:rsidRPr="0027154D" w:rsidRDefault="00A73F6A" w:rsidP="0027154D">
            <w:pPr>
              <w:rPr>
                <w:rFonts w:cstheme="minorHAnsi"/>
                <w:sz w:val="18"/>
              </w:rPr>
            </w:pPr>
            <w:r>
              <w:rPr>
                <w:rFonts w:cstheme="minorHAnsi"/>
                <w:sz w:val="18"/>
              </w:rPr>
              <w:t>13/04/2022</w:t>
            </w:r>
          </w:p>
        </w:tc>
        <w:tc>
          <w:tcPr>
            <w:tcW w:w="6382" w:type="dxa"/>
          </w:tcPr>
          <w:p w14:paraId="12FE9006" w14:textId="01DB0063" w:rsidR="007B3D6D" w:rsidRDefault="007B3D6D" w:rsidP="007B3D6D">
            <w:pPr>
              <w:jc w:val="both"/>
              <w:rPr>
                <w:rFonts w:cstheme="minorHAnsi"/>
                <w:sz w:val="18"/>
              </w:rPr>
            </w:pPr>
            <w:r>
              <w:rPr>
                <w:rFonts w:cstheme="minorHAnsi"/>
                <w:sz w:val="18"/>
              </w:rPr>
              <w:t>§ 3.3 : modification des adresses de contact à la Banque de France avec la constitution d’un guichet principal</w:t>
            </w:r>
          </w:p>
          <w:p w14:paraId="07A898B2" w14:textId="5F607893" w:rsidR="0027154D" w:rsidRDefault="00C615DA" w:rsidP="007B3D6D">
            <w:pPr>
              <w:jc w:val="both"/>
              <w:rPr>
                <w:rFonts w:cstheme="minorHAnsi"/>
                <w:sz w:val="18"/>
              </w:rPr>
            </w:pPr>
            <w:r w:rsidRPr="00C615DA">
              <w:rPr>
                <w:rFonts w:cstheme="minorHAnsi"/>
                <w:sz w:val="18"/>
              </w:rPr>
              <w:t>§ 4.1.3.1</w:t>
            </w:r>
            <w:r>
              <w:rPr>
                <w:rFonts w:cstheme="minorHAnsi"/>
                <w:sz w:val="18"/>
              </w:rPr>
              <w:t> : huit correction</w:t>
            </w:r>
            <w:r w:rsidR="007B3D6D">
              <w:rPr>
                <w:rFonts w:cstheme="minorHAnsi"/>
                <w:sz w:val="18"/>
              </w:rPr>
              <w:t>s</w:t>
            </w:r>
            <w:r>
              <w:rPr>
                <w:rFonts w:cstheme="minorHAnsi"/>
                <w:sz w:val="18"/>
              </w:rPr>
              <w:t xml:space="preserve"> de « Dont sans authentification forte du client » par « Dont avec authentification avec</w:t>
            </w:r>
            <w:r w:rsidRPr="00C615DA">
              <w:rPr>
                <w:rFonts w:cstheme="minorHAnsi"/>
                <w:sz w:val="18"/>
              </w:rPr>
              <w:t xml:space="preserve"> du client</w:t>
            </w:r>
            <w:r>
              <w:rPr>
                <w:rFonts w:cstheme="minorHAnsi"/>
                <w:sz w:val="18"/>
              </w:rPr>
              <w:t xml:space="preserve"> » </w:t>
            </w:r>
          </w:p>
          <w:p w14:paraId="2BDD5B58" w14:textId="6FA67286" w:rsidR="00C615DA" w:rsidRDefault="00C615DA" w:rsidP="007B3D6D">
            <w:pPr>
              <w:jc w:val="both"/>
              <w:rPr>
                <w:rFonts w:cstheme="minorHAnsi"/>
                <w:sz w:val="18"/>
              </w:rPr>
            </w:pPr>
            <w:r>
              <w:rPr>
                <w:rFonts w:cstheme="minorHAnsi"/>
                <w:sz w:val="18"/>
              </w:rPr>
              <w:t>§ 4.</w:t>
            </w:r>
            <w:r w:rsidRPr="00C615DA">
              <w:rPr>
                <w:rFonts w:cstheme="minorHAnsi"/>
                <w:sz w:val="18"/>
              </w:rPr>
              <w:t>3.1</w:t>
            </w:r>
            <w:r>
              <w:rPr>
                <w:rFonts w:cstheme="minorHAnsi"/>
                <w:sz w:val="18"/>
              </w:rPr>
              <w:t> :</w:t>
            </w:r>
            <w:r w:rsidRPr="00C615DA">
              <w:rPr>
                <w:rFonts w:cstheme="minorHAnsi"/>
                <w:sz w:val="18"/>
              </w:rPr>
              <w:t xml:space="preserve"> </w:t>
            </w:r>
            <w:r>
              <w:rPr>
                <w:rFonts w:cstheme="minorHAnsi"/>
                <w:sz w:val="18"/>
              </w:rPr>
              <w:t>quatre corrections de « Dont avec authentification forte du client » par « Dont sans authentification avec</w:t>
            </w:r>
            <w:r w:rsidRPr="00C615DA">
              <w:rPr>
                <w:rFonts w:cstheme="minorHAnsi"/>
                <w:sz w:val="18"/>
              </w:rPr>
              <w:t xml:space="preserve"> du client</w:t>
            </w:r>
            <w:r w:rsidR="007B3D6D">
              <w:rPr>
                <w:rFonts w:cstheme="minorHAnsi"/>
                <w:sz w:val="18"/>
              </w:rPr>
              <w:t xml:space="preserve"> </w:t>
            </w:r>
            <w:r>
              <w:rPr>
                <w:rFonts w:cstheme="minorHAnsi"/>
                <w:sz w:val="18"/>
              </w:rPr>
              <w:t>»</w:t>
            </w:r>
          </w:p>
          <w:p w14:paraId="6D87EFE6" w14:textId="2421F642" w:rsidR="00776BF1" w:rsidRDefault="00776BF1" w:rsidP="007B3D6D">
            <w:pPr>
              <w:jc w:val="both"/>
              <w:rPr>
                <w:rFonts w:cstheme="minorHAnsi"/>
                <w:sz w:val="18"/>
              </w:rPr>
            </w:pPr>
            <w:r>
              <w:rPr>
                <w:rFonts w:cstheme="minorHAnsi"/>
                <w:sz w:val="18"/>
              </w:rPr>
              <w:t>§ 4.1.1.1 : Ajout d’une colonne dans la sous-ventilation relative à «</w:t>
            </w:r>
            <w:r w:rsidR="00186CAC">
              <w:rPr>
                <w:rFonts w:cstheme="minorHAnsi"/>
                <w:sz w:val="18"/>
              </w:rPr>
              <w:t xml:space="preserve"> </w:t>
            </w:r>
            <w:r w:rsidRPr="00776BF1">
              <w:rPr>
                <w:rFonts w:cstheme="minorHAnsi"/>
                <w:sz w:val="18"/>
              </w:rPr>
              <w:t>Dont cartes ayant été chargées au moins une fois</w:t>
            </w:r>
            <w:r>
              <w:rPr>
                <w:rFonts w:cstheme="minorHAnsi"/>
                <w:sz w:val="18"/>
              </w:rPr>
              <w:t xml:space="preserve"> » dans le tableau </w:t>
            </w:r>
            <w:r w:rsidR="008936A6">
              <w:rPr>
                <w:rFonts w:cstheme="minorHAnsi"/>
                <w:sz w:val="18"/>
              </w:rPr>
              <w:t>(</w:t>
            </w:r>
            <w:r>
              <w:rPr>
                <w:rFonts w:cstheme="minorHAnsi"/>
                <w:sz w:val="18"/>
              </w:rPr>
              <w:t>P.13</w:t>
            </w:r>
            <w:r w:rsidR="008936A6">
              <w:rPr>
                <w:rFonts w:cstheme="minorHAnsi"/>
                <w:sz w:val="18"/>
              </w:rPr>
              <w:t>)</w:t>
            </w:r>
          </w:p>
          <w:p w14:paraId="05B75751" w14:textId="2A09AFA2" w:rsidR="007B3D6D" w:rsidRPr="0027154D" w:rsidRDefault="00186CAC" w:rsidP="007B3D6D">
            <w:pPr>
              <w:jc w:val="both"/>
              <w:rPr>
                <w:rFonts w:cstheme="minorHAnsi"/>
                <w:sz w:val="18"/>
              </w:rPr>
            </w:pPr>
            <w:r>
              <w:rPr>
                <w:rFonts w:cstheme="minorHAnsi"/>
                <w:sz w:val="18"/>
              </w:rPr>
              <w:t xml:space="preserve">§ 4.1.2.1 : ajout d’une colonne pour </w:t>
            </w:r>
            <w:proofErr w:type="gramStart"/>
            <w:r>
              <w:rPr>
                <w:rFonts w:cstheme="minorHAnsi"/>
                <w:sz w:val="18"/>
              </w:rPr>
              <w:t>les ventilation</w:t>
            </w:r>
            <w:proofErr w:type="gramEnd"/>
            <w:r>
              <w:rPr>
                <w:rFonts w:cstheme="minorHAnsi"/>
                <w:sz w:val="18"/>
              </w:rPr>
              <w:t xml:space="preserve"> par schéma de carte dans les paiement à distance</w:t>
            </w:r>
            <w:r w:rsidR="008936A6">
              <w:rPr>
                <w:rFonts w:cstheme="minorHAnsi"/>
                <w:sz w:val="18"/>
              </w:rPr>
              <w:t xml:space="preserve"> (P.21 à 26)</w:t>
            </w:r>
          </w:p>
        </w:tc>
      </w:tr>
      <w:tr w:rsidR="000D4BE8" w14:paraId="4E1033E5" w14:textId="77777777" w:rsidTr="0027154D">
        <w:tc>
          <w:tcPr>
            <w:tcW w:w="1400" w:type="dxa"/>
          </w:tcPr>
          <w:p w14:paraId="34AE34CC" w14:textId="5B5C1347" w:rsidR="000D4BE8" w:rsidRDefault="000D4BE8" w:rsidP="0027154D">
            <w:pPr>
              <w:rPr>
                <w:rFonts w:cstheme="minorHAnsi"/>
                <w:sz w:val="18"/>
              </w:rPr>
            </w:pPr>
            <w:r>
              <w:rPr>
                <w:rFonts w:cstheme="minorHAnsi"/>
                <w:sz w:val="18"/>
              </w:rPr>
              <w:t>1.4</w:t>
            </w:r>
          </w:p>
        </w:tc>
        <w:tc>
          <w:tcPr>
            <w:tcW w:w="1278" w:type="dxa"/>
          </w:tcPr>
          <w:p w14:paraId="1A2C4217" w14:textId="479DD54F" w:rsidR="000D4BE8" w:rsidRDefault="000D4BE8" w:rsidP="0027154D">
            <w:pPr>
              <w:rPr>
                <w:rFonts w:cstheme="minorHAnsi"/>
                <w:sz w:val="18"/>
              </w:rPr>
            </w:pPr>
            <w:r>
              <w:rPr>
                <w:rFonts w:cstheme="minorHAnsi"/>
                <w:sz w:val="18"/>
              </w:rPr>
              <w:t>20/06/2022</w:t>
            </w:r>
          </w:p>
        </w:tc>
        <w:tc>
          <w:tcPr>
            <w:tcW w:w="6382" w:type="dxa"/>
          </w:tcPr>
          <w:p w14:paraId="3A5A72EC" w14:textId="0883FC91" w:rsidR="000D4BE8" w:rsidRDefault="00756723" w:rsidP="007B3D6D">
            <w:pPr>
              <w:jc w:val="both"/>
              <w:rPr>
                <w:rFonts w:cstheme="minorHAnsi"/>
                <w:sz w:val="18"/>
              </w:rPr>
            </w:pPr>
            <w:r>
              <w:rPr>
                <w:rFonts w:cstheme="minorHAnsi"/>
                <w:sz w:val="18"/>
              </w:rPr>
              <w:t>§ 4.1.1.1 : Correction liée à l’affectation des cartes par fonction (débit, débit différé, crédit), le principe étant que chaque</w:t>
            </w:r>
            <w:r w:rsidR="004F7E05">
              <w:rPr>
                <w:rFonts w:cstheme="minorHAnsi"/>
                <w:sz w:val="18"/>
              </w:rPr>
              <w:t xml:space="preserve"> carte</w:t>
            </w:r>
            <w:r>
              <w:rPr>
                <w:rFonts w:cstheme="minorHAnsi"/>
                <w:sz w:val="18"/>
              </w:rPr>
              <w:t xml:space="preserve"> peut potentiellement être comptabilisée plusieurs fois si elle présente plusieurs fonctions. Correction d</w:t>
            </w:r>
            <w:r w:rsidR="002204B2">
              <w:rPr>
                <w:rFonts w:cstheme="minorHAnsi"/>
                <w:sz w:val="18"/>
              </w:rPr>
              <w:t>es règles de gestion associées</w:t>
            </w:r>
          </w:p>
          <w:p w14:paraId="2EF026E0" w14:textId="0488B96D" w:rsidR="00756723" w:rsidRDefault="00756723" w:rsidP="007B3D6D">
            <w:pPr>
              <w:jc w:val="both"/>
              <w:rPr>
                <w:rFonts w:cstheme="minorHAnsi"/>
                <w:sz w:val="18"/>
              </w:rPr>
            </w:pPr>
            <w:r>
              <w:rPr>
                <w:rFonts w:cstheme="minorHAnsi"/>
                <w:sz w:val="18"/>
              </w:rPr>
              <w:t>§ 4.1.2.4 : Correction sur la ventilation géographique des opérations de retrait par carte, qui doit être effectuée comme les opérations de paiement par carte, c’est-à-dire selon la ventilation précisée au § 5.2</w:t>
            </w:r>
          </w:p>
        </w:tc>
      </w:tr>
      <w:tr w:rsidR="00D6303B" w14:paraId="29570758" w14:textId="77777777" w:rsidTr="0027154D">
        <w:tc>
          <w:tcPr>
            <w:tcW w:w="1400" w:type="dxa"/>
          </w:tcPr>
          <w:p w14:paraId="4894B95B" w14:textId="3878A3CE" w:rsidR="00D6303B" w:rsidRDefault="00D6303B" w:rsidP="0027154D">
            <w:pPr>
              <w:rPr>
                <w:rFonts w:cstheme="minorHAnsi"/>
                <w:sz w:val="18"/>
              </w:rPr>
            </w:pPr>
            <w:r>
              <w:rPr>
                <w:rFonts w:cstheme="minorHAnsi"/>
                <w:sz w:val="18"/>
              </w:rPr>
              <w:t>1.5</w:t>
            </w:r>
          </w:p>
        </w:tc>
        <w:tc>
          <w:tcPr>
            <w:tcW w:w="1278" w:type="dxa"/>
          </w:tcPr>
          <w:p w14:paraId="0C97A397" w14:textId="2E79FFCD" w:rsidR="00D6303B" w:rsidRDefault="00D6303B" w:rsidP="0027154D">
            <w:pPr>
              <w:rPr>
                <w:rFonts w:cstheme="minorHAnsi"/>
                <w:sz w:val="18"/>
              </w:rPr>
            </w:pPr>
            <w:r>
              <w:rPr>
                <w:rFonts w:cstheme="minorHAnsi"/>
                <w:sz w:val="18"/>
              </w:rPr>
              <w:t>18/07/2022</w:t>
            </w:r>
          </w:p>
        </w:tc>
        <w:tc>
          <w:tcPr>
            <w:tcW w:w="6382" w:type="dxa"/>
          </w:tcPr>
          <w:p w14:paraId="1AB3A7D8" w14:textId="76D8F601" w:rsidR="00D6303B" w:rsidRDefault="00D6303B" w:rsidP="00D6303B">
            <w:pPr>
              <w:jc w:val="both"/>
              <w:rPr>
                <w:rFonts w:cstheme="minorHAnsi"/>
                <w:sz w:val="18"/>
              </w:rPr>
            </w:pPr>
            <w:r>
              <w:rPr>
                <w:rFonts w:cstheme="minorHAnsi"/>
                <w:sz w:val="18"/>
              </w:rPr>
              <w:t>§ 4.1.1.1 : Correction sur les règles de gestion associées au dénombrement des cartes émises</w:t>
            </w:r>
          </w:p>
          <w:p w14:paraId="306B8EEE" w14:textId="2A83D636" w:rsidR="00D6303B" w:rsidRDefault="00345CB4" w:rsidP="007B3D6D">
            <w:pPr>
              <w:jc w:val="both"/>
              <w:rPr>
                <w:rFonts w:cstheme="minorHAnsi"/>
                <w:sz w:val="18"/>
              </w:rPr>
            </w:pPr>
            <w:r>
              <w:rPr>
                <w:rFonts w:cstheme="minorHAnsi"/>
                <w:sz w:val="18"/>
              </w:rPr>
              <w:t>§ 4.1.1.2 : précision sur l’exclusion des dispositifs permettant uniquement les remises de chèque dans le dénombrement des guichets automatiques de banque (GAB)</w:t>
            </w:r>
          </w:p>
        </w:tc>
      </w:tr>
      <w:tr w:rsidR="0009533F" w14:paraId="29C34AA2" w14:textId="77777777" w:rsidTr="0027154D">
        <w:tc>
          <w:tcPr>
            <w:tcW w:w="1400" w:type="dxa"/>
          </w:tcPr>
          <w:p w14:paraId="5C609A35" w14:textId="6B532BD6" w:rsidR="0009533F" w:rsidRDefault="0009533F" w:rsidP="0027154D">
            <w:pPr>
              <w:rPr>
                <w:rFonts w:cstheme="minorHAnsi"/>
                <w:sz w:val="18"/>
              </w:rPr>
            </w:pPr>
            <w:r>
              <w:rPr>
                <w:rFonts w:cstheme="minorHAnsi"/>
                <w:sz w:val="18"/>
              </w:rPr>
              <w:t>1.6</w:t>
            </w:r>
          </w:p>
        </w:tc>
        <w:tc>
          <w:tcPr>
            <w:tcW w:w="1278" w:type="dxa"/>
          </w:tcPr>
          <w:p w14:paraId="0108CC3C" w14:textId="5DB0E399" w:rsidR="0009533F" w:rsidRDefault="00147A9C" w:rsidP="0027154D">
            <w:pPr>
              <w:rPr>
                <w:rFonts w:cstheme="minorHAnsi"/>
                <w:sz w:val="18"/>
              </w:rPr>
            </w:pPr>
            <w:r>
              <w:rPr>
                <w:rFonts w:cstheme="minorHAnsi"/>
                <w:sz w:val="18"/>
              </w:rPr>
              <w:t>26</w:t>
            </w:r>
            <w:r w:rsidR="0009533F">
              <w:rPr>
                <w:rFonts w:cstheme="minorHAnsi"/>
                <w:sz w:val="18"/>
              </w:rPr>
              <w:t>/10/2022</w:t>
            </w:r>
          </w:p>
        </w:tc>
        <w:tc>
          <w:tcPr>
            <w:tcW w:w="6382" w:type="dxa"/>
          </w:tcPr>
          <w:p w14:paraId="76E88750" w14:textId="011D3665" w:rsidR="00147A9C" w:rsidRDefault="00147A9C" w:rsidP="0009533F">
            <w:pPr>
              <w:jc w:val="both"/>
              <w:rPr>
                <w:rFonts w:cstheme="minorHAnsi"/>
                <w:sz w:val="18"/>
              </w:rPr>
            </w:pPr>
            <w:r w:rsidRPr="0009533F">
              <w:rPr>
                <w:rFonts w:cstheme="minorHAnsi"/>
                <w:sz w:val="18"/>
              </w:rPr>
              <w:t>§</w:t>
            </w:r>
            <w:r>
              <w:rPr>
                <w:rFonts w:cstheme="minorHAnsi"/>
                <w:sz w:val="18"/>
              </w:rPr>
              <w:t xml:space="preserve"> 4.1.1.2. : Suppression d’un contrôle de cohérence non pertinent sur le dénombrement du nombre de terminaux</w:t>
            </w:r>
          </w:p>
          <w:p w14:paraId="07CCFD64" w14:textId="39832328" w:rsidR="0009533F" w:rsidRDefault="0009533F" w:rsidP="0009533F">
            <w:pPr>
              <w:jc w:val="both"/>
              <w:rPr>
                <w:rFonts w:cstheme="minorHAnsi"/>
                <w:sz w:val="18"/>
              </w:rPr>
            </w:pPr>
            <w:r w:rsidRPr="0009533F">
              <w:rPr>
                <w:rFonts w:cstheme="minorHAnsi"/>
                <w:sz w:val="18"/>
              </w:rPr>
              <w:t>§</w:t>
            </w:r>
            <w:r>
              <w:rPr>
                <w:rFonts w:cstheme="minorHAnsi"/>
                <w:sz w:val="18"/>
              </w:rPr>
              <w:t xml:space="preserve"> 4.1.1.2.4. : Précision</w:t>
            </w:r>
            <w:r w:rsidR="00FB5CD2">
              <w:rPr>
                <w:rFonts w:cstheme="minorHAnsi"/>
                <w:sz w:val="18"/>
              </w:rPr>
              <w:t>s</w:t>
            </w:r>
            <w:r>
              <w:rPr>
                <w:rFonts w:cstheme="minorHAnsi"/>
                <w:sz w:val="18"/>
              </w:rPr>
              <w:t xml:space="preserve"> sur la définition des </w:t>
            </w:r>
            <w:r w:rsidR="00A1668D">
              <w:rPr>
                <w:rFonts w:cstheme="minorHAnsi"/>
                <w:sz w:val="18"/>
              </w:rPr>
              <w:t>terminaux</w:t>
            </w:r>
            <w:r>
              <w:rPr>
                <w:rFonts w:cstheme="minorHAnsi"/>
                <w:sz w:val="18"/>
              </w:rPr>
              <w:t xml:space="preserve"> </w:t>
            </w:r>
            <w:r w:rsidRPr="0009533F">
              <w:rPr>
                <w:rFonts w:cstheme="minorHAnsi"/>
                <w:sz w:val="18"/>
              </w:rPr>
              <w:t>acceptant des cartes de monnaie électronique</w:t>
            </w:r>
          </w:p>
          <w:p w14:paraId="498FB944" w14:textId="605CA079" w:rsidR="0009533F" w:rsidRDefault="0009533F" w:rsidP="0009533F">
            <w:pPr>
              <w:jc w:val="both"/>
              <w:rPr>
                <w:rFonts w:cstheme="minorHAnsi"/>
                <w:sz w:val="18"/>
              </w:rPr>
            </w:pPr>
            <w:r w:rsidRPr="0009533F">
              <w:rPr>
                <w:rFonts w:cstheme="minorHAnsi"/>
                <w:sz w:val="18"/>
              </w:rPr>
              <w:t>§</w:t>
            </w:r>
            <w:r>
              <w:rPr>
                <w:rFonts w:cstheme="minorHAnsi"/>
                <w:sz w:val="18"/>
              </w:rPr>
              <w:t xml:space="preserve"> </w:t>
            </w:r>
            <w:r w:rsidRPr="0009533F">
              <w:rPr>
                <w:rFonts w:cstheme="minorHAnsi"/>
                <w:sz w:val="18"/>
              </w:rPr>
              <w:t>4.2.1.</w:t>
            </w:r>
            <w:r w:rsidRPr="0009533F">
              <w:rPr>
                <w:rFonts w:cstheme="minorHAnsi"/>
                <w:sz w:val="18"/>
              </w:rPr>
              <w:tab/>
            </w:r>
            <w:r>
              <w:rPr>
                <w:rFonts w:cstheme="minorHAnsi"/>
                <w:sz w:val="18"/>
              </w:rPr>
              <w:t>: exclusion des retrait</w:t>
            </w:r>
            <w:r w:rsidR="00A1668D">
              <w:rPr>
                <w:rFonts w:cstheme="minorHAnsi"/>
                <w:sz w:val="18"/>
              </w:rPr>
              <w:t>s en espèces de la définition des opérations de</w:t>
            </w:r>
            <w:r>
              <w:rPr>
                <w:rFonts w:cstheme="minorHAnsi"/>
                <w:sz w:val="18"/>
              </w:rPr>
              <w:t xml:space="preserve"> déchargement de monnaie électronique</w:t>
            </w:r>
          </w:p>
        </w:tc>
      </w:tr>
      <w:tr w:rsidR="00C565C1" w14:paraId="5E79303E" w14:textId="77777777" w:rsidTr="0027154D">
        <w:tc>
          <w:tcPr>
            <w:tcW w:w="1400" w:type="dxa"/>
          </w:tcPr>
          <w:p w14:paraId="31E27DE6" w14:textId="17DA49D8" w:rsidR="00C565C1" w:rsidRPr="00D73F6C" w:rsidRDefault="00824AE8" w:rsidP="0027154D">
            <w:pPr>
              <w:rPr>
                <w:rFonts w:cstheme="minorHAnsi"/>
                <w:sz w:val="18"/>
                <w:highlight w:val="yellow"/>
              </w:rPr>
            </w:pPr>
            <w:r>
              <w:rPr>
                <w:rFonts w:cstheme="minorHAnsi"/>
                <w:sz w:val="18"/>
              </w:rPr>
              <w:t>2.0</w:t>
            </w:r>
          </w:p>
        </w:tc>
        <w:tc>
          <w:tcPr>
            <w:tcW w:w="1278" w:type="dxa"/>
          </w:tcPr>
          <w:p w14:paraId="5904AA95" w14:textId="4BB6D1C5" w:rsidR="00C565C1" w:rsidRPr="00B11556" w:rsidRDefault="00CA3B12" w:rsidP="0027154D">
            <w:pPr>
              <w:rPr>
                <w:rFonts w:cstheme="minorHAnsi"/>
                <w:sz w:val="18"/>
                <w:highlight w:val="yellow"/>
              </w:rPr>
            </w:pPr>
            <w:r w:rsidRPr="00AC50C2">
              <w:rPr>
                <w:rFonts w:cstheme="minorHAnsi"/>
                <w:sz w:val="18"/>
              </w:rPr>
              <w:t>30/04</w:t>
            </w:r>
            <w:r w:rsidR="00C565C1" w:rsidRPr="00AC50C2">
              <w:rPr>
                <w:rFonts w:cstheme="minorHAnsi"/>
                <w:sz w:val="18"/>
              </w:rPr>
              <w:t>/2023</w:t>
            </w:r>
          </w:p>
        </w:tc>
        <w:tc>
          <w:tcPr>
            <w:tcW w:w="6382" w:type="dxa"/>
          </w:tcPr>
          <w:p w14:paraId="322E203B" w14:textId="1AC77CF1" w:rsidR="001714DA" w:rsidRPr="00AC50C2" w:rsidRDefault="001714DA" w:rsidP="00AC69CE">
            <w:pPr>
              <w:jc w:val="both"/>
              <w:rPr>
                <w:rFonts w:cstheme="minorHAnsi"/>
                <w:sz w:val="18"/>
              </w:rPr>
            </w:pPr>
            <w:r w:rsidRPr="00AC50C2">
              <w:rPr>
                <w:rFonts w:cstheme="minorHAnsi"/>
                <w:sz w:val="18"/>
              </w:rPr>
              <w:t xml:space="preserve">§ 3.1.1 :  Ajout de « Aux fins des statistiques relatives aux paiements, tous les PSP sont </w:t>
            </w:r>
            <w:proofErr w:type="gramStart"/>
            <w:r w:rsidRPr="00AC50C2">
              <w:rPr>
                <w:rFonts w:cstheme="minorHAnsi"/>
                <w:sz w:val="18"/>
              </w:rPr>
              <w:t>e</w:t>
            </w:r>
            <w:r w:rsidR="005654FF" w:rsidRPr="00AC50C2">
              <w:rPr>
                <w:rFonts w:cstheme="minorHAnsi"/>
                <w:sz w:val="18"/>
              </w:rPr>
              <w:t>xclus</w:t>
            </w:r>
            <w:proofErr w:type="gramEnd"/>
            <w:r w:rsidR="005654FF" w:rsidRPr="00AC50C2">
              <w:rPr>
                <w:rFonts w:cstheme="minorHAnsi"/>
                <w:sz w:val="18"/>
              </w:rPr>
              <w:t xml:space="preserve"> de la clientèle non-IFM »</w:t>
            </w:r>
          </w:p>
          <w:p w14:paraId="7210EE1C" w14:textId="58823CEB" w:rsidR="00D012A8" w:rsidRPr="00AC50C2" w:rsidRDefault="0025744E" w:rsidP="00AC69CE">
            <w:pPr>
              <w:jc w:val="both"/>
              <w:rPr>
                <w:rFonts w:cstheme="minorHAnsi"/>
                <w:sz w:val="18"/>
              </w:rPr>
            </w:pPr>
            <w:r w:rsidRPr="00AC50C2">
              <w:rPr>
                <w:rFonts w:cstheme="minorHAnsi"/>
                <w:sz w:val="18"/>
              </w:rPr>
              <w:t>§ 4.1.1.1 : A</w:t>
            </w:r>
            <w:r w:rsidR="00D012A8" w:rsidRPr="00AC50C2">
              <w:rPr>
                <w:rFonts w:cstheme="minorHAnsi"/>
                <w:sz w:val="18"/>
              </w:rPr>
              <w:t>ctualisation des schémas de carte pour le dénombrement</w:t>
            </w:r>
          </w:p>
          <w:p w14:paraId="2B0AC583" w14:textId="30C2E191" w:rsidR="00CA3B12" w:rsidRPr="00AC50C2" w:rsidRDefault="00CA3B12" w:rsidP="00AC69CE">
            <w:pPr>
              <w:jc w:val="both"/>
              <w:rPr>
                <w:rFonts w:cstheme="minorHAnsi"/>
                <w:sz w:val="18"/>
              </w:rPr>
            </w:pPr>
            <w:r w:rsidRPr="00AC50C2">
              <w:rPr>
                <w:rFonts w:cstheme="minorHAnsi"/>
                <w:sz w:val="18"/>
              </w:rPr>
              <w:t>§ 4.1.2 : Actualisation des schémas de carte</w:t>
            </w:r>
            <w:r w:rsidR="00D012A8" w:rsidRPr="00AC50C2">
              <w:rPr>
                <w:rFonts w:cstheme="minorHAnsi"/>
                <w:sz w:val="18"/>
              </w:rPr>
              <w:t xml:space="preserve"> pour les transactions</w:t>
            </w:r>
            <w:r w:rsidR="00B11556" w:rsidRPr="00AC50C2">
              <w:rPr>
                <w:rFonts w:cstheme="minorHAnsi"/>
                <w:sz w:val="18"/>
              </w:rPr>
              <w:t xml:space="preserve"> émises</w:t>
            </w:r>
          </w:p>
          <w:p w14:paraId="243E4CB9" w14:textId="6E36A026" w:rsidR="00B11556" w:rsidRPr="00AC50C2" w:rsidRDefault="00B11556" w:rsidP="00AC69CE">
            <w:pPr>
              <w:jc w:val="both"/>
              <w:rPr>
                <w:rFonts w:cstheme="minorHAnsi"/>
                <w:sz w:val="18"/>
              </w:rPr>
            </w:pPr>
            <w:r w:rsidRPr="00AC50C2">
              <w:rPr>
                <w:rFonts w:cstheme="minorHAnsi"/>
                <w:sz w:val="18"/>
              </w:rPr>
              <w:t>§ 4.1.3. : Actualisation des schémas de carte pour les transactions acquises</w:t>
            </w:r>
          </w:p>
          <w:p w14:paraId="50F960F6" w14:textId="6519AFC0" w:rsidR="000E476E" w:rsidRPr="00AC50C2" w:rsidRDefault="000E476E" w:rsidP="00AC69CE">
            <w:pPr>
              <w:jc w:val="both"/>
              <w:rPr>
                <w:rFonts w:cstheme="minorHAnsi"/>
                <w:sz w:val="18"/>
              </w:rPr>
            </w:pPr>
            <w:r w:rsidRPr="00AC50C2">
              <w:rPr>
                <w:rFonts w:cstheme="minorHAnsi"/>
                <w:sz w:val="18"/>
              </w:rPr>
              <w:t xml:space="preserve">§ 4.1.1.1 : Précision dans la définition des cartes interbancaires </w:t>
            </w:r>
            <w:proofErr w:type="gramStart"/>
            <w:r w:rsidRPr="00AC50C2">
              <w:rPr>
                <w:rFonts w:cstheme="minorHAnsi"/>
                <w:sz w:val="18"/>
              </w:rPr>
              <w:t>non CB</w:t>
            </w:r>
            <w:proofErr w:type="gramEnd"/>
          </w:p>
          <w:p w14:paraId="43F81F93" w14:textId="77777777" w:rsidR="00C565C1" w:rsidRPr="00AC50C2" w:rsidRDefault="00AC69CE" w:rsidP="005654FF">
            <w:pPr>
              <w:jc w:val="both"/>
              <w:rPr>
                <w:rFonts w:cstheme="minorHAnsi"/>
                <w:sz w:val="18"/>
              </w:rPr>
            </w:pPr>
            <w:r w:rsidRPr="00AC50C2">
              <w:rPr>
                <w:rFonts w:cstheme="minorHAnsi"/>
                <w:sz w:val="18"/>
              </w:rPr>
              <w:t xml:space="preserve">§ 4.1.1.2.3 : </w:t>
            </w:r>
            <w:r w:rsidR="00D453D3" w:rsidRPr="00AC50C2">
              <w:rPr>
                <w:rFonts w:cstheme="minorHAnsi"/>
                <w:sz w:val="18"/>
              </w:rPr>
              <w:t>Précision</w:t>
            </w:r>
            <w:r w:rsidRPr="00AC50C2">
              <w:rPr>
                <w:rFonts w:cstheme="minorHAnsi"/>
                <w:sz w:val="18"/>
              </w:rPr>
              <w:t xml:space="preserve"> sur la </w:t>
            </w:r>
            <w:r w:rsidR="005654FF" w:rsidRPr="00AC50C2">
              <w:rPr>
                <w:rFonts w:cstheme="minorHAnsi"/>
                <w:sz w:val="18"/>
              </w:rPr>
              <w:t>définition</w:t>
            </w:r>
            <w:r w:rsidRPr="00AC50C2">
              <w:rPr>
                <w:rFonts w:cstheme="minorHAnsi"/>
                <w:sz w:val="18"/>
              </w:rPr>
              <w:t xml:space="preserve"> des TTEF situés à un point de vente acceptant des cartes de monnaie électronique</w:t>
            </w:r>
          </w:p>
          <w:p w14:paraId="231101A7" w14:textId="3C45270E" w:rsidR="00CA3B12" w:rsidRPr="00B11556" w:rsidRDefault="00CA3B12" w:rsidP="005654FF">
            <w:pPr>
              <w:jc w:val="both"/>
              <w:rPr>
                <w:rFonts w:cstheme="minorHAnsi"/>
                <w:sz w:val="18"/>
                <w:highlight w:val="yellow"/>
              </w:rPr>
            </w:pPr>
          </w:p>
        </w:tc>
      </w:tr>
      <w:tr w:rsidR="00E878B3" w14:paraId="4ED858B7" w14:textId="77777777" w:rsidTr="00946393">
        <w:tc>
          <w:tcPr>
            <w:tcW w:w="1400" w:type="dxa"/>
          </w:tcPr>
          <w:p w14:paraId="4CC7A64C" w14:textId="16E36D69" w:rsidR="00E878B3" w:rsidRDefault="00E878B3" w:rsidP="0027154D">
            <w:pPr>
              <w:rPr>
                <w:rFonts w:cstheme="minorHAnsi"/>
                <w:sz w:val="18"/>
              </w:rPr>
            </w:pPr>
            <w:r>
              <w:rPr>
                <w:rFonts w:cstheme="minorHAnsi"/>
                <w:sz w:val="18"/>
              </w:rPr>
              <w:t>2.1</w:t>
            </w:r>
          </w:p>
        </w:tc>
        <w:tc>
          <w:tcPr>
            <w:tcW w:w="1278" w:type="dxa"/>
          </w:tcPr>
          <w:p w14:paraId="22438FDF" w14:textId="50583272" w:rsidR="00E878B3" w:rsidRPr="00AC50C2" w:rsidRDefault="00E878B3" w:rsidP="0027154D">
            <w:pPr>
              <w:rPr>
                <w:rFonts w:cstheme="minorHAnsi"/>
                <w:sz w:val="18"/>
              </w:rPr>
            </w:pPr>
            <w:r>
              <w:rPr>
                <w:rFonts w:cstheme="minorHAnsi"/>
                <w:sz w:val="18"/>
              </w:rPr>
              <w:t>13/07/2023</w:t>
            </w:r>
          </w:p>
        </w:tc>
        <w:tc>
          <w:tcPr>
            <w:tcW w:w="6382" w:type="dxa"/>
            <w:tcBorders>
              <w:bottom w:val="single" w:sz="4" w:space="0" w:color="auto"/>
            </w:tcBorders>
          </w:tcPr>
          <w:p w14:paraId="14F324D2" w14:textId="7113055A" w:rsidR="00E878B3" w:rsidRPr="00AC50C2" w:rsidRDefault="000A7F2C" w:rsidP="00E878B3">
            <w:pPr>
              <w:jc w:val="both"/>
              <w:rPr>
                <w:rFonts w:cstheme="minorHAnsi"/>
                <w:sz w:val="18"/>
              </w:rPr>
            </w:pPr>
            <w:r>
              <w:rPr>
                <w:rFonts w:cstheme="minorHAnsi"/>
                <w:sz w:val="18"/>
              </w:rPr>
              <w:t xml:space="preserve">§ 3.1.1 : </w:t>
            </w:r>
            <w:r w:rsidR="00E878B3" w:rsidRPr="00E878B3">
              <w:rPr>
                <w:rFonts w:cstheme="minorHAnsi"/>
                <w:sz w:val="18"/>
              </w:rPr>
              <w:t xml:space="preserve">Mise à jour de la BAL (retrait de </w:t>
            </w:r>
            <w:r w:rsidR="00E878B3">
              <w:rPr>
                <w:rFonts w:cstheme="minorHAnsi"/>
                <w:sz w:val="18"/>
              </w:rPr>
              <w:t xml:space="preserve">l’année dans l’adresse </w:t>
            </w:r>
            <w:proofErr w:type="gramStart"/>
            <w:r w:rsidR="00E878B3">
              <w:rPr>
                <w:rFonts w:cstheme="minorHAnsi"/>
                <w:sz w:val="18"/>
              </w:rPr>
              <w:t>mail</w:t>
            </w:r>
            <w:proofErr w:type="gramEnd"/>
            <w:r w:rsidR="00E878B3">
              <w:rPr>
                <w:rFonts w:cstheme="minorHAnsi"/>
                <w:sz w:val="18"/>
              </w:rPr>
              <w:t xml:space="preserve">) : </w:t>
            </w:r>
            <w:r w:rsidR="00E878B3" w:rsidRPr="00E878B3">
              <w:rPr>
                <w:rFonts w:cstheme="minorHAnsi"/>
                <w:sz w:val="18"/>
              </w:rPr>
              <w:t>Collectes-BCE-paiements@banque-france.fr</w:t>
            </w:r>
          </w:p>
        </w:tc>
      </w:tr>
      <w:tr w:rsidR="0009176C" w14:paraId="338B7352" w14:textId="77777777" w:rsidTr="00946393">
        <w:tc>
          <w:tcPr>
            <w:tcW w:w="1400" w:type="dxa"/>
          </w:tcPr>
          <w:p w14:paraId="3FE207A8" w14:textId="129BBE89" w:rsidR="0009176C" w:rsidRPr="0009176C" w:rsidRDefault="0009176C" w:rsidP="0009176C">
            <w:pPr>
              <w:rPr>
                <w:rFonts w:cstheme="minorHAnsi"/>
                <w:sz w:val="18"/>
              </w:rPr>
            </w:pPr>
            <w:r w:rsidRPr="0009176C">
              <w:rPr>
                <w:rFonts w:cstheme="minorHAnsi"/>
                <w:sz w:val="18"/>
              </w:rPr>
              <w:t>2.2</w:t>
            </w:r>
          </w:p>
        </w:tc>
        <w:tc>
          <w:tcPr>
            <w:tcW w:w="1278" w:type="dxa"/>
          </w:tcPr>
          <w:p w14:paraId="5D4C8E33" w14:textId="7BE94716" w:rsidR="0009176C" w:rsidRPr="0009176C" w:rsidRDefault="0009176C" w:rsidP="0009176C">
            <w:pPr>
              <w:rPr>
                <w:rFonts w:cstheme="minorHAnsi"/>
                <w:sz w:val="18"/>
              </w:rPr>
            </w:pPr>
            <w:r w:rsidRPr="0009176C">
              <w:rPr>
                <w:rFonts w:cstheme="minorHAnsi"/>
                <w:sz w:val="18"/>
              </w:rPr>
              <w:t>06/09/2024</w:t>
            </w:r>
          </w:p>
        </w:tc>
        <w:tc>
          <w:tcPr>
            <w:tcW w:w="6382" w:type="dxa"/>
            <w:tcBorders>
              <w:bottom w:val="nil"/>
            </w:tcBorders>
          </w:tcPr>
          <w:p w14:paraId="5CF81005" w14:textId="3F591579" w:rsidR="0009176C" w:rsidRPr="0009176C" w:rsidRDefault="0009176C" w:rsidP="0009176C">
            <w:pPr>
              <w:jc w:val="both"/>
              <w:rPr>
                <w:rFonts w:cstheme="minorHAnsi"/>
                <w:sz w:val="18"/>
              </w:rPr>
            </w:pPr>
            <w:proofErr w:type="gramStart"/>
            <w:r w:rsidRPr="0009176C">
              <w:rPr>
                <w:rFonts w:cstheme="minorHAnsi"/>
                <w:sz w:val="18"/>
              </w:rPr>
              <w:t>§  4.1.1.2.3</w:t>
            </w:r>
            <w:proofErr w:type="gramEnd"/>
            <w:r w:rsidRPr="0009176C">
              <w:rPr>
                <w:rFonts w:cstheme="minorHAnsi"/>
                <w:sz w:val="18"/>
              </w:rPr>
              <w:t>  et 4.1.1.2.4 : Ajout d’un nouveau contrôle sur le dénombrement des terminaux acceptant des cartes de monnaie électronique</w:t>
            </w:r>
          </w:p>
        </w:tc>
      </w:tr>
      <w:tr w:rsidR="0062047A" w14:paraId="6AC92DC8" w14:textId="77777777" w:rsidTr="001D640C">
        <w:trPr>
          <w:trHeight w:val="878"/>
        </w:trPr>
        <w:tc>
          <w:tcPr>
            <w:tcW w:w="1400" w:type="dxa"/>
            <w:tcBorders>
              <w:bottom w:val="single" w:sz="4" w:space="0" w:color="auto"/>
            </w:tcBorders>
          </w:tcPr>
          <w:p w14:paraId="2A7FFD94" w14:textId="79D85CB9" w:rsidR="0062047A" w:rsidRPr="0062047A" w:rsidRDefault="0062047A" w:rsidP="0062047A">
            <w:pPr>
              <w:rPr>
                <w:rFonts w:cstheme="minorHAnsi"/>
                <w:sz w:val="18"/>
              </w:rPr>
            </w:pPr>
            <w:r w:rsidRPr="0062047A">
              <w:rPr>
                <w:rFonts w:cstheme="minorHAnsi"/>
                <w:sz w:val="18"/>
              </w:rPr>
              <w:t>2.3</w:t>
            </w:r>
          </w:p>
        </w:tc>
        <w:tc>
          <w:tcPr>
            <w:tcW w:w="1278" w:type="dxa"/>
            <w:tcBorders>
              <w:bottom w:val="single" w:sz="4" w:space="0" w:color="auto"/>
            </w:tcBorders>
          </w:tcPr>
          <w:p w14:paraId="0B2FDD47" w14:textId="7C6A301F" w:rsidR="0062047A" w:rsidRPr="0062047A" w:rsidRDefault="0062047A" w:rsidP="0062047A">
            <w:pPr>
              <w:rPr>
                <w:rFonts w:cstheme="minorHAnsi"/>
                <w:sz w:val="18"/>
              </w:rPr>
            </w:pPr>
            <w:r w:rsidRPr="0062047A">
              <w:rPr>
                <w:rFonts w:cstheme="minorHAnsi"/>
                <w:sz w:val="18"/>
              </w:rPr>
              <w:t>11/03/2025</w:t>
            </w:r>
          </w:p>
        </w:tc>
        <w:tc>
          <w:tcPr>
            <w:tcW w:w="6382" w:type="dxa"/>
            <w:tcBorders>
              <w:bottom w:val="single" w:sz="4" w:space="0" w:color="auto"/>
            </w:tcBorders>
          </w:tcPr>
          <w:p w14:paraId="57BC9C55" w14:textId="77777777" w:rsidR="0062047A" w:rsidRPr="0062047A" w:rsidRDefault="0062047A" w:rsidP="0062047A">
            <w:pPr>
              <w:jc w:val="both"/>
              <w:rPr>
                <w:rFonts w:cstheme="minorHAnsi"/>
                <w:sz w:val="18"/>
              </w:rPr>
            </w:pPr>
            <w:r w:rsidRPr="0062047A">
              <w:rPr>
                <w:rFonts w:cstheme="minorHAnsi"/>
                <w:sz w:val="18"/>
              </w:rPr>
              <w:t>§ 4.1.2 et 4.1.3 : ajout du schéma « AUTRES »</w:t>
            </w:r>
          </w:p>
          <w:p w14:paraId="46489D59" w14:textId="79C63EE5" w:rsidR="0062047A" w:rsidRPr="0062047A" w:rsidRDefault="0062047A" w:rsidP="0062047A">
            <w:pPr>
              <w:jc w:val="both"/>
              <w:rPr>
                <w:rFonts w:cstheme="minorHAnsi"/>
                <w:sz w:val="18"/>
              </w:rPr>
            </w:pPr>
            <w:r w:rsidRPr="0062047A">
              <w:rPr>
                <w:rFonts w:cstheme="minorHAnsi"/>
                <w:iCs/>
                <w:sz w:val="18"/>
              </w:rPr>
              <w:t>§ 4.1.2.1</w:t>
            </w:r>
            <w:r w:rsidRPr="0062047A">
              <w:rPr>
                <w:rFonts w:cstheme="minorHAnsi"/>
                <w:sz w:val="18"/>
              </w:rPr>
              <w:t> : ajout d’une ventilation sur les transactions par carte de proximité / sans contact / Dont paiements mobiles et d’un contrôle afférent.</w:t>
            </w:r>
          </w:p>
        </w:tc>
      </w:tr>
      <w:tr w:rsidR="0062047A" w14:paraId="0D29A351" w14:textId="77777777" w:rsidTr="001D640C">
        <w:tc>
          <w:tcPr>
            <w:tcW w:w="1400" w:type="dxa"/>
            <w:tcBorders>
              <w:bottom w:val="single" w:sz="4" w:space="0" w:color="auto"/>
            </w:tcBorders>
          </w:tcPr>
          <w:p w14:paraId="42EE3250" w14:textId="4E07148D" w:rsidR="0062047A" w:rsidRPr="0062047A" w:rsidRDefault="0062047A" w:rsidP="00985151">
            <w:pPr>
              <w:rPr>
                <w:rFonts w:cstheme="minorHAnsi"/>
                <w:sz w:val="18"/>
              </w:rPr>
            </w:pPr>
            <w:r>
              <w:rPr>
                <w:rFonts w:cstheme="minorHAnsi"/>
                <w:sz w:val="18"/>
              </w:rPr>
              <w:t>2.4</w:t>
            </w:r>
          </w:p>
        </w:tc>
        <w:tc>
          <w:tcPr>
            <w:tcW w:w="1278" w:type="dxa"/>
            <w:tcBorders>
              <w:bottom w:val="single" w:sz="4" w:space="0" w:color="auto"/>
            </w:tcBorders>
          </w:tcPr>
          <w:p w14:paraId="470D0D31" w14:textId="337897C6" w:rsidR="0062047A" w:rsidRPr="0062047A" w:rsidRDefault="001E134A" w:rsidP="00985151">
            <w:pPr>
              <w:rPr>
                <w:rFonts w:cstheme="minorHAnsi"/>
                <w:sz w:val="18"/>
              </w:rPr>
            </w:pPr>
            <w:r>
              <w:rPr>
                <w:rFonts w:cstheme="minorHAnsi"/>
                <w:sz w:val="18"/>
              </w:rPr>
              <w:t>18</w:t>
            </w:r>
            <w:r w:rsidR="0062047A">
              <w:rPr>
                <w:rFonts w:cstheme="minorHAnsi"/>
                <w:sz w:val="18"/>
              </w:rPr>
              <w:t>/</w:t>
            </w:r>
            <w:r>
              <w:rPr>
                <w:rFonts w:cstheme="minorHAnsi"/>
                <w:sz w:val="18"/>
              </w:rPr>
              <w:t>05</w:t>
            </w:r>
            <w:r w:rsidR="0062047A">
              <w:rPr>
                <w:rFonts w:cstheme="minorHAnsi"/>
                <w:sz w:val="18"/>
              </w:rPr>
              <w:t>/2026</w:t>
            </w:r>
          </w:p>
        </w:tc>
        <w:tc>
          <w:tcPr>
            <w:tcW w:w="6382" w:type="dxa"/>
            <w:tcBorders>
              <w:bottom w:val="single" w:sz="4" w:space="0" w:color="auto"/>
            </w:tcBorders>
          </w:tcPr>
          <w:p w14:paraId="6288BDDF" w14:textId="38F0AA95" w:rsidR="0062047A" w:rsidRDefault="0062047A" w:rsidP="00985151">
            <w:pPr>
              <w:jc w:val="both"/>
              <w:rPr>
                <w:rFonts w:cstheme="minorHAnsi"/>
                <w:sz w:val="18"/>
              </w:rPr>
            </w:pPr>
            <w:r w:rsidRPr="0062047A">
              <w:rPr>
                <w:rFonts w:cstheme="minorHAnsi"/>
                <w:sz w:val="18"/>
              </w:rPr>
              <w:t>§</w:t>
            </w:r>
            <w:r>
              <w:rPr>
                <w:rFonts w:cstheme="minorHAnsi"/>
                <w:sz w:val="18"/>
              </w:rPr>
              <w:t xml:space="preserve">4.1 : ajout </w:t>
            </w:r>
            <w:r w:rsidR="005A1357">
              <w:rPr>
                <w:rFonts w:cstheme="minorHAnsi"/>
                <w:sz w:val="18"/>
              </w:rPr>
              <w:t>d’une rubrique COMPTES</w:t>
            </w:r>
            <w:r w:rsidR="007167D6">
              <w:rPr>
                <w:rFonts w:cstheme="minorHAnsi"/>
                <w:sz w:val="18"/>
              </w:rPr>
              <w:t> :</w:t>
            </w:r>
            <w:r w:rsidR="005A1357">
              <w:rPr>
                <w:rFonts w:cstheme="minorHAnsi"/>
                <w:sz w:val="18"/>
              </w:rPr>
              <w:t> </w:t>
            </w:r>
            <w:r w:rsidR="007167D6">
              <w:rPr>
                <w:rFonts w:cstheme="minorHAnsi"/>
                <w:sz w:val="18"/>
              </w:rPr>
              <w:t xml:space="preserve"> </w:t>
            </w:r>
            <w:r w:rsidR="005A1357">
              <w:rPr>
                <w:rFonts w:cstheme="minorHAnsi"/>
                <w:sz w:val="18"/>
              </w:rPr>
              <w:t xml:space="preserve"> 4.1.1 Dénombrement</w:t>
            </w:r>
            <w:r>
              <w:rPr>
                <w:rFonts w:cstheme="minorHAnsi"/>
                <w:sz w:val="18"/>
              </w:rPr>
              <w:t xml:space="preserve"> de</w:t>
            </w:r>
            <w:r w:rsidR="005A1357">
              <w:rPr>
                <w:rFonts w:cstheme="minorHAnsi"/>
                <w:sz w:val="18"/>
              </w:rPr>
              <w:t>s</w:t>
            </w:r>
            <w:r>
              <w:rPr>
                <w:rFonts w:cstheme="minorHAnsi"/>
                <w:sz w:val="18"/>
              </w:rPr>
              <w:t xml:space="preserve"> comptes</w:t>
            </w:r>
            <w:r w:rsidR="007167D6">
              <w:rPr>
                <w:rFonts w:cstheme="minorHAnsi"/>
                <w:sz w:val="18"/>
              </w:rPr>
              <w:t xml:space="preserve"> détenus par le PSP déclarant</w:t>
            </w:r>
          </w:p>
          <w:p w14:paraId="5ABFDA61" w14:textId="60CC4C51" w:rsidR="001D640C" w:rsidRPr="0062047A" w:rsidRDefault="001D640C" w:rsidP="00985151">
            <w:pPr>
              <w:jc w:val="both"/>
              <w:rPr>
                <w:rFonts w:cstheme="minorHAnsi"/>
                <w:sz w:val="18"/>
              </w:rPr>
            </w:pPr>
          </w:p>
        </w:tc>
      </w:tr>
    </w:tbl>
    <w:p w14:paraId="37289044" w14:textId="7A79EDAC" w:rsidR="0027154D" w:rsidRPr="0027154D" w:rsidRDefault="0027154D">
      <w:pPr>
        <w:rPr>
          <w:rFonts w:cstheme="minorHAnsi"/>
          <w:b/>
          <w:caps/>
          <w:sz w:val="28"/>
          <w:szCs w:val="28"/>
        </w:rPr>
      </w:pPr>
      <w:r w:rsidRPr="0027154D">
        <w:rPr>
          <w:rFonts w:cstheme="minorHAnsi"/>
          <w:b/>
          <w:caps/>
          <w:sz w:val="28"/>
          <w:szCs w:val="28"/>
        </w:rPr>
        <w:br w:type="page"/>
      </w:r>
    </w:p>
    <w:p w14:paraId="545E0518" w14:textId="014109FB" w:rsidR="00D43A6B" w:rsidRDefault="00D43A6B" w:rsidP="00D43A6B">
      <w:pPr>
        <w:jc w:val="center"/>
        <w:rPr>
          <w:rFonts w:cstheme="minorHAnsi"/>
          <w:b/>
          <w:caps/>
          <w:sz w:val="28"/>
          <w:szCs w:val="28"/>
        </w:rPr>
      </w:pPr>
      <w:r w:rsidRPr="00D43A6B">
        <w:rPr>
          <w:rFonts w:cstheme="minorHAnsi"/>
          <w:b/>
          <w:caps/>
          <w:sz w:val="28"/>
          <w:szCs w:val="28"/>
        </w:rPr>
        <w:lastRenderedPageBreak/>
        <w:t>SOMMAIRE</w:t>
      </w:r>
    </w:p>
    <w:sdt>
      <w:sdtPr>
        <w:id w:val="-639261931"/>
        <w:docPartObj>
          <w:docPartGallery w:val="Table of Contents"/>
          <w:docPartUnique/>
        </w:docPartObj>
      </w:sdtPr>
      <w:sdtEndPr>
        <w:rPr>
          <w:b/>
          <w:bCs/>
        </w:rPr>
      </w:sdtEndPr>
      <w:sdtContent>
        <w:p w14:paraId="2A840D73" w14:textId="0FB48FB0" w:rsidR="00F04D7C" w:rsidRDefault="001E6A53">
          <w:pPr>
            <w:pStyle w:val="TM1"/>
            <w:tabs>
              <w:tab w:val="right" w:leader="dot" w:pos="9060"/>
            </w:tabs>
            <w:rPr>
              <w:rFonts w:eastAsiaTheme="minorEastAsia"/>
              <w:noProof/>
              <w:kern w:val="2"/>
              <w:sz w:val="24"/>
              <w:szCs w:val="24"/>
              <w:lang w:eastAsia="fr-FR"/>
              <w14:ligatures w14:val="standardContextual"/>
            </w:rPr>
          </w:pPr>
          <w:r>
            <w:fldChar w:fldCharType="begin"/>
          </w:r>
          <w:r>
            <w:instrText xml:space="preserve"> TOC \o "1-4" \h \z \u </w:instrText>
          </w:r>
          <w:r>
            <w:fldChar w:fldCharType="separate"/>
          </w:r>
          <w:hyperlink w:anchor="_Toc222476844" w:history="1">
            <w:r w:rsidR="00F04D7C" w:rsidRPr="008A36F9">
              <w:rPr>
                <w:rStyle w:val="Lienhypertexte"/>
                <w:noProof/>
              </w:rPr>
              <w:t>AVANT-PROPOS</w:t>
            </w:r>
            <w:r w:rsidR="00F04D7C">
              <w:rPr>
                <w:noProof/>
                <w:webHidden/>
              </w:rPr>
              <w:tab/>
            </w:r>
            <w:r w:rsidR="00F04D7C">
              <w:rPr>
                <w:noProof/>
                <w:webHidden/>
              </w:rPr>
              <w:fldChar w:fldCharType="begin"/>
            </w:r>
            <w:r w:rsidR="00F04D7C">
              <w:rPr>
                <w:noProof/>
                <w:webHidden/>
              </w:rPr>
              <w:instrText xml:space="preserve"> PAGEREF _Toc222476844 \h </w:instrText>
            </w:r>
            <w:r w:rsidR="00F04D7C">
              <w:rPr>
                <w:noProof/>
                <w:webHidden/>
              </w:rPr>
            </w:r>
            <w:r w:rsidR="00F04D7C">
              <w:rPr>
                <w:noProof/>
                <w:webHidden/>
              </w:rPr>
              <w:fldChar w:fldCharType="separate"/>
            </w:r>
            <w:r w:rsidR="008D4FD2">
              <w:rPr>
                <w:noProof/>
                <w:webHidden/>
              </w:rPr>
              <w:t>1</w:t>
            </w:r>
            <w:r w:rsidR="00F04D7C">
              <w:rPr>
                <w:noProof/>
                <w:webHidden/>
              </w:rPr>
              <w:fldChar w:fldCharType="end"/>
            </w:r>
          </w:hyperlink>
        </w:p>
        <w:p w14:paraId="2704B43E" w14:textId="5DCA5EAC" w:rsidR="00F04D7C" w:rsidRDefault="00F04D7C">
          <w:pPr>
            <w:pStyle w:val="TM1"/>
            <w:tabs>
              <w:tab w:val="left" w:pos="440"/>
              <w:tab w:val="right" w:leader="dot" w:pos="9060"/>
            </w:tabs>
            <w:rPr>
              <w:rFonts w:eastAsiaTheme="minorEastAsia"/>
              <w:noProof/>
              <w:kern w:val="2"/>
              <w:sz w:val="24"/>
              <w:szCs w:val="24"/>
              <w:lang w:eastAsia="fr-FR"/>
              <w14:ligatures w14:val="standardContextual"/>
            </w:rPr>
          </w:pPr>
          <w:hyperlink w:anchor="_Toc222476845" w:history="1">
            <w:r w:rsidRPr="008A36F9">
              <w:rPr>
                <w:rStyle w:val="Lienhypertexte"/>
                <w:noProof/>
              </w:rPr>
              <w:t>1.</w:t>
            </w:r>
            <w:r>
              <w:rPr>
                <w:rFonts w:eastAsiaTheme="minorEastAsia"/>
                <w:noProof/>
                <w:kern w:val="2"/>
                <w:sz w:val="24"/>
                <w:szCs w:val="24"/>
                <w:lang w:eastAsia="fr-FR"/>
                <w14:ligatures w14:val="standardContextual"/>
              </w:rPr>
              <w:tab/>
            </w:r>
            <w:r w:rsidRPr="008A36F9">
              <w:rPr>
                <w:rStyle w:val="Lienhypertexte"/>
                <w:noProof/>
              </w:rPr>
              <w:t>Introduction</w:t>
            </w:r>
            <w:r>
              <w:rPr>
                <w:noProof/>
                <w:webHidden/>
              </w:rPr>
              <w:tab/>
            </w:r>
            <w:r>
              <w:rPr>
                <w:noProof/>
                <w:webHidden/>
              </w:rPr>
              <w:fldChar w:fldCharType="begin"/>
            </w:r>
            <w:r>
              <w:rPr>
                <w:noProof/>
                <w:webHidden/>
              </w:rPr>
              <w:instrText xml:space="preserve"> PAGEREF _Toc222476845 \h </w:instrText>
            </w:r>
            <w:r>
              <w:rPr>
                <w:noProof/>
                <w:webHidden/>
              </w:rPr>
            </w:r>
            <w:r>
              <w:rPr>
                <w:noProof/>
                <w:webHidden/>
              </w:rPr>
              <w:fldChar w:fldCharType="separate"/>
            </w:r>
            <w:r w:rsidR="008D4FD2">
              <w:rPr>
                <w:noProof/>
                <w:webHidden/>
              </w:rPr>
              <w:t>2</w:t>
            </w:r>
            <w:r>
              <w:rPr>
                <w:noProof/>
                <w:webHidden/>
              </w:rPr>
              <w:fldChar w:fldCharType="end"/>
            </w:r>
          </w:hyperlink>
        </w:p>
        <w:p w14:paraId="7A838297" w14:textId="5496D219" w:rsidR="00F04D7C" w:rsidRDefault="00F04D7C">
          <w:pPr>
            <w:pStyle w:val="TM1"/>
            <w:tabs>
              <w:tab w:val="left" w:pos="440"/>
              <w:tab w:val="right" w:leader="dot" w:pos="9060"/>
            </w:tabs>
            <w:rPr>
              <w:rFonts w:eastAsiaTheme="minorEastAsia"/>
              <w:noProof/>
              <w:kern w:val="2"/>
              <w:sz w:val="24"/>
              <w:szCs w:val="24"/>
              <w:lang w:eastAsia="fr-FR"/>
              <w14:ligatures w14:val="standardContextual"/>
            </w:rPr>
          </w:pPr>
          <w:hyperlink w:anchor="_Toc222476846" w:history="1">
            <w:r w:rsidRPr="008A36F9">
              <w:rPr>
                <w:rStyle w:val="Lienhypertexte"/>
                <w:noProof/>
              </w:rPr>
              <w:t>2.</w:t>
            </w:r>
            <w:r>
              <w:rPr>
                <w:rFonts w:eastAsiaTheme="minorEastAsia"/>
                <w:noProof/>
                <w:kern w:val="2"/>
                <w:sz w:val="24"/>
                <w:szCs w:val="24"/>
                <w:lang w:eastAsia="fr-FR"/>
                <w14:ligatures w14:val="standardContextual"/>
              </w:rPr>
              <w:tab/>
            </w:r>
            <w:r w:rsidRPr="008A36F9">
              <w:rPr>
                <w:rStyle w:val="Lienhypertexte"/>
                <w:noProof/>
              </w:rPr>
              <w:t>Établissements assujettis</w:t>
            </w:r>
            <w:r>
              <w:rPr>
                <w:noProof/>
                <w:webHidden/>
              </w:rPr>
              <w:tab/>
            </w:r>
            <w:r>
              <w:rPr>
                <w:noProof/>
                <w:webHidden/>
              </w:rPr>
              <w:fldChar w:fldCharType="begin"/>
            </w:r>
            <w:r>
              <w:rPr>
                <w:noProof/>
                <w:webHidden/>
              </w:rPr>
              <w:instrText xml:space="preserve"> PAGEREF _Toc222476846 \h </w:instrText>
            </w:r>
            <w:r>
              <w:rPr>
                <w:noProof/>
                <w:webHidden/>
              </w:rPr>
            </w:r>
            <w:r>
              <w:rPr>
                <w:noProof/>
                <w:webHidden/>
              </w:rPr>
              <w:fldChar w:fldCharType="separate"/>
            </w:r>
            <w:r w:rsidR="008D4FD2">
              <w:rPr>
                <w:noProof/>
                <w:webHidden/>
              </w:rPr>
              <w:t>2</w:t>
            </w:r>
            <w:r>
              <w:rPr>
                <w:noProof/>
                <w:webHidden/>
              </w:rPr>
              <w:fldChar w:fldCharType="end"/>
            </w:r>
          </w:hyperlink>
        </w:p>
        <w:p w14:paraId="2235D36B" w14:textId="6C7BD24D" w:rsidR="00F04D7C" w:rsidRDefault="00F04D7C">
          <w:pPr>
            <w:pStyle w:val="TM1"/>
            <w:tabs>
              <w:tab w:val="left" w:pos="440"/>
              <w:tab w:val="right" w:leader="dot" w:pos="9060"/>
            </w:tabs>
            <w:rPr>
              <w:rFonts w:eastAsiaTheme="minorEastAsia"/>
              <w:noProof/>
              <w:kern w:val="2"/>
              <w:sz w:val="24"/>
              <w:szCs w:val="24"/>
              <w:lang w:eastAsia="fr-FR"/>
              <w14:ligatures w14:val="standardContextual"/>
            </w:rPr>
          </w:pPr>
          <w:hyperlink w:anchor="_Toc222476847" w:history="1">
            <w:r w:rsidRPr="008A36F9">
              <w:rPr>
                <w:rStyle w:val="Lienhypertexte"/>
                <w:noProof/>
              </w:rPr>
              <w:t>3.</w:t>
            </w:r>
            <w:r>
              <w:rPr>
                <w:rFonts w:eastAsiaTheme="minorEastAsia"/>
                <w:noProof/>
                <w:kern w:val="2"/>
                <w:sz w:val="24"/>
                <w:szCs w:val="24"/>
                <w:lang w:eastAsia="fr-FR"/>
                <w14:ligatures w14:val="standardContextual"/>
              </w:rPr>
              <w:tab/>
            </w:r>
            <w:r w:rsidRPr="008A36F9">
              <w:rPr>
                <w:rStyle w:val="Lienhypertexte"/>
                <w:noProof/>
              </w:rPr>
              <w:t>Présentation de la collecte</w:t>
            </w:r>
            <w:r>
              <w:rPr>
                <w:noProof/>
                <w:webHidden/>
              </w:rPr>
              <w:tab/>
            </w:r>
            <w:r>
              <w:rPr>
                <w:noProof/>
                <w:webHidden/>
              </w:rPr>
              <w:fldChar w:fldCharType="begin"/>
            </w:r>
            <w:r>
              <w:rPr>
                <w:noProof/>
                <w:webHidden/>
              </w:rPr>
              <w:instrText xml:space="preserve"> PAGEREF _Toc222476847 \h </w:instrText>
            </w:r>
            <w:r>
              <w:rPr>
                <w:noProof/>
                <w:webHidden/>
              </w:rPr>
            </w:r>
            <w:r>
              <w:rPr>
                <w:noProof/>
                <w:webHidden/>
              </w:rPr>
              <w:fldChar w:fldCharType="separate"/>
            </w:r>
            <w:r w:rsidR="008D4FD2">
              <w:rPr>
                <w:noProof/>
                <w:webHidden/>
              </w:rPr>
              <w:t>3</w:t>
            </w:r>
            <w:r>
              <w:rPr>
                <w:noProof/>
                <w:webHidden/>
              </w:rPr>
              <w:fldChar w:fldCharType="end"/>
            </w:r>
          </w:hyperlink>
        </w:p>
        <w:p w14:paraId="05FC6D64" w14:textId="7A2446C3" w:rsidR="00F04D7C" w:rsidRDefault="00F04D7C">
          <w:pPr>
            <w:pStyle w:val="TM2"/>
            <w:tabs>
              <w:tab w:val="right" w:leader="dot" w:pos="9060"/>
            </w:tabs>
            <w:rPr>
              <w:rFonts w:eastAsiaTheme="minorEastAsia"/>
              <w:noProof/>
              <w:kern w:val="2"/>
              <w:sz w:val="24"/>
              <w:szCs w:val="24"/>
              <w:lang w:eastAsia="fr-FR"/>
              <w14:ligatures w14:val="standardContextual"/>
            </w:rPr>
          </w:pPr>
          <w:hyperlink w:anchor="_Toc222476848" w:history="1">
            <w:r w:rsidRPr="008A36F9">
              <w:rPr>
                <w:rStyle w:val="Lienhypertexte"/>
                <w:noProof/>
              </w:rPr>
              <w:t>3.1. Périmètre de la collecte</w:t>
            </w:r>
            <w:r>
              <w:rPr>
                <w:noProof/>
                <w:webHidden/>
              </w:rPr>
              <w:tab/>
            </w:r>
            <w:r>
              <w:rPr>
                <w:noProof/>
                <w:webHidden/>
              </w:rPr>
              <w:fldChar w:fldCharType="begin"/>
            </w:r>
            <w:r>
              <w:rPr>
                <w:noProof/>
                <w:webHidden/>
              </w:rPr>
              <w:instrText xml:space="preserve"> PAGEREF _Toc222476848 \h </w:instrText>
            </w:r>
            <w:r>
              <w:rPr>
                <w:noProof/>
                <w:webHidden/>
              </w:rPr>
            </w:r>
            <w:r>
              <w:rPr>
                <w:noProof/>
                <w:webHidden/>
              </w:rPr>
              <w:fldChar w:fldCharType="separate"/>
            </w:r>
            <w:r w:rsidR="008D4FD2">
              <w:rPr>
                <w:noProof/>
                <w:webHidden/>
              </w:rPr>
              <w:t>3</w:t>
            </w:r>
            <w:r>
              <w:rPr>
                <w:noProof/>
                <w:webHidden/>
              </w:rPr>
              <w:fldChar w:fldCharType="end"/>
            </w:r>
          </w:hyperlink>
        </w:p>
        <w:p w14:paraId="3FFD4DAD" w14:textId="7C794015"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849" w:history="1">
            <w:r w:rsidRPr="008A36F9">
              <w:rPr>
                <w:rStyle w:val="Lienhypertexte"/>
                <w:noProof/>
              </w:rPr>
              <w:t>3.1.1.</w:t>
            </w:r>
            <w:r>
              <w:rPr>
                <w:rFonts w:eastAsiaTheme="minorEastAsia"/>
                <w:noProof/>
                <w:kern w:val="2"/>
                <w:sz w:val="24"/>
                <w:szCs w:val="24"/>
                <w:lang w:eastAsia="fr-FR"/>
                <w14:ligatures w14:val="standardContextual"/>
              </w:rPr>
              <w:tab/>
            </w:r>
            <w:r w:rsidRPr="008A36F9">
              <w:rPr>
                <w:rStyle w:val="Lienhypertexte"/>
                <w:noProof/>
              </w:rPr>
              <w:t>Données collectées</w:t>
            </w:r>
            <w:r>
              <w:rPr>
                <w:noProof/>
                <w:webHidden/>
              </w:rPr>
              <w:tab/>
            </w:r>
            <w:r>
              <w:rPr>
                <w:noProof/>
                <w:webHidden/>
              </w:rPr>
              <w:fldChar w:fldCharType="begin"/>
            </w:r>
            <w:r>
              <w:rPr>
                <w:noProof/>
                <w:webHidden/>
              </w:rPr>
              <w:instrText xml:space="preserve"> PAGEREF _Toc222476849 \h </w:instrText>
            </w:r>
            <w:r>
              <w:rPr>
                <w:noProof/>
                <w:webHidden/>
              </w:rPr>
            </w:r>
            <w:r>
              <w:rPr>
                <w:noProof/>
                <w:webHidden/>
              </w:rPr>
              <w:fldChar w:fldCharType="separate"/>
            </w:r>
            <w:r w:rsidR="008D4FD2">
              <w:rPr>
                <w:noProof/>
                <w:webHidden/>
              </w:rPr>
              <w:t>3</w:t>
            </w:r>
            <w:r>
              <w:rPr>
                <w:noProof/>
                <w:webHidden/>
              </w:rPr>
              <w:fldChar w:fldCharType="end"/>
            </w:r>
          </w:hyperlink>
        </w:p>
        <w:p w14:paraId="7399B019" w14:textId="25AF41FF"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850" w:history="1">
            <w:r w:rsidRPr="008A36F9">
              <w:rPr>
                <w:rStyle w:val="Lienhypertexte"/>
                <w:noProof/>
              </w:rPr>
              <w:t>3.1.2.</w:t>
            </w:r>
            <w:r>
              <w:rPr>
                <w:rFonts w:eastAsiaTheme="minorEastAsia"/>
                <w:noProof/>
                <w:kern w:val="2"/>
                <w:sz w:val="24"/>
                <w:szCs w:val="24"/>
                <w:lang w:eastAsia="fr-FR"/>
                <w14:ligatures w14:val="standardContextual"/>
              </w:rPr>
              <w:tab/>
            </w:r>
            <w:r w:rsidRPr="008A36F9">
              <w:rPr>
                <w:rStyle w:val="Lienhypertexte"/>
                <w:noProof/>
              </w:rPr>
              <w:t>Précisions concernant certaines données</w:t>
            </w:r>
            <w:r>
              <w:rPr>
                <w:noProof/>
                <w:webHidden/>
              </w:rPr>
              <w:tab/>
            </w:r>
            <w:r>
              <w:rPr>
                <w:noProof/>
                <w:webHidden/>
              </w:rPr>
              <w:fldChar w:fldCharType="begin"/>
            </w:r>
            <w:r>
              <w:rPr>
                <w:noProof/>
                <w:webHidden/>
              </w:rPr>
              <w:instrText xml:space="preserve"> PAGEREF _Toc222476850 \h </w:instrText>
            </w:r>
            <w:r>
              <w:rPr>
                <w:noProof/>
                <w:webHidden/>
              </w:rPr>
            </w:r>
            <w:r>
              <w:rPr>
                <w:noProof/>
                <w:webHidden/>
              </w:rPr>
              <w:fldChar w:fldCharType="separate"/>
            </w:r>
            <w:r w:rsidR="008D4FD2">
              <w:rPr>
                <w:noProof/>
                <w:webHidden/>
              </w:rPr>
              <w:t>4</w:t>
            </w:r>
            <w:r>
              <w:rPr>
                <w:noProof/>
                <w:webHidden/>
              </w:rPr>
              <w:fldChar w:fldCharType="end"/>
            </w:r>
          </w:hyperlink>
        </w:p>
        <w:p w14:paraId="6A05AF82" w14:textId="57E5AD57" w:rsidR="00F04D7C" w:rsidRDefault="00F04D7C">
          <w:pPr>
            <w:pStyle w:val="TM2"/>
            <w:tabs>
              <w:tab w:val="left" w:pos="960"/>
              <w:tab w:val="right" w:leader="dot" w:pos="9060"/>
            </w:tabs>
            <w:rPr>
              <w:rFonts w:eastAsiaTheme="minorEastAsia"/>
              <w:noProof/>
              <w:kern w:val="2"/>
              <w:sz w:val="24"/>
              <w:szCs w:val="24"/>
              <w:lang w:eastAsia="fr-FR"/>
              <w14:ligatures w14:val="standardContextual"/>
            </w:rPr>
          </w:pPr>
          <w:hyperlink w:anchor="_Toc222476851" w:history="1">
            <w:r w:rsidRPr="008A36F9">
              <w:rPr>
                <w:rStyle w:val="Lienhypertexte"/>
                <w:noProof/>
              </w:rPr>
              <w:t>3.2.</w:t>
            </w:r>
            <w:r>
              <w:rPr>
                <w:rFonts w:eastAsiaTheme="minorEastAsia"/>
                <w:noProof/>
                <w:kern w:val="2"/>
                <w:sz w:val="24"/>
                <w:szCs w:val="24"/>
                <w:lang w:eastAsia="fr-FR"/>
                <w14:ligatures w14:val="standardContextual"/>
              </w:rPr>
              <w:tab/>
            </w:r>
            <w:r w:rsidRPr="008A36F9">
              <w:rPr>
                <w:rStyle w:val="Lienhypertexte"/>
                <w:noProof/>
              </w:rPr>
              <w:t>Présentation des données collectées</w:t>
            </w:r>
            <w:r>
              <w:rPr>
                <w:noProof/>
                <w:webHidden/>
              </w:rPr>
              <w:tab/>
            </w:r>
            <w:r>
              <w:rPr>
                <w:noProof/>
                <w:webHidden/>
              </w:rPr>
              <w:fldChar w:fldCharType="begin"/>
            </w:r>
            <w:r>
              <w:rPr>
                <w:noProof/>
                <w:webHidden/>
              </w:rPr>
              <w:instrText xml:space="preserve"> PAGEREF _Toc222476851 \h </w:instrText>
            </w:r>
            <w:r>
              <w:rPr>
                <w:noProof/>
                <w:webHidden/>
              </w:rPr>
            </w:r>
            <w:r>
              <w:rPr>
                <w:noProof/>
                <w:webHidden/>
              </w:rPr>
              <w:fldChar w:fldCharType="separate"/>
            </w:r>
            <w:r w:rsidR="008D4FD2">
              <w:rPr>
                <w:noProof/>
                <w:webHidden/>
              </w:rPr>
              <w:t>8</w:t>
            </w:r>
            <w:r>
              <w:rPr>
                <w:noProof/>
                <w:webHidden/>
              </w:rPr>
              <w:fldChar w:fldCharType="end"/>
            </w:r>
          </w:hyperlink>
        </w:p>
        <w:p w14:paraId="772AF4F3" w14:textId="46F24A41" w:rsidR="00F04D7C" w:rsidRDefault="00F04D7C">
          <w:pPr>
            <w:pStyle w:val="TM2"/>
            <w:tabs>
              <w:tab w:val="left" w:pos="960"/>
              <w:tab w:val="right" w:leader="dot" w:pos="9060"/>
            </w:tabs>
            <w:rPr>
              <w:rFonts w:eastAsiaTheme="minorEastAsia"/>
              <w:noProof/>
              <w:kern w:val="2"/>
              <w:sz w:val="24"/>
              <w:szCs w:val="24"/>
              <w:lang w:eastAsia="fr-FR"/>
              <w14:ligatures w14:val="standardContextual"/>
            </w:rPr>
          </w:pPr>
          <w:hyperlink w:anchor="_Toc222476852" w:history="1">
            <w:r w:rsidRPr="008A36F9">
              <w:rPr>
                <w:rStyle w:val="Lienhypertexte"/>
                <w:noProof/>
              </w:rPr>
              <w:t>3.3.</w:t>
            </w:r>
            <w:r>
              <w:rPr>
                <w:rFonts w:eastAsiaTheme="minorEastAsia"/>
                <w:noProof/>
                <w:kern w:val="2"/>
                <w:sz w:val="24"/>
                <w:szCs w:val="24"/>
                <w:lang w:eastAsia="fr-FR"/>
                <w14:ligatures w14:val="standardContextual"/>
              </w:rPr>
              <w:tab/>
            </w:r>
            <w:r w:rsidRPr="008A36F9">
              <w:rPr>
                <w:rStyle w:val="Lienhypertexte"/>
                <w:noProof/>
              </w:rPr>
              <w:t>Modalités de déclaration</w:t>
            </w:r>
            <w:r>
              <w:rPr>
                <w:noProof/>
                <w:webHidden/>
              </w:rPr>
              <w:tab/>
            </w:r>
            <w:r>
              <w:rPr>
                <w:noProof/>
                <w:webHidden/>
              </w:rPr>
              <w:fldChar w:fldCharType="begin"/>
            </w:r>
            <w:r>
              <w:rPr>
                <w:noProof/>
                <w:webHidden/>
              </w:rPr>
              <w:instrText xml:space="preserve"> PAGEREF _Toc222476852 \h </w:instrText>
            </w:r>
            <w:r>
              <w:rPr>
                <w:noProof/>
                <w:webHidden/>
              </w:rPr>
            </w:r>
            <w:r>
              <w:rPr>
                <w:noProof/>
                <w:webHidden/>
              </w:rPr>
              <w:fldChar w:fldCharType="separate"/>
            </w:r>
            <w:r w:rsidR="008D4FD2">
              <w:rPr>
                <w:noProof/>
                <w:webHidden/>
              </w:rPr>
              <w:t>8</w:t>
            </w:r>
            <w:r>
              <w:rPr>
                <w:noProof/>
                <w:webHidden/>
              </w:rPr>
              <w:fldChar w:fldCharType="end"/>
            </w:r>
          </w:hyperlink>
        </w:p>
        <w:p w14:paraId="46040F9B" w14:textId="44A0F052" w:rsidR="00F04D7C" w:rsidRDefault="00F04D7C">
          <w:pPr>
            <w:pStyle w:val="TM1"/>
            <w:tabs>
              <w:tab w:val="left" w:pos="440"/>
              <w:tab w:val="right" w:leader="dot" w:pos="9060"/>
            </w:tabs>
            <w:rPr>
              <w:rFonts w:eastAsiaTheme="minorEastAsia"/>
              <w:noProof/>
              <w:kern w:val="2"/>
              <w:sz w:val="24"/>
              <w:szCs w:val="24"/>
              <w:lang w:eastAsia="fr-FR"/>
              <w14:ligatures w14:val="standardContextual"/>
            </w:rPr>
          </w:pPr>
          <w:hyperlink w:anchor="_Toc222476853" w:history="1">
            <w:r w:rsidRPr="008A36F9">
              <w:rPr>
                <w:rStyle w:val="Lienhypertexte"/>
                <w:noProof/>
              </w:rPr>
              <w:t>4.</w:t>
            </w:r>
            <w:r>
              <w:rPr>
                <w:rFonts w:eastAsiaTheme="minorEastAsia"/>
                <w:noProof/>
                <w:kern w:val="2"/>
                <w:sz w:val="24"/>
                <w:szCs w:val="24"/>
                <w:lang w:eastAsia="fr-FR"/>
                <w14:ligatures w14:val="standardContextual"/>
              </w:rPr>
              <w:tab/>
            </w:r>
            <w:r w:rsidRPr="008A36F9">
              <w:rPr>
                <w:rStyle w:val="Lienhypertexte"/>
                <w:noProof/>
              </w:rPr>
              <w:t>Structure et contenu du questionnaire</w:t>
            </w:r>
            <w:r>
              <w:rPr>
                <w:noProof/>
                <w:webHidden/>
              </w:rPr>
              <w:tab/>
            </w:r>
            <w:r>
              <w:rPr>
                <w:noProof/>
                <w:webHidden/>
              </w:rPr>
              <w:fldChar w:fldCharType="begin"/>
            </w:r>
            <w:r>
              <w:rPr>
                <w:noProof/>
                <w:webHidden/>
              </w:rPr>
              <w:instrText xml:space="preserve"> PAGEREF _Toc222476853 \h </w:instrText>
            </w:r>
            <w:r>
              <w:rPr>
                <w:noProof/>
                <w:webHidden/>
              </w:rPr>
            </w:r>
            <w:r>
              <w:rPr>
                <w:noProof/>
                <w:webHidden/>
              </w:rPr>
              <w:fldChar w:fldCharType="separate"/>
            </w:r>
            <w:r w:rsidR="008D4FD2">
              <w:rPr>
                <w:noProof/>
                <w:webHidden/>
              </w:rPr>
              <w:t>10</w:t>
            </w:r>
            <w:r>
              <w:rPr>
                <w:noProof/>
                <w:webHidden/>
              </w:rPr>
              <w:fldChar w:fldCharType="end"/>
            </w:r>
          </w:hyperlink>
        </w:p>
        <w:p w14:paraId="24D77491" w14:textId="612E8FBC" w:rsidR="00F04D7C" w:rsidRDefault="00F04D7C">
          <w:pPr>
            <w:pStyle w:val="TM2"/>
            <w:tabs>
              <w:tab w:val="left" w:pos="960"/>
              <w:tab w:val="right" w:leader="dot" w:pos="9060"/>
            </w:tabs>
            <w:rPr>
              <w:rFonts w:eastAsiaTheme="minorEastAsia"/>
              <w:noProof/>
              <w:kern w:val="2"/>
              <w:sz w:val="24"/>
              <w:szCs w:val="24"/>
              <w:lang w:eastAsia="fr-FR"/>
              <w14:ligatures w14:val="standardContextual"/>
            </w:rPr>
          </w:pPr>
          <w:hyperlink w:anchor="_Toc222476854" w:history="1">
            <w:r w:rsidRPr="008A36F9">
              <w:rPr>
                <w:rStyle w:val="Lienhypertexte"/>
                <w:noProof/>
              </w:rPr>
              <w:t>4.1.</w:t>
            </w:r>
            <w:r>
              <w:rPr>
                <w:rFonts w:eastAsiaTheme="minorEastAsia"/>
                <w:noProof/>
                <w:kern w:val="2"/>
                <w:sz w:val="24"/>
                <w:szCs w:val="24"/>
                <w:lang w:eastAsia="fr-FR"/>
                <w14:ligatures w14:val="standardContextual"/>
              </w:rPr>
              <w:tab/>
            </w:r>
            <w:r w:rsidRPr="008A36F9">
              <w:rPr>
                <w:rStyle w:val="Lienhypertexte"/>
                <w:noProof/>
              </w:rPr>
              <w:t>COMPTES</w:t>
            </w:r>
            <w:r>
              <w:rPr>
                <w:noProof/>
                <w:webHidden/>
              </w:rPr>
              <w:tab/>
            </w:r>
            <w:r>
              <w:rPr>
                <w:noProof/>
                <w:webHidden/>
              </w:rPr>
              <w:fldChar w:fldCharType="begin"/>
            </w:r>
            <w:r>
              <w:rPr>
                <w:noProof/>
                <w:webHidden/>
              </w:rPr>
              <w:instrText xml:space="preserve"> PAGEREF _Toc222476854 \h </w:instrText>
            </w:r>
            <w:r>
              <w:rPr>
                <w:noProof/>
                <w:webHidden/>
              </w:rPr>
            </w:r>
            <w:r>
              <w:rPr>
                <w:noProof/>
                <w:webHidden/>
              </w:rPr>
              <w:fldChar w:fldCharType="separate"/>
            </w:r>
            <w:r w:rsidR="008D4FD2">
              <w:rPr>
                <w:noProof/>
                <w:webHidden/>
              </w:rPr>
              <w:t>10</w:t>
            </w:r>
            <w:r>
              <w:rPr>
                <w:noProof/>
                <w:webHidden/>
              </w:rPr>
              <w:fldChar w:fldCharType="end"/>
            </w:r>
          </w:hyperlink>
        </w:p>
        <w:p w14:paraId="789FAE8C" w14:textId="665F95CC"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855" w:history="1">
            <w:r w:rsidRPr="008A36F9">
              <w:rPr>
                <w:rStyle w:val="Lienhypertexte"/>
                <w:noProof/>
              </w:rPr>
              <w:t>4.1.1.</w:t>
            </w:r>
            <w:r>
              <w:rPr>
                <w:rFonts w:eastAsiaTheme="minorEastAsia"/>
                <w:noProof/>
                <w:kern w:val="2"/>
                <w:sz w:val="24"/>
                <w:szCs w:val="24"/>
                <w:lang w:eastAsia="fr-FR"/>
                <w14:ligatures w14:val="standardContextual"/>
              </w:rPr>
              <w:tab/>
            </w:r>
            <w:r w:rsidRPr="008A36F9">
              <w:rPr>
                <w:rStyle w:val="Lienhypertexte"/>
                <w:noProof/>
              </w:rPr>
              <w:t>Dénombrement des comptes</w:t>
            </w:r>
            <w:r>
              <w:rPr>
                <w:noProof/>
                <w:webHidden/>
              </w:rPr>
              <w:tab/>
            </w:r>
            <w:r>
              <w:rPr>
                <w:noProof/>
                <w:webHidden/>
              </w:rPr>
              <w:fldChar w:fldCharType="begin"/>
            </w:r>
            <w:r>
              <w:rPr>
                <w:noProof/>
                <w:webHidden/>
              </w:rPr>
              <w:instrText xml:space="preserve"> PAGEREF _Toc222476855 \h </w:instrText>
            </w:r>
            <w:r>
              <w:rPr>
                <w:noProof/>
                <w:webHidden/>
              </w:rPr>
            </w:r>
            <w:r>
              <w:rPr>
                <w:noProof/>
                <w:webHidden/>
              </w:rPr>
              <w:fldChar w:fldCharType="separate"/>
            </w:r>
            <w:r w:rsidR="008D4FD2">
              <w:rPr>
                <w:noProof/>
                <w:webHidden/>
              </w:rPr>
              <w:t>10</w:t>
            </w:r>
            <w:r>
              <w:rPr>
                <w:noProof/>
                <w:webHidden/>
              </w:rPr>
              <w:fldChar w:fldCharType="end"/>
            </w:r>
          </w:hyperlink>
        </w:p>
        <w:p w14:paraId="20F822D4" w14:textId="78813D3A" w:rsidR="00F04D7C" w:rsidRDefault="00F04D7C">
          <w:pPr>
            <w:pStyle w:val="TM2"/>
            <w:tabs>
              <w:tab w:val="left" w:pos="960"/>
              <w:tab w:val="right" w:leader="dot" w:pos="9060"/>
            </w:tabs>
            <w:rPr>
              <w:rFonts w:eastAsiaTheme="minorEastAsia"/>
              <w:noProof/>
              <w:kern w:val="2"/>
              <w:sz w:val="24"/>
              <w:szCs w:val="24"/>
              <w:lang w:eastAsia="fr-FR"/>
              <w14:ligatures w14:val="standardContextual"/>
            </w:rPr>
          </w:pPr>
          <w:hyperlink w:anchor="_Toc222476856" w:history="1">
            <w:r w:rsidRPr="008A36F9">
              <w:rPr>
                <w:rStyle w:val="Lienhypertexte"/>
                <w:noProof/>
              </w:rPr>
              <w:t>4.2.</w:t>
            </w:r>
            <w:r>
              <w:rPr>
                <w:rFonts w:eastAsiaTheme="minorEastAsia"/>
                <w:noProof/>
                <w:kern w:val="2"/>
                <w:sz w:val="24"/>
                <w:szCs w:val="24"/>
                <w:lang w:eastAsia="fr-FR"/>
                <w14:ligatures w14:val="standardContextual"/>
              </w:rPr>
              <w:tab/>
            </w:r>
            <w:r w:rsidRPr="008A36F9">
              <w:rPr>
                <w:rStyle w:val="Lienhypertexte"/>
                <w:noProof/>
              </w:rPr>
              <w:t>CARTES</w:t>
            </w:r>
            <w:r>
              <w:rPr>
                <w:noProof/>
                <w:webHidden/>
              </w:rPr>
              <w:tab/>
            </w:r>
            <w:r>
              <w:rPr>
                <w:noProof/>
                <w:webHidden/>
              </w:rPr>
              <w:fldChar w:fldCharType="begin"/>
            </w:r>
            <w:r>
              <w:rPr>
                <w:noProof/>
                <w:webHidden/>
              </w:rPr>
              <w:instrText xml:space="preserve"> PAGEREF _Toc222476856 \h </w:instrText>
            </w:r>
            <w:r>
              <w:rPr>
                <w:noProof/>
                <w:webHidden/>
              </w:rPr>
            </w:r>
            <w:r>
              <w:rPr>
                <w:noProof/>
                <w:webHidden/>
              </w:rPr>
              <w:fldChar w:fldCharType="separate"/>
            </w:r>
            <w:r w:rsidR="008D4FD2">
              <w:rPr>
                <w:noProof/>
                <w:webHidden/>
              </w:rPr>
              <w:t>10</w:t>
            </w:r>
            <w:r>
              <w:rPr>
                <w:noProof/>
                <w:webHidden/>
              </w:rPr>
              <w:fldChar w:fldCharType="end"/>
            </w:r>
          </w:hyperlink>
        </w:p>
        <w:p w14:paraId="6A5CDD21" w14:textId="22B2F062"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857" w:history="1">
            <w:r w:rsidRPr="008A36F9">
              <w:rPr>
                <w:rStyle w:val="Lienhypertexte"/>
                <w:noProof/>
              </w:rPr>
              <w:t>4.2.1.</w:t>
            </w:r>
            <w:r>
              <w:rPr>
                <w:rFonts w:eastAsiaTheme="minorEastAsia"/>
                <w:noProof/>
                <w:kern w:val="2"/>
                <w:sz w:val="24"/>
                <w:szCs w:val="24"/>
                <w:lang w:eastAsia="fr-FR"/>
                <w14:ligatures w14:val="standardContextual"/>
              </w:rPr>
              <w:tab/>
            </w:r>
            <w:r w:rsidRPr="008A36F9">
              <w:rPr>
                <w:rStyle w:val="Lienhypertexte"/>
                <w:noProof/>
              </w:rPr>
              <w:t>Dénombrement des cartes et terminaux</w:t>
            </w:r>
            <w:r>
              <w:rPr>
                <w:noProof/>
                <w:webHidden/>
              </w:rPr>
              <w:tab/>
            </w:r>
            <w:r>
              <w:rPr>
                <w:noProof/>
                <w:webHidden/>
              </w:rPr>
              <w:fldChar w:fldCharType="begin"/>
            </w:r>
            <w:r>
              <w:rPr>
                <w:noProof/>
                <w:webHidden/>
              </w:rPr>
              <w:instrText xml:space="preserve"> PAGEREF _Toc222476857 \h </w:instrText>
            </w:r>
            <w:r>
              <w:rPr>
                <w:noProof/>
                <w:webHidden/>
              </w:rPr>
            </w:r>
            <w:r>
              <w:rPr>
                <w:noProof/>
                <w:webHidden/>
              </w:rPr>
              <w:fldChar w:fldCharType="separate"/>
            </w:r>
            <w:r w:rsidR="008D4FD2">
              <w:rPr>
                <w:noProof/>
                <w:webHidden/>
              </w:rPr>
              <w:t>10</w:t>
            </w:r>
            <w:r>
              <w:rPr>
                <w:noProof/>
                <w:webHidden/>
              </w:rPr>
              <w:fldChar w:fldCharType="end"/>
            </w:r>
          </w:hyperlink>
        </w:p>
        <w:p w14:paraId="079C2B16" w14:textId="255ACA89" w:rsidR="00F04D7C" w:rsidRDefault="00F04D7C">
          <w:pPr>
            <w:pStyle w:val="TM4"/>
            <w:tabs>
              <w:tab w:val="left" w:pos="1680"/>
              <w:tab w:val="right" w:leader="dot" w:pos="9060"/>
            </w:tabs>
            <w:rPr>
              <w:rFonts w:eastAsiaTheme="minorEastAsia"/>
              <w:noProof/>
              <w:kern w:val="2"/>
              <w:sz w:val="24"/>
              <w:szCs w:val="24"/>
              <w:lang w:eastAsia="fr-FR"/>
              <w14:ligatures w14:val="standardContextual"/>
            </w:rPr>
          </w:pPr>
          <w:hyperlink w:anchor="_Toc222476858" w:history="1">
            <w:r w:rsidRPr="008A36F9">
              <w:rPr>
                <w:rStyle w:val="Lienhypertexte"/>
                <w:noProof/>
              </w:rPr>
              <w:t>4.2.1.1.</w:t>
            </w:r>
            <w:r>
              <w:rPr>
                <w:rFonts w:eastAsiaTheme="minorEastAsia"/>
                <w:noProof/>
                <w:kern w:val="2"/>
                <w:sz w:val="24"/>
                <w:szCs w:val="24"/>
                <w:lang w:eastAsia="fr-FR"/>
                <w14:ligatures w14:val="standardContextual"/>
              </w:rPr>
              <w:tab/>
            </w:r>
            <w:r w:rsidRPr="008A36F9">
              <w:rPr>
                <w:rStyle w:val="Lienhypertexte"/>
                <w:noProof/>
              </w:rPr>
              <w:t>Dénombrement des cartes</w:t>
            </w:r>
            <w:r>
              <w:rPr>
                <w:noProof/>
                <w:webHidden/>
              </w:rPr>
              <w:tab/>
            </w:r>
            <w:r>
              <w:rPr>
                <w:noProof/>
                <w:webHidden/>
              </w:rPr>
              <w:fldChar w:fldCharType="begin"/>
            </w:r>
            <w:r>
              <w:rPr>
                <w:noProof/>
                <w:webHidden/>
              </w:rPr>
              <w:instrText xml:space="preserve"> PAGEREF _Toc222476858 \h </w:instrText>
            </w:r>
            <w:r>
              <w:rPr>
                <w:noProof/>
                <w:webHidden/>
              </w:rPr>
            </w:r>
            <w:r>
              <w:rPr>
                <w:noProof/>
                <w:webHidden/>
              </w:rPr>
              <w:fldChar w:fldCharType="separate"/>
            </w:r>
            <w:r w:rsidR="008D4FD2">
              <w:rPr>
                <w:noProof/>
                <w:webHidden/>
              </w:rPr>
              <w:t>10</w:t>
            </w:r>
            <w:r>
              <w:rPr>
                <w:noProof/>
                <w:webHidden/>
              </w:rPr>
              <w:fldChar w:fldCharType="end"/>
            </w:r>
          </w:hyperlink>
        </w:p>
        <w:p w14:paraId="0D2D9448" w14:textId="2DDE1204" w:rsidR="00F04D7C" w:rsidRDefault="00F04D7C">
          <w:pPr>
            <w:pStyle w:val="TM4"/>
            <w:tabs>
              <w:tab w:val="left" w:pos="1680"/>
              <w:tab w:val="right" w:leader="dot" w:pos="9060"/>
            </w:tabs>
            <w:rPr>
              <w:rFonts w:eastAsiaTheme="minorEastAsia"/>
              <w:noProof/>
              <w:kern w:val="2"/>
              <w:sz w:val="24"/>
              <w:szCs w:val="24"/>
              <w:lang w:eastAsia="fr-FR"/>
              <w14:ligatures w14:val="standardContextual"/>
            </w:rPr>
          </w:pPr>
          <w:hyperlink w:anchor="_Toc222476859" w:history="1">
            <w:r w:rsidRPr="008A36F9">
              <w:rPr>
                <w:rStyle w:val="Lienhypertexte"/>
                <w:noProof/>
              </w:rPr>
              <w:t>4.2.1.2.</w:t>
            </w:r>
            <w:r>
              <w:rPr>
                <w:rFonts w:eastAsiaTheme="minorEastAsia"/>
                <w:noProof/>
                <w:kern w:val="2"/>
                <w:sz w:val="24"/>
                <w:szCs w:val="24"/>
                <w:lang w:eastAsia="fr-FR"/>
                <w14:ligatures w14:val="standardContextual"/>
              </w:rPr>
              <w:tab/>
            </w:r>
            <w:r w:rsidRPr="008A36F9">
              <w:rPr>
                <w:rStyle w:val="Lienhypertexte"/>
                <w:noProof/>
              </w:rPr>
              <w:t>Dénombrement des terminaux</w:t>
            </w:r>
            <w:r>
              <w:rPr>
                <w:noProof/>
                <w:webHidden/>
              </w:rPr>
              <w:tab/>
            </w:r>
            <w:r>
              <w:rPr>
                <w:noProof/>
                <w:webHidden/>
              </w:rPr>
              <w:fldChar w:fldCharType="begin"/>
            </w:r>
            <w:r>
              <w:rPr>
                <w:noProof/>
                <w:webHidden/>
              </w:rPr>
              <w:instrText xml:space="preserve"> PAGEREF _Toc222476859 \h </w:instrText>
            </w:r>
            <w:r>
              <w:rPr>
                <w:noProof/>
                <w:webHidden/>
              </w:rPr>
            </w:r>
            <w:r>
              <w:rPr>
                <w:noProof/>
                <w:webHidden/>
              </w:rPr>
              <w:fldChar w:fldCharType="separate"/>
            </w:r>
            <w:r w:rsidR="008D4FD2">
              <w:rPr>
                <w:noProof/>
                <w:webHidden/>
              </w:rPr>
              <w:t>15</w:t>
            </w:r>
            <w:r>
              <w:rPr>
                <w:noProof/>
                <w:webHidden/>
              </w:rPr>
              <w:fldChar w:fldCharType="end"/>
            </w:r>
          </w:hyperlink>
        </w:p>
        <w:p w14:paraId="289E44DB" w14:textId="1F7E68E3" w:rsidR="00F04D7C" w:rsidRDefault="00F04D7C">
          <w:pPr>
            <w:pStyle w:val="TM4"/>
            <w:tabs>
              <w:tab w:val="left" w:pos="1680"/>
              <w:tab w:val="right" w:leader="dot" w:pos="9060"/>
            </w:tabs>
            <w:rPr>
              <w:rFonts w:eastAsiaTheme="minorEastAsia"/>
              <w:noProof/>
              <w:kern w:val="2"/>
              <w:sz w:val="24"/>
              <w:szCs w:val="24"/>
              <w:lang w:eastAsia="fr-FR"/>
              <w14:ligatures w14:val="standardContextual"/>
            </w:rPr>
          </w:pPr>
          <w:hyperlink w:anchor="_Toc222476860" w:history="1">
            <w:r w:rsidRPr="008A36F9">
              <w:rPr>
                <w:rStyle w:val="Lienhypertexte"/>
                <w:noProof/>
              </w:rPr>
              <w:t>4.2.1.3.</w:t>
            </w:r>
            <w:r>
              <w:rPr>
                <w:rFonts w:eastAsiaTheme="minorEastAsia"/>
                <w:noProof/>
                <w:kern w:val="2"/>
                <w:sz w:val="24"/>
                <w:szCs w:val="24"/>
                <w:lang w:eastAsia="fr-FR"/>
                <w14:ligatures w14:val="standardContextual"/>
              </w:rPr>
              <w:tab/>
            </w:r>
            <w:r w:rsidRPr="008A36F9">
              <w:rPr>
                <w:rStyle w:val="Lienhypertexte"/>
                <w:noProof/>
              </w:rPr>
              <w:t>Commentaires sur le dénombrement des cartes et terminaux</w:t>
            </w:r>
            <w:r>
              <w:rPr>
                <w:noProof/>
                <w:webHidden/>
              </w:rPr>
              <w:tab/>
            </w:r>
            <w:r>
              <w:rPr>
                <w:noProof/>
                <w:webHidden/>
              </w:rPr>
              <w:fldChar w:fldCharType="begin"/>
            </w:r>
            <w:r>
              <w:rPr>
                <w:noProof/>
                <w:webHidden/>
              </w:rPr>
              <w:instrText xml:space="preserve"> PAGEREF _Toc222476860 \h </w:instrText>
            </w:r>
            <w:r>
              <w:rPr>
                <w:noProof/>
                <w:webHidden/>
              </w:rPr>
            </w:r>
            <w:r>
              <w:rPr>
                <w:noProof/>
                <w:webHidden/>
              </w:rPr>
              <w:fldChar w:fldCharType="separate"/>
            </w:r>
            <w:r w:rsidR="008D4FD2">
              <w:rPr>
                <w:noProof/>
                <w:webHidden/>
              </w:rPr>
              <w:t>20</w:t>
            </w:r>
            <w:r>
              <w:rPr>
                <w:noProof/>
                <w:webHidden/>
              </w:rPr>
              <w:fldChar w:fldCharType="end"/>
            </w:r>
          </w:hyperlink>
        </w:p>
        <w:p w14:paraId="5AC44FF6" w14:textId="4BFD318E"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861" w:history="1">
            <w:r w:rsidRPr="008A36F9">
              <w:rPr>
                <w:rStyle w:val="Lienhypertexte"/>
                <w:noProof/>
              </w:rPr>
              <w:t>4.2.2.</w:t>
            </w:r>
            <w:r>
              <w:rPr>
                <w:rFonts w:eastAsiaTheme="minorEastAsia"/>
                <w:noProof/>
                <w:kern w:val="2"/>
                <w:sz w:val="24"/>
                <w:szCs w:val="24"/>
                <w:lang w:eastAsia="fr-FR"/>
                <w14:ligatures w14:val="standardContextual"/>
              </w:rPr>
              <w:tab/>
            </w:r>
            <w:r w:rsidRPr="008A36F9">
              <w:rPr>
                <w:rStyle w:val="Lienhypertexte"/>
                <w:noProof/>
              </w:rPr>
              <w:t>Opérations effectuées par cartes émises par l’établissement (vue émetteur)</w:t>
            </w:r>
            <w:r>
              <w:rPr>
                <w:noProof/>
                <w:webHidden/>
              </w:rPr>
              <w:tab/>
            </w:r>
            <w:r>
              <w:rPr>
                <w:noProof/>
                <w:webHidden/>
              </w:rPr>
              <w:fldChar w:fldCharType="begin"/>
            </w:r>
            <w:r>
              <w:rPr>
                <w:noProof/>
                <w:webHidden/>
              </w:rPr>
              <w:instrText xml:space="preserve"> PAGEREF _Toc222476861 \h </w:instrText>
            </w:r>
            <w:r>
              <w:rPr>
                <w:noProof/>
                <w:webHidden/>
              </w:rPr>
            </w:r>
            <w:r>
              <w:rPr>
                <w:noProof/>
                <w:webHidden/>
              </w:rPr>
              <w:fldChar w:fldCharType="separate"/>
            </w:r>
            <w:r w:rsidR="008D4FD2">
              <w:rPr>
                <w:noProof/>
                <w:webHidden/>
              </w:rPr>
              <w:t>21</w:t>
            </w:r>
            <w:r>
              <w:rPr>
                <w:noProof/>
                <w:webHidden/>
              </w:rPr>
              <w:fldChar w:fldCharType="end"/>
            </w:r>
          </w:hyperlink>
        </w:p>
        <w:p w14:paraId="383C785E" w14:textId="3660BAC6" w:rsidR="00F04D7C" w:rsidRDefault="00F04D7C">
          <w:pPr>
            <w:pStyle w:val="TM4"/>
            <w:tabs>
              <w:tab w:val="left" w:pos="1680"/>
              <w:tab w:val="right" w:leader="dot" w:pos="9060"/>
            </w:tabs>
            <w:rPr>
              <w:rFonts w:eastAsiaTheme="minorEastAsia"/>
              <w:noProof/>
              <w:kern w:val="2"/>
              <w:sz w:val="24"/>
              <w:szCs w:val="24"/>
              <w:lang w:eastAsia="fr-FR"/>
              <w14:ligatures w14:val="standardContextual"/>
            </w:rPr>
          </w:pPr>
          <w:hyperlink w:anchor="_Toc222476862" w:history="1">
            <w:r w:rsidRPr="008A36F9">
              <w:rPr>
                <w:rStyle w:val="Lienhypertexte"/>
                <w:noProof/>
              </w:rPr>
              <w:t>4.1.2.1.</w:t>
            </w:r>
            <w:r>
              <w:rPr>
                <w:rFonts w:eastAsiaTheme="minorEastAsia"/>
                <w:noProof/>
                <w:kern w:val="2"/>
                <w:sz w:val="24"/>
                <w:szCs w:val="24"/>
                <w:lang w:eastAsia="fr-FR"/>
                <w14:ligatures w14:val="standardContextual"/>
              </w:rPr>
              <w:tab/>
            </w:r>
            <w:r w:rsidRPr="008A36F9">
              <w:rPr>
                <w:rStyle w:val="Lienhypertexte"/>
                <w:noProof/>
              </w:rPr>
              <w:t>Opérations de paiement ventilées par canal d’initiation, schéma de carte, fonction de carte, zone géographique, méthode d’authentification et motif d’exemption à l’application de l’authentification forte</w:t>
            </w:r>
            <w:r>
              <w:rPr>
                <w:noProof/>
                <w:webHidden/>
              </w:rPr>
              <w:tab/>
            </w:r>
            <w:r>
              <w:rPr>
                <w:noProof/>
                <w:webHidden/>
              </w:rPr>
              <w:fldChar w:fldCharType="begin"/>
            </w:r>
            <w:r>
              <w:rPr>
                <w:noProof/>
                <w:webHidden/>
              </w:rPr>
              <w:instrText xml:space="preserve"> PAGEREF _Toc222476862 \h </w:instrText>
            </w:r>
            <w:r>
              <w:rPr>
                <w:noProof/>
                <w:webHidden/>
              </w:rPr>
            </w:r>
            <w:r>
              <w:rPr>
                <w:noProof/>
                <w:webHidden/>
              </w:rPr>
              <w:fldChar w:fldCharType="separate"/>
            </w:r>
            <w:r w:rsidR="008D4FD2">
              <w:rPr>
                <w:noProof/>
                <w:webHidden/>
              </w:rPr>
              <w:t>21</w:t>
            </w:r>
            <w:r>
              <w:rPr>
                <w:noProof/>
                <w:webHidden/>
              </w:rPr>
              <w:fldChar w:fldCharType="end"/>
            </w:r>
          </w:hyperlink>
        </w:p>
        <w:p w14:paraId="02E28C7D" w14:textId="42561582" w:rsidR="00F04D7C" w:rsidRDefault="00F04D7C">
          <w:pPr>
            <w:pStyle w:val="TM4"/>
            <w:tabs>
              <w:tab w:val="left" w:pos="1680"/>
              <w:tab w:val="right" w:leader="dot" w:pos="9060"/>
            </w:tabs>
            <w:rPr>
              <w:rFonts w:eastAsiaTheme="minorEastAsia"/>
              <w:noProof/>
              <w:kern w:val="2"/>
              <w:sz w:val="24"/>
              <w:szCs w:val="24"/>
              <w:lang w:eastAsia="fr-FR"/>
              <w14:ligatures w14:val="standardContextual"/>
            </w:rPr>
          </w:pPr>
          <w:hyperlink w:anchor="_Toc222476863" w:history="1">
            <w:r w:rsidRPr="008A36F9">
              <w:rPr>
                <w:rStyle w:val="Lienhypertexte"/>
                <w:noProof/>
              </w:rPr>
              <w:t>4.1.2.2.</w:t>
            </w:r>
            <w:r>
              <w:rPr>
                <w:rFonts w:eastAsiaTheme="minorEastAsia"/>
                <w:noProof/>
                <w:kern w:val="2"/>
                <w:sz w:val="24"/>
                <w:szCs w:val="24"/>
                <w:lang w:eastAsia="fr-FR"/>
                <w14:ligatures w14:val="standardContextual"/>
              </w:rPr>
              <w:tab/>
            </w:r>
            <w:r w:rsidRPr="008A36F9">
              <w:rPr>
                <w:rStyle w:val="Lienhypertexte"/>
                <w:noProof/>
              </w:rPr>
              <w:t>Opérations de paiement ventilées par canal d’échange</w:t>
            </w:r>
            <w:r>
              <w:rPr>
                <w:noProof/>
                <w:webHidden/>
              </w:rPr>
              <w:tab/>
            </w:r>
            <w:r>
              <w:rPr>
                <w:noProof/>
                <w:webHidden/>
              </w:rPr>
              <w:fldChar w:fldCharType="begin"/>
            </w:r>
            <w:r>
              <w:rPr>
                <w:noProof/>
                <w:webHidden/>
              </w:rPr>
              <w:instrText xml:space="preserve"> PAGEREF _Toc222476863 \h </w:instrText>
            </w:r>
            <w:r>
              <w:rPr>
                <w:noProof/>
                <w:webHidden/>
              </w:rPr>
            </w:r>
            <w:r>
              <w:rPr>
                <w:noProof/>
                <w:webHidden/>
              </w:rPr>
              <w:fldChar w:fldCharType="separate"/>
            </w:r>
            <w:r w:rsidR="008D4FD2">
              <w:rPr>
                <w:noProof/>
                <w:webHidden/>
              </w:rPr>
              <w:t>25</w:t>
            </w:r>
            <w:r>
              <w:rPr>
                <w:noProof/>
                <w:webHidden/>
              </w:rPr>
              <w:fldChar w:fldCharType="end"/>
            </w:r>
          </w:hyperlink>
        </w:p>
        <w:p w14:paraId="48343ED3" w14:textId="6C2E0173" w:rsidR="00F04D7C" w:rsidRDefault="00F04D7C">
          <w:pPr>
            <w:pStyle w:val="TM4"/>
            <w:tabs>
              <w:tab w:val="left" w:pos="1680"/>
              <w:tab w:val="right" w:leader="dot" w:pos="9060"/>
            </w:tabs>
            <w:rPr>
              <w:rFonts w:eastAsiaTheme="minorEastAsia"/>
              <w:noProof/>
              <w:kern w:val="2"/>
              <w:sz w:val="24"/>
              <w:szCs w:val="24"/>
              <w:lang w:eastAsia="fr-FR"/>
              <w14:ligatures w14:val="standardContextual"/>
            </w:rPr>
          </w:pPr>
          <w:hyperlink w:anchor="_Toc222476864" w:history="1">
            <w:r w:rsidRPr="008A36F9">
              <w:rPr>
                <w:rStyle w:val="Lienhypertexte"/>
                <w:noProof/>
              </w:rPr>
              <w:t>4.1.2.3.</w:t>
            </w:r>
            <w:r>
              <w:rPr>
                <w:rFonts w:eastAsiaTheme="minorEastAsia"/>
                <w:noProof/>
                <w:kern w:val="2"/>
                <w:sz w:val="24"/>
                <w:szCs w:val="24"/>
                <w:lang w:eastAsia="fr-FR"/>
                <w14:ligatures w14:val="standardContextual"/>
              </w:rPr>
              <w:tab/>
            </w:r>
            <w:r w:rsidRPr="008A36F9">
              <w:rPr>
                <w:rStyle w:val="Lienhypertexte"/>
                <w:noProof/>
              </w:rPr>
              <w:t>Opérations initiées en proximité depuis des terminaux fournis par des PSP étrangers</w:t>
            </w:r>
            <w:r>
              <w:rPr>
                <w:noProof/>
                <w:webHidden/>
              </w:rPr>
              <w:tab/>
            </w:r>
            <w:r>
              <w:rPr>
                <w:noProof/>
                <w:webHidden/>
              </w:rPr>
              <w:fldChar w:fldCharType="begin"/>
            </w:r>
            <w:r>
              <w:rPr>
                <w:noProof/>
                <w:webHidden/>
              </w:rPr>
              <w:instrText xml:space="preserve"> PAGEREF _Toc222476864 \h </w:instrText>
            </w:r>
            <w:r>
              <w:rPr>
                <w:noProof/>
                <w:webHidden/>
              </w:rPr>
            </w:r>
            <w:r>
              <w:rPr>
                <w:noProof/>
                <w:webHidden/>
              </w:rPr>
              <w:fldChar w:fldCharType="separate"/>
            </w:r>
            <w:r w:rsidR="008D4FD2">
              <w:rPr>
                <w:noProof/>
                <w:webHidden/>
              </w:rPr>
              <w:t>26</w:t>
            </w:r>
            <w:r>
              <w:rPr>
                <w:noProof/>
                <w:webHidden/>
              </w:rPr>
              <w:fldChar w:fldCharType="end"/>
            </w:r>
          </w:hyperlink>
        </w:p>
        <w:p w14:paraId="175AECF7" w14:textId="005F81A9" w:rsidR="00F04D7C" w:rsidRDefault="00F04D7C">
          <w:pPr>
            <w:pStyle w:val="TM4"/>
            <w:tabs>
              <w:tab w:val="left" w:pos="1680"/>
              <w:tab w:val="right" w:leader="dot" w:pos="9060"/>
            </w:tabs>
            <w:rPr>
              <w:rFonts w:eastAsiaTheme="minorEastAsia"/>
              <w:noProof/>
              <w:kern w:val="2"/>
              <w:sz w:val="24"/>
              <w:szCs w:val="24"/>
              <w:lang w:eastAsia="fr-FR"/>
              <w14:ligatures w14:val="standardContextual"/>
            </w:rPr>
          </w:pPr>
          <w:hyperlink w:anchor="_Toc222476865" w:history="1">
            <w:r w:rsidRPr="008A36F9">
              <w:rPr>
                <w:rStyle w:val="Lienhypertexte"/>
                <w:noProof/>
              </w:rPr>
              <w:t>4.1.2.4.</w:t>
            </w:r>
            <w:r>
              <w:rPr>
                <w:rFonts w:eastAsiaTheme="minorEastAsia"/>
                <w:noProof/>
                <w:kern w:val="2"/>
                <w:sz w:val="24"/>
                <w:szCs w:val="24"/>
                <w:lang w:eastAsia="fr-FR"/>
                <w14:ligatures w14:val="standardContextual"/>
              </w:rPr>
              <w:tab/>
            </w:r>
            <w:r w:rsidRPr="008A36F9">
              <w:rPr>
                <w:rStyle w:val="Lienhypertexte"/>
                <w:noProof/>
              </w:rPr>
              <w:t>Opérations de retrait</w:t>
            </w:r>
            <w:r>
              <w:rPr>
                <w:noProof/>
                <w:webHidden/>
              </w:rPr>
              <w:tab/>
            </w:r>
            <w:r>
              <w:rPr>
                <w:noProof/>
                <w:webHidden/>
              </w:rPr>
              <w:fldChar w:fldCharType="begin"/>
            </w:r>
            <w:r>
              <w:rPr>
                <w:noProof/>
                <w:webHidden/>
              </w:rPr>
              <w:instrText xml:space="preserve"> PAGEREF _Toc222476865 \h </w:instrText>
            </w:r>
            <w:r>
              <w:rPr>
                <w:noProof/>
                <w:webHidden/>
              </w:rPr>
            </w:r>
            <w:r>
              <w:rPr>
                <w:noProof/>
                <w:webHidden/>
              </w:rPr>
              <w:fldChar w:fldCharType="separate"/>
            </w:r>
            <w:r w:rsidR="008D4FD2">
              <w:rPr>
                <w:noProof/>
                <w:webHidden/>
              </w:rPr>
              <w:t>27</w:t>
            </w:r>
            <w:r>
              <w:rPr>
                <w:noProof/>
                <w:webHidden/>
              </w:rPr>
              <w:fldChar w:fldCharType="end"/>
            </w:r>
          </w:hyperlink>
        </w:p>
        <w:p w14:paraId="16416EB7" w14:textId="0644BDE8" w:rsidR="00F04D7C" w:rsidRDefault="00F04D7C">
          <w:pPr>
            <w:pStyle w:val="TM4"/>
            <w:tabs>
              <w:tab w:val="left" w:pos="1680"/>
              <w:tab w:val="right" w:leader="dot" w:pos="9060"/>
            </w:tabs>
            <w:rPr>
              <w:rFonts w:eastAsiaTheme="minorEastAsia"/>
              <w:noProof/>
              <w:kern w:val="2"/>
              <w:sz w:val="24"/>
              <w:szCs w:val="24"/>
              <w:lang w:eastAsia="fr-FR"/>
              <w14:ligatures w14:val="standardContextual"/>
            </w:rPr>
          </w:pPr>
          <w:hyperlink w:anchor="_Toc222476866" w:history="1">
            <w:r w:rsidRPr="008A36F9">
              <w:rPr>
                <w:rStyle w:val="Lienhypertexte"/>
                <w:noProof/>
              </w:rPr>
              <w:t>4.1.2.5.</w:t>
            </w:r>
            <w:r>
              <w:rPr>
                <w:rFonts w:eastAsiaTheme="minorEastAsia"/>
                <w:noProof/>
                <w:kern w:val="2"/>
                <w:sz w:val="24"/>
                <w:szCs w:val="24"/>
                <w:lang w:eastAsia="fr-FR"/>
                <w14:ligatures w14:val="standardContextual"/>
              </w:rPr>
              <w:tab/>
            </w:r>
            <w:r w:rsidRPr="008A36F9">
              <w:rPr>
                <w:rStyle w:val="Lienhypertexte"/>
                <w:noProof/>
              </w:rPr>
              <w:t>Opérations de retrait ventilées par canal d’échange</w:t>
            </w:r>
            <w:r>
              <w:rPr>
                <w:noProof/>
                <w:webHidden/>
              </w:rPr>
              <w:tab/>
            </w:r>
            <w:r>
              <w:rPr>
                <w:noProof/>
                <w:webHidden/>
              </w:rPr>
              <w:fldChar w:fldCharType="begin"/>
            </w:r>
            <w:r>
              <w:rPr>
                <w:noProof/>
                <w:webHidden/>
              </w:rPr>
              <w:instrText xml:space="preserve"> PAGEREF _Toc222476866 \h </w:instrText>
            </w:r>
            <w:r>
              <w:rPr>
                <w:noProof/>
                <w:webHidden/>
              </w:rPr>
            </w:r>
            <w:r>
              <w:rPr>
                <w:noProof/>
                <w:webHidden/>
              </w:rPr>
              <w:fldChar w:fldCharType="separate"/>
            </w:r>
            <w:r w:rsidR="008D4FD2">
              <w:rPr>
                <w:noProof/>
                <w:webHidden/>
              </w:rPr>
              <w:t>28</w:t>
            </w:r>
            <w:r>
              <w:rPr>
                <w:noProof/>
                <w:webHidden/>
              </w:rPr>
              <w:fldChar w:fldCharType="end"/>
            </w:r>
          </w:hyperlink>
        </w:p>
        <w:p w14:paraId="674111AF" w14:textId="7861D3E2" w:rsidR="00F04D7C" w:rsidRDefault="00F04D7C">
          <w:pPr>
            <w:pStyle w:val="TM4"/>
            <w:tabs>
              <w:tab w:val="left" w:pos="1680"/>
              <w:tab w:val="right" w:leader="dot" w:pos="9060"/>
            </w:tabs>
            <w:rPr>
              <w:rFonts w:eastAsiaTheme="minorEastAsia"/>
              <w:noProof/>
              <w:kern w:val="2"/>
              <w:sz w:val="24"/>
              <w:szCs w:val="24"/>
              <w:lang w:eastAsia="fr-FR"/>
              <w14:ligatures w14:val="standardContextual"/>
            </w:rPr>
          </w:pPr>
          <w:hyperlink w:anchor="_Toc222476867" w:history="1">
            <w:r w:rsidRPr="008A36F9">
              <w:rPr>
                <w:rStyle w:val="Lienhypertexte"/>
                <w:noProof/>
              </w:rPr>
              <w:t>4.1.2.6.</w:t>
            </w:r>
            <w:r>
              <w:rPr>
                <w:rFonts w:eastAsiaTheme="minorEastAsia"/>
                <w:noProof/>
                <w:kern w:val="2"/>
                <w:sz w:val="24"/>
                <w:szCs w:val="24"/>
                <w:lang w:eastAsia="fr-FR"/>
                <w14:ligatures w14:val="standardContextual"/>
              </w:rPr>
              <w:tab/>
            </w:r>
            <w:r w:rsidRPr="008A36F9">
              <w:rPr>
                <w:rStyle w:val="Lienhypertexte"/>
                <w:noProof/>
              </w:rPr>
              <w:t>Commentaires sur les cartes (vue émetteur)</w:t>
            </w:r>
            <w:r>
              <w:rPr>
                <w:noProof/>
                <w:webHidden/>
              </w:rPr>
              <w:tab/>
            </w:r>
            <w:r>
              <w:rPr>
                <w:noProof/>
                <w:webHidden/>
              </w:rPr>
              <w:fldChar w:fldCharType="begin"/>
            </w:r>
            <w:r>
              <w:rPr>
                <w:noProof/>
                <w:webHidden/>
              </w:rPr>
              <w:instrText xml:space="preserve"> PAGEREF _Toc222476867 \h </w:instrText>
            </w:r>
            <w:r>
              <w:rPr>
                <w:noProof/>
                <w:webHidden/>
              </w:rPr>
            </w:r>
            <w:r>
              <w:rPr>
                <w:noProof/>
                <w:webHidden/>
              </w:rPr>
              <w:fldChar w:fldCharType="separate"/>
            </w:r>
            <w:r w:rsidR="008D4FD2">
              <w:rPr>
                <w:noProof/>
                <w:webHidden/>
              </w:rPr>
              <w:t>29</w:t>
            </w:r>
            <w:r>
              <w:rPr>
                <w:noProof/>
                <w:webHidden/>
              </w:rPr>
              <w:fldChar w:fldCharType="end"/>
            </w:r>
          </w:hyperlink>
        </w:p>
        <w:p w14:paraId="4650510C" w14:textId="5F246E88"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868" w:history="1">
            <w:r w:rsidRPr="008A36F9">
              <w:rPr>
                <w:rStyle w:val="Lienhypertexte"/>
                <w:noProof/>
              </w:rPr>
              <w:t>4.1.3.</w:t>
            </w:r>
            <w:r>
              <w:rPr>
                <w:rFonts w:eastAsiaTheme="minorEastAsia"/>
                <w:noProof/>
                <w:kern w:val="2"/>
                <w:sz w:val="24"/>
                <w:szCs w:val="24"/>
                <w:lang w:eastAsia="fr-FR"/>
                <w14:ligatures w14:val="standardContextual"/>
              </w:rPr>
              <w:tab/>
            </w:r>
            <w:r w:rsidRPr="008A36F9">
              <w:rPr>
                <w:rStyle w:val="Lienhypertexte"/>
                <w:noProof/>
              </w:rPr>
              <w:t>Opérations par carte acquises par l’établissement (vue acquéreur)</w:t>
            </w:r>
            <w:r>
              <w:rPr>
                <w:noProof/>
                <w:webHidden/>
              </w:rPr>
              <w:tab/>
            </w:r>
            <w:r>
              <w:rPr>
                <w:noProof/>
                <w:webHidden/>
              </w:rPr>
              <w:fldChar w:fldCharType="begin"/>
            </w:r>
            <w:r>
              <w:rPr>
                <w:noProof/>
                <w:webHidden/>
              </w:rPr>
              <w:instrText xml:space="preserve"> PAGEREF _Toc222476868 \h </w:instrText>
            </w:r>
            <w:r>
              <w:rPr>
                <w:noProof/>
                <w:webHidden/>
              </w:rPr>
            </w:r>
            <w:r>
              <w:rPr>
                <w:noProof/>
                <w:webHidden/>
              </w:rPr>
              <w:fldChar w:fldCharType="separate"/>
            </w:r>
            <w:r w:rsidR="008D4FD2">
              <w:rPr>
                <w:noProof/>
                <w:webHidden/>
              </w:rPr>
              <w:t>29</w:t>
            </w:r>
            <w:r>
              <w:rPr>
                <w:noProof/>
                <w:webHidden/>
              </w:rPr>
              <w:fldChar w:fldCharType="end"/>
            </w:r>
          </w:hyperlink>
        </w:p>
        <w:p w14:paraId="12421779" w14:textId="3F3AAAA4" w:rsidR="00F04D7C" w:rsidRDefault="00F04D7C">
          <w:pPr>
            <w:pStyle w:val="TM4"/>
            <w:tabs>
              <w:tab w:val="left" w:pos="1680"/>
              <w:tab w:val="right" w:leader="dot" w:pos="9060"/>
            </w:tabs>
            <w:rPr>
              <w:rFonts w:eastAsiaTheme="minorEastAsia"/>
              <w:noProof/>
              <w:kern w:val="2"/>
              <w:sz w:val="24"/>
              <w:szCs w:val="24"/>
              <w:lang w:eastAsia="fr-FR"/>
              <w14:ligatures w14:val="standardContextual"/>
            </w:rPr>
          </w:pPr>
          <w:hyperlink w:anchor="_Toc222476869" w:history="1">
            <w:r w:rsidRPr="008A36F9">
              <w:rPr>
                <w:rStyle w:val="Lienhypertexte"/>
                <w:noProof/>
              </w:rPr>
              <w:t>4.1.3.1.</w:t>
            </w:r>
            <w:r>
              <w:rPr>
                <w:rFonts w:eastAsiaTheme="minorEastAsia"/>
                <w:noProof/>
                <w:kern w:val="2"/>
                <w:sz w:val="24"/>
                <w:szCs w:val="24"/>
                <w:lang w:eastAsia="fr-FR"/>
                <w14:ligatures w14:val="standardContextual"/>
              </w:rPr>
              <w:tab/>
            </w:r>
            <w:r w:rsidRPr="008A36F9">
              <w:rPr>
                <w:rStyle w:val="Lienhypertexte"/>
                <w:noProof/>
              </w:rPr>
              <w:t>Opérations de paiement ventilées par canal d’initiation, schéma de carte, fonction de carte, zone géographique, méthode d’authentification et motif d’exemption à l’application de l’authentification forte</w:t>
            </w:r>
            <w:r>
              <w:rPr>
                <w:noProof/>
                <w:webHidden/>
              </w:rPr>
              <w:tab/>
            </w:r>
            <w:r>
              <w:rPr>
                <w:noProof/>
                <w:webHidden/>
              </w:rPr>
              <w:fldChar w:fldCharType="begin"/>
            </w:r>
            <w:r>
              <w:rPr>
                <w:noProof/>
                <w:webHidden/>
              </w:rPr>
              <w:instrText xml:space="preserve"> PAGEREF _Toc222476869 \h </w:instrText>
            </w:r>
            <w:r>
              <w:rPr>
                <w:noProof/>
                <w:webHidden/>
              </w:rPr>
            </w:r>
            <w:r>
              <w:rPr>
                <w:noProof/>
                <w:webHidden/>
              </w:rPr>
              <w:fldChar w:fldCharType="separate"/>
            </w:r>
            <w:r w:rsidR="008D4FD2">
              <w:rPr>
                <w:noProof/>
                <w:webHidden/>
              </w:rPr>
              <w:t>30</w:t>
            </w:r>
            <w:r>
              <w:rPr>
                <w:noProof/>
                <w:webHidden/>
              </w:rPr>
              <w:fldChar w:fldCharType="end"/>
            </w:r>
          </w:hyperlink>
        </w:p>
        <w:p w14:paraId="0C8B35D5" w14:textId="086A5C45" w:rsidR="00F04D7C" w:rsidRDefault="00F04D7C">
          <w:pPr>
            <w:pStyle w:val="TM4"/>
            <w:tabs>
              <w:tab w:val="left" w:pos="1680"/>
              <w:tab w:val="right" w:leader="dot" w:pos="9060"/>
            </w:tabs>
            <w:rPr>
              <w:rFonts w:eastAsiaTheme="minorEastAsia"/>
              <w:noProof/>
              <w:kern w:val="2"/>
              <w:sz w:val="24"/>
              <w:szCs w:val="24"/>
              <w:lang w:eastAsia="fr-FR"/>
              <w14:ligatures w14:val="standardContextual"/>
            </w:rPr>
          </w:pPr>
          <w:hyperlink w:anchor="_Toc222476870" w:history="1">
            <w:r w:rsidRPr="008A36F9">
              <w:rPr>
                <w:rStyle w:val="Lienhypertexte"/>
                <w:noProof/>
              </w:rPr>
              <w:t>4.1.3.2.</w:t>
            </w:r>
            <w:r>
              <w:rPr>
                <w:rFonts w:eastAsiaTheme="minorEastAsia"/>
                <w:noProof/>
                <w:kern w:val="2"/>
                <w:sz w:val="24"/>
                <w:szCs w:val="24"/>
                <w:lang w:eastAsia="fr-FR"/>
                <w14:ligatures w14:val="standardContextual"/>
              </w:rPr>
              <w:tab/>
            </w:r>
            <w:r w:rsidRPr="008A36F9">
              <w:rPr>
                <w:rStyle w:val="Lienhypertexte"/>
                <w:noProof/>
              </w:rPr>
              <w:t>Opérations initiées en proximité depuis les terminaux gérés par l’établissement à partir de cartes émises par des PSP français</w:t>
            </w:r>
            <w:r>
              <w:rPr>
                <w:noProof/>
                <w:webHidden/>
              </w:rPr>
              <w:tab/>
            </w:r>
            <w:r>
              <w:rPr>
                <w:noProof/>
                <w:webHidden/>
              </w:rPr>
              <w:fldChar w:fldCharType="begin"/>
            </w:r>
            <w:r>
              <w:rPr>
                <w:noProof/>
                <w:webHidden/>
              </w:rPr>
              <w:instrText xml:space="preserve"> PAGEREF _Toc222476870 \h </w:instrText>
            </w:r>
            <w:r>
              <w:rPr>
                <w:noProof/>
                <w:webHidden/>
              </w:rPr>
            </w:r>
            <w:r>
              <w:rPr>
                <w:noProof/>
                <w:webHidden/>
              </w:rPr>
              <w:fldChar w:fldCharType="separate"/>
            </w:r>
            <w:r w:rsidR="008D4FD2">
              <w:rPr>
                <w:noProof/>
                <w:webHidden/>
              </w:rPr>
              <w:t>32</w:t>
            </w:r>
            <w:r>
              <w:rPr>
                <w:noProof/>
                <w:webHidden/>
              </w:rPr>
              <w:fldChar w:fldCharType="end"/>
            </w:r>
          </w:hyperlink>
        </w:p>
        <w:p w14:paraId="539CDAAF" w14:textId="36F4B378" w:rsidR="00F04D7C" w:rsidRDefault="00F04D7C">
          <w:pPr>
            <w:pStyle w:val="TM4"/>
            <w:tabs>
              <w:tab w:val="left" w:pos="1680"/>
              <w:tab w:val="right" w:leader="dot" w:pos="9060"/>
            </w:tabs>
            <w:rPr>
              <w:rFonts w:eastAsiaTheme="minorEastAsia"/>
              <w:noProof/>
              <w:kern w:val="2"/>
              <w:sz w:val="24"/>
              <w:szCs w:val="24"/>
              <w:lang w:eastAsia="fr-FR"/>
              <w14:ligatures w14:val="standardContextual"/>
            </w:rPr>
          </w:pPr>
          <w:hyperlink w:anchor="_Toc222476871" w:history="1">
            <w:r w:rsidRPr="008A36F9">
              <w:rPr>
                <w:rStyle w:val="Lienhypertexte"/>
                <w:noProof/>
              </w:rPr>
              <w:t>4.1.3.3.</w:t>
            </w:r>
            <w:r>
              <w:rPr>
                <w:rFonts w:eastAsiaTheme="minorEastAsia"/>
                <w:noProof/>
                <w:kern w:val="2"/>
                <w:sz w:val="24"/>
                <w:szCs w:val="24"/>
                <w:lang w:eastAsia="fr-FR"/>
                <w14:ligatures w14:val="standardContextual"/>
              </w:rPr>
              <w:tab/>
            </w:r>
            <w:r w:rsidRPr="008A36F9">
              <w:rPr>
                <w:rStyle w:val="Lienhypertexte"/>
                <w:noProof/>
              </w:rPr>
              <w:t>Opérations initiées en proximité depuis les terminaux gérés par l’établissement à partir de cartes émises par des PSP étrangers</w:t>
            </w:r>
            <w:r>
              <w:rPr>
                <w:noProof/>
                <w:webHidden/>
              </w:rPr>
              <w:tab/>
            </w:r>
            <w:r>
              <w:rPr>
                <w:noProof/>
                <w:webHidden/>
              </w:rPr>
              <w:fldChar w:fldCharType="begin"/>
            </w:r>
            <w:r>
              <w:rPr>
                <w:noProof/>
                <w:webHidden/>
              </w:rPr>
              <w:instrText xml:space="preserve"> PAGEREF _Toc222476871 \h </w:instrText>
            </w:r>
            <w:r>
              <w:rPr>
                <w:noProof/>
                <w:webHidden/>
              </w:rPr>
            </w:r>
            <w:r>
              <w:rPr>
                <w:noProof/>
                <w:webHidden/>
              </w:rPr>
              <w:fldChar w:fldCharType="separate"/>
            </w:r>
            <w:r w:rsidR="008D4FD2">
              <w:rPr>
                <w:noProof/>
                <w:webHidden/>
              </w:rPr>
              <w:t>34</w:t>
            </w:r>
            <w:r>
              <w:rPr>
                <w:noProof/>
                <w:webHidden/>
              </w:rPr>
              <w:fldChar w:fldCharType="end"/>
            </w:r>
          </w:hyperlink>
        </w:p>
        <w:p w14:paraId="437E4F27" w14:textId="158CA7C8" w:rsidR="00F04D7C" w:rsidRDefault="00F04D7C">
          <w:pPr>
            <w:pStyle w:val="TM4"/>
            <w:tabs>
              <w:tab w:val="left" w:pos="1680"/>
              <w:tab w:val="right" w:leader="dot" w:pos="9060"/>
            </w:tabs>
            <w:rPr>
              <w:rFonts w:eastAsiaTheme="minorEastAsia"/>
              <w:noProof/>
              <w:kern w:val="2"/>
              <w:sz w:val="24"/>
              <w:szCs w:val="24"/>
              <w:lang w:eastAsia="fr-FR"/>
              <w14:ligatures w14:val="standardContextual"/>
            </w:rPr>
          </w:pPr>
          <w:hyperlink w:anchor="_Toc222476872" w:history="1">
            <w:r w:rsidRPr="008A36F9">
              <w:rPr>
                <w:rStyle w:val="Lienhypertexte"/>
                <w:noProof/>
              </w:rPr>
              <w:t>4.1.3.4.</w:t>
            </w:r>
            <w:r>
              <w:rPr>
                <w:rFonts w:eastAsiaTheme="minorEastAsia"/>
                <w:noProof/>
                <w:kern w:val="2"/>
                <w:sz w:val="24"/>
                <w:szCs w:val="24"/>
                <w:lang w:eastAsia="fr-FR"/>
                <w14:ligatures w14:val="standardContextual"/>
              </w:rPr>
              <w:tab/>
            </w:r>
            <w:r w:rsidRPr="008A36F9">
              <w:rPr>
                <w:rStyle w:val="Lienhypertexte"/>
                <w:noProof/>
              </w:rPr>
              <w:t>Commentaires sur les cartes (vue acquéreur)</w:t>
            </w:r>
            <w:r>
              <w:rPr>
                <w:noProof/>
                <w:webHidden/>
              </w:rPr>
              <w:tab/>
            </w:r>
            <w:r>
              <w:rPr>
                <w:noProof/>
                <w:webHidden/>
              </w:rPr>
              <w:fldChar w:fldCharType="begin"/>
            </w:r>
            <w:r>
              <w:rPr>
                <w:noProof/>
                <w:webHidden/>
              </w:rPr>
              <w:instrText xml:space="preserve"> PAGEREF _Toc222476872 \h </w:instrText>
            </w:r>
            <w:r>
              <w:rPr>
                <w:noProof/>
                <w:webHidden/>
              </w:rPr>
            </w:r>
            <w:r>
              <w:rPr>
                <w:noProof/>
                <w:webHidden/>
              </w:rPr>
              <w:fldChar w:fldCharType="separate"/>
            </w:r>
            <w:r w:rsidR="008D4FD2">
              <w:rPr>
                <w:noProof/>
                <w:webHidden/>
              </w:rPr>
              <w:t>35</w:t>
            </w:r>
            <w:r>
              <w:rPr>
                <w:noProof/>
                <w:webHidden/>
              </w:rPr>
              <w:fldChar w:fldCharType="end"/>
            </w:r>
          </w:hyperlink>
        </w:p>
        <w:p w14:paraId="5FAF745E" w14:textId="7C3E5380" w:rsidR="00F04D7C" w:rsidRDefault="00F04D7C">
          <w:pPr>
            <w:pStyle w:val="TM2"/>
            <w:tabs>
              <w:tab w:val="left" w:pos="960"/>
              <w:tab w:val="right" w:leader="dot" w:pos="9060"/>
            </w:tabs>
            <w:rPr>
              <w:rFonts w:eastAsiaTheme="minorEastAsia"/>
              <w:noProof/>
              <w:kern w:val="2"/>
              <w:sz w:val="24"/>
              <w:szCs w:val="24"/>
              <w:lang w:eastAsia="fr-FR"/>
              <w14:ligatures w14:val="standardContextual"/>
            </w:rPr>
          </w:pPr>
          <w:hyperlink w:anchor="_Toc222476873" w:history="1">
            <w:r w:rsidRPr="008A36F9">
              <w:rPr>
                <w:rStyle w:val="Lienhypertexte"/>
                <w:noProof/>
              </w:rPr>
              <w:t>4.3.</w:t>
            </w:r>
            <w:r>
              <w:rPr>
                <w:rFonts w:eastAsiaTheme="minorEastAsia"/>
                <w:noProof/>
                <w:kern w:val="2"/>
                <w:sz w:val="24"/>
                <w:szCs w:val="24"/>
                <w:lang w:eastAsia="fr-FR"/>
                <w14:ligatures w14:val="standardContextual"/>
              </w:rPr>
              <w:tab/>
            </w:r>
            <w:r w:rsidRPr="008A36F9">
              <w:rPr>
                <w:rStyle w:val="Lienhypertexte"/>
                <w:noProof/>
              </w:rPr>
              <w:t>Monnaie électronique</w:t>
            </w:r>
            <w:r>
              <w:rPr>
                <w:noProof/>
                <w:webHidden/>
              </w:rPr>
              <w:tab/>
            </w:r>
            <w:r>
              <w:rPr>
                <w:noProof/>
                <w:webHidden/>
              </w:rPr>
              <w:fldChar w:fldCharType="begin"/>
            </w:r>
            <w:r>
              <w:rPr>
                <w:noProof/>
                <w:webHidden/>
              </w:rPr>
              <w:instrText xml:space="preserve"> PAGEREF _Toc222476873 \h </w:instrText>
            </w:r>
            <w:r>
              <w:rPr>
                <w:noProof/>
                <w:webHidden/>
              </w:rPr>
            </w:r>
            <w:r>
              <w:rPr>
                <w:noProof/>
                <w:webHidden/>
              </w:rPr>
              <w:fldChar w:fldCharType="separate"/>
            </w:r>
            <w:r w:rsidR="008D4FD2">
              <w:rPr>
                <w:noProof/>
                <w:webHidden/>
              </w:rPr>
              <w:t>35</w:t>
            </w:r>
            <w:r>
              <w:rPr>
                <w:noProof/>
                <w:webHidden/>
              </w:rPr>
              <w:fldChar w:fldCharType="end"/>
            </w:r>
          </w:hyperlink>
        </w:p>
        <w:p w14:paraId="691014E2" w14:textId="78A7ED6A"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874" w:history="1">
            <w:r w:rsidRPr="008A36F9">
              <w:rPr>
                <w:rStyle w:val="Lienhypertexte"/>
                <w:noProof/>
              </w:rPr>
              <w:t>4.3.1.</w:t>
            </w:r>
            <w:r>
              <w:rPr>
                <w:rFonts w:eastAsiaTheme="minorEastAsia"/>
                <w:noProof/>
                <w:kern w:val="2"/>
                <w:sz w:val="24"/>
                <w:szCs w:val="24"/>
                <w:lang w:eastAsia="fr-FR"/>
                <w14:ligatures w14:val="standardContextual"/>
              </w:rPr>
              <w:tab/>
            </w:r>
            <w:r w:rsidRPr="008A36F9">
              <w:rPr>
                <w:rStyle w:val="Lienhypertexte"/>
                <w:noProof/>
              </w:rPr>
              <w:t>Dénombrement des supports de monnaie électronique et opérations de chargement/déchargement</w:t>
            </w:r>
            <w:r>
              <w:rPr>
                <w:noProof/>
                <w:webHidden/>
              </w:rPr>
              <w:tab/>
            </w:r>
            <w:r>
              <w:rPr>
                <w:noProof/>
                <w:webHidden/>
              </w:rPr>
              <w:fldChar w:fldCharType="begin"/>
            </w:r>
            <w:r>
              <w:rPr>
                <w:noProof/>
                <w:webHidden/>
              </w:rPr>
              <w:instrText xml:space="preserve"> PAGEREF _Toc222476874 \h </w:instrText>
            </w:r>
            <w:r>
              <w:rPr>
                <w:noProof/>
                <w:webHidden/>
              </w:rPr>
            </w:r>
            <w:r>
              <w:rPr>
                <w:noProof/>
                <w:webHidden/>
              </w:rPr>
              <w:fldChar w:fldCharType="separate"/>
            </w:r>
            <w:r w:rsidR="008D4FD2">
              <w:rPr>
                <w:noProof/>
                <w:webHidden/>
              </w:rPr>
              <w:t>35</w:t>
            </w:r>
            <w:r>
              <w:rPr>
                <w:noProof/>
                <w:webHidden/>
              </w:rPr>
              <w:fldChar w:fldCharType="end"/>
            </w:r>
          </w:hyperlink>
        </w:p>
        <w:p w14:paraId="28FE2108" w14:textId="02A051D2"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875" w:history="1">
            <w:r w:rsidRPr="008A36F9">
              <w:rPr>
                <w:rStyle w:val="Lienhypertexte"/>
                <w:noProof/>
              </w:rPr>
              <w:t>4.3.2.</w:t>
            </w:r>
            <w:r>
              <w:rPr>
                <w:rFonts w:eastAsiaTheme="minorEastAsia"/>
                <w:noProof/>
                <w:kern w:val="2"/>
                <w:sz w:val="24"/>
                <w:szCs w:val="24"/>
                <w:lang w:eastAsia="fr-FR"/>
                <w14:ligatures w14:val="standardContextual"/>
              </w:rPr>
              <w:tab/>
            </w:r>
            <w:r w:rsidRPr="008A36F9">
              <w:rPr>
                <w:rStyle w:val="Lienhypertexte"/>
                <w:noProof/>
              </w:rPr>
              <w:t>Paiements en monnaie électronique émis et reçus</w:t>
            </w:r>
            <w:r>
              <w:rPr>
                <w:noProof/>
                <w:webHidden/>
              </w:rPr>
              <w:tab/>
            </w:r>
            <w:r>
              <w:rPr>
                <w:noProof/>
                <w:webHidden/>
              </w:rPr>
              <w:fldChar w:fldCharType="begin"/>
            </w:r>
            <w:r>
              <w:rPr>
                <w:noProof/>
                <w:webHidden/>
              </w:rPr>
              <w:instrText xml:space="preserve"> PAGEREF _Toc222476875 \h </w:instrText>
            </w:r>
            <w:r>
              <w:rPr>
                <w:noProof/>
                <w:webHidden/>
              </w:rPr>
            </w:r>
            <w:r>
              <w:rPr>
                <w:noProof/>
                <w:webHidden/>
              </w:rPr>
              <w:fldChar w:fldCharType="separate"/>
            </w:r>
            <w:r w:rsidR="008D4FD2">
              <w:rPr>
                <w:noProof/>
                <w:webHidden/>
              </w:rPr>
              <w:t>36</w:t>
            </w:r>
            <w:r>
              <w:rPr>
                <w:noProof/>
                <w:webHidden/>
              </w:rPr>
              <w:fldChar w:fldCharType="end"/>
            </w:r>
          </w:hyperlink>
        </w:p>
        <w:p w14:paraId="3845FE35" w14:textId="196A3352" w:rsidR="00F04D7C" w:rsidRDefault="00F04D7C">
          <w:pPr>
            <w:pStyle w:val="TM4"/>
            <w:tabs>
              <w:tab w:val="left" w:pos="1680"/>
              <w:tab w:val="right" w:leader="dot" w:pos="9060"/>
            </w:tabs>
            <w:rPr>
              <w:rFonts w:eastAsiaTheme="minorEastAsia"/>
              <w:noProof/>
              <w:kern w:val="2"/>
              <w:sz w:val="24"/>
              <w:szCs w:val="24"/>
              <w:lang w:eastAsia="fr-FR"/>
              <w14:ligatures w14:val="standardContextual"/>
            </w:rPr>
          </w:pPr>
          <w:hyperlink w:anchor="_Toc222476876" w:history="1">
            <w:r w:rsidRPr="008A36F9">
              <w:rPr>
                <w:rStyle w:val="Lienhypertexte"/>
                <w:noProof/>
              </w:rPr>
              <w:t>4.3.2.1.</w:t>
            </w:r>
            <w:r>
              <w:rPr>
                <w:rFonts w:eastAsiaTheme="minorEastAsia"/>
                <w:noProof/>
                <w:kern w:val="2"/>
                <w:sz w:val="24"/>
                <w:szCs w:val="24"/>
                <w:lang w:eastAsia="fr-FR"/>
                <w14:ligatures w14:val="standardContextual"/>
              </w:rPr>
              <w:tab/>
            </w:r>
            <w:r w:rsidRPr="008A36F9">
              <w:rPr>
                <w:rStyle w:val="Lienhypertexte"/>
                <w:noProof/>
              </w:rPr>
              <w:t>Paiements en monnaie électronique émis par l’établissement par canal d’initiation, zone géographique, méthode d’authentification et motif d’exemption à l’application de l’authentification forte</w:t>
            </w:r>
            <w:r>
              <w:rPr>
                <w:noProof/>
                <w:webHidden/>
              </w:rPr>
              <w:tab/>
            </w:r>
            <w:r>
              <w:rPr>
                <w:noProof/>
                <w:webHidden/>
              </w:rPr>
              <w:fldChar w:fldCharType="begin"/>
            </w:r>
            <w:r>
              <w:rPr>
                <w:noProof/>
                <w:webHidden/>
              </w:rPr>
              <w:instrText xml:space="preserve"> PAGEREF _Toc222476876 \h </w:instrText>
            </w:r>
            <w:r>
              <w:rPr>
                <w:noProof/>
                <w:webHidden/>
              </w:rPr>
            </w:r>
            <w:r>
              <w:rPr>
                <w:noProof/>
                <w:webHidden/>
              </w:rPr>
              <w:fldChar w:fldCharType="separate"/>
            </w:r>
            <w:r w:rsidR="008D4FD2">
              <w:rPr>
                <w:noProof/>
                <w:webHidden/>
              </w:rPr>
              <w:t>36</w:t>
            </w:r>
            <w:r>
              <w:rPr>
                <w:noProof/>
                <w:webHidden/>
              </w:rPr>
              <w:fldChar w:fldCharType="end"/>
            </w:r>
          </w:hyperlink>
        </w:p>
        <w:p w14:paraId="703609F9" w14:textId="2C757F9A" w:rsidR="00F04D7C" w:rsidRDefault="00F04D7C">
          <w:pPr>
            <w:pStyle w:val="TM4"/>
            <w:tabs>
              <w:tab w:val="left" w:pos="1680"/>
              <w:tab w:val="right" w:leader="dot" w:pos="9060"/>
            </w:tabs>
            <w:rPr>
              <w:rFonts w:eastAsiaTheme="minorEastAsia"/>
              <w:noProof/>
              <w:kern w:val="2"/>
              <w:sz w:val="24"/>
              <w:szCs w:val="24"/>
              <w:lang w:eastAsia="fr-FR"/>
              <w14:ligatures w14:val="standardContextual"/>
            </w:rPr>
          </w:pPr>
          <w:hyperlink w:anchor="_Toc222476877" w:history="1">
            <w:r w:rsidRPr="008A36F9">
              <w:rPr>
                <w:rStyle w:val="Lienhypertexte"/>
                <w:noProof/>
              </w:rPr>
              <w:t>4.3.2.2.</w:t>
            </w:r>
            <w:r>
              <w:rPr>
                <w:rFonts w:eastAsiaTheme="minorEastAsia"/>
                <w:noProof/>
                <w:kern w:val="2"/>
                <w:sz w:val="24"/>
                <w:szCs w:val="24"/>
                <w:lang w:eastAsia="fr-FR"/>
                <w14:ligatures w14:val="standardContextual"/>
              </w:rPr>
              <w:tab/>
            </w:r>
            <w:r w:rsidRPr="008A36F9">
              <w:rPr>
                <w:rStyle w:val="Lienhypertexte"/>
                <w:noProof/>
              </w:rPr>
              <w:t>Paiements en monnaie électronique reçus par l’établissement</w:t>
            </w:r>
            <w:r>
              <w:rPr>
                <w:noProof/>
                <w:webHidden/>
              </w:rPr>
              <w:tab/>
            </w:r>
            <w:r>
              <w:rPr>
                <w:noProof/>
                <w:webHidden/>
              </w:rPr>
              <w:fldChar w:fldCharType="begin"/>
            </w:r>
            <w:r>
              <w:rPr>
                <w:noProof/>
                <w:webHidden/>
              </w:rPr>
              <w:instrText xml:space="preserve"> PAGEREF _Toc222476877 \h </w:instrText>
            </w:r>
            <w:r>
              <w:rPr>
                <w:noProof/>
                <w:webHidden/>
              </w:rPr>
            </w:r>
            <w:r>
              <w:rPr>
                <w:noProof/>
                <w:webHidden/>
              </w:rPr>
              <w:fldChar w:fldCharType="separate"/>
            </w:r>
            <w:r w:rsidR="008D4FD2">
              <w:rPr>
                <w:noProof/>
                <w:webHidden/>
              </w:rPr>
              <w:t>38</w:t>
            </w:r>
            <w:r>
              <w:rPr>
                <w:noProof/>
                <w:webHidden/>
              </w:rPr>
              <w:fldChar w:fldCharType="end"/>
            </w:r>
          </w:hyperlink>
        </w:p>
        <w:p w14:paraId="642983AD" w14:textId="64B91925"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878" w:history="1">
            <w:r w:rsidRPr="008A36F9">
              <w:rPr>
                <w:rStyle w:val="Lienhypertexte"/>
                <w:noProof/>
              </w:rPr>
              <w:t>4.3.3.</w:t>
            </w:r>
            <w:r>
              <w:rPr>
                <w:rFonts w:eastAsiaTheme="minorEastAsia"/>
                <w:noProof/>
                <w:kern w:val="2"/>
                <w:sz w:val="24"/>
                <w:szCs w:val="24"/>
                <w:lang w:eastAsia="fr-FR"/>
                <w14:ligatures w14:val="standardContextual"/>
              </w:rPr>
              <w:tab/>
            </w:r>
            <w:r w:rsidRPr="008A36F9">
              <w:rPr>
                <w:rStyle w:val="Lienhypertexte"/>
                <w:noProof/>
              </w:rPr>
              <w:t>Commentaires sur la monnaie électronique</w:t>
            </w:r>
            <w:r>
              <w:rPr>
                <w:noProof/>
                <w:webHidden/>
              </w:rPr>
              <w:tab/>
            </w:r>
            <w:r>
              <w:rPr>
                <w:noProof/>
                <w:webHidden/>
              </w:rPr>
              <w:fldChar w:fldCharType="begin"/>
            </w:r>
            <w:r>
              <w:rPr>
                <w:noProof/>
                <w:webHidden/>
              </w:rPr>
              <w:instrText xml:space="preserve"> PAGEREF _Toc222476878 \h </w:instrText>
            </w:r>
            <w:r>
              <w:rPr>
                <w:noProof/>
                <w:webHidden/>
              </w:rPr>
            </w:r>
            <w:r>
              <w:rPr>
                <w:noProof/>
                <w:webHidden/>
              </w:rPr>
              <w:fldChar w:fldCharType="separate"/>
            </w:r>
            <w:r w:rsidR="008D4FD2">
              <w:rPr>
                <w:noProof/>
                <w:webHidden/>
              </w:rPr>
              <w:t>39</w:t>
            </w:r>
            <w:r>
              <w:rPr>
                <w:noProof/>
                <w:webHidden/>
              </w:rPr>
              <w:fldChar w:fldCharType="end"/>
            </w:r>
          </w:hyperlink>
        </w:p>
        <w:p w14:paraId="27AD652E" w14:textId="584DFC47" w:rsidR="00F04D7C" w:rsidRDefault="00F04D7C">
          <w:pPr>
            <w:pStyle w:val="TM2"/>
            <w:tabs>
              <w:tab w:val="left" w:pos="960"/>
              <w:tab w:val="right" w:leader="dot" w:pos="9060"/>
            </w:tabs>
            <w:rPr>
              <w:rFonts w:eastAsiaTheme="minorEastAsia"/>
              <w:noProof/>
              <w:kern w:val="2"/>
              <w:sz w:val="24"/>
              <w:szCs w:val="24"/>
              <w:lang w:eastAsia="fr-FR"/>
              <w14:ligatures w14:val="standardContextual"/>
            </w:rPr>
          </w:pPr>
          <w:hyperlink w:anchor="_Toc222476879" w:history="1">
            <w:r w:rsidRPr="008A36F9">
              <w:rPr>
                <w:rStyle w:val="Lienhypertexte"/>
                <w:noProof/>
              </w:rPr>
              <w:t>4.4.</w:t>
            </w:r>
            <w:r>
              <w:rPr>
                <w:rFonts w:eastAsiaTheme="minorEastAsia"/>
                <w:noProof/>
                <w:kern w:val="2"/>
                <w:sz w:val="24"/>
                <w:szCs w:val="24"/>
                <w:lang w:eastAsia="fr-FR"/>
                <w14:ligatures w14:val="standardContextual"/>
              </w:rPr>
              <w:tab/>
            </w:r>
            <w:r w:rsidRPr="008A36F9">
              <w:rPr>
                <w:rStyle w:val="Lienhypertexte"/>
                <w:noProof/>
              </w:rPr>
              <w:t>Virements</w:t>
            </w:r>
            <w:r>
              <w:rPr>
                <w:noProof/>
                <w:webHidden/>
              </w:rPr>
              <w:tab/>
            </w:r>
            <w:r>
              <w:rPr>
                <w:noProof/>
                <w:webHidden/>
              </w:rPr>
              <w:fldChar w:fldCharType="begin"/>
            </w:r>
            <w:r>
              <w:rPr>
                <w:noProof/>
                <w:webHidden/>
              </w:rPr>
              <w:instrText xml:space="preserve"> PAGEREF _Toc222476879 \h </w:instrText>
            </w:r>
            <w:r>
              <w:rPr>
                <w:noProof/>
                <w:webHidden/>
              </w:rPr>
            </w:r>
            <w:r>
              <w:rPr>
                <w:noProof/>
                <w:webHidden/>
              </w:rPr>
              <w:fldChar w:fldCharType="separate"/>
            </w:r>
            <w:r w:rsidR="008D4FD2">
              <w:rPr>
                <w:noProof/>
                <w:webHidden/>
              </w:rPr>
              <w:t>39</w:t>
            </w:r>
            <w:r>
              <w:rPr>
                <w:noProof/>
                <w:webHidden/>
              </w:rPr>
              <w:fldChar w:fldCharType="end"/>
            </w:r>
          </w:hyperlink>
        </w:p>
        <w:p w14:paraId="420F6DAD" w14:textId="025F25F2"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880" w:history="1">
            <w:r w:rsidRPr="008A36F9">
              <w:rPr>
                <w:rStyle w:val="Lienhypertexte"/>
                <w:noProof/>
              </w:rPr>
              <w:t>4.4.1.</w:t>
            </w:r>
            <w:r>
              <w:rPr>
                <w:rFonts w:eastAsiaTheme="minorEastAsia"/>
                <w:noProof/>
                <w:kern w:val="2"/>
                <w:sz w:val="24"/>
                <w:szCs w:val="24"/>
                <w:lang w:eastAsia="fr-FR"/>
                <w14:ligatures w14:val="standardContextual"/>
              </w:rPr>
              <w:tab/>
            </w:r>
            <w:r w:rsidRPr="008A36F9">
              <w:rPr>
                <w:rStyle w:val="Lienhypertexte"/>
                <w:noProof/>
              </w:rPr>
              <w:t>Virements émis par l’établissement par canal d’initiation, schéma de virement, zone géographique, méthode d’authentification, motif d’exemption à l’application de l’authentification forte</w:t>
            </w:r>
            <w:r>
              <w:rPr>
                <w:noProof/>
                <w:webHidden/>
              </w:rPr>
              <w:tab/>
            </w:r>
            <w:r>
              <w:rPr>
                <w:noProof/>
                <w:webHidden/>
              </w:rPr>
              <w:fldChar w:fldCharType="begin"/>
            </w:r>
            <w:r>
              <w:rPr>
                <w:noProof/>
                <w:webHidden/>
              </w:rPr>
              <w:instrText xml:space="preserve"> PAGEREF _Toc222476880 \h </w:instrText>
            </w:r>
            <w:r>
              <w:rPr>
                <w:noProof/>
                <w:webHidden/>
              </w:rPr>
            </w:r>
            <w:r>
              <w:rPr>
                <w:noProof/>
                <w:webHidden/>
              </w:rPr>
              <w:fldChar w:fldCharType="separate"/>
            </w:r>
            <w:r w:rsidR="008D4FD2">
              <w:rPr>
                <w:noProof/>
                <w:webHidden/>
              </w:rPr>
              <w:t>40</w:t>
            </w:r>
            <w:r>
              <w:rPr>
                <w:noProof/>
                <w:webHidden/>
              </w:rPr>
              <w:fldChar w:fldCharType="end"/>
            </w:r>
          </w:hyperlink>
        </w:p>
        <w:p w14:paraId="64EF6920" w14:textId="077CEE00"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881" w:history="1">
            <w:r w:rsidRPr="008A36F9">
              <w:rPr>
                <w:rStyle w:val="Lienhypertexte"/>
                <w:noProof/>
              </w:rPr>
              <w:t>4.4.2.</w:t>
            </w:r>
            <w:r>
              <w:rPr>
                <w:rFonts w:eastAsiaTheme="minorEastAsia"/>
                <w:noProof/>
                <w:kern w:val="2"/>
                <w:sz w:val="24"/>
                <w:szCs w:val="24"/>
                <w:lang w:eastAsia="fr-FR"/>
                <w14:ligatures w14:val="standardContextual"/>
              </w:rPr>
              <w:tab/>
            </w:r>
            <w:r w:rsidRPr="008A36F9">
              <w:rPr>
                <w:rStyle w:val="Lienhypertexte"/>
                <w:noProof/>
              </w:rPr>
              <w:t>Virements émis par l’établissement ventilés par canal d’échange</w:t>
            </w:r>
            <w:r>
              <w:rPr>
                <w:noProof/>
                <w:webHidden/>
              </w:rPr>
              <w:tab/>
            </w:r>
            <w:r>
              <w:rPr>
                <w:noProof/>
                <w:webHidden/>
              </w:rPr>
              <w:fldChar w:fldCharType="begin"/>
            </w:r>
            <w:r>
              <w:rPr>
                <w:noProof/>
                <w:webHidden/>
              </w:rPr>
              <w:instrText xml:space="preserve"> PAGEREF _Toc222476881 \h </w:instrText>
            </w:r>
            <w:r>
              <w:rPr>
                <w:noProof/>
                <w:webHidden/>
              </w:rPr>
            </w:r>
            <w:r>
              <w:rPr>
                <w:noProof/>
                <w:webHidden/>
              </w:rPr>
              <w:fldChar w:fldCharType="separate"/>
            </w:r>
            <w:r w:rsidR="008D4FD2">
              <w:rPr>
                <w:noProof/>
                <w:webHidden/>
              </w:rPr>
              <w:t>45</w:t>
            </w:r>
            <w:r>
              <w:rPr>
                <w:noProof/>
                <w:webHidden/>
              </w:rPr>
              <w:fldChar w:fldCharType="end"/>
            </w:r>
          </w:hyperlink>
        </w:p>
        <w:p w14:paraId="4FA0E450" w14:textId="29896C0A"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882" w:history="1">
            <w:r w:rsidRPr="008A36F9">
              <w:rPr>
                <w:rStyle w:val="Lienhypertexte"/>
                <w:noProof/>
              </w:rPr>
              <w:t>4.4.3.</w:t>
            </w:r>
            <w:r>
              <w:rPr>
                <w:rFonts w:eastAsiaTheme="minorEastAsia"/>
                <w:noProof/>
                <w:kern w:val="2"/>
                <w:sz w:val="24"/>
                <w:szCs w:val="24"/>
                <w:lang w:eastAsia="fr-FR"/>
                <w14:ligatures w14:val="standardContextual"/>
              </w:rPr>
              <w:tab/>
            </w:r>
            <w:r w:rsidRPr="008A36F9">
              <w:rPr>
                <w:rStyle w:val="Lienhypertexte"/>
                <w:noProof/>
              </w:rPr>
              <w:t>Virements reçus par l’établissement</w:t>
            </w:r>
            <w:r>
              <w:rPr>
                <w:noProof/>
                <w:webHidden/>
              </w:rPr>
              <w:tab/>
            </w:r>
            <w:r>
              <w:rPr>
                <w:noProof/>
                <w:webHidden/>
              </w:rPr>
              <w:fldChar w:fldCharType="begin"/>
            </w:r>
            <w:r>
              <w:rPr>
                <w:noProof/>
                <w:webHidden/>
              </w:rPr>
              <w:instrText xml:space="preserve"> PAGEREF _Toc222476882 \h </w:instrText>
            </w:r>
            <w:r>
              <w:rPr>
                <w:noProof/>
                <w:webHidden/>
              </w:rPr>
            </w:r>
            <w:r>
              <w:rPr>
                <w:noProof/>
                <w:webHidden/>
              </w:rPr>
              <w:fldChar w:fldCharType="separate"/>
            </w:r>
            <w:r w:rsidR="008D4FD2">
              <w:rPr>
                <w:noProof/>
                <w:webHidden/>
              </w:rPr>
              <w:t>46</w:t>
            </w:r>
            <w:r>
              <w:rPr>
                <w:noProof/>
                <w:webHidden/>
              </w:rPr>
              <w:fldChar w:fldCharType="end"/>
            </w:r>
          </w:hyperlink>
        </w:p>
        <w:p w14:paraId="6A63BC48" w14:textId="603E8321"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883" w:history="1">
            <w:r w:rsidRPr="008A36F9">
              <w:rPr>
                <w:rStyle w:val="Lienhypertexte"/>
                <w:noProof/>
              </w:rPr>
              <w:t>4.4.4.</w:t>
            </w:r>
            <w:r>
              <w:rPr>
                <w:rFonts w:eastAsiaTheme="minorEastAsia"/>
                <w:noProof/>
                <w:kern w:val="2"/>
                <w:sz w:val="24"/>
                <w:szCs w:val="24"/>
                <w:lang w:eastAsia="fr-FR"/>
                <w14:ligatures w14:val="standardContextual"/>
              </w:rPr>
              <w:tab/>
            </w:r>
            <w:r w:rsidRPr="008A36F9">
              <w:rPr>
                <w:rStyle w:val="Lienhypertexte"/>
                <w:noProof/>
              </w:rPr>
              <w:t>Commentaires sur les virements</w:t>
            </w:r>
            <w:r>
              <w:rPr>
                <w:noProof/>
                <w:webHidden/>
              </w:rPr>
              <w:tab/>
            </w:r>
            <w:r>
              <w:rPr>
                <w:noProof/>
                <w:webHidden/>
              </w:rPr>
              <w:fldChar w:fldCharType="begin"/>
            </w:r>
            <w:r>
              <w:rPr>
                <w:noProof/>
                <w:webHidden/>
              </w:rPr>
              <w:instrText xml:space="preserve"> PAGEREF _Toc222476883 \h </w:instrText>
            </w:r>
            <w:r>
              <w:rPr>
                <w:noProof/>
                <w:webHidden/>
              </w:rPr>
            </w:r>
            <w:r>
              <w:rPr>
                <w:noProof/>
                <w:webHidden/>
              </w:rPr>
              <w:fldChar w:fldCharType="separate"/>
            </w:r>
            <w:r w:rsidR="008D4FD2">
              <w:rPr>
                <w:noProof/>
                <w:webHidden/>
              </w:rPr>
              <w:t>46</w:t>
            </w:r>
            <w:r>
              <w:rPr>
                <w:noProof/>
                <w:webHidden/>
              </w:rPr>
              <w:fldChar w:fldCharType="end"/>
            </w:r>
          </w:hyperlink>
        </w:p>
        <w:p w14:paraId="0F3B1397" w14:textId="12E02618" w:rsidR="00F04D7C" w:rsidRDefault="00F04D7C">
          <w:pPr>
            <w:pStyle w:val="TM2"/>
            <w:tabs>
              <w:tab w:val="left" w:pos="960"/>
              <w:tab w:val="right" w:leader="dot" w:pos="9060"/>
            </w:tabs>
            <w:rPr>
              <w:rFonts w:eastAsiaTheme="minorEastAsia"/>
              <w:noProof/>
              <w:kern w:val="2"/>
              <w:sz w:val="24"/>
              <w:szCs w:val="24"/>
              <w:lang w:eastAsia="fr-FR"/>
              <w14:ligatures w14:val="standardContextual"/>
            </w:rPr>
          </w:pPr>
          <w:hyperlink w:anchor="_Toc222476884" w:history="1">
            <w:r w:rsidRPr="008A36F9">
              <w:rPr>
                <w:rStyle w:val="Lienhypertexte"/>
                <w:noProof/>
              </w:rPr>
              <w:t>4.5.</w:t>
            </w:r>
            <w:r>
              <w:rPr>
                <w:rFonts w:eastAsiaTheme="minorEastAsia"/>
                <w:noProof/>
                <w:kern w:val="2"/>
                <w:sz w:val="24"/>
                <w:szCs w:val="24"/>
                <w:lang w:eastAsia="fr-FR"/>
                <w14:ligatures w14:val="standardContextual"/>
              </w:rPr>
              <w:tab/>
            </w:r>
            <w:r w:rsidRPr="008A36F9">
              <w:rPr>
                <w:rStyle w:val="Lienhypertexte"/>
                <w:noProof/>
              </w:rPr>
              <w:t>Prélèvements</w:t>
            </w:r>
            <w:r>
              <w:rPr>
                <w:noProof/>
                <w:webHidden/>
              </w:rPr>
              <w:tab/>
            </w:r>
            <w:r>
              <w:rPr>
                <w:noProof/>
                <w:webHidden/>
              </w:rPr>
              <w:fldChar w:fldCharType="begin"/>
            </w:r>
            <w:r>
              <w:rPr>
                <w:noProof/>
                <w:webHidden/>
              </w:rPr>
              <w:instrText xml:space="preserve"> PAGEREF _Toc222476884 \h </w:instrText>
            </w:r>
            <w:r>
              <w:rPr>
                <w:noProof/>
                <w:webHidden/>
              </w:rPr>
            </w:r>
            <w:r>
              <w:rPr>
                <w:noProof/>
                <w:webHidden/>
              </w:rPr>
              <w:fldChar w:fldCharType="separate"/>
            </w:r>
            <w:r w:rsidR="008D4FD2">
              <w:rPr>
                <w:noProof/>
                <w:webHidden/>
              </w:rPr>
              <w:t>46</w:t>
            </w:r>
            <w:r>
              <w:rPr>
                <w:noProof/>
                <w:webHidden/>
              </w:rPr>
              <w:fldChar w:fldCharType="end"/>
            </w:r>
          </w:hyperlink>
        </w:p>
        <w:p w14:paraId="686B3DE0" w14:textId="780A8C2D"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885" w:history="1">
            <w:r w:rsidRPr="008A36F9">
              <w:rPr>
                <w:rStyle w:val="Lienhypertexte"/>
                <w:noProof/>
              </w:rPr>
              <w:t>4.5.1.</w:t>
            </w:r>
            <w:r>
              <w:rPr>
                <w:rFonts w:eastAsiaTheme="minorEastAsia"/>
                <w:noProof/>
                <w:kern w:val="2"/>
                <w:sz w:val="24"/>
                <w:szCs w:val="24"/>
                <w:lang w:eastAsia="fr-FR"/>
                <w14:ligatures w14:val="standardContextual"/>
              </w:rPr>
              <w:tab/>
            </w:r>
            <w:r w:rsidRPr="008A36F9">
              <w:rPr>
                <w:rStyle w:val="Lienhypertexte"/>
                <w:noProof/>
              </w:rPr>
              <w:t>Prélèvements émis par l’établissement par canal d’autorisation, schéma de prélèvement, zone géographique</w:t>
            </w:r>
            <w:r>
              <w:rPr>
                <w:noProof/>
                <w:webHidden/>
              </w:rPr>
              <w:tab/>
            </w:r>
            <w:r>
              <w:rPr>
                <w:noProof/>
                <w:webHidden/>
              </w:rPr>
              <w:fldChar w:fldCharType="begin"/>
            </w:r>
            <w:r>
              <w:rPr>
                <w:noProof/>
                <w:webHidden/>
              </w:rPr>
              <w:instrText xml:space="preserve"> PAGEREF _Toc222476885 \h </w:instrText>
            </w:r>
            <w:r>
              <w:rPr>
                <w:noProof/>
                <w:webHidden/>
              </w:rPr>
            </w:r>
            <w:r>
              <w:rPr>
                <w:noProof/>
                <w:webHidden/>
              </w:rPr>
              <w:fldChar w:fldCharType="separate"/>
            </w:r>
            <w:r w:rsidR="008D4FD2">
              <w:rPr>
                <w:noProof/>
                <w:webHidden/>
              </w:rPr>
              <w:t>47</w:t>
            </w:r>
            <w:r>
              <w:rPr>
                <w:noProof/>
                <w:webHidden/>
              </w:rPr>
              <w:fldChar w:fldCharType="end"/>
            </w:r>
          </w:hyperlink>
        </w:p>
        <w:p w14:paraId="7531B927" w14:textId="2708CA2C"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886" w:history="1">
            <w:r w:rsidRPr="008A36F9">
              <w:rPr>
                <w:rStyle w:val="Lienhypertexte"/>
                <w:noProof/>
              </w:rPr>
              <w:t>4.5.2.</w:t>
            </w:r>
            <w:r>
              <w:rPr>
                <w:rFonts w:eastAsiaTheme="minorEastAsia"/>
                <w:noProof/>
                <w:kern w:val="2"/>
                <w:sz w:val="24"/>
                <w:szCs w:val="24"/>
                <w:lang w:eastAsia="fr-FR"/>
                <w14:ligatures w14:val="standardContextual"/>
              </w:rPr>
              <w:tab/>
            </w:r>
            <w:r w:rsidRPr="008A36F9">
              <w:rPr>
                <w:rStyle w:val="Lienhypertexte"/>
                <w:noProof/>
              </w:rPr>
              <w:t>Prélèvements émis par l’établissement ventilés par canal d’échange</w:t>
            </w:r>
            <w:r>
              <w:rPr>
                <w:noProof/>
                <w:webHidden/>
              </w:rPr>
              <w:tab/>
            </w:r>
            <w:r>
              <w:rPr>
                <w:noProof/>
                <w:webHidden/>
              </w:rPr>
              <w:fldChar w:fldCharType="begin"/>
            </w:r>
            <w:r>
              <w:rPr>
                <w:noProof/>
                <w:webHidden/>
              </w:rPr>
              <w:instrText xml:space="preserve"> PAGEREF _Toc222476886 \h </w:instrText>
            </w:r>
            <w:r>
              <w:rPr>
                <w:noProof/>
                <w:webHidden/>
              </w:rPr>
            </w:r>
            <w:r>
              <w:rPr>
                <w:noProof/>
                <w:webHidden/>
              </w:rPr>
              <w:fldChar w:fldCharType="separate"/>
            </w:r>
            <w:r w:rsidR="008D4FD2">
              <w:rPr>
                <w:noProof/>
                <w:webHidden/>
              </w:rPr>
              <w:t>48</w:t>
            </w:r>
            <w:r>
              <w:rPr>
                <w:noProof/>
                <w:webHidden/>
              </w:rPr>
              <w:fldChar w:fldCharType="end"/>
            </w:r>
          </w:hyperlink>
        </w:p>
        <w:p w14:paraId="0F98F3E6" w14:textId="2AECD30E"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887" w:history="1">
            <w:r w:rsidRPr="008A36F9">
              <w:rPr>
                <w:rStyle w:val="Lienhypertexte"/>
                <w:noProof/>
              </w:rPr>
              <w:t>4.5.3.</w:t>
            </w:r>
            <w:r>
              <w:rPr>
                <w:rFonts w:eastAsiaTheme="minorEastAsia"/>
                <w:noProof/>
                <w:kern w:val="2"/>
                <w:sz w:val="24"/>
                <w:szCs w:val="24"/>
                <w:lang w:eastAsia="fr-FR"/>
                <w14:ligatures w14:val="standardContextual"/>
              </w:rPr>
              <w:tab/>
            </w:r>
            <w:r w:rsidRPr="008A36F9">
              <w:rPr>
                <w:rStyle w:val="Lienhypertexte"/>
                <w:noProof/>
              </w:rPr>
              <w:t>Prélèvements reçus par l’établissement</w:t>
            </w:r>
            <w:r>
              <w:rPr>
                <w:noProof/>
                <w:webHidden/>
              </w:rPr>
              <w:tab/>
            </w:r>
            <w:r>
              <w:rPr>
                <w:noProof/>
                <w:webHidden/>
              </w:rPr>
              <w:fldChar w:fldCharType="begin"/>
            </w:r>
            <w:r>
              <w:rPr>
                <w:noProof/>
                <w:webHidden/>
              </w:rPr>
              <w:instrText xml:space="preserve"> PAGEREF _Toc222476887 \h </w:instrText>
            </w:r>
            <w:r>
              <w:rPr>
                <w:noProof/>
                <w:webHidden/>
              </w:rPr>
            </w:r>
            <w:r>
              <w:rPr>
                <w:noProof/>
                <w:webHidden/>
              </w:rPr>
              <w:fldChar w:fldCharType="separate"/>
            </w:r>
            <w:r w:rsidR="008D4FD2">
              <w:rPr>
                <w:noProof/>
                <w:webHidden/>
              </w:rPr>
              <w:t>49</w:t>
            </w:r>
            <w:r>
              <w:rPr>
                <w:noProof/>
                <w:webHidden/>
              </w:rPr>
              <w:fldChar w:fldCharType="end"/>
            </w:r>
          </w:hyperlink>
        </w:p>
        <w:p w14:paraId="79D1733A" w14:textId="072F252D"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888" w:history="1">
            <w:r w:rsidRPr="008A36F9">
              <w:rPr>
                <w:rStyle w:val="Lienhypertexte"/>
                <w:noProof/>
              </w:rPr>
              <w:t>4.5.4.</w:t>
            </w:r>
            <w:r>
              <w:rPr>
                <w:rFonts w:eastAsiaTheme="minorEastAsia"/>
                <w:noProof/>
                <w:kern w:val="2"/>
                <w:sz w:val="24"/>
                <w:szCs w:val="24"/>
                <w:lang w:eastAsia="fr-FR"/>
                <w14:ligatures w14:val="standardContextual"/>
              </w:rPr>
              <w:tab/>
            </w:r>
            <w:r w:rsidRPr="008A36F9">
              <w:rPr>
                <w:rStyle w:val="Lienhypertexte"/>
                <w:noProof/>
              </w:rPr>
              <w:t>Commentaires sur les prélèvements</w:t>
            </w:r>
            <w:r>
              <w:rPr>
                <w:noProof/>
                <w:webHidden/>
              </w:rPr>
              <w:tab/>
            </w:r>
            <w:r>
              <w:rPr>
                <w:noProof/>
                <w:webHidden/>
              </w:rPr>
              <w:fldChar w:fldCharType="begin"/>
            </w:r>
            <w:r>
              <w:rPr>
                <w:noProof/>
                <w:webHidden/>
              </w:rPr>
              <w:instrText xml:space="preserve"> PAGEREF _Toc222476888 \h </w:instrText>
            </w:r>
            <w:r>
              <w:rPr>
                <w:noProof/>
                <w:webHidden/>
              </w:rPr>
            </w:r>
            <w:r>
              <w:rPr>
                <w:noProof/>
                <w:webHidden/>
              </w:rPr>
              <w:fldChar w:fldCharType="separate"/>
            </w:r>
            <w:r w:rsidR="008D4FD2">
              <w:rPr>
                <w:noProof/>
                <w:webHidden/>
              </w:rPr>
              <w:t>50</w:t>
            </w:r>
            <w:r>
              <w:rPr>
                <w:noProof/>
                <w:webHidden/>
              </w:rPr>
              <w:fldChar w:fldCharType="end"/>
            </w:r>
          </w:hyperlink>
        </w:p>
        <w:p w14:paraId="733E6C82" w14:textId="4916DA12" w:rsidR="00F04D7C" w:rsidRDefault="00F04D7C">
          <w:pPr>
            <w:pStyle w:val="TM2"/>
            <w:tabs>
              <w:tab w:val="left" w:pos="960"/>
              <w:tab w:val="right" w:leader="dot" w:pos="9060"/>
            </w:tabs>
            <w:rPr>
              <w:rFonts w:eastAsiaTheme="minorEastAsia"/>
              <w:noProof/>
              <w:kern w:val="2"/>
              <w:sz w:val="24"/>
              <w:szCs w:val="24"/>
              <w:lang w:eastAsia="fr-FR"/>
              <w14:ligatures w14:val="standardContextual"/>
            </w:rPr>
          </w:pPr>
          <w:hyperlink w:anchor="_Toc222476889" w:history="1">
            <w:r w:rsidRPr="008A36F9">
              <w:rPr>
                <w:rStyle w:val="Lienhypertexte"/>
                <w:noProof/>
              </w:rPr>
              <w:t>4.6.</w:t>
            </w:r>
            <w:r>
              <w:rPr>
                <w:rFonts w:eastAsiaTheme="minorEastAsia"/>
                <w:noProof/>
                <w:kern w:val="2"/>
                <w:sz w:val="24"/>
                <w:szCs w:val="24"/>
                <w:lang w:eastAsia="fr-FR"/>
                <w14:ligatures w14:val="standardContextual"/>
              </w:rPr>
              <w:tab/>
            </w:r>
            <w:r w:rsidRPr="008A36F9">
              <w:rPr>
                <w:rStyle w:val="Lienhypertexte"/>
                <w:noProof/>
              </w:rPr>
              <w:t>Chèques</w:t>
            </w:r>
            <w:r>
              <w:rPr>
                <w:noProof/>
                <w:webHidden/>
              </w:rPr>
              <w:tab/>
            </w:r>
            <w:r>
              <w:rPr>
                <w:noProof/>
                <w:webHidden/>
              </w:rPr>
              <w:fldChar w:fldCharType="begin"/>
            </w:r>
            <w:r>
              <w:rPr>
                <w:noProof/>
                <w:webHidden/>
              </w:rPr>
              <w:instrText xml:space="preserve"> PAGEREF _Toc222476889 \h </w:instrText>
            </w:r>
            <w:r>
              <w:rPr>
                <w:noProof/>
                <w:webHidden/>
              </w:rPr>
            </w:r>
            <w:r>
              <w:rPr>
                <w:noProof/>
                <w:webHidden/>
              </w:rPr>
              <w:fldChar w:fldCharType="separate"/>
            </w:r>
            <w:r w:rsidR="008D4FD2">
              <w:rPr>
                <w:noProof/>
                <w:webHidden/>
              </w:rPr>
              <w:t>50</w:t>
            </w:r>
            <w:r>
              <w:rPr>
                <w:noProof/>
                <w:webHidden/>
              </w:rPr>
              <w:fldChar w:fldCharType="end"/>
            </w:r>
          </w:hyperlink>
        </w:p>
        <w:p w14:paraId="3CD59B8E" w14:textId="49365169"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890" w:history="1">
            <w:r w:rsidRPr="008A36F9">
              <w:rPr>
                <w:rStyle w:val="Lienhypertexte"/>
                <w:noProof/>
              </w:rPr>
              <w:t>4.6.1.</w:t>
            </w:r>
            <w:r>
              <w:rPr>
                <w:rFonts w:eastAsiaTheme="minorEastAsia"/>
                <w:noProof/>
                <w:kern w:val="2"/>
                <w:sz w:val="24"/>
                <w:szCs w:val="24"/>
                <w:lang w:eastAsia="fr-FR"/>
                <w14:ligatures w14:val="standardContextual"/>
              </w:rPr>
              <w:tab/>
            </w:r>
            <w:r w:rsidRPr="008A36F9">
              <w:rPr>
                <w:rStyle w:val="Lienhypertexte"/>
                <w:noProof/>
              </w:rPr>
              <w:t>Chèques reçus à l’encaissement</w:t>
            </w:r>
            <w:r>
              <w:rPr>
                <w:noProof/>
                <w:webHidden/>
              </w:rPr>
              <w:tab/>
            </w:r>
            <w:r>
              <w:rPr>
                <w:noProof/>
                <w:webHidden/>
              </w:rPr>
              <w:fldChar w:fldCharType="begin"/>
            </w:r>
            <w:r>
              <w:rPr>
                <w:noProof/>
                <w:webHidden/>
              </w:rPr>
              <w:instrText xml:space="preserve"> PAGEREF _Toc222476890 \h </w:instrText>
            </w:r>
            <w:r>
              <w:rPr>
                <w:noProof/>
                <w:webHidden/>
              </w:rPr>
            </w:r>
            <w:r>
              <w:rPr>
                <w:noProof/>
                <w:webHidden/>
              </w:rPr>
              <w:fldChar w:fldCharType="separate"/>
            </w:r>
            <w:r w:rsidR="008D4FD2">
              <w:rPr>
                <w:noProof/>
                <w:webHidden/>
              </w:rPr>
              <w:t>50</w:t>
            </w:r>
            <w:r>
              <w:rPr>
                <w:noProof/>
                <w:webHidden/>
              </w:rPr>
              <w:fldChar w:fldCharType="end"/>
            </w:r>
          </w:hyperlink>
        </w:p>
        <w:p w14:paraId="69BD78D1" w14:textId="75CB0AFB"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891" w:history="1">
            <w:r w:rsidRPr="008A36F9">
              <w:rPr>
                <w:rStyle w:val="Lienhypertexte"/>
                <w:noProof/>
              </w:rPr>
              <w:t>4.6.2.</w:t>
            </w:r>
            <w:r>
              <w:rPr>
                <w:rFonts w:eastAsiaTheme="minorEastAsia"/>
                <w:noProof/>
                <w:kern w:val="2"/>
                <w:sz w:val="24"/>
                <w:szCs w:val="24"/>
                <w:lang w:eastAsia="fr-FR"/>
                <w14:ligatures w14:val="standardContextual"/>
              </w:rPr>
              <w:tab/>
            </w:r>
            <w:r w:rsidRPr="008A36F9">
              <w:rPr>
                <w:rStyle w:val="Lienhypertexte"/>
                <w:noProof/>
              </w:rPr>
              <w:t>Chèques reçus par l’établissement ventilés par canal d’échange</w:t>
            </w:r>
            <w:r>
              <w:rPr>
                <w:noProof/>
                <w:webHidden/>
              </w:rPr>
              <w:tab/>
            </w:r>
            <w:r>
              <w:rPr>
                <w:noProof/>
                <w:webHidden/>
              </w:rPr>
              <w:fldChar w:fldCharType="begin"/>
            </w:r>
            <w:r>
              <w:rPr>
                <w:noProof/>
                <w:webHidden/>
              </w:rPr>
              <w:instrText xml:space="preserve"> PAGEREF _Toc222476891 \h </w:instrText>
            </w:r>
            <w:r>
              <w:rPr>
                <w:noProof/>
                <w:webHidden/>
              </w:rPr>
            </w:r>
            <w:r>
              <w:rPr>
                <w:noProof/>
                <w:webHidden/>
              </w:rPr>
              <w:fldChar w:fldCharType="separate"/>
            </w:r>
            <w:r w:rsidR="008D4FD2">
              <w:rPr>
                <w:noProof/>
                <w:webHidden/>
              </w:rPr>
              <w:t>51</w:t>
            </w:r>
            <w:r>
              <w:rPr>
                <w:noProof/>
                <w:webHidden/>
              </w:rPr>
              <w:fldChar w:fldCharType="end"/>
            </w:r>
          </w:hyperlink>
        </w:p>
        <w:p w14:paraId="24D0C8C9" w14:textId="3841747B"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892" w:history="1">
            <w:r w:rsidRPr="008A36F9">
              <w:rPr>
                <w:rStyle w:val="Lienhypertexte"/>
                <w:noProof/>
              </w:rPr>
              <w:t>4.6.3.</w:t>
            </w:r>
            <w:r>
              <w:rPr>
                <w:rFonts w:eastAsiaTheme="minorEastAsia"/>
                <w:noProof/>
                <w:kern w:val="2"/>
                <w:sz w:val="24"/>
                <w:szCs w:val="24"/>
                <w:lang w:eastAsia="fr-FR"/>
                <w14:ligatures w14:val="standardContextual"/>
              </w:rPr>
              <w:tab/>
            </w:r>
            <w:r w:rsidRPr="008A36F9">
              <w:rPr>
                <w:rStyle w:val="Lienhypertexte"/>
                <w:noProof/>
              </w:rPr>
              <w:t>Chèques tirés sur les comptes de l’établissement</w:t>
            </w:r>
            <w:r>
              <w:rPr>
                <w:noProof/>
                <w:webHidden/>
              </w:rPr>
              <w:tab/>
            </w:r>
            <w:r>
              <w:rPr>
                <w:noProof/>
                <w:webHidden/>
              </w:rPr>
              <w:fldChar w:fldCharType="begin"/>
            </w:r>
            <w:r>
              <w:rPr>
                <w:noProof/>
                <w:webHidden/>
              </w:rPr>
              <w:instrText xml:space="preserve"> PAGEREF _Toc222476892 \h </w:instrText>
            </w:r>
            <w:r>
              <w:rPr>
                <w:noProof/>
                <w:webHidden/>
              </w:rPr>
            </w:r>
            <w:r>
              <w:rPr>
                <w:noProof/>
                <w:webHidden/>
              </w:rPr>
              <w:fldChar w:fldCharType="separate"/>
            </w:r>
            <w:r w:rsidR="008D4FD2">
              <w:rPr>
                <w:noProof/>
                <w:webHidden/>
              </w:rPr>
              <w:t>51</w:t>
            </w:r>
            <w:r>
              <w:rPr>
                <w:noProof/>
                <w:webHidden/>
              </w:rPr>
              <w:fldChar w:fldCharType="end"/>
            </w:r>
          </w:hyperlink>
        </w:p>
        <w:p w14:paraId="78B39F35" w14:textId="1022B11D"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893" w:history="1">
            <w:r w:rsidRPr="008A36F9">
              <w:rPr>
                <w:rStyle w:val="Lienhypertexte"/>
                <w:noProof/>
              </w:rPr>
              <w:t>4.6.4.</w:t>
            </w:r>
            <w:r>
              <w:rPr>
                <w:rFonts w:eastAsiaTheme="minorEastAsia"/>
                <w:noProof/>
                <w:kern w:val="2"/>
                <w:sz w:val="24"/>
                <w:szCs w:val="24"/>
                <w:lang w:eastAsia="fr-FR"/>
                <w14:ligatures w14:val="standardContextual"/>
              </w:rPr>
              <w:tab/>
            </w:r>
            <w:r w:rsidRPr="008A36F9">
              <w:rPr>
                <w:rStyle w:val="Lienhypertexte"/>
                <w:noProof/>
              </w:rPr>
              <w:t>Opérations EIC</w:t>
            </w:r>
            <w:r>
              <w:rPr>
                <w:noProof/>
                <w:webHidden/>
              </w:rPr>
              <w:tab/>
            </w:r>
            <w:r>
              <w:rPr>
                <w:noProof/>
                <w:webHidden/>
              </w:rPr>
              <w:fldChar w:fldCharType="begin"/>
            </w:r>
            <w:r>
              <w:rPr>
                <w:noProof/>
                <w:webHidden/>
              </w:rPr>
              <w:instrText xml:space="preserve"> PAGEREF _Toc222476893 \h </w:instrText>
            </w:r>
            <w:r>
              <w:rPr>
                <w:noProof/>
                <w:webHidden/>
              </w:rPr>
            </w:r>
            <w:r>
              <w:rPr>
                <w:noProof/>
                <w:webHidden/>
              </w:rPr>
              <w:fldChar w:fldCharType="separate"/>
            </w:r>
            <w:r w:rsidR="008D4FD2">
              <w:rPr>
                <w:noProof/>
                <w:webHidden/>
              </w:rPr>
              <w:t>52</w:t>
            </w:r>
            <w:r>
              <w:rPr>
                <w:noProof/>
                <w:webHidden/>
              </w:rPr>
              <w:fldChar w:fldCharType="end"/>
            </w:r>
          </w:hyperlink>
        </w:p>
        <w:p w14:paraId="1DEFAC71" w14:textId="619A0630"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894" w:history="1">
            <w:r w:rsidRPr="008A36F9">
              <w:rPr>
                <w:rStyle w:val="Lienhypertexte"/>
                <w:noProof/>
              </w:rPr>
              <w:t>4.6.5.</w:t>
            </w:r>
            <w:r>
              <w:rPr>
                <w:rFonts w:eastAsiaTheme="minorEastAsia"/>
                <w:noProof/>
                <w:kern w:val="2"/>
                <w:sz w:val="24"/>
                <w:szCs w:val="24"/>
                <w:lang w:eastAsia="fr-FR"/>
                <w14:ligatures w14:val="standardContextual"/>
              </w:rPr>
              <w:tab/>
            </w:r>
            <w:r w:rsidRPr="008A36F9">
              <w:rPr>
                <w:rStyle w:val="Lienhypertexte"/>
                <w:noProof/>
              </w:rPr>
              <w:t>Commentaires sur les chèques</w:t>
            </w:r>
            <w:r>
              <w:rPr>
                <w:noProof/>
                <w:webHidden/>
              </w:rPr>
              <w:tab/>
            </w:r>
            <w:r>
              <w:rPr>
                <w:noProof/>
                <w:webHidden/>
              </w:rPr>
              <w:fldChar w:fldCharType="begin"/>
            </w:r>
            <w:r>
              <w:rPr>
                <w:noProof/>
                <w:webHidden/>
              </w:rPr>
              <w:instrText xml:space="preserve"> PAGEREF _Toc222476894 \h </w:instrText>
            </w:r>
            <w:r>
              <w:rPr>
                <w:noProof/>
                <w:webHidden/>
              </w:rPr>
            </w:r>
            <w:r>
              <w:rPr>
                <w:noProof/>
                <w:webHidden/>
              </w:rPr>
              <w:fldChar w:fldCharType="separate"/>
            </w:r>
            <w:r w:rsidR="008D4FD2">
              <w:rPr>
                <w:noProof/>
                <w:webHidden/>
              </w:rPr>
              <w:t>52</w:t>
            </w:r>
            <w:r>
              <w:rPr>
                <w:noProof/>
                <w:webHidden/>
              </w:rPr>
              <w:fldChar w:fldCharType="end"/>
            </w:r>
          </w:hyperlink>
        </w:p>
        <w:p w14:paraId="0EB72C04" w14:textId="2DE47B18" w:rsidR="00F04D7C" w:rsidRDefault="00F04D7C">
          <w:pPr>
            <w:pStyle w:val="TM2"/>
            <w:tabs>
              <w:tab w:val="left" w:pos="960"/>
              <w:tab w:val="right" w:leader="dot" w:pos="9060"/>
            </w:tabs>
            <w:rPr>
              <w:rFonts w:eastAsiaTheme="minorEastAsia"/>
              <w:noProof/>
              <w:kern w:val="2"/>
              <w:sz w:val="24"/>
              <w:szCs w:val="24"/>
              <w:lang w:eastAsia="fr-FR"/>
              <w14:ligatures w14:val="standardContextual"/>
            </w:rPr>
          </w:pPr>
          <w:hyperlink w:anchor="_Toc222476895" w:history="1">
            <w:r w:rsidRPr="008A36F9">
              <w:rPr>
                <w:rStyle w:val="Lienhypertexte"/>
                <w:noProof/>
              </w:rPr>
              <w:t>4.7.</w:t>
            </w:r>
            <w:r>
              <w:rPr>
                <w:rFonts w:eastAsiaTheme="minorEastAsia"/>
                <w:noProof/>
                <w:kern w:val="2"/>
                <w:sz w:val="24"/>
                <w:szCs w:val="24"/>
                <w:lang w:eastAsia="fr-FR"/>
                <w14:ligatures w14:val="standardContextual"/>
              </w:rPr>
              <w:tab/>
            </w:r>
            <w:r w:rsidRPr="008A36F9">
              <w:rPr>
                <w:rStyle w:val="Lienhypertexte"/>
                <w:noProof/>
              </w:rPr>
              <w:t>Lettres de change relevé (LCR) – Billets à ordre (BOR)</w:t>
            </w:r>
            <w:r>
              <w:rPr>
                <w:noProof/>
                <w:webHidden/>
              </w:rPr>
              <w:tab/>
            </w:r>
            <w:r>
              <w:rPr>
                <w:noProof/>
                <w:webHidden/>
              </w:rPr>
              <w:fldChar w:fldCharType="begin"/>
            </w:r>
            <w:r>
              <w:rPr>
                <w:noProof/>
                <w:webHidden/>
              </w:rPr>
              <w:instrText xml:space="preserve"> PAGEREF _Toc222476895 \h </w:instrText>
            </w:r>
            <w:r>
              <w:rPr>
                <w:noProof/>
                <w:webHidden/>
              </w:rPr>
            </w:r>
            <w:r>
              <w:rPr>
                <w:noProof/>
                <w:webHidden/>
              </w:rPr>
              <w:fldChar w:fldCharType="separate"/>
            </w:r>
            <w:r w:rsidR="008D4FD2">
              <w:rPr>
                <w:noProof/>
                <w:webHidden/>
              </w:rPr>
              <w:t>52</w:t>
            </w:r>
            <w:r>
              <w:rPr>
                <w:noProof/>
                <w:webHidden/>
              </w:rPr>
              <w:fldChar w:fldCharType="end"/>
            </w:r>
          </w:hyperlink>
        </w:p>
        <w:p w14:paraId="24205B70" w14:textId="12C81B5C"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896" w:history="1">
            <w:r w:rsidRPr="008A36F9">
              <w:rPr>
                <w:rStyle w:val="Lienhypertexte"/>
                <w:noProof/>
              </w:rPr>
              <w:t>4.7.1.</w:t>
            </w:r>
            <w:r>
              <w:rPr>
                <w:rFonts w:eastAsiaTheme="minorEastAsia"/>
                <w:noProof/>
                <w:kern w:val="2"/>
                <w:sz w:val="24"/>
                <w:szCs w:val="24"/>
                <w:lang w:eastAsia="fr-FR"/>
                <w14:ligatures w14:val="standardContextual"/>
              </w:rPr>
              <w:tab/>
            </w:r>
            <w:r w:rsidRPr="008A36F9">
              <w:rPr>
                <w:rStyle w:val="Lienhypertexte"/>
                <w:noProof/>
              </w:rPr>
              <w:t>LCR – BOR émis par l’établissement</w:t>
            </w:r>
            <w:r>
              <w:rPr>
                <w:noProof/>
                <w:webHidden/>
              </w:rPr>
              <w:tab/>
            </w:r>
            <w:r>
              <w:rPr>
                <w:noProof/>
                <w:webHidden/>
              </w:rPr>
              <w:fldChar w:fldCharType="begin"/>
            </w:r>
            <w:r>
              <w:rPr>
                <w:noProof/>
                <w:webHidden/>
              </w:rPr>
              <w:instrText xml:space="preserve"> PAGEREF _Toc222476896 \h </w:instrText>
            </w:r>
            <w:r>
              <w:rPr>
                <w:noProof/>
                <w:webHidden/>
              </w:rPr>
            </w:r>
            <w:r>
              <w:rPr>
                <w:noProof/>
                <w:webHidden/>
              </w:rPr>
              <w:fldChar w:fldCharType="separate"/>
            </w:r>
            <w:r w:rsidR="008D4FD2">
              <w:rPr>
                <w:noProof/>
                <w:webHidden/>
              </w:rPr>
              <w:t>52</w:t>
            </w:r>
            <w:r>
              <w:rPr>
                <w:noProof/>
                <w:webHidden/>
              </w:rPr>
              <w:fldChar w:fldCharType="end"/>
            </w:r>
          </w:hyperlink>
        </w:p>
        <w:p w14:paraId="0860A431" w14:textId="67F05549"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897" w:history="1">
            <w:r w:rsidRPr="008A36F9">
              <w:rPr>
                <w:rStyle w:val="Lienhypertexte"/>
                <w:noProof/>
              </w:rPr>
              <w:t>4.7.2.</w:t>
            </w:r>
            <w:r>
              <w:rPr>
                <w:rFonts w:eastAsiaTheme="minorEastAsia"/>
                <w:noProof/>
                <w:kern w:val="2"/>
                <w:sz w:val="24"/>
                <w:szCs w:val="24"/>
                <w:lang w:eastAsia="fr-FR"/>
                <w14:ligatures w14:val="standardContextual"/>
              </w:rPr>
              <w:tab/>
            </w:r>
            <w:r w:rsidRPr="008A36F9">
              <w:rPr>
                <w:rStyle w:val="Lienhypertexte"/>
                <w:noProof/>
              </w:rPr>
              <w:t>LCR-BOR émis par l’établissement ventilés par canal d’échange</w:t>
            </w:r>
            <w:r>
              <w:rPr>
                <w:noProof/>
                <w:webHidden/>
              </w:rPr>
              <w:tab/>
            </w:r>
            <w:r>
              <w:rPr>
                <w:noProof/>
                <w:webHidden/>
              </w:rPr>
              <w:fldChar w:fldCharType="begin"/>
            </w:r>
            <w:r>
              <w:rPr>
                <w:noProof/>
                <w:webHidden/>
              </w:rPr>
              <w:instrText xml:space="preserve"> PAGEREF _Toc222476897 \h </w:instrText>
            </w:r>
            <w:r>
              <w:rPr>
                <w:noProof/>
                <w:webHidden/>
              </w:rPr>
            </w:r>
            <w:r>
              <w:rPr>
                <w:noProof/>
                <w:webHidden/>
              </w:rPr>
              <w:fldChar w:fldCharType="separate"/>
            </w:r>
            <w:r w:rsidR="008D4FD2">
              <w:rPr>
                <w:noProof/>
                <w:webHidden/>
              </w:rPr>
              <w:t>53</w:t>
            </w:r>
            <w:r>
              <w:rPr>
                <w:noProof/>
                <w:webHidden/>
              </w:rPr>
              <w:fldChar w:fldCharType="end"/>
            </w:r>
          </w:hyperlink>
        </w:p>
        <w:p w14:paraId="7E87B0BB" w14:textId="1062286C"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898" w:history="1">
            <w:r w:rsidRPr="008A36F9">
              <w:rPr>
                <w:rStyle w:val="Lienhypertexte"/>
                <w:noProof/>
              </w:rPr>
              <w:t>4.7.3.</w:t>
            </w:r>
            <w:r>
              <w:rPr>
                <w:rFonts w:eastAsiaTheme="minorEastAsia"/>
                <w:noProof/>
                <w:kern w:val="2"/>
                <w:sz w:val="24"/>
                <w:szCs w:val="24"/>
                <w:lang w:eastAsia="fr-FR"/>
                <w14:ligatures w14:val="standardContextual"/>
              </w:rPr>
              <w:tab/>
            </w:r>
            <w:r w:rsidRPr="008A36F9">
              <w:rPr>
                <w:rStyle w:val="Lienhypertexte"/>
                <w:noProof/>
              </w:rPr>
              <w:t>LCR – BOR reçus par l’établissement</w:t>
            </w:r>
            <w:r>
              <w:rPr>
                <w:noProof/>
                <w:webHidden/>
              </w:rPr>
              <w:tab/>
            </w:r>
            <w:r>
              <w:rPr>
                <w:noProof/>
                <w:webHidden/>
              </w:rPr>
              <w:fldChar w:fldCharType="begin"/>
            </w:r>
            <w:r>
              <w:rPr>
                <w:noProof/>
                <w:webHidden/>
              </w:rPr>
              <w:instrText xml:space="preserve"> PAGEREF _Toc222476898 \h </w:instrText>
            </w:r>
            <w:r>
              <w:rPr>
                <w:noProof/>
                <w:webHidden/>
              </w:rPr>
            </w:r>
            <w:r>
              <w:rPr>
                <w:noProof/>
                <w:webHidden/>
              </w:rPr>
              <w:fldChar w:fldCharType="separate"/>
            </w:r>
            <w:r w:rsidR="008D4FD2">
              <w:rPr>
                <w:noProof/>
                <w:webHidden/>
              </w:rPr>
              <w:t>53</w:t>
            </w:r>
            <w:r>
              <w:rPr>
                <w:noProof/>
                <w:webHidden/>
              </w:rPr>
              <w:fldChar w:fldCharType="end"/>
            </w:r>
          </w:hyperlink>
        </w:p>
        <w:p w14:paraId="3693FA55" w14:textId="712E1D7C"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899" w:history="1">
            <w:r w:rsidRPr="008A36F9">
              <w:rPr>
                <w:rStyle w:val="Lienhypertexte"/>
                <w:noProof/>
              </w:rPr>
              <w:t>4.7.4.</w:t>
            </w:r>
            <w:r>
              <w:rPr>
                <w:rFonts w:eastAsiaTheme="minorEastAsia"/>
                <w:noProof/>
                <w:kern w:val="2"/>
                <w:sz w:val="24"/>
                <w:szCs w:val="24"/>
                <w:lang w:eastAsia="fr-FR"/>
                <w14:ligatures w14:val="standardContextual"/>
              </w:rPr>
              <w:tab/>
            </w:r>
            <w:r w:rsidRPr="008A36F9">
              <w:rPr>
                <w:rStyle w:val="Lienhypertexte"/>
                <w:noProof/>
              </w:rPr>
              <w:t>Commentaires sur les LCR – BOR</w:t>
            </w:r>
            <w:r>
              <w:rPr>
                <w:noProof/>
                <w:webHidden/>
              </w:rPr>
              <w:tab/>
            </w:r>
            <w:r>
              <w:rPr>
                <w:noProof/>
                <w:webHidden/>
              </w:rPr>
              <w:fldChar w:fldCharType="begin"/>
            </w:r>
            <w:r>
              <w:rPr>
                <w:noProof/>
                <w:webHidden/>
              </w:rPr>
              <w:instrText xml:space="preserve"> PAGEREF _Toc222476899 \h </w:instrText>
            </w:r>
            <w:r>
              <w:rPr>
                <w:noProof/>
                <w:webHidden/>
              </w:rPr>
            </w:r>
            <w:r>
              <w:rPr>
                <w:noProof/>
                <w:webHidden/>
              </w:rPr>
              <w:fldChar w:fldCharType="separate"/>
            </w:r>
            <w:r w:rsidR="008D4FD2">
              <w:rPr>
                <w:noProof/>
                <w:webHidden/>
              </w:rPr>
              <w:t>54</w:t>
            </w:r>
            <w:r>
              <w:rPr>
                <w:noProof/>
                <w:webHidden/>
              </w:rPr>
              <w:fldChar w:fldCharType="end"/>
            </w:r>
          </w:hyperlink>
        </w:p>
        <w:p w14:paraId="65F76738" w14:textId="715C6693" w:rsidR="00F04D7C" w:rsidRDefault="00F04D7C">
          <w:pPr>
            <w:pStyle w:val="TM2"/>
            <w:tabs>
              <w:tab w:val="left" w:pos="960"/>
              <w:tab w:val="right" w:leader="dot" w:pos="9060"/>
            </w:tabs>
            <w:rPr>
              <w:rFonts w:eastAsiaTheme="minorEastAsia"/>
              <w:noProof/>
              <w:kern w:val="2"/>
              <w:sz w:val="24"/>
              <w:szCs w:val="24"/>
              <w:lang w:eastAsia="fr-FR"/>
              <w14:ligatures w14:val="standardContextual"/>
            </w:rPr>
          </w:pPr>
          <w:hyperlink w:anchor="_Toc222476900" w:history="1">
            <w:r w:rsidRPr="008A36F9">
              <w:rPr>
                <w:rStyle w:val="Lienhypertexte"/>
                <w:noProof/>
              </w:rPr>
              <w:t>4.8.</w:t>
            </w:r>
            <w:r>
              <w:rPr>
                <w:rFonts w:eastAsiaTheme="minorEastAsia"/>
                <w:noProof/>
                <w:kern w:val="2"/>
                <w:sz w:val="24"/>
                <w:szCs w:val="24"/>
                <w:lang w:eastAsia="fr-FR"/>
                <w14:ligatures w14:val="standardContextual"/>
              </w:rPr>
              <w:tab/>
            </w:r>
            <w:r w:rsidRPr="008A36F9">
              <w:rPr>
                <w:rStyle w:val="Lienhypertexte"/>
                <w:noProof/>
              </w:rPr>
              <w:t>Opérations de transmission de fonds</w:t>
            </w:r>
            <w:r>
              <w:rPr>
                <w:noProof/>
                <w:webHidden/>
              </w:rPr>
              <w:tab/>
            </w:r>
            <w:r>
              <w:rPr>
                <w:noProof/>
                <w:webHidden/>
              </w:rPr>
              <w:fldChar w:fldCharType="begin"/>
            </w:r>
            <w:r>
              <w:rPr>
                <w:noProof/>
                <w:webHidden/>
              </w:rPr>
              <w:instrText xml:space="preserve"> PAGEREF _Toc222476900 \h </w:instrText>
            </w:r>
            <w:r>
              <w:rPr>
                <w:noProof/>
                <w:webHidden/>
              </w:rPr>
            </w:r>
            <w:r>
              <w:rPr>
                <w:noProof/>
                <w:webHidden/>
              </w:rPr>
              <w:fldChar w:fldCharType="separate"/>
            </w:r>
            <w:r w:rsidR="008D4FD2">
              <w:rPr>
                <w:noProof/>
                <w:webHidden/>
              </w:rPr>
              <w:t>54</w:t>
            </w:r>
            <w:r>
              <w:rPr>
                <w:noProof/>
                <w:webHidden/>
              </w:rPr>
              <w:fldChar w:fldCharType="end"/>
            </w:r>
          </w:hyperlink>
        </w:p>
        <w:p w14:paraId="5F3FAF1A" w14:textId="56B4DDBA"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901" w:history="1">
            <w:r w:rsidRPr="008A36F9">
              <w:rPr>
                <w:rStyle w:val="Lienhypertexte"/>
                <w:noProof/>
              </w:rPr>
              <w:t>4.8.1.</w:t>
            </w:r>
            <w:r>
              <w:rPr>
                <w:rFonts w:eastAsiaTheme="minorEastAsia"/>
                <w:noProof/>
                <w:kern w:val="2"/>
                <w:sz w:val="24"/>
                <w:szCs w:val="24"/>
                <w:lang w:eastAsia="fr-FR"/>
                <w14:ligatures w14:val="standardContextual"/>
              </w:rPr>
              <w:tab/>
            </w:r>
            <w:r w:rsidRPr="008A36F9">
              <w:rPr>
                <w:rStyle w:val="Lienhypertexte"/>
                <w:noProof/>
              </w:rPr>
              <w:t>Opérations de transmission de fonds émises par l’établissement</w:t>
            </w:r>
            <w:r>
              <w:rPr>
                <w:noProof/>
                <w:webHidden/>
              </w:rPr>
              <w:tab/>
            </w:r>
            <w:r>
              <w:rPr>
                <w:noProof/>
                <w:webHidden/>
              </w:rPr>
              <w:fldChar w:fldCharType="begin"/>
            </w:r>
            <w:r>
              <w:rPr>
                <w:noProof/>
                <w:webHidden/>
              </w:rPr>
              <w:instrText xml:space="preserve"> PAGEREF _Toc222476901 \h </w:instrText>
            </w:r>
            <w:r>
              <w:rPr>
                <w:noProof/>
                <w:webHidden/>
              </w:rPr>
            </w:r>
            <w:r>
              <w:rPr>
                <w:noProof/>
                <w:webHidden/>
              </w:rPr>
              <w:fldChar w:fldCharType="separate"/>
            </w:r>
            <w:r w:rsidR="008D4FD2">
              <w:rPr>
                <w:noProof/>
                <w:webHidden/>
              </w:rPr>
              <w:t>54</w:t>
            </w:r>
            <w:r>
              <w:rPr>
                <w:noProof/>
                <w:webHidden/>
              </w:rPr>
              <w:fldChar w:fldCharType="end"/>
            </w:r>
          </w:hyperlink>
        </w:p>
        <w:p w14:paraId="292D5788" w14:textId="600B8B1D"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902" w:history="1">
            <w:r w:rsidRPr="008A36F9">
              <w:rPr>
                <w:rStyle w:val="Lienhypertexte"/>
                <w:noProof/>
              </w:rPr>
              <w:t>4.8.2.</w:t>
            </w:r>
            <w:r>
              <w:rPr>
                <w:rFonts w:eastAsiaTheme="minorEastAsia"/>
                <w:noProof/>
                <w:kern w:val="2"/>
                <w:sz w:val="24"/>
                <w:szCs w:val="24"/>
                <w:lang w:eastAsia="fr-FR"/>
                <w14:ligatures w14:val="standardContextual"/>
              </w:rPr>
              <w:tab/>
            </w:r>
            <w:r w:rsidRPr="008A36F9">
              <w:rPr>
                <w:rStyle w:val="Lienhypertexte"/>
                <w:noProof/>
              </w:rPr>
              <w:t>Opérations de transmission de fonds reçues par l’établissement</w:t>
            </w:r>
            <w:r>
              <w:rPr>
                <w:noProof/>
                <w:webHidden/>
              </w:rPr>
              <w:tab/>
            </w:r>
            <w:r>
              <w:rPr>
                <w:noProof/>
                <w:webHidden/>
              </w:rPr>
              <w:fldChar w:fldCharType="begin"/>
            </w:r>
            <w:r>
              <w:rPr>
                <w:noProof/>
                <w:webHidden/>
              </w:rPr>
              <w:instrText xml:space="preserve"> PAGEREF _Toc222476902 \h </w:instrText>
            </w:r>
            <w:r>
              <w:rPr>
                <w:noProof/>
                <w:webHidden/>
              </w:rPr>
            </w:r>
            <w:r>
              <w:rPr>
                <w:noProof/>
                <w:webHidden/>
              </w:rPr>
              <w:fldChar w:fldCharType="separate"/>
            </w:r>
            <w:r w:rsidR="008D4FD2">
              <w:rPr>
                <w:noProof/>
                <w:webHidden/>
              </w:rPr>
              <w:t>55</w:t>
            </w:r>
            <w:r>
              <w:rPr>
                <w:noProof/>
                <w:webHidden/>
              </w:rPr>
              <w:fldChar w:fldCharType="end"/>
            </w:r>
          </w:hyperlink>
        </w:p>
        <w:p w14:paraId="4B83C323" w14:textId="74C64464"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903" w:history="1">
            <w:r w:rsidRPr="008A36F9">
              <w:rPr>
                <w:rStyle w:val="Lienhypertexte"/>
                <w:noProof/>
              </w:rPr>
              <w:t>4.8.3.</w:t>
            </w:r>
            <w:r>
              <w:rPr>
                <w:rFonts w:eastAsiaTheme="minorEastAsia"/>
                <w:noProof/>
                <w:kern w:val="2"/>
                <w:sz w:val="24"/>
                <w:szCs w:val="24"/>
                <w:lang w:eastAsia="fr-FR"/>
                <w14:ligatures w14:val="standardContextual"/>
              </w:rPr>
              <w:tab/>
            </w:r>
            <w:r w:rsidRPr="008A36F9">
              <w:rPr>
                <w:rStyle w:val="Lienhypertexte"/>
                <w:noProof/>
              </w:rPr>
              <w:t>Commentaires sur les opérations de transmission de fonds</w:t>
            </w:r>
            <w:r>
              <w:rPr>
                <w:noProof/>
                <w:webHidden/>
              </w:rPr>
              <w:tab/>
            </w:r>
            <w:r>
              <w:rPr>
                <w:noProof/>
                <w:webHidden/>
              </w:rPr>
              <w:fldChar w:fldCharType="begin"/>
            </w:r>
            <w:r>
              <w:rPr>
                <w:noProof/>
                <w:webHidden/>
              </w:rPr>
              <w:instrText xml:space="preserve"> PAGEREF _Toc222476903 \h </w:instrText>
            </w:r>
            <w:r>
              <w:rPr>
                <w:noProof/>
                <w:webHidden/>
              </w:rPr>
            </w:r>
            <w:r>
              <w:rPr>
                <w:noProof/>
                <w:webHidden/>
              </w:rPr>
              <w:fldChar w:fldCharType="separate"/>
            </w:r>
            <w:r w:rsidR="008D4FD2">
              <w:rPr>
                <w:noProof/>
                <w:webHidden/>
              </w:rPr>
              <w:t>55</w:t>
            </w:r>
            <w:r>
              <w:rPr>
                <w:noProof/>
                <w:webHidden/>
              </w:rPr>
              <w:fldChar w:fldCharType="end"/>
            </w:r>
          </w:hyperlink>
        </w:p>
        <w:p w14:paraId="18E2018A" w14:textId="4B7588FA" w:rsidR="00F04D7C" w:rsidRDefault="00F04D7C">
          <w:pPr>
            <w:pStyle w:val="TM2"/>
            <w:tabs>
              <w:tab w:val="left" w:pos="960"/>
              <w:tab w:val="right" w:leader="dot" w:pos="9060"/>
            </w:tabs>
            <w:rPr>
              <w:rFonts w:eastAsiaTheme="minorEastAsia"/>
              <w:noProof/>
              <w:kern w:val="2"/>
              <w:sz w:val="24"/>
              <w:szCs w:val="24"/>
              <w:lang w:eastAsia="fr-FR"/>
              <w14:ligatures w14:val="standardContextual"/>
            </w:rPr>
          </w:pPr>
          <w:hyperlink w:anchor="_Toc222476904" w:history="1">
            <w:r w:rsidRPr="008A36F9">
              <w:rPr>
                <w:rStyle w:val="Lienhypertexte"/>
                <w:noProof/>
              </w:rPr>
              <w:t>4.9.</w:t>
            </w:r>
            <w:r>
              <w:rPr>
                <w:rFonts w:eastAsiaTheme="minorEastAsia"/>
                <w:noProof/>
                <w:kern w:val="2"/>
                <w:sz w:val="24"/>
                <w:szCs w:val="24"/>
                <w:lang w:eastAsia="fr-FR"/>
                <w14:ligatures w14:val="standardContextual"/>
              </w:rPr>
              <w:tab/>
            </w:r>
            <w:r w:rsidRPr="008A36F9">
              <w:rPr>
                <w:rStyle w:val="Lienhypertexte"/>
                <w:noProof/>
              </w:rPr>
              <w:t>Opérations de paiement initiées par l’établissement en tant que PSIP</w:t>
            </w:r>
            <w:r>
              <w:rPr>
                <w:noProof/>
                <w:webHidden/>
              </w:rPr>
              <w:tab/>
            </w:r>
            <w:r>
              <w:rPr>
                <w:noProof/>
                <w:webHidden/>
              </w:rPr>
              <w:fldChar w:fldCharType="begin"/>
            </w:r>
            <w:r>
              <w:rPr>
                <w:noProof/>
                <w:webHidden/>
              </w:rPr>
              <w:instrText xml:space="preserve"> PAGEREF _Toc222476904 \h </w:instrText>
            </w:r>
            <w:r>
              <w:rPr>
                <w:noProof/>
                <w:webHidden/>
              </w:rPr>
            </w:r>
            <w:r>
              <w:rPr>
                <w:noProof/>
                <w:webHidden/>
              </w:rPr>
              <w:fldChar w:fldCharType="separate"/>
            </w:r>
            <w:r w:rsidR="008D4FD2">
              <w:rPr>
                <w:noProof/>
                <w:webHidden/>
              </w:rPr>
              <w:t>55</w:t>
            </w:r>
            <w:r>
              <w:rPr>
                <w:noProof/>
                <w:webHidden/>
              </w:rPr>
              <w:fldChar w:fldCharType="end"/>
            </w:r>
          </w:hyperlink>
        </w:p>
        <w:p w14:paraId="3161CD39" w14:textId="5D80ED89"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905" w:history="1">
            <w:r w:rsidRPr="008A36F9">
              <w:rPr>
                <w:rStyle w:val="Lienhypertexte"/>
                <w:noProof/>
              </w:rPr>
              <w:t>4.9.1.</w:t>
            </w:r>
            <w:r>
              <w:rPr>
                <w:rFonts w:eastAsiaTheme="minorEastAsia"/>
                <w:noProof/>
                <w:kern w:val="2"/>
                <w:sz w:val="24"/>
                <w:szCs w:val="24"/>
                <w:lang w:eastAsia="fr-FR"/>
                <w14:ligatures w14:val="standardContextual"/>
              </w:rPr>
              <w:tab/>
            </w:r>
            <w:r w:rsidRPr="008A36F9">
              <w:rPr>
                <w:rStyle w:val="Lienhypertexte"/>
                <w:noProof/>
              </w:rPr>
              <w:t>Opérations de paiement initiées par l’établissement ventilées par canal d’initiation, zone géographique, méthode d’authentification et motif d’exemption à l’application de l’authentification forte</w:t>
            </w:r>
            <w:r>
              <w:rPr>
                <w:noProof/>
                <w:webHidden/>
              </w:rPr>
              <w:tab/>
            </w:r>
            <w:r>
              <w:rPr>
                <w:noProof/>
                <w:webHidden/>
              </w:rPr>
              <w:fldChar w:fldCharType="begin"/>
            </w:r>
            <w:r>
              <w:rPr>
                <w:noProof/>
                <w:webHidden/>
              </w:rPr>
              <w:instrText xml:space="preserve"> PAGEREF _Toc222476905 \h </w:instrText>
            </w:r>
            <w:r>
              <w:rPr>
                <w:noProof/>
                <w:webHidden/>
              </w:rPr>
            </w:r>
            <w:r>
              <w:rPr>
                <w:noProof/>
                <w:webHidden/>
              </w:rPr>
              <w:fldChar w:fldCharType="separate"/>
            </w:r>
            <w:r w:rsidR="008D4FD2">
              <w:rPr>
                <w:noProof/>
                <w:webHidden/>
              </w:rPr>
              <w:t>55</w:t>
            </w:r>
            <w:r>
              <w:rPr>
                <w:noProof/>
                <w:webHidden/>
              </w:rPr>
              <w:fldChar w:fldCharType="end"/>
            </w:r>
          </w:hyperlink>
        </w:p>
        <w:p w14:paraId="100ABF21" w14:textId="387C3A41"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906" w:history="1">
            <w:r w:rsidRPr="008A36F9">
              <w:rPr>
                <w:rStyle w:val="Lienhypertexte"/>
                <w:noProof/>
              </w:rPr>
              <w:t>4.9.2.</w:t>
            </w:r>
            <w:r>
              <w:rPr>
                <w:rFonts w:eastAsiaTheme="minorEastAsia"/>
                <w:noProof/>
                <w:kern w:val="2"/>
                <w:sz w:val="24"/>
                <w:szCs w:val="24"/>
                <w:lang w:eastAsia="fr-FR"/>
                <w14:ligatures w14:val="standardContextual"/>
              </w:rPr>
              <w:tab/>
            </w:r>
            <w:r w:rsidRPr="008A36F9">
              <w:rPr>
                <w:rStyle w:val="Lienhypertexte"/>
                <w:noProof/>
              </w:rPr>
              <w:t>Commentaires sur les opérations de paiement initiées par l’établissement en tant que PSIP</w:t>
            </w:r>
            <w:r>
              <w:rPr>
                <w:noProof/>
                <w:webHidden/>
              </w:rPr>
              <w:tab/>
            </w:r>
            <w:r>
              <w:rPr>
                <w:noProof/>
                <w:webHidden/>
              </w:rPr>
              <w:fldChar w:fldCharType="begin"/>
            </w:r>
            <w:r>
              <w:rPr>
                <w:noProof/>
                <w:webHidden/>
              </w:rPr>
              <w:instrText xml:space="preserve"> PAGEREF _Toc222476906 \h </w:instrText>
            </w:r>
            <w:r>
              <w:rPr>
                <w:noProof/>
                <w:webHidden/>
              </w:rPr>
            </w:r>
            <w:r>
              <w:rPr>
                <w:noProof/>
                <w:webHidden/>
              </w:rPr>
              <w:fldChar w:fldCharType="separate"/>
            </w:r>
            <w:r w:rsidR="008D4FD2">
              <w:rPr>
                <w:noProof/>
                <w:webHidden/>
              </w:rPr>
              <w:t>56</w:t>
            </w:r>
            <w:r>
              <w:rPr>
                <w:noProof/>
                <w:webHidden/>
              </w:rPr>
              <w:fldChar w:fldCharType="end"/>
            </w:r>
          </w:hyperlink>
        </w:p>
        <w:p w14:paraId="07530A0B" w14:textId="1513934B" w:rsidR="00F04D7C" w:rsidRDefault="00F04D7C">
          <w:pPr>
            <w:pStyle w:val="TM2"/>
            <w:tabs>
              <w:tab w:val="left" w:pos="960"/>
              <w:tab w:val="right" w:leader="dot" w:pos="9060"/>
            </w:tabs>
            <w:rPr>
              <w:rFonts w:eastAsiaTheme="minorEastAsia"/>
              <w:noProof/>
              <w:kern w:val="2"/>
              <w:sz w:val="24"/>
              <w:szCs w:val="24"/>
              <w:lang w:eastAsia="fr-FR"/>
              <w14:ligatures w14:val="standardContextual"/>
            </w:rPr>
          </w:pPr>
          <w:hyperlink w:anchor="_Toc222476907" w:history="1">
            <w:r w:rsidRPr="008A36F9">
              <w:rPr>
                <w:rStyle w:val="Lienhypertexte"/>
                <w:noProof/>
              </w:rPr>
              <w:t>4.10.</w:t>
            </w:r>
            <w:r>
              <w:rPr>
                <w:rFonts w:eastAsiaTheme="minorEastAsia"/>
                <w:noProof/>
                <w:kern w:val="2"/>
                <w:sz w:val="24"/>
                <w:szCs w:val="24"/>
                <w:lang w:eastAsia="fr-FR"/>
                <w14:ligatures w14:val="standardContextual"/>
              </w:rPr>
              <w:tab/>
            </w:r>
            <w:r w:rsidRPr="008A36F9">
              <w:rPr>
                <w:rStyle w:val="Lienhypertexte"/>
                <w:noProof/>
              </w:rPr>
              <w:t>Autres services de paiement (non inclus dans la directive (UE) 2015/2366 et autres informations</w:t>
            </w:r>
            <w:r>
              <w:rPr>
                <w:noProof/>
                <w:webHidden/>
              </w:rPr>
              <w:tab/>
            </w:r>
            <w:r>
              <w:rPr>
                <w:noProof/>
                <w:webHidden/>
              </w:rPr>
              <w:fldChar w:fldCharType="begin"/>
            </w:r>
            <w:r>
              <w:rPr>
                <w:noProof/>
                <w:webHidden/>
              </w:rPr>
              <w:instrText xml:space="preserve"> PAGEREF _Toc222476907 \h </w:instrText>
            </w:r>
            <w:r>
              <w:rPr>
                <w:noProof/>
                <w:webHidden/>
              </w:rPr>
            </w:r>
            <w:r>
              <w:rPr>
                <w:noProof/>
                <w:webHidden/>
              </w:rPr>
              <w:fldChar w:fldCharType="separate"/>
            </w:r>
            <w:r w:rsidR="008D4FD2">
              <w:rPr>
                <w:noProof/>
                <w:webHidden/>
              </w:rPr>
              <w:t>57</w:t>
            </w:r>
            <w:r>
              <w:rPr>
                <w:noProof/>
                <w:webHidden/>
              </w:rPr>
              <w:fldChar w:fldCharType="end"/>
            </w:r>
          </w:hyperlink>
        </w:p>
        <w:p w14:paraId="17B4EC30" w14:textId="5D46BE44" w:rsidR="00F04D7C" w:rsidRDefault="00F04D7C">
          <w:pPr>
            <w:pStyle w:val="TM3"/>
            <w:tabs>
              <w:tab w:val="left" w:pos="1440"/>
              <w:tab w:val="right" w:leader="dot" w:pos="9060"/>
            </w:tabs>
            <w:rPr>
              <w:rFonts w:eastAsiaTheme="minorEastAsia"/>
              <w:noProof/>
              <w:kern w:val="2"/>
              <w:sz w:val="24"/>
              <w:szCs w:val="24"/>
              <w:lang w:eastAsia="fr-FR"/>
              <w14:ligatures w14:val="standardContextual"/>
            </w:rPr>
          </w:pPr>
          <w:hyperlink w:anchor="_Toc222476908" w:history="1">
            <w:r w:rsidRPr="008A36F9">
              <w:rPr>
                <w:rStyle w:val="Lienhypertexte"/>
                <w:noProof/>
              </w:rPr>
              <w:t>4.10.1.</w:t>
            </w:r>
            <w:r>
              <w:rPr>
                <w:rFonts w:eastAsiaTheme="minorEastAsia"/>
                <w:noProof/>
                <w:kern w:val="2"/>
                <w:sz w:val="24"/>
                <w:szCs w:val="24"/>
                <w:lang w:eastAsia="fr-FR"/>
                <w14:ligatures w14:val="standardContextual"/>
              </w:rPr>
              <w:tab/>
            </w:r>
            <w:r w:rsidRPr="008A36F9">
              <w:rPr>
                <w:rStyle w:val="Lienhypertexte"/>
                <w:noProof/>
              </w:rPr>
              <w:t>Commentaires sur les autres informations</w:t>
            </w:r>
            <w:r>
              <w:rPr>
                <w:noProof/>
                <w:webHidden/>
              </w:rPr>
              <w:tab/>
            </w:r>
            <w:r>
              <w:rPr>
                <w:noProof/>
                <w:webHidden/>
              </w:rPr>
              <w:fldChar w:fldCharType="begin"/>
            </w:r>
            <w:r>
              <w:rPr>
                <w:noProof/>
                <w:webHidden/>
              </w:rPr>
              <w:instrText xml:space="preserve"> PAGEREF _Toc222476908 \h </w:instrText>
            </w:r>
            <w:r>
              <w:rPr>
                <w:noProof/>
                <w:webHidden/>
              </w:rPr>
            </w:r>
            <w:r>
              <w:rPr>
                <w:noProof/>
                <w:webHidden/>
              </w:rPr>
              <w:fldChar w:fldCharType="separate"/>
            </w:r>
            <w:r w:rsidR="008D4FD2">
              <w:rPr>
                <w:noProof/>
                <w:webHidden/>
              </w:rPr>
              <w:t>58</w:t>
            </w:r>
            <w:r>
              <w:rPr>
                <w:noProof/>
                <w:webHidden/>
              </w:rPr>
              <w:fldChar w:fldCharType="end"/>
            </w:r>
          </w:hyperlink>
        </w:p>
        <w:p w14:paraId="12D5BD04" w14:textId="3146B8C9" w:rsidR="00F04D7C" w:rsidRDefault="00F04D7C">
          <w:pPr>
            <w:pStyle w:val="TM1"/>
            <w:tabs>
              <w:tab w:val="left" w:pos="440"/>
              <w:tab w:val="right" w:leader="dot" w:pos="9060"/>
            </w:tabs>
            <w:rPr>
              <w:rFonts w:eastAsiaTheme="minorEastAsia"/>
              <w:noProof/>
              <w:kern w:val="2"/>
              <w:sz w:val="24"/>
              <w:szCs w:val="24"/>
              <w:lang w:eastAsia="fr-FR"/>
              <w14:ligatures w14:val="standardContextual"/>
            </w:rPr>
          </w:pPr>
          <w:hyperlink w:anchor="_Toc222476909" w:history="1">
            <w:r w:rsidRPr="008A36F9">
              <w:rPr>
                <w:rStyle w:val="Lienhypertexte"/>
                <w:noProof/>
              </w:rPr>
              <w:t>5.</w:t>
            </w:r>
            <w:r>
              <w:rPr>
                <w:rFonts w:eastAsiaTheme="minorEastAsia"/>
                <w:noProof/>
                <w:kern w:val="2"/>
                <w:sz w:val="24"/>
                <w:szCs w:val="24"/>
                <w:lang w:eastAsia="fr-FR"/>
                <w14:ligatures w14:val="standardContextual"/>
              </w:rPr>
              <w:tab/>
            </w:r>
            <w:r w:rsidRPr="008A36F9">
              <w:rPr>
                <w:rStyle w:val="Lienhypertexte"/>
                <w:noProof/>
              </w:rPr>
              <w:t>VENTILATION GEOGRAPHIQUE des indicateurs</w:t>
            </w:r>
            <w:r>
              <w:rPr>
                <w:noProof/>
                <w:webHidden/>
              </w:rPr>
              <w:tab/>
            </w:r>
            <w:r>
              <w:rPr>
                <w:noProof/>
                <w:webHidden/>
              </w:rPr>
              <w:fldChar w:fldCharType="begin"/>
            </w:r>
            <w:r>
              <w:rPr>
                <w:noProof/>
                <w:webHidden/>
              </w:rPr>
              <w:instrText xml:space="preserve"> PAGEREF _Toc222476909 \h </w:instrText>
            </w:r>
            <w:r>
              <w:rPr>
                <w:noProof/>
                <w:webHidden/>
              </w:rPr>
            </w:r>
            <w:r>
              <w:rPr>
                <w:noProof/>
                <w:webHidden/>
              </w:rPr>
              <w:fldChar w:fldCharType="separate"/>
            </w:r>
            <w:r w:rsidR="008D4FD2">
              <w:rPr>
                <w:noProof/>
                <w:webHidden/>
              </w:rPr>
              <w:t>60</w:t>
            </w:r>
            <w:r>
              <w:rPr>
                <w:noProof/>
                <w:webHidden/>
              </w:rPr>
              <w:fldChar w:fldCharType="end"/>
            </w:r>
          </w:hyperlink>
        </w:p>
        <w:p w14:paraId="2CC0F22F" w14:textId="512A97BF" w:rsidR="00F04D7C" w:rsidRDefault="00F04D7C">
          <w:pPr>
            <w:pStyle w:val="TM2"/>
            <w:tabs>
              <w:tab w:val="right" w:leader="dot" w:pos="9060"/>
            </w:tabs>
            <w:rPr>
              <w:rFonts w:eastAsiaTheme="minorEastAsia"/>
              <w:noProof/>
              <w:kern w:val="2"/>
              <w:sz w:val="24"/>
              <w:szCs w:val="24"/>
              <w:lang w:eastAsia="fr-FR"/>
              <w14:ligatures w14:val="standardContextual"/>
            </w:rPr>
          </w:pPr>
          <w:hyperlink w:anchor="_Toc222476910" w:history="1">
            <w:r w:rsidRPr="008A36F9">
              <w:rPr>
                <w:rStyle w:val="Lienhypertexte"/>
                <w:noProof/>
              </w:rPr>
              <w:t>5.1 Pour toutes les sections hors 4.1.2.1, 4.1.2.4 et 4.1.3.1</w:t>
            </w:r>
            <w:r>
              <w:rPr>
                <w:noProof/>
                <w:webHidden/>
              </w:rPr>
              <w:tab/>
            </w:r>
            <w:r>
              <w:rPr>
                <w:noProof/>
                <w:webHidden/>
              </w:rPr>
              <w:fldChar w:fldCharType="begin"/>
            </w:r>
            <w:r>
              <w:rPr>
                <w:noProof/>
                <w:webHidden/>
              </w:rPr>
              <w:instrText xml:space="preserve"> PAGEREF _Toc222476910 \h </w:instrText>
            </w:r>
            <w:r>
              <w:rPr>
                <w:noProof/>
                <w:webHidden/>
              </w:rPr>
            </w:r>
            <w:r>
              <w:rPr>
                <w:noProof/>
                <w:webHidden/>
              </w:rPr>
              <w:fldChar w:fldCharType="separate"/>
            </w:r>
            <w:r w:rsidR="008D4FD2">
              <w:rPr>
                <w:noProof/>
                <w:webHidden/>
              </w:rPr>
              <w:t>60</w:t>
            </w:r>
            <w:r>
              <w:rPr>
                <w:noProof/>
                <w:webHidden/>
              </w:rPr>
              <w:fldChar w:fldCharType="end"/>
            </w:r>
          </w:hyperlink>
        </w:p>
        <w:p w14:paraId="0117C39A" w14:textId="15F95628" w:rsidR="00F04D7C" w:rsidRDefault="00F04D7C">
          <w:pPr>
            <w:pStyle w:val="TM2"/>
            <w:tabs>
              <w:tab w:val="right" w:leader="dot" w:pos="9060"/>
            </w:tabs>
            <w:rPr>
              <w:rFonts w:eastAsiaTheme="minorEastAsia"/>
              <w:noProof/>
              <w:kern w:val="2"/>
              <w:sz w:val="24"/>
              <w:szCs w:val="24"/>
              <w:lang w:eastAsia="fr-FR"/>
              <w14:ligatures w14:val="standardContextual"/>
            </w:rPr>
          </w:pPr>
          <w:hyperlink w:anchor="_Toc222476911" w:history="1">
            <w:r w:rsidRPr="008A36F9">
              <w:rPr>
                <w:rStyle w:val="Lienhypertexte"/>
                <w:noProof/>
              </w:rPr>
              <w:t>5.2 Pour les sections de la carte 4.1.2.1, 4.1.2.4 et 4.1.3.1 uniquement</w:t>
            </w:r>
            <w:r>
              <w:rPr>
                <w:noProof/>
                <w:webHidden/>
              </w:rPr>
              <w:tab/>
            </w:r>
            <w:r>
              <w:rPr>
                <w:noProof/>
                <w:webHidden/>
              </w:rPr>
              <w:fldChar w:fldCharType="begin"/>
            </w:r>
            <w:r>
              <w:rPr>
                <w:noProof/>
                <w:webHidden/>
              </w:rPr>
              <w:instrText xml:space="preserve"> PAGEREF _Toc222476911 \h </w:instrText>
            </w:r>
            <w:r>
              <w:rPr>
                <w:noProof/>
                <w:webHidden/>
              </w:rPr>
            </w:r>
            <w:r>
              <w:rPr>
                <w:noProof/>
                <w:webHidden/>
              </w:rPr>
              <w:fldChar w:fldCharType="separate"/>
            </w:r>
            <w:r w:rsidR="008D4FD2">
              <w:rPr>
                <w:noProof/>
                <w:webHidden/>
              </w:rPr>
              <w:t>60</w:t>
            </w:r>
            <w:r>
              <w:rPr>
                <w:noProof/>
                <w:webHidden/>
              </w:rPr>
              <w:fldChar w:fldCharType="end"/>
            </w:r>
          </w:hyperlink>
        </w:p>
        <w:p w14:paraId="690FC827" w14:textId="07B7AC36" w:rsidR="00112B43" w:rsidRDefault="001E6A53" w:rsidP="001E6A53">
          <w:pPr>
            <w:pStyle w:val="TM1"/>
            <w:tabs>
              <w:tab w:val="left" w:pos="440"/>
              <w:tab w:val="right" w:leader="dot" w:pos="9060"/>
            </w:tabs>
          </w:pPr>
          <w:r>
            <w:fldChar w:fldCharType="end"/>
          </w:r>
        </w:p>
      </w:sdtContent>
    </w:sdt>
    <w:p w14:paraId="3890FB9D" w14:textId="1CC50EF7" w:rsidR="00163F4D" w:rsidRDefault="000A5500" w:rsidP="00D00626">
      <w:pPr>
        <w:pStyle w:val="En-ttedetabledesmatires"/>
        <w:numPr>
          <w:ilvl w:val="0"/>
          <w:numId w:val="0"/>
        </w:numPr>
      </w:pPr>
      <w:r>
        <w:tab/>
      </w:r>
    </w:p>
    <w:p w14:paraId="4276A309" w14:textId="77777777" w:rsidR="00D43A6B" w:rsidRDefault="00D43A6B" w:rsidP="00163F4D">
      <w:pPr>
        <w:jc w:val="both"/>
        <w:rPr>
          <w:rFonts w:cstheme="minorHAnsi"/>
          <w:b/>
          <w:caps/>
          <w:sz w:val="28"/>
          <w:szCs w:val="28"/>
        </w:rPr>
      </w:pPr>
    </w:p>
    <w:p w14:paraId="22DA16D2" w14:textId="35F63C5E" w:rsidR="00D43A6B" w:rsidRPr="00D43A6B" w:rsidRDefault="00D43A6B" w:rsidP="00D43A6B">
      <w:pPr>
        <w:jc w:val="both"/>
        <w:rPr>
          <w:rFonts w:cstheme="minorHAnsi"/>
          <w:b/>
          <w:caps/>
          <w:sz w:val="28"/>
          <w:szCs w:val="28"/>
        </w:rPr>
      </w:pPr>
      <w:r w:rsidRPr="00D43A6B">
        <w:rPr>
          <w:rFonts w:cstheme="minorHAnsi"/>
          <w:b/>
          <w:caps/>
          <w:sz w:val="28"/>
          <w:szCs w:val="28"/>
        </w:rPr>
        <w:br w:type="page"/>
      </w:r>
    </w:p>
    <w:p w14:paraId="11D557E9" w14:textId="77777777" w:rsidR="00586349" w:rsidRDefault="00586349" w:rsidP="006C6294">
      <w:pPr>
        <w:pStyle w:val="Paragraphedeliste"/>
        <w:numPr>
          <w:ilvl w:val="0"/>
          <w:numId w:val="1"/>
        </w:numPr>
        <w:autoSpaceDE w:val="0"/>
        <w:autoSpaceDN w:val="0"/>
        <w:adjustRightInd w:val="0"/>
        <w:spacing w:after="0" w:line="240" w:lineRule="auto"/>
        <w:ind w:left="357" w:hanging="357"/>
        <w:jc w:val="both"/>
        <w:rPr>
          <w:b/>
          <w:caps/>
          <w:sz w:val="28"/>
        </w:rPr>
        <w:sectPr w:rsidR="00586349" w:rsidSect="00E76A3F">
          <w:headerReference w:type="even" r:id="rId9"/>
          <w:headerReference w:type="default" r:id="rId10"/>
          <w:footerReference w:type="default" r:id="rId11"/>
          <w:headerReference w:type="first" r:id="rId12"/>
          <w:pgSz w:w="11906" w:h="16838"/>
          <w:pgMar w:top="1418" w:right="1418" w:bottom="1418" w:left="1418" w:header="709" w:footer="709" w:gutter="0"/>
          <w:cols w:space="708"/>
          <w:docGrid w:linePitch="360"/>
        </w:sectPr>
      </w:pPr>
    </w:p>
    <w:p w14:paraId="34949873" w14:textId="4BD77EB3" w:rsidR="00142745" w:rsidRDefault="00142745" w:rsidP="00D00626">
      <w:pPr>
        <w:pStyle w:val="Titre1"/>
        <w:numPr>
          <w:ilvl w:val="0"/>
          <w:numId w:val="0"/>
        </w:numPr>
      </w:pPr>
      <w:bookmarkStart w:id="0" w:name="_Toc222476844"/>
      <w:bookmarkStart w:id="1" w:name="_Toc35260779"/>
      <w:r>
        <w:lastRenderedPageBreak/>
        <w:t>AVANT-PROPOS</w:t>
      </w:r>
      <w:bookmarkEnd w:id="0"/>
    </w:p>
    <w:p w14:paraId="25248587" w14:textId="77777777" w:rsidR="001B0884" w:rsidRPr="001B0884" w:rsidRDefault="001B0884" w:rsidP="001B0884"/>
    <w:p w14:paraId="1F2508AB" w14:textId="77777777" w:rsidR="0056798E" w:rsidRPr="0056798E" w:rsidRDefault="0056798E" w:rsidP="0056798E">
      <w:pPr>
        <w:rPr>
          <w:b/>
        </w:rPr>
      </w:pPr>
      <w:r w:rsidRPr="0056798E">
        <w:rPr>
          <w:b/>
        </w:rPr>
        <w:t>Pourquoi un nouveau guide de remplissage ?</w:t>
      </w:r>
    </w:p>
    <w:p w14:paraId="28941BFF" w14:textId="7B1B993B" w:rsidR="009303A0" w:rsidRDefault="00AB6974" w:rsidP="00D70F62">
      <w:pPr>
        <w:jc w:val="both"/>
      </w:pPr>
      <w:r>
        <w:t xml:space="preserve">La Banque centrale européenne (BCE) collecte des statistiques sur les paiements </w:t>
      </w:r>
      <w:r w:rsidR="00A1332C">
        <w:t xml:space="preserve">auprès </w:t>
      </w:r>
      <w:r>
        <w:t xml:space="preserve">de chaque </w:t>
      </w:r>
      <w:r w:rsidR="00D70F62">
        <w:t xml:space="preserve">banque centrale nationale </w:t>
      </w:r>
      <w:r>
        <w:t xml:space="preserve">aux fins </w:t>
      </w:r>
      <w:r w:rsidR="00D70F62">
        <w:t xml:space="preserve">en particulier </w:t>
      </w:r>
      <w:r>
        <w:t>de </w:t>
      </w:r>
      <w:r w:rsidR="009E06A9">
        <w:t xml:space="preserve">la surveillance </w:t>
      </w:r>
      <w:r>
        <w:t>:</w:t>
      </w:r>
    </w:p>
    <w:p w14:paraId="088BD528" w14:textId="6CDC5B0F" w:rsidR="009303A0" w:rsidRPr="009303A0" w:rsidRDefault="009E06A9" w:rsidP="00D70F62">
      <w:pPr>
        <w:numPr>
          <w:ilvl w:val="0"/>
          <w:numId w:val="33"/>
        </w:numPr>
        <w:spacing w:after="0" w:line="240" w:lineRule="auto"/>
        <w:contextualSpacing/>
        <w:jc w:val="both"/>
      </w:pPr>
      <w:r>
        <w:t>D</w:t>
      </w:r>
      <w:r w:rsidR="009303A0" w:rsidRPr="009303A0">
        <w:t>es systèmes et des moyens de paiement et d’analyse de l’évolution des paiements pour assurer leur bon fonctionnement</w:t>
      </w:r>
      <w:r w:rsidR="00D70F62">
        <w:t> ;</w:t>
      </w:r>
    </w:p>
    <w:p w14:paraId="777D03A5" w14:textId="254057C9" w:rsidR="009303A0" w:rsidRDefault="00D70F62" w:rsidP="00D70F62">
      <w:pPr>
        <w:numPr>
          <w:ilvl w:val="0"/>
          <w:numId w:val="33"/>
        </w:numPr>
        <w:spacing w:after="0" w:line="240" w:lineRule="auto"/>
        <w:contextualSpacing/>
        <w:jc w:val="both"/>
      </w:pPr>
      <w:r>
        <w:t xml:space="preserve">Et, </w:t>
      </w:r>
      <w:r w:rsidR="009303A0" w:rsidRPr="009303A0">
        <w:t>de l’évolution de la fraude sur les paiements afin d’assurer un degré élevé de sécurité des paiements et, en définitive, pour maintenir la confiance dans l'euro et p</w:t>
      </w:r>
      <w:r>
        <w:t>romouvoir une économie efficace.</w:t>
      </w:r>
    </w:p>
    <w:p w14:paraId="0F8CE15E" w14:textId="77777777" w:rsidR="009303A0" w:rsidRPr="009303A0" w:rsidRDefault="009303A0" w:rsidP="00A1332C">
      <w:pPr>
        <w:spacing w:after="0" w:line="240" w:lineRule="auto"/>
        <w:ind w:left="720"/>
        <w:contextualSpacing/>
        <w:jc w:val="both"/>
      </w:pPr>
    </w:p>
    <w:p w14:paraId="20C1B189" w14:textId="549420AC" w:rsidR="004C225E" w:rsidRDefault="00F106D2" w:rsidP="00F106D2">
      <w:pPr>
        <w:jc w:val="both"/>
      </w:pPr>
      <w:r>
        <w:t>À cette fin, la BCE a défini un</w:t>
      </w:r>
      <w:r w:rsidR="00A1332C">
        <w:t xml:space="preserve"> </w:t>
      </w:r>
      <w:r w:rsidR="00F40794">
        <w:t xml:space="preserve">cadre statistique européen par </w:t>
      </w:r>
      <w:r w:rsidR="00A1332C">
        <w:t>l’</w:t>
      </w:r>
      <w:r w:rsidR="00A1332C" w:rsidRPr="00A1332C">
        <w:t>Orientation relative aux statistiques monétaires</w:t>
      </w:r>
      <w:r w:rsidR="00F40794">
        <w:t xml:space="preserve"> et financières (BCE/2014/15</w:t>
      </w:r>
      <w:r>
        <w:t>) et le règlement concernant les statistiques relatives aux paiements</w:t>
      </w:r>
      <w:r w:rsidR="00AF66F3">
        <w:t xml:space="preserve"> </w:t>
      </w:r>
      <w:r w:rsidR="00F050FC">
        <w:t xml:space="preserve">UE n° </w:t>
      </w:r>
      <w:r w:rsidR="00AF66F3">
        <w:t xml:space="preserve">1409/2013. </w:t>
      </w:r>
      <w:r>
        <w:t xml:space="preserve">Ce cadre </w:t>
      </w:r>
      <w:r w:rsidR="00AF66F3">
        <w:t xml:space="preserve">statistique faisant l’objet d’une révision </w:t>
      </w:r>
      <w:r w:rsidR="00AF66F3" w:rsidRPr="00C14B68">
        <w:t xml:space="preserve">quinquennale, le 11 décembre </w:t>
      </w:r>
      <w:r w:rsidR="00AF66F3" w:rsidRPr="00AF66F3">
        <w:t>2020, le Conseil des gouverneurs de la B</w:t>
      </w:r>
      <w:r w:rsidR="00AF66F3">
        <w:t>CE</w:t>
      </w:r>
      <w:r w:rsidR="00AF66F3" w:rsidRPr="00AF66F3">
        <w:t xml:space="preserve"> a adopté le règlement BCE/2020/</w:t>
      </w:r>
      <w:r w:rsidR="00AF66F3">
        <w:t xml:space="preserve">59 </w:t>
      </w:r>
      <w:r w:rsidR="00AF66F3" w:rsidRPr="00AF66F3">
        <w:t xml:space="preserve">relatif aux statistiques des paiements modifiant le règlement </w:t>
      </w:r>
      <w:r w:rsidR="00F050FC">
        <w:t xml:space="preserve">(UE) n° </w:t>
      </w:r>
      <w:r w:rsidR="009D2D86">
        <w:t>1409</w:t>
      </w:r>
      <w:r w:rsidR="00AF66F3" w:rsidRPr="00AF66F3">
        <w:t>/43</w:t>
      </w:r>
      <w:r w:rsidR="00AF66F3">
        <w:t>.</w:t>
      </w:r>
      <w:r w:rsidR="00347569">
        <w:t xml:space="preserve"> Ce nouveau règlement reprend les exigences </w:t>
      </w:r>
      <w:r w:rsidR="004C225E" w:rsidRPr="004C225E">
        <w:t xml:space="preserve">de déclaration des données relatives à la fraude </w:t>
      </w:r>
      <w:r w:rsidR="004C225E">
        <w:t>de l’Autorité bancaire européenne (</w:t>
      </w:r>
      <w:r w:rsidR="004C225E" w:rsidRPr="004C225E">
        <w:t>ABE/GL/2018/05).</w:t>
      </w:r>
    </w:p>
    <w:p w14:paraId="235563D1" w14:textId="5D439EFC" w:rsidR="009D2D86" w:rsidRDefault="00CC7BAA" w:rsidP="000933DE">
      <w:pPr>
        <w:jc w:val="both"/>
      </w:pPr>
      <w:r>
        <w:t xml:space="preserve">En France, </w:t>
      </w:r>
      <w:r w:rsidR="0022269C">
        <w:t xml:space="preserve">ce cadre statistique est appliqué au travers de la collecte </w:t>
      </w:r>
      <w:r w:rsidR="0056798E" w:rsidRPr="0056798E">
        <w:t xml:space="preserve">« Cartographie des moyens de paiement » </w:t>
      </w:r>
      <w:r w:rsidR="009E06A9">
        <w:t>(</w:t>
      </w:r>
      <w:r w:rsidR="0056798E" w:rsidRPr="0056798E">
        <w:t xml:space="preserve">pour les </w:t>
      </w:r>
      <w:r w:rsidR="009D2D86">
        <w:t xml:space="preserve">tables n° </w:t>
      </w:r>
      <w:r w:rsidR="000933DE">
        <w:t>2, 3, 4, 6 de l’annexe 3 du règlement</w:t>
      </w:r>
      <w:r w:rsidR="009E06A9">
        <w:t>)</w:t>
      </w:r>
      <w:r w:rsidR="0056798E" w:rsidRPr="0056798E">
        <w:t xml:space="preserve"> et, </w:t>
      </w:r>
      <w:r w:rsidR="0022269C">
        <w:t>de</w:t>
      </w:r>
      <w:r w:rsidR="0056798E" w:rsidRPr="0056798E">
        <w:t xml:space="preserve"> la collecte « Recensement de la fraude aux moyens de paiement » </w:t>
      </w:r>
      <w:r w:rsidR="009E06A9">
        <w:t>(</w:t>
      </w:r>
      <w:r w:rsidR="0056798E" w:rsidRPr="0056798E">
        <w:t>pour l</w:t>
      </w:r>
      <w:r w:rsidR="000933DE">
        <w:t>a table n° 5</w:t>
      </w:r>
      <w:r w:rsidR="009E06A9">
        <w:t xml:space="preserve"> de l’annexe 3 du règlement)</w:t>
      </w:r>
      <w:r w:rsidR="000933DE">
        <w:t xml:space="preserve">. </w:t>
      </w:r>
      <w:r w:rsidR="009D2D86">
        <w:t xml:space="preserve">Par ailleurs, ce nouveau règlement introduisant la déclaration de données trimestrielles (cf. table n° 9 de l’annexe n° 3 du règlement), </w:t>
      </w:r>
      <w:r w:rsidR="000933DE">
        <w:t>une nouvelle collecte trim</w:t>
      </w:r>
      <w:r w:rsidR="009D2D86">
        <w:t xml:space="preserve">estrielle, dénommée « Déclaration trimestrielle des opérations impliquant des non-IFM », </w:t>
      </w:r>
      <w:r w:rsidR="000933DE">
        <w:t xml:space="preserve">est mise place dont la documentation technique est disponible via </w:t>
      </w:r>
      <w:hyperlink r:id="rId13" w:history="1">
        <w:r w:rsidR="000933DE" w:rsidRPr="00C14B68">
          <w:rPr>
            <w:rStyle w:val="Lienhypertexte"/>
          </w:rPr>
          <w:t>ce lien</w:t>
        </w:r>
      </w:hyperlink>
      <w:r w:rsidR="009D2D86">
        <w:t xml:space="preserve">. </w:t>
      </w:r>
    </w:p>
    <w:p w14:paraId="3B6FC4B5" w14:textId="204B35DA" w:rsidR="0056798E" w:rsidRPr="0056798E" w:rsidRDefault="0056798E" w:rsidP="0056798E">
      <w:pPr>
        <w:jc w:val="both"/>
        <w:rPr>
          <w:b/>
        </w:rPr>
      </w:pPr>
      <w:r w:rsidRPr="0056798E">
        <w:rPr>
          <w:b/>
        </w:rPr>
        <w:t>Quels sont les principaux changements </w:t>
      </w:r>
      <w:r w:rsidR="00F050FC">
        <w:rPr>
          <w:b/>
        </w:rPr>
        <w:t xml:space="preserve">apportés à la collecte « Cartographie des moyens de paiement </w:t>
      </w:r>
      <w:r w:rsidRPr="0056798E">
        <w:rPr>
          <w:b/>
        </w:rPr>
        <w:t>?</w:t>
      </w:r>
    </w:p>
    <w:p w14:paraId="5BE3665C" w14:textId="59377911" w:rsidR="005F70E0" w:rsidRDefault="005F70E0" w:rsidP="00F050FC">
      <w:pPr>
        <w:numPr>
          <w:ilvl w:val="0"/>
          <w:numId w:val="30"/>
        </w:numPr>
        <w:spacing w:after="100" w:afterAutospacing="1" w:line="240" w:lineRule="auto"/>
        <w:ind w:left="714" w:hanging="357"/>
        <w:jc w:val="both"/>
      </w:pPr>
      <w:r>
        <w:t>De nouveaux services et produits sont introduits : paiements par carte sans contact,</w:t>
      </w:r>
      <w:r w:rsidR="009E06A9">
        <w:t xml:space="preserve"> solutions de paiement mobile, </w:t>
      </w:r>
      <w:r>
        <w:t>paiements instantanés ;</w:t>
      </w:r>
    </w:p>
    <w:p w14:paraId="0244528F" w14:textId="2352648D" w:rsidR="005F70E0" w:rsidRDefault="005F70E0" w:rsidP="00F050FC">
      <w:pPr>
        <w:numPr>
          <w:ilvl w:val="0"/>
          <w:numId w:val="30"/>
        </w:numPr>
        <w:spacing w:after="100" w:afterAutospacing="1" w:line="240" w:lineRule="auto"/>
        <w:ind w:left="714" w:hanging="357"/>
        <w:jc w:val="both"/>
      </w:pPr>
      <w:r>
        <w:t>Des données plus détaillées sur les fonctions de cartes</w:t>
      </w:r>
      <w:r w:rsidR="00247112">
        <w:t> </w:t>
      </w:r>
      <w:r w:rsidR="00296439">
        <w:t xml:space="preserve">et sur les schémas de paiement pour la carte, le virement et le prélèvement ; </w:t>
      </w:r>
    </w:p>
    <w:p w14:paraId="5FF3F3BB" w14:textId="73D3D31D" w:rsidR="005F70E0" w:rsidRDefault="00475C55" w:rsidP="00F050FC">
      <w:pPr>
        <w:numPr>
          <w:ilvl w:val="0"/>
          <w:numId w:val="30"/>
        </w:numPr>
        <w:spacing w:after="100" w:afterAutospacing="1" w:line="240" w:lineRule="auto"/>
        <w:jc w:val="both"/>
      </w:pPr>
      <w:r>
        <w:t xml:space="preserve">Toutes les données (à quelques exceptions près) sont à fournir avec une ventilation géographique comprenant la France, chaque pays de l’EEE et le hors EEE. Les données de la carte font l’objet d’une double ventilation géographique basée </w:t>
      </w:r>
      <w:r w:rsidR="00296439">
        <w:t xml:space="preserve">à la fois </w:t>
      </w:r>
      <w:r>
        <w:t xml:space="preserve">sur le pays du PSP (acquéreur/émetteur) et </w:t>
      </w:r>
      <w:r w:rsidR="00247112">
        <w:t xml:space="preserve">sur </w:t>
      </w:r>
      <w:r>
        <w:t xml:space="preserve">celui de </w:t>
      </w:r>
      <w:r w:rsidR="00247112">
        <w:t xml:space="preserve">la </w:t>
      </w:r>
      <w:r>
        <w:t>localisation du terminal</w:t>
      </w:r>
      <w:r w:rsidR="001F5241">
        <w:t xml:space="preserve"> (physique ou virtuel)</w:t>
      </w:r>
      <w:r>
        <w:t>.</w:t>
      </w:r>
    </w:p>
    <w:p w14:paraId="04D39379" w14:textId="77777777" w:rsidR="005F6C7C" w:rsidRPr="0056798E" w:rsidRDefault="0056798E" w:rsidP="0056798E">
      <w:pPr>
        <w:jc w:val="both"/>
        <w:rPr>
          <w:b/>
        </w:rPr>
      </w:pPr>
      <w:r w:rsidRPr="0056798E">
        <w:rPr>
          <w:b/>
        </w:rPr>
        <w:t>À quelle date ce nouveau guide de remplissage s’applique ?</w:t>
      </w:r>
    </w:p>
    <w:p w14:paraId="43CD2C19" w14:textId="690829CF" w:rsidR="0056798E" w:rsidRPr="0056798E" w:rsidRDefault="0056798E" w:rsidP="0056798E">
      <w:pPr>
        <w:jc w:val="both"/>
        <w:rPr>
          <w:rFonts w:cs="Arial"/>
          <w:b/>
          <w:bCs/>
          <w:caps/>
          <w:kern w:val="36"/>
          <w:sz w:val="36"/>
          <w:szCs w:val="26"/>
          <w:lang w:eastAsia="fr-FR"/>
        </w:rPr>
      </w:pPr>
      <w:r w:rsidRPr="0056798E">
        <w:t>L</w:t>
      </w:r>
      <w:r w:rsidR="00DD66E5">
        <w:t xml:space="preserve">e règlement </w:t>
      </w:r>
      <w:r w:rsidR="00DD66E5" w:rsidRPr="00AF66F3">
        <w:t>BCE/2020/</w:t>
      </w:r>
      <w:r w:rsidR="00DD66E5">
        <w:t xml:space="preserve">59 </w:t>
      </w:r>
      <w:r w:rsidR="00DD66E5" w:rsidRPr="00AF66F3">
        <w:t>relatif aux statistiques des paiements</w:t>
      </w:r>
      <w:r w:rsidR="00DD66E5">
        <w:t xml:space="preserve"> entre en vigueur à compter du 1</w:t>
      </w:r>
      <w:r w:rsidR="00DD66E5" w:rsidRPr="00DD66E5">
        <w:rPr>
          <w:vertAlign w:val="superscript"/>
        </w:rPr>
        <w:t>er</w:t>
      </w:r>
      <w:r w:rsidR="00DD66E5">
        <w:t xml:space="preserve"> janvier 2022. C</w:t>
      </w:r>
      <w:r w:rsidRPr="0056798E">
        <w:t>ela signifie en pratique que les PSP devront répondre à la collecte « </w:t>
      </w:r>
      <w:r w:rsidR="00EF06F2">
        <w:t>Cartographie des</w:t>
      </w:r>
      <w:r w:rsidRPr="0056798E">
        <w:t xml:space="preserve"> moyens de paiement » selon le format défini dans </w:t>
      </w:r>
      <w:r w:rsidR="00D25F6F">
        <w:t>le présent</w:t>
      </w:r>
      <w:r w:rsidRPr="0056798E">
        <w:t xml:space="preserve"> guide de remplissage à partir des données du premier semestre 202</w:t>
      </w:r>
      <w:r w:rsidR="00DD66E5">
        <w:t>2</w:t>
      </w:r>
      <w:r w:rsidR="00EF06F2">
        <w:t xml:space="preserve">, qui devront être </w:t>
      </w:r>
      <w:r w:rsidRPr="0056798E">
        <w:t>déclar</w:t>
      </w:r>
      <w:r w:rsidR="00EF06F2">
        <w:t xml:space="preserve">ées </w:t>
      </w:r>
      <w:r w:rsidRPr="0056798E">
        <w:t>au cours du second semestre 202</w:t>
      </w:r>
      <w:r w:rsidR="00DD66E5">
        <w:t>2</w:t>
      </w:r>
      <w:r w:rsidRPr="0056798E">
        <w:t>.</w:t>
      </w:r>
    </w:p>
    <w:p w14:paraId="45FBFE05" w14:textId="4BD844D1" w:rsidR="008A4BDC" w:rsidRPr="00540A10" w:rsidRDefault="008A4BDC" w:rsidP="00D00626">
      <w:pPr>
        <w:pStyle w:val="Titre1"/>
      </w:pPr>
      <w:bookmarkStart w:id="2" w:name="_Toc222476845"/>
      <w:r w:rsidRPr="00540A10">
        <w:lastRenderedPageBreak/>
        <w:t>Introduction</w:t>
      </w:r>
      <w:bookmarkEnd w:id="1"/>
      <w:bookmarkEnd w:id="2"/>
    </w:p>
    <w:p w14:paraId="6F4CD636" w14:textId="77777777" w:rsidR="008A4BDC" w:rsidRPr="00A675AF" w:rsidRDefault="008A4BDC" w:rsidP="00453877">
      <w:pPr>
        <w:autoSpaceDE w:val="0"/>
        <w:autoSpaceDN w:val="0"/>
        <w:adjustRightInd w:val="0"/>
        <w:spacing w:after="0" w:line="240" w:lineRule="auto"/>
        <w:jc w:val="both"/>
        <w:rPr>
          <w:smallCaps/>
          <w:sz w:val="24"/>
        </w:rPr>
      </w:pPr>
    </w:p>
    <w:p w14:paraId="71C2D1FF" w14:textId="003420BC" w:rsidR="008A4BDC" w:rsidRPr="00A675AF" w:rsidRDefault="00453877" w:rsidP="00453877">
      <w:pPr>
        <w:autoSpaceDE w:val="0"/>
        <w:autoSpaceDN w:val="0"/>
        <w:adjustRightInd w:val="0"/>
        <w:spacing w:after="0" w:line="240" w:lineRule="auto"/>
        <w:jc w:val="both"/>
      </w:pPr>
      <w:r w:rsidRPr="00A675AF">
        <w:t>Dans le cadre de sa mission de surveillance de la sécurité des moyens de paiement scripturaux (cf. article L. 141-4</w:t>
      </w:r>
      <w:r w:rsidR="008A4BDC" w:rsidRPr="00A675AF">
        <w:t>, I</w:t>
      </w:r>
      <w:r w:rsidR="007D06A6">
        <w:t xml:space="preserve"> </w:t>
      </w:r>
      <w:r w:rsidR="008A4BDC" w:rsidRPr="00A675AF">
        <w:t>,4</w:t>
      </w:r>
      <w:r w:rsidR="008A4BDC" w:rsidRPr="00A675AF">
        <w:rPr>
          <w:vertAlign w:val="superscript"/>
        </w:rPr>
        <w:t>e</w:t>
      </w:r>
      <w:r w:rsidR="008A4BDC" w:rsidRPr="00A675AF">
        <w:t xml:space="preserve"> alinéa </w:t>
      </w:r>
      <w:r w:rsidRPr="00A675AF">
        <w:t xml:space="preserve">du Code monétaire et financier), la Banque de France a mis en place un dispositif de collecte </w:t>
      </w:r>
      <w:r w:rsidR="00087E2E" w:rsidRPr="00A675AF">
        <w:t xml:space="preserve">semestrielle </w:t>
      </w:r>
      <w:r w:rsidRPr="00A675AF">
        <w:t xml:space="preserve">de statistiques </w:t>
      </w:r>
      <w:r w:rsidR="004B2552" w:rsidRPr="00A675AF">
        <w:t>sur les moyens de paiement</w:t>
      </w:r>
      <w:r w:rsidR="00945220" w:rsidRPr="00A675AF">
        <w:t xml:space="preserve"> scripturaux</w:t>
      </w:r>
      <w:r w:rsidR="004B2552" w:rsidRPr="00A675AF">
        <w:t xml:space="preserve"> </w:t>
      </w:r>
      <w:r w:rsidRPr="00A675AF">
        <w:t xml:space="preserve">dont </w:t>
      </w:r>
      <w:r w:rsidR="00B77505">
        <w:t xml:space="preserve">les données </w:t>
      </w:r>
      <w:r w:rsidRPr="00A675AF">
        <w:t xml:space="preserve">sont également destinées à la Banque centrale européenne (cf. règlement (UE) n° </w:t>
      </w:r>
      <w:r w:rsidR="00287792">
        <w:t>2020</w:t>
      </w:r>
      <w:r w:rsidRPr="00A675AF">
        <w:t>/</w:t>
      </w:r>
      <w:r w:rsidR="00287792">
        <w:t>59 de la BCE du 1</w:t>
      </w:r>
      <w:r w:rsidR="00287792" w:rsidRPr="00287792">
        <w:rPr>
          <w:vertAlign w:val="superscript"/>
        </w:rPr>
        <w:t>er</w:t>
      </w:r>
      <w:r w:rsidR="00287792">
        <w:t xml:space="preserve"> décembre 2020 qui modifie le règlement (UE) n°1409/2013 du 2</w:t>
      </w:r>
      <w:r w:rsidRPr="00A675AF">
        <w:t>8 novembre 2013 concernant les statistiques relatives aux paiements</w:t>
      </w:r>
      <w:r w:rsidR="00287792">
        <w:t>)</w:t>
      </w:r>
      <w:r w:rsidR="008A4BDC" w:rsidRPr="00A675AF">
        <w:t xml:space="preserve"> </w:t>
      </w:r>
      <w:r w:rsidR="00614C83" w:rsidRPr="0016297D">
        <w:rPr>
          <w:rFonts w:cstheme="minorHAnsi"/>
        </w:rPr>
        <w:t>ainsi qu’</w:t>
      </w:r>
      <w:r w:rsidR="009F2F37" w:rsidRPr="0016297D">
        <w:rPr>
          <w:rFonts w:cstheme="minorHAnsi"/>
        </w:rPr>
        <w:t>à</w:t>
      </w:r>
      <w:r w:rsidR="009F2F37" w:rsidRPr="00A675AF">
        <w:t xml:space="preserve"> </w:t>
      </w:r>
      <w:r w:rsidR="008A4BDC" w:rsidRPr="00A675AF">
        <w:t xml:space="preserve">l’Autorité Bancaire Européenne (cf. Orientations </w:t>
      </w:r>
      <w:r w:rsidR="009F2F37" w:rsidRPr="00A675AF">
        <w:t>GL/</w:t>
      </w:r>
      <w:r w:rsidR="008A4BDC" w:rsidRPr="00A675AF">
        <w:t>2018/05 de l’ABE concernant les exigences en matière de données relatives à la fraude au titre de l’</w:t>
      </w:r>
      <w:r w:rsidR="009F2F37" w:rsidRPr="00A675AF">
        <w:t>article 96.6 de la DSP2).</w:t>
      </w:r>
    </w:p>
    <w:p w14:paraId="59FF118E" w14:textId="77777777" w:rsidR="009F2F37" w:rsidRPr="00A675AF" w:rsidRDefault="009F2F37" w:rsidP="00453877">
      <w:pPr>
        <w:autoSpaceDE w:val="0"/>
        <w:autoSpaceDN w:val="0"/>
        <w:adjustRightInd w:val="0"/>
        <w:spacing w:after="0" w:line="240" w:lineRule="auto"/>
        <w:jc w:val="both"/>
      </w:pPr>
    </w:p>
    <w:p w14:paraId="29516069" w14:textId="3AB79DDA" w:rsidR="000D741D" w:rsidRPr="00A675AF" w:rsidRDefault="00945220" w:rsidP="00453877">
      <w:pPr>
        <w:autoSpaceDE w:val="0"/>
        <w:autoSpaceDN w:val="0"/>
        <w:adjustRightInd w:val="0"/>
        <w:spacing w:after="0" w:line="240" w:lineRule="auto"/>
        <w:jc w:val="both"/>
      </w:pPr>
      <w:r w:rsidRPr="00A675AF">
        <w:t>Ce</w:t>
      </w:r>
      <w:r w:rsidR="00721338" w:rsidRPr="00A675AF">
        <w:t xml:space="preserve">tte collecte </w:t>
      </w:r>
      <w:r w:rsidRPr="00A675AF">
        <w:t>couvre</w:t>
      </w:r>
      <w:r w:rsidR="00721338" w:rsidRPr="00A675AF">
        <w:t xml:space="preserve"> </w:t>
      </w:r>
      <w:r w:rsidRPr="00A675AF">
        <w:t xml:space="preserve">les instruments de paiement, </w:t>
      </w:r>
      <w:r w:rsidR="00B7031E" w:rsidRPr="00A675AF">
        <w:t xml:space="preserve">les </w:t>
      </w:r>
      <w:r w:rsidRPr="00A675AF">
        <w:t xml:space="preserve">dispositifs associés, </w:t>
      </w:r>
      <w:r w:rsidR="00B7031E" w:rsidRPr="00A675AF">
        <w:t xml:space="preserve">les </w:t>
      </w:r>
      <w:r w:rsidRPr="00A675AF">
        <w:t>transactions de paiement et de retrait qu’ils permettent de réaliser</w:t>
      </w:r>
      <w:r w:rsidR="00AA0A45" w:rsidRPr="00A675AF">
        <w:t xml:space="preserve"> </w:t>
      </w:r>
      <w:r w:rsidR="00B7031E" w:rsidRPr="00A675AF">
        <w:t xml:space="preserve">ainsi que diverses autres informations en lien avec la fourniture de services de paiement, que les Prestataires de </w:t>
      </w:r>
      <w:r w:rsidR="00884DF3">
        <w:t>S</w:t>
      </w:r>
      <w:r w:rsidR="00B7031E" w:rsidRPr="00A675AF">
        <w:t xml:space="preserve">ervice de </w:t>
      </w:r>
      <w:r w:rsidR="00884DF3">
        <w:t>P</w:t>
      </w:r>
      <w:r w:rsidR="00B7031E" w:rsidRPr="00A675AF">
        <w:t>aiement</w:t>
      </w:r>
      <w:r w:rsidR="00721338" w:rsidRPr="00A675AF">
        <w:t xml:space="preserve"> (PSP)</w:t>
      </w:r>
      <w:r w:rsidR="00B7031E" w:rsidRPr="00A675AF">
        <w:t xml:space="preserve"> mettent à la disposition de leur clientèle (particuliers, professionnels, entreprises).</w:t>
      </w:r>
    </w:p>
    <w:p w14:paraId="31EC5E3C" w14:textId="77777777" w:rsidR="00B7031E" w:rsidRPr="00A675AF" w:rsidRDefault="00B7031E" w:rsidP="00453877">
      <w:pPr>
        <w:autoSpaceDE w:val="0"/>
        <w:autoSpaceDN w:val="0"/>
        <w:adjustRightInd w:val="0"/>
        <w:spacing w:after="0" w:line="240" w:lineRule="auto"/>
        <w:jc w:val="both"/>
      </w:pPr>
    </w:p>
    <w:p w14:paraId="53E7DF37" w14:textId="3D3F7B3D" w:rsidR="00B7031E" w:rsidRPr="00A675AF" w:rsidRDefault="00B7031E" w:rsidP="00453877">
      <w:pPr>
        <w:autoSpaceDE w:val="0"/>
        <w:autoSpaceDN w:val="0"/>
        <w:adjustRightInd w:val="0"/>
        <w:spacing w:after="0" w:line="240" w:lineRule="auto"/>
        <w:jc w:val="both"/>
      </w:pPr>
      <w:r w:rsidRPr="00A675AF">
        <w:t xml:space="preserve">Ces informations propres à chaque </w:t>
      </w:r>
      <w:r w:rsidR="00721338" w:rsidRPr="00A675AF">
        <w:t>PSP</w:t>
      </w:r>
      <w:r w:rsidRPr="00A675AF">
        <w:t xml:space="preserve"> sont collectées par la Banque de France sous couvert du secret professionnel défini à l’article L. 142-9 du Code monétaire et financer et ne sont pas destinées à être rendues publiques autrement que sous la forme agrégée de statistiques nationales.</w:t>
      </w:r>
    </w:p>
    <w:p w14:paraId="016B1C66" w14:textId="77777777" w:rsidR="005971AE" w:rsidRPr="00A675AF" w:rsidRDefault="005971AE" w:rsidP="00453877">
      <w:pPr>
        <w:autoSpaceDE w:val="0"/>
        <w:autoSpaceDN w:val="0"/>
        <w:adjustRightInd w:val="0"/>
        <w:spacing w:after="0" w:line="240" w:lineRule="auto"/>
        <w:jc w:val="both"/>
      </w:pPr>
    </w:p>
    <w:p w14:paraId="43894C32" w14:textId="77777777" w:rsidR="00614C83" w:rsidRPr="00614C83" w:rsidRDefault="00614C83" w:rsidP="00614C83">
      <w:pPr>
        <w:jc w:val="both"/>
        <w:rPr>
          <w:rFonts w:cstheme="minorHAnsi"/>
        </w:rPr>
      </w:pPr>
      <w:r w:rsidRPr="00614C83">
        <w:rPr>
          <w:rFonts w:cstheme="minorHAnsi"/>
        </w:rPr>
        <w:t>Les résultats de cette collecte associés à ceux de la collecte « </w:t>
      </w:r>
      <w:r>
        <w:rPr>
          <w:rFonts w:cstheme="minorHAnsi"/>
        </w:rPr>
        <w:t>Recensement de la fraude sur les m</w:t>
      </w:r>
      <w:r w:rsidRPr="00614C83">
        <w:rPr>
          <w:rFonts w:cstheme="minorHAnsi"/>
        </w:rPr>
        <w:t xml:space="preserve">oyens de </w:t>
      </w:r>
      <w:r>
        <w:rPr>
          <w:rFonts w:cstheme="minorHAnsi"/>
        </w:rPr>
        <w:t>p</w:t>
      </w:r>
      <w:r w:rsidRPr="00614C83">
        <w:rPr>
          <w:rFonts w:cstheme="minorHAnsi"/>
        </w:rPr>
        <w:t xml:space="preserve">aiement </w:t>
      </w:r>
      <w:r>
        <w:rPr>
          <w:rFonts w:cstheme="minorHAnsi"/>
        </w:rPr>
        <w:t>s</w:t>
      </w:r>
      <w:r w:rsidRPr="00614C83">
        <w:rPr>
          <w:rFonts w:cstheme="minorHAnsi"/>
        </w:rPr>
        <w:t xml:space="preserve">cripturaux » sont utilisés par la Banque de France pour calculer le taux de fraude du déclarant pour chacun des moyens de paiement concernés. </w:t>
      </w:r>
    </w:p>
    <w:p w14:paraId="053CE279" w14:textId="5D1CF253" w:rsidR="00614C83" w:rsidRPr="00614C83" w:rsidRDefault="00614C83" w:rsidP="00614C83">
      <w:pPr>
        <w:jc w:val="both"/>
        <w:rPr>
          <w:rFonts w:cstheme="minorHAnsi"/>
        </w:rPr>
      </w:pPr>
      <w:r w:rsidRPr="00614C83">
        <w:rPr>
          <w:rFonts w:cstheme="minorHAnsi"/>
        </w:rPr>
        <w:t>Les informations collectées par la Banque de France à l’aide de ces deux questionnaires sont mises à la disposition de l’</w:t>
      </w:r>
      <w:r w:rsidR="007C7F18">
        <w:rPr>
          <w:rFonts w:cstheme="minorHAnsi"/>
        </w:rPr>
        <w:t>Observatoire de la Sécurité des Moyens de Paiement (</w:t>
      </w:r>
      <w:r w:rsidRPr="00614C83">
        <w:rPr>
          <w:rFonts w:cstheme="minorHAnsi"/>
        </w:rPr>
        <w:t>OSMP</w:t>
      </w:r>
      <w:r w:rsidR="007C7F18">
        <w:rPr>
          <w:rFonts w:cstheme="minorHAnsi"/>
        </w:rPr>
        <w:t>)</w:t>
      </w:r>
      <w:r w:rsidRPr="00614C83">
        <w:rPr>
          <w:rFonts w:cstheme="minorHAnsi"/>
        </w:rPr>
        <w:t>, uniquement sous forme agrégée et anonyme, en vue de la conduite de ses missions, notamment la veille technologique et sécuritaire et la publication des statistiques annuelles de la fraude sur les moyens de paiement</w:t>
      </w:r>
      <w:r>
        <w:rPr>
          <w:rStyle w:val="Appelnotedebasdep"/>
          <w:rFonts w:cstheme="minorHAnsi"/>
        </w:rPr>
        <w:footnoteReference w:id="2"/>
      </w:r>
      <w:r w:rsidRPr="00614C83">
        <w:rPr>
          <w:rFonts w:cstheme="minorHAnsi"/>
        </w:rPr>
        <w:t>.</w:t>
      </w:r>
    </w:p>
    <w:p w14:paraId="052D1940" w14:textId="10CA2F79" w:rsidR="005971AE" w:rsidRDefault="005971AE" w:rsidP="00453877">
      <w:pPr>
        <w:autoSpaceDE w:val="0"/>
        <w:autoSpaceDN w:val="0"/>
        <w:adjustRightInd w:val="0"/>
        <w:spacing w:after="0" w:line="240" w:lineRule="auto"/>
        <w:jc w:val="both"/>
      </w:pPr>
      <w:r w:rsidRPr="00A675AF">
        <w:t xml:space="preserve">Le présent guide de remplissage a pour objet de fournir aux </w:t>
      </w:r>
      <w:r w:rsidR="00721338" w:rsidRPr="00A675AF">
        <w:t>PSP toutes les informations nécessaires pour répondre à cette collecte.</w:t>
      </w:r>
      <w:r w:rsidR="004C7579">
        <w:t xml:space="preserve"> </w:t>
      </w:r>
    </w:p>
    <w:p w14:paraId="378BE343" w14:textId="79E28D80" w:rsidR="004C7579" w:rsidRDefault="004C7579" w:rsidP="00453877">
      <w:pPr>
        <w:autoSpaceDE w:val="0"/>
        <w:autoSpaceDN w:val="0"/>
        <w:adjustRightInd w:val="0"/>
        <w:spacing w:after="0" w:line="240" w:lineRule="auto"/>
        <w:jc w:val="both"/>
      </w:pPr>
    </w:p>
    <w:p w14:paraId="2E2E5577" w14:textId="57583229" w:rsidR="00B7031E" w:rsidRDefault="004C7579" w:rsidP="00453877">
      <w:pPr>
        <w:autoSpaceDE w:val="0"/>
        <w:autoSpaceDN w:val="0"/>
        <w:adjustRightInd w:val="0"/>
        <w:spacing w:after="0" w:line="240" w:lineRule="auto"/>
        <w:jc w:val="both"/>
        <w:rPr>
          <w:rFonts w:ascii="Calibri" w:eastAsia="Calibri" w:hAnsi="Calibri" w:cs="Times New Roman"/>
          <w:color w:val="0563C1"/>
          <w:u w:val="single"/>
        </w:rPr>
      </w:pPr>
      <w:r>
        <w:t xml:space="preserve">La BCE a élaboré un manuel sur les statistiques de paiement qui vise à clarifier ses exigences de </w:t>
      </w:r>
      <w:proofErr w:type="spellStart"/>
      <w:r>
        <w:rPr>
          <w:i/>
        </w:rPr>
        <w:t>reporting</w:t>
      </w:r>
      <w:proofErr w:type="spellEnd"/>
      <w:r>
        <w:t xml:space="preserve"> telles que prévues par le règlement (UE) n°2020/59 ; ce document est disponible à l’adresse suivante : </w:t>
      </w:r>
      <w:hyperlink r:id="rId14" w:history="1">
        <w:r w:rsidRPr="006C79FC">
          <w:rPr>
            <w:rStyle w:val="Lienhypertexte"/>
            <w:rFonts w:ascii="Calibri" w:eastAsia="Calibri" w:hAnsi="Calibri" w:cs="Times New Roman"/>
          </w:rPr>
          <w:t>https://www.ecb.europa.eu/stats/payment_statistics/payment_services/html/index.en.html</w:t>
        </w:r>
      </w:hyperlink>
    </w:p>
    <w:p w14:paraId="35BB09A6" w14:textId="77777777" w:rsidR="005B7F76" w:rsidRPr="00A675AF" w:rsidRDefault="005B7F76" w:rsidP="00453877">
      <w:pPr>
        <w:autoSpaceDE w:val="0"/>
        <w:autoSpaceDN w:val="0"/>
        <w:adjustRightInd w:val="0"/>
        <w:spacing w:after="0" w:line="240" w:lineRule="auto"/>
        <w:jc w:val="both"/>
      </w:pPr>
    </w:p>
    <w:p w14:paraId="08478A1F" w14:textId="3A58E174" w:rsidR="00C017C0" w:rsidRPr="001C0720" w:rsidRDefault="00C017C0" w:rsidP="00D00626">
      <w:pPr>
        <w:pStyle w:val="Titre1"/>
      </w:pPr>
      <w:bookmarkStart w:id="3" w:name="_Toc222476846"/>
      <w:r w:rsidRPr="001C0720">
        <w:t>Établissements assujettis</w:t>
      </w:r>
      <w:bookmarkEnd w:id="3"/>
    </w:p>
    <w:p w14:paraId="60BA6B08" w14:textId="77777777" w:rsidR="009F2F37" w:rsidRPr="00A675AF" w:rsidRDefault="009F2F37" w:rsidP="00A675AF">
      <w:pPr>
        <w:pStyle w:val="Paragraphedeliste"/>
        <w:autoSpaceDE w:val="0"/>
        <w:autoSpaceDN w:val="0"/>
        <w:adjustRightInd w:val="0"/>
        <w:spacing w:after="0" w:line="240" w:lineRule="auto"/>
        <w:jc w:val="both"/>
        <w:rPr>
          <w:b/>
          <w:sz w:val="24"/>
        </w:rPr>
      </w:pPr>
    </w:p>
    <w:p w14:paraId="6AA90C09" w14:textId="58D4C3C2" w:rsidR="008A4BDC" w:rsidRPr="00A675AF" w:rsidRDefault="00FE3538" w:rsidP="00453877">
      <w:pPr>
        <w:autoSpaceDE w:val="0"/>
        <w:autoSpaceDN w:val="0"/>
        <w:adjustRightInd w:val="0"/>
        <w:spacing w:after="0" w:line="240" w:lineRule="auto"/>
        <w:jc w:val="both"/>
      </w:pPr>
      <w:r w:rsidRPr="00A675AF">
        <w:t xml:space="preserve">Les </w:t>
      </w:r>
      <w:r w:rsidR="00A9664C">
        <w:rPr>
          <w:rFonts w:cstheme="minorHAnsi"/>
        </w:rPr>
        <w:t>PSP</w:t>
      </w:r>
      <w:r w:rsidRPr="00A675AF">
        <w:t xml:space="preserve"> tenus de répondre à cette collecte sont</w:t>
      </w:r>
      <w:r w:rsidR="005971AE" w:rsidRPr="00A675AF">
        <w:t> :</w:t>
      </w:r>
    </w:p>
    <w:p w14:paraId="723FB851" w14:textId="77777777" w:rsidR="00FE3538" w:rsidRPr="00A675AF" w:rsidRDefault="00FE3538" w:rsidP="00453877">
      <w:pPr>
        <w:autoSpaceDE w:val="0"/>
        <w:autoSpaceDN w:val="0"/>
        <w:adjustRightInd w:val="0"/>
        <w:spacing w:after="0" w:line="240" w:lineRule="auto"/>
        <w:jc w:val="both"/>
      </w:pPr>
    </w:p>
    <w:p w14:paraId="118EEFB8" w14:textId="6597F3BA" w:rsidR="00EA20F1" w:rsidRPr="00A675AF" w:rsidRDefault="005971AE" w:rsidP="005971AE">
      <w:pPr>
        <w:pStyle w:val="Paragraphedeliste"/>
        <w:numPr>
          <w:ilvl w:val="0"/>
          <w:numId w:val="2"/>
        </w:numPr>
        <w:autoSpaceDE w:val="0"/>
        <w:autoSpaceDN w:val="0"/>
        <w:adjustRightInd w:val="0"/>
        <w:spacing w:after="0" w:line="240" w:lineRule="auto"/>
        <w:jc w:val="both"/>
      </w:pPr>
      <w:r w:rsidRPr="00A675AF">
        <w:t>Les établissements de crédit, les établissements de paiement, les établissements</w:t>
      </w:r>
      <w:r w:rsidR="00EA20F1" w:rsidRPr="00A675AF">
        <w:t xml:space="preserve"> de monnaie électronique</w:t>
      </w:r>
      <w:r w:rsidR="007D06A6">
        <w:t xml:space="preserve"> et les prestataires de services d’information sur les comptes</w:t>
      </w:r>
      <w:r w:rsidR="00EA20F1" w:rsidRPr="00A675AF">
        <w:t xml:space="preserve"> :</w:t>
      </w:r>
    </w:p>
    <w:p w14:paraId="338F15B9" w14:textId="77777777" w:rsidR="005971AE" w:rsidRPr="00A675AF" w:rsidRDefault="00EA20F1" w:rsidP="00EA20F1">
      <w:pPr>
        <w:pStyle w:val="Paragraphedeliste"/>
        <w:numPr>
          <w:ilvl w:val="1"/>
          <w:numId w:val="2"/>
        </w:numPr>
        <w:autoSpaceDE w:val="0"/>
        <w:autoSpaceDN w:val="0"/>
        <w:adjustRightInd w:val="0"/>
        <w:spacing w:after="0" w:line="240" w:lineRule="auto"/>
        <w:jc w:val="both"/>
      </w:pPr>
      <w:r w:rsidRPr="00A675AF">
        <w:t>De droit français ou monégasques agréés en France ou à Monaco ;</w:t>
      </w:r>
    </w:p>
    <w:p w14:paraId="134136AC" w14:textId="723D8712" w:rsidR="00EA20F1" w:rsidRPr="00A675AF" w:rsidRDefault="00EA20F1" w:rsidP="00EA20F1">
      <w:pPr>
        <w:pStyle w:val="Paragraphedeliste"/>
        <w:numPr>
          <w:ilvl w:val="1"/>
          <w:numId w:val="2"/>
        </w:numPr>
        <w:autoSpaceDE w:val="0"/>
        <w:autoSpaceDN w:val="0"/>
        <w:adjustRightInd w:val="0"/>
        <w:spacing w:after="0" w:line="240" w:lineRule="auto"/>
        <w:jc w:val="both"/>
      </w:pPr>
      <w:r w:rsidRPr="00A675AF">
        <w:lastRenderedPageBreak/>
        <w:t xml:space="preserve">Et, de droit étranger </w:t>
      </w:r>
      <w:r w:rsidR="002E5692" w:rsidRPr="00A675AF">
        <w:t xml:space="preserve">habilités à exercer </w:t>
      </w:r>
      <w:r w:rsidRPr="00A675AF">
        <w:t>sur le territoire français</w:t>
      </w:r>
      <w:r w:rsidR="00A62E47" w:rsidRPr="00A675AF">
        <w:rPr>
          <w:rStyle w:val="Appelnotedebasdep"/>
          <w:sz w:val="22"/>
        </w:rPr>
        <w:footnoteReference w:id="3"/>
      </w:r>
      <w:r w:rsidR="002E5692" w:rsidRPr="00A675AF">
        <w:t xml:space="preserve"> et établis sur ce dernier (</w:t>
      </w:r>
      <w:r w:rsidR="00FF5429" w:rsidRPr="00A675AF">
        <w:t>c</w:t>
      </w:r>
      <w:r w:rsidR="002E5692" w:rsidRPr="00A675AF">
        <w:t>.</w:t>
      </w:r>
      <w:r w:rsidR="00FF5429" w:rsidRPr="00A675AF">
        <w:t>-à-d</w:t>
      </w:r>
      <w:r w:rsidR="002E5692" w:rsidRPr="00A675AF">
        <w:t>. présents en France sous la forme de « succursales »)</w:t>
      </w:r>
      <w:r w:rsidRPr="00A675AF">
        <w:t> ;</w:t>
      </w:r>
    </w:p>
    <w:p w14:paraId="47DB1D81" w14:textId="77777777" w:rsidR="00FE3538" w:rsidRDefault="00FE3538" w:rsidP="00FE3538">
      <w:pPr>
        <w:pStyle w:val="Paragraphedeliste"/>
        <w:autoSpaceDE w:val="0"/>
        <w:autoSpaceDN w:val="0"/>
        <w:adjustRightInd w:val="0"/>
        <w:spacing w:after="0" w:line="240" w:lineRule="auto"/>
        <w:ind w:left="1440"/>
        <w:jc w:val="both"/>
        <w:rPr>
          <w:rFonts w:cstheme="minorHAnsi"/>
          <w:sz w:val="24"/>
          <w:szCs w:val="24"/>
        </w:rPr>
      </w:pPr>
    </w:p>
    <w:p w14:paraId="3C07C078" w14:textId="191E17FC" w:rsidR="00EA20F1" w:rsidRPr="00D7057C" w:rsidRDefault="00EA20F1" w:rsidP="00EA20F1">
      <w:pPr>
        <w:pStyle w:val="Paragraphedeliste"/>
        <w:numPr>
          <w:ilvl w:val="0"/>
          <w:numId w:val="2"/>
        </w:numPr>
        <w:autoSpaceDE w:val="0"/>
        <w:autoSpaceDN w:val="0"/>
        <w:adjustRightInd w:val="0"/>
        <w:spacing w:after="0" w:line="240" w:lineRule="auto"/>
        <w:jc w:val="both"/>
        <w:rPr>
          <w:rFonts w:cstheme="minorHAnsi"/>
        </w:rPr>
      </w:pPr>
      <w:r w:rsidRPr="00D7057C">
        <w:rPr>
          <w:rFonts w:cstheme="minorHAnsi"/>
        </w:rPr>
        <w:t>Les institutions mentionnées à l’article L. 518-1 du Code monétaire et financier (le Trésor public, la Banque de France, La Poste, dans les conditions définies à</w:t>
      </w:r>
      <w:r w:rsidR="00780AB5" w:rsidRPr="00D7057C">
        <w:rPr>
          <w:rFonts w:cstheme="minorHAnsi"/>
        </w:rPr>
        <w:t xml:space="preserve"> </w:t>
      </w:r>
      <w:hyperlink r:id="rId15" w:history="1">
        <w:r w:rsidR="00780AB5" w:rsidRPr="00D7057C">
          <w:rPr>
            <w:rFonts w:cstheme="minorHAnsi"/>
          </w:rPr>
          <w:t>l'article L. 518-25,</w:t>
        </w:r>
      </w:hyperlink>
      <w:r w:rsidR="00780AB5" w:rsidRPr="00D7057C">
        <w:rPr>
          <w:rFonts w:cstheme="minorHAnsi"/>
        </w:rPr>
        <w:t xml:space="preserve"> </w:t>
      </w:r>
      <w:r w:rsidRPr="00D7057C">
        <w:rPr>
          <w:rFonts w:cstheme="minorHAnsi"/>
        </w:rPr>
        <w:t>l'institut d'émission des départements d'outre-mer, l'institut d'émission d'outre-mer et la Caisse des dépôts et consignations).</w:t>
      </w:r>
    </w:p>
    <w:p w14:paraId="106F96EF" w14:textId="77777777" w:rsidR="008A4BDC" w:rsidRDefault="008A4BDC" w:rsidP="00453877">
      <w:pPr>
        <w:autoSpaceDE w:val="0"/>
        <w:autoSpaceDN w:val="0"/>
        <w:adjustRightInd w:val="0"/>
        <w:spacing w:after="0" w:line="240" w:lineRule="auto"/>
        <w:jc w:val="both"/>
        <w:rPr>
          <w:rFonts w:cstheme="minorHAnsi"/>
          <w:sz w:val="24"/>
          <w:szCs w:val="24"/>
        </w:rPr>
      </w:pPr>
    </w:p>
    <w:p w14:paraId="23FE1269" w14:textId="2B8CA889" w:rsidR="00FB6EBC" w:rsidRPr="00A675AF" w:rsidRDefault="00FB6EBC" w:rsidP="00FB6EBC">
      <w:pPr>
        <w:jc w:val="both"/>
        <w:rPr>
          <w:b/>
        </w:rPr>
      </w:pPr>
      <w:r w:rsidRPr="00A675AF">
        <w:t>La déclaration est effectuée au niveau de chaque établissement</w:t>
      </w:r>
      <w:r w:rsidRPr="00A675AF">
        <w:rPr>
          <w:b/>
        </w:rPr>
        <w:t xml:space="preserve">. </w:t>
      </w:r>
      <w:r w:rsidRPr="00884DF3">
        <w:t>D’une manière générale,</w:t>
      </w:r>
      <w:r w:rsidRPr="00A675AF">
        <w:rPr>
          <w:b/>
        </w:rPr>
        <w:t xml:space="preserve"> c’est l’établissement teneur du compte </w:t>
      </w:r>
      <w:r w:rsidR="00F81920">
        <w:rPr>
          <w:b/>
        </w:rPr>
        <w:t xml:space="preserve">de paiement </w:t>
      </w:r>
      <w:r w:rsidRPr="00A675AF">
        <w:rPr>
          <w:b/>
        </w:rPr>
        <w:t xml:space="preserve">du client qui déclare les transactions de paiement émises ou reçues. </w:t>
      </w:r>
      <w:r w:rsidRPr="00A675AF">
        <w:t xml:space="preserve">Si cet établissement confie le traitement de ses opérations à un autre établissement (dont il est participant indirect ou banque cliente pour leur présentation / réception sur les systèmes d’échange), il doit avoir connaissance des modalités de traitement de ses opérations pour être en mesure de répondre correctement aux différentes rubriques du présent questionnaire. Le cas échéant, il se fait communiquer les informations nécessaires par l’établissement qui prend en charge le traitement de ses opérations. À défaut de données réelles, il devra fournir des données estimées et en faire état dans les parties du questionnaire permettant de commenter les réponses apportées, en précisant la méthode d’estimation utilisée. </w:t>
      </w:r>
      <w:r w:rsidRPr="00A675AF">
        <w:rPr>
          <w:b/>
        </w:rPr>
        <w:t>Pour éviter le double compte des mêmes transactions, l’établissement tiers</w:t>
      </w:r>
      <w:r w:rsidR="007C7F18">
        <w:rPr>
          <w:b/>
        </w:rPr>
        <w:t>,</w:t>
      </w:r>
      <w:r w:rsidRPr="00A675AF">
        <w:rPr>
          <w:b/>
        </w:rPr>
        <w:t xml:space="preserve"> à qui le traitement de ces opérations a été confié, ne les prend pas en compte au sein de sa propre déclaration.</w:t>
      </w:r>
    </w:p>
    <w:p w14:paraId="651519D6" w14:textId="77777777" w:rsidR="00FB6EBC" w:rsidRPr="00A675AF" w:rsidRDefault="00FB6EBC" w:rsidP="00A675AF">
      <w:pPr>
        <w:jc w:val="both"/>
        <w:rPr>
          <w:b/>
          <w:sz w:val="24"/>
        </w:rPr>
      </w:pPr>
    </w:p>
    <w:p w14:paraId="76DF0E2B" w14:textId="77777777" w:rsidR="00C017C0" w:rsidRPr="001C0720" w:rsidRDefault="00C017C0" w:rsidP="00D00626">
      <w:pPr>
        <w:pStyle w:val="Titre1"/>
      </w:pPr>
      <w:bookmarkStart w:id="4" w:name="_Toc222476847"/>
      <w:r w:rsidRPr="001C0720">
        <w:t>Présentation de la collecte</w:t>
      </w:r>
      <w:bookmarkEnd w:id="4"/>
    </w:p>
    <w:p w14:paraId="44950833" w14:textId="4E1A3D8A" w:rsidR="00771FCF" w:rsidRPr="00D00626" w:rsidRDefault="005F73B0" w:rsidP="00D00626">
      <w:pPr>
        <w:pStyle w:val="Titre2"/>
      </w:pPr>
      <w:bookmarkStart w:id="5" w:name="_Toc222476848"/>
      <w:r w:rsidRPr="00D00626">
        <w:t xml:space="preserve">3.1. </w:t>
      </w:r>
      <w:r w:rsidR="00540A10" w:rsidRPr="00D00626">
        <w:t>Périmètre</w:t>
      </w:r>
      <w:r w:rsidR="00771FCF" w:rsidRPr="00D00626">
        <w:t xml:space="preserve"> de la collecte</w:t>
      </w:r>
      <w:bookmarkEnd w:id="5"/>
    </w:p>
    <w:p w14:paraId="2468707C" w14:textId="77777777" w:rsidR="00771FCF" w:rsidRPr="0016297D" w:rsidRDefault="00771FCF" w:rsidP="0016297D">
      <w:pPr>
        <w:pStyle w:val="Paragraphedeliste"/>
        <w:autoSpaceDE w:val="0"/>
        <w:autoSpaceDN w:val="0"/>
        <w:adjustRightInd w:val="0"/>
        <w:spacing w:after="0" w:line="240" w:lineRule="auto"/>
        <w:jc w:val="both"/>
        <w:rPr>
          <w:rFonts w:cstheme="minorHAnsi"/>
          <w:b/>
          <w:smallCaps/>
          <w:sz w:val="28"/>
          <w:szCs w:val="28"/>
        </w:rPr>
      </w:pPr>
    </w:p>
    <w:p w14:paraId="55B0045C" w14:textId="223EFEFF" w:rsidR="00FB6EBC" w:rsidRPr="00F750C3" w:rsidRDefault="00873E8E" w:rsidP="006B400E">
      <w:pPr>
        <w:pStyle w:val="Titre3"/>
        <w:numPr>
          <w:ilvl w:val="2"/>
          <w:numId w:val="18"/>
        </w:numPr>
      </w:pPr>
      <w:bookmarkStart w:id="6" w:name="_Toc222476849"/>
      <w:r w:rsidRPr="00F750C3">
        <w:t>D</w:t>
      </w:r>
      <w:r w:rsidR="00771FCF" w:rsidRPr="00F750C3">
        <w:t>onnées collectées</w:t>
      </w:r>
      <w:bookmarkEnd w:id="6"/>
      <w:r w:rsidR="00771FCF" w:rsidRPr="00F750C3">
        <w:t xml:space="preserve"> </w:t>
      </w:r>
    </w:p>
    <w:p w14:paraId="427DCAB3" w14:textId="77777777" w:rsidR="00FB6EBC" w:rsidRDefault="00FB6EBC" w:rsidP="00453877">
      <w:pPr>
        <w:autoSpaceDE w:val="0"/>
        <w:autoSpaceDN w:val="0"/>
        <w:adjustRightInd w:val="0"/>
        <w:spacing w:after="0" w:line="240" w:lineRule="auto"/>
        <w:jc w:val="both"/>
        <w:rPr>
          <w:rFonts w:cstheme="minorHAnsi"/>
          <w:sz w:val="24"/>
          <w:szCs w:val="24"/>
        </w:rPr>
      </w:pPr>
    </w:p>
    <w:p w14:paraId="6ED60AF8" w14:textId="61FB8662" w:rsidR="00D33F33" w:rsidRDefault="00EB0469" w:rsidP="00D33F33">
      <w:pPr>
        <w:autoSpaceDE w:val="0"/>
        <w:autoSpaceDN w:val="0"/>
        <w:adjustRightInd w:val="0"/>
        <w:spacing w:after="0" w:line="240" w:lineRule="auto"/>
        <w:jc w:val="both"/>
      </w:pPr>
      <w:r w:rsidRPr="00A675AF">
        <w:t xml:space="preserve">Les données à déclarer </w:t>
      </w:r>
      <w:r w:rsidR="00D33F33" w:rsidRPr="00A675AF">
        <w:t xml:space="preserve">concernent </w:t>
      </w:r>
      <w:r w:rsidR="00142593" w:rsidRPr="00A675AF">
        <w:t>les informations relatives aux moyens de paiement scripturaux</w:t>
      </w:r>
      <w:r w:rsidR="00D33F33" w:rsidRPr="00A675AF">
        <w:t>, les</w:t>
      </w:r>
      <w:r w:rsidR="00142593" w:rsidRPr="00A675AF">
        <w:t xml:space="preserve"> transactions de paiement traitées pour le compte de la clientèle (particuliers et clientèle professionnelle </w:t>
      </w:r>
      <w:r w:rsidR="00142593" w:rsidRPr="00A675AF">
        <w:rPr>
          <w:b/>
        </w:rPr>
        <w:t>hors institutions financières et monétaires</w:t>
      </w:r>
      <w:r w:rsidR="00142593" w:rsidRPr="00A675AF">
        <w:t>, ci-après dénommée « clientèle non-IFM »</w:t>
      </w:r>
      <w:r w:rsidR="00AA0A45" w:rsidRPr="00A675AF">
        <w:t>)</w:t>
      </w:r>
      <w:r w:rsidR="007C7F18">
        <w:t xml:space="preserve"> ainsi que les paiements émis pour compte propre dès lors qu’ils relèvent de l’activité </w:t>
      </w:r>
      <w:r w:rsidR="007D06A6">
        <w:t xml:space="preserve">non financière du déclarant </w:t>
      </w:r>
      <w:r w:rsidR="007C7F18">
        <w:t>(par exemple : paiement de salaires, de taxes, de fournisseurs…)</w:t>
      </w:r>
      <w:r w:rsidR="00142593" w:rsidRPr="00A675AF">
        <w:t xml:space="preserve">. </w:t>
      </w:r>
    </w:p>
    <w:p w14:paraId="5CA429EB" w14:textId="3D5C5F94" w:rsidR="00771FCF" w:rsidRDefault="00771FCF" w:rsidP="00D33F33">
      <w:pPr>
        <w:autoSpaceDE w:val="0"/>
        <w:autoSpaceDN w:val="0"/>
        <w:adjustRightInd w:val="0"/>
        <w:spacing w:after="0" w:line="240" w:lineRule="auto"/>
        <w:jc w:val="both"/>
        <w:rPr>
          <w:rFonts w:cstheme="minorHAnsi"/>
        </w:rPr>
      </w:pPr>
    </w:p>
    <w:p w14:paraId="1BCB8AE8" w14:textId="71F42B68" w:rsidR="000C073D" w:rsidRDefault="000C073D" w:rsidP="00D33F33">
      <w:pPr>
        <w:autoSpaceDE w:val="0"/>
        <w:autoSpaceDN w:val="0"/>
        <w:adjustRightInd w:val="0"/>
        <w:spacing w:after="0" w:line="240" w:lineRule="auto"/>
        <w:jc w:val="both"/>
        <w:rPr>
          <w:rFonts w:cstheme="minorHAnsi"/>
        </w:rPr>
      </w:pPr>
      <w:r w:rsidRPr="00AC50C2">
        <w:rPr>
          <w:rFonts w:cstheme="minorHAnsi"/>
        </w:rPr>
        <w:t>Aux fins des statistiques relat</w:t>
      </w:r>
      <w:r w:rsidR="00AC50C2" w:rsidRPr="00AC50C2">
        <w:rPr>
          <w:rFonts w:cstheme="minorHAnsi"/>
        </w:rPr>
        <w:t>ives aux paiements, tous les prestataires de services de paiement (PSP)</w:t>
      </w:r>
      <w:r w:rsidRPr="00AC50C2">
        <w:rPr>
          <w:rFonts w:cstheme="minorHAnsi"/>
        </w:rPr>
        <w:t xml:space="preserve"> sont exclus de la clientèle non-IFM.</w:t>
      </w:r>
    </w:p>
    <w:p w14:paraId="28F2BED0" w14:textId="77777777" w:rsidR="000C073D" w:rsidRPr="0016297D" w:rsidRDefault="000C073D" w:rsidP="00D33F33">
      <w:pPr>
        <w:autoSpaceDE w:val="0"/>
        <w:autoSpaceDN w:val="0"/>
        <w:adjustRightInd w:val="0"/>
        <w:spacing w:after="0" w:line="240" w:lineRule="auto"/>
        <w:jc w:val="both"/>
        <w:rPr>
          <w:rFonts w:cstheme="minorHAnsi"/>
        </w:rPr>
      </w:pPr>
    </w:p>
    <w:p w14:paraId="246FB30C" w14:textId="77777777" w:rsidR="00142593" w:rsidRPr="00A675AF" w:rsidRDefault="00D33F33" w:rsidP="00D33F33">
      <w:pPr>
        <w:autoSpaceDE w:val="0"/>
        <w:autoSpaceDN w:val="0"/>
        <w:adjustRightInd w:val="0"/>
        <w:spacing w:after="0" w:line="240" w:lineRule="auto"/>
        <w:jc w:val="both"/>
      </w:pPr>
      <w:r w:rsidRPr="00A675AF">
        <w:t>Elles</w:t>
      </w:r>
      <w:r w:rsidR="00142593" w:rsidRPr="00A675AF">
        <w:t xml:space="preserve"> porte</w:t>
      </w:r>
      <w:r w:rsidRPr="00A675AF">
        <w:t>nt</w:t>
      </w:r>
      <w:r w:rsidR="00142593" w:rsidRPr="00A675AF">
        <w:t xml:space="preserve"> à la fois sur les informations relatives aux instruments de paiement, les dispositifs qui leur sont associés (systèmes d'acceptation de paiement, DAB/GAB, terminaux de rechargement, etc.), les transactions de paiement (en émission et en réception), ainsi que diverses autres informations en lien </w:t>
      </w:r>
      <w:r w:rsidR="00142593" w:rsidRPr="00A675AF">
        <w:lastRenderedPageBreak/>
        <w:t>avec l’activité de fourniture de services de paiement (transmission de fonds, transactions initiées par l’établissement, écritures en compte…).</w:t>
      </w:r>
    </w:p>
    <w:p w14:paraId="6C349D03" w14:textId="77777777" w:rsidR="00D33F33" w:rsidRDefault="00D33F33" w:rsidP="00142593">
      <w:pPr>
        <w:rPr>
          <w:rFonts w:cstheme="minorHAnsi"/>
        </w:rPr>
      </w:pPr>
      <w:bookmarkStart w:id="7" w:name="Les_principaux_moyens_de_paiement"/>
      <w:bookmarkEnd w:id="7"/>
    </w:p>
    <w:p w14:paraId="39786B22" w14:textId="1415116E" w:rsidR="00142593" w:rsidRPr="00A675AF" w:rsidRDefault="00142593" w:rsidP="00D33F33">
      <w:pPr>
        <w:autoSpaceDE w:val="0"/>
        <w:autoSpaceDN w:val="0"/>
        <w:adjustRightInd w:val="0"/>
        <w:spacing w:after="0" w:line="240" w:lineRule="auto"/>
        <w:jc w:val="both"/>
      </w:pPr>
      <w:r w:rsidRPr="00A675AF">
        <w:t>Les moyens de paiement co</w:t>
      </w:r>
      <w:r w:rsidR="004013BE" w:rsidRPr="00A675AF">
        <w:t xml:space="preserve">uverts </w:t>
      </w:r>
      <w:r w:rsidRPr="00A675AF">
        <w:t xml:space="preserve">sont les </w:t>
      </w:r>
      <w:r w:rsidR="004A1618" w:rsidRPr="00A675AF">
        <w:t>suivants </w:t>
      </w:r>
      <w:r w:rsidRPr="00A675AF">
        <w:t>:</w:t>
      </w:r>
    </w:p>
    <w:p w14:paraId="5BB2D8AF" w14:textId="77777777" w:rsidR="00041C40" w:rsidRPr="00A675AF" w:rsidRDefault="00041C40" w:rsidP="00D33F33">
      <w:pPr>
        <w:autoSpaceDE w:val="0"/>
        <w:autoSpaceDN w:val="0"/>
        <w:adjustRightInd w:val="0"/>
        <w:spacing w:after="0" w:line="240" w:lineRule="auto"/>
        <w:jc w:val="both"/>
      </w:pPr>
    </w:p>
    <w:p w14:paraId="772F8989" w14:textId="6F748C7C" w:rsidR="00142593" w:rsidRPr="00A675AF" w:rsidRDefault="00142593" w:rsidP="007C7F18">
      <w:pPr>
        <w:pStyle w:val="Paragraphedeliste"/>
        <w:numPr>
          <w:ilvl w:val="0"/>
          <w:numId w:val="2"/>
        </w:numPr>
        <w:autoSpaceDE w:val="0"/>
        <w:autoSpaceDN w:val="0"/>
        <w:adjustRightInd w:val="0"/>
        <w:spacing w:after="0" w:line="240" w:lineRule="auto"/>
        <w:jc w:val="both"/>
      </w:pPr>
      <w:proofErr w:type="gramStart"/>
      <w:r w:rsidRPr="00A675AF">
        <w:rPr>
          <w:b/>
        </w:rPr>
        <w:t>la</w:t>
      </w:r>
      <w:proofErr w:type="gramEnd"/>
      <w:r w:rsidRPr="00A675AF">
        <w:rPr>
          <w:b/>
        </w:rPr>
        <w:t xml:space="preserve"> </w:t>
      </w:r>
      <w:r w:rsidR="00780AB5" w:rsidRPr="00A675AF">
        <w:rPr>
          <w:b/>
        </w:rPr>
        <w:t>carte</w:t>
      </w:r>
      <w:r w:rsidR="00780AB5" w:rsidRPr="00A675AF">
        <w:t> </w:t>
      </w:r>
      <w:r w:rsidRPr="00A675AF">
        <w:t>: toutes les cartes sont concernées, quels que soient leurs types (interbancaire ou privatif, personnelle ou professionnelle), les fonctions offertes (retrait, paiement à débit immédiat, à débit différé ou à crédit) et leurs formes (carte physique, carte virtuelle, carte intégrée dans un autre support tel un smartphone, une montre…) ;</w:t>
      </w:r>
    </w:p>
    <w:p w14:paraId="75BC5669" w14:textId="5BB50775" w:rsidR="00142593" w:rsidRPr="00A675AF" w:rsidRDefault="00142593" w:rsidP="0077773E">
      <w:pPr>
        <w:pStyle w:val="Paragraphedeliste"/>
        <w:numPr>
          <w:ilvl w:val="0"/>
          <w:numId w:val="2"/>
        </w:numPr>
        <w:autoSpaceDE w:val="0"/>
        <w:autoSpaceDN w:val="0"/>
        <w:adjustRightInd w:val="0"/>
        <w:spacing w:after="0" w:line="240" w:lineRule="auto"/>
        <w:jc w:val="both"/>
      </w:pPr>
      <w:proofErr w:type="gramStart"/>
      <w:r w:rsidRPr="00A675AF">
        <w:rPr>
          <w:b/>
        </w:rPr>
        <w:t>le</w:t>
      </w:r>
      <w:proofErr w:type="gramEnd"/>
      <w:r w:rsidRPr="00A675AF">
        <w:rPr>
          <w:b/>
        </w:rPr>
        <w:t xml:space="preserve"> </w:t>
      </w:r>
      <w:hyperlink r:id="rId16" w:tooltip="Virement bancaire" w:history="1">
        <w:r w:rsidRPr="00A675AF">
          <w:rPr>
            <w:b/>
          </w:rPr>
          <w:t>virement</w:t>
        </w:r>
      </w:hyperlink>
      <w:r w:rsidRPr="00A675AF">
        <w:t> : le virement SEPA (SCT), le virement</w:t>
      </w:r>
      <w:r w:rsidR="00780AB5" w:rsidRPr="00A675AF">
        <w:t xml:space="preserve"> </w:t>
      </w:r>
      <w:r w:rsidRPr="00A675AF">
        <w:t xml:space="preserve">SEPA instantané (SCT </w:t>
      </w:r>
      <w:proofErr w:type="spellStart"/>
      <w:r w:rsidRPr="00A675AF">
        <w:t>Inst</w:t>
      </w:r>
      <w:proofErr w:type="spellEnd"/>
      <w:r w:rsidRPr="00A675AF">
        <w:t>), les virements aux autres formats européens (ex : Target2) ou internationaux ;</w:t>
      </w:r>
    </w:p>
    <w:p w14:paraId="5CF2CF8C" w14:textId="4AEBFDAD" w:rsidR="00142593" w:rsidRPr="00A675AF" w:rsidRDefault="00142593">
      <w:pPr>
        <w:pStyle w:val="Paragraphedeliste"/>
        <w:numPr>
          <w:ilvl w:val="0"/>
          <w:numId w:val="2"/>
        </w:numPr>
        <w:autoSpaceDE w:val="0"/>
        <w:autoSpaceDN w:val="0"/>
        <w:adjustRightInd w:val="0"/>
        <w:spacing w:after="0" w:line="240" w:lineRule="auto"/>
        <w:jc w:val="both"/>
      </w:pPr>
      <w:proofErr w:type="gramStart"/>
      <w:r w:rsidRPr="00A675AF">
        <w:rPr>
          <w:b/>
        </w:rPr>
        <w:t>le</w:t>
      </w:r>
      <w:proofErr w:type="gramEnd"/>
      <w:r w:rsidRPr="00A675AF">
        <w:rPr>
          <w:b/>
        </w:rPr>
        <w:t xml:space="preserve"> prélèvement</w:t>
      </w:r>
      <w:r w:rsidRPr="00A675AF">
        <w:t xml:space="preserve"> SEPA (SDD</w:t>
      </w:r>
      <w:r w:rsidR="00780AB5" w:rsidRPr="00A675AF">
        <w:t>) </w:t>
      </w:r>
      <w:r w:rsidRPr="00A675AF">
        <w:t>;</w:t>
      </w:r>
    </w:p>
    <w:p w14:paraId="5A7462B1" w14:textId="6EDA0F26" w:rsidR="00280964" w:rsidRPr="00A675AF" w:rsidRDefault="00280964">
      <w:pPr>
        <w:pStyle w:val="Paragraphedeliste"/>
        <w:numPr>
          <w:ilvl w:val="0"/>
          <w:numId w:val="2"/>
        </w:numPr>
        <w:autoSpaceDE w:val="0"/>
        <w:autoSpaceDN w:val="0"/>
        <w:adjustRightInd w:val="0"/>
        <w:spacing w:after="0" w:line="240" w:lineRule="auto"/>
        <w:jc w:val="both"/>
      </w:pPr>
      <w:proofErr w:type="gramStart"/>
      <w:r w:rsidRPr="00A675AF">
        <w:rPr>
          <w:b/>
        </w:rPr>
        <w:t>le</w:t>
      </w:r>
      <w:proofErr w:type="gramEnd"/>
      <w:r w:rsidRPr="00A675AF">
        <w:rPr>
          <w:b/>
        </w:rPr>
        <w:t xml:space="preserve"> </w:t>
      </w:r>
      <w:hyperlink r:id="rId17" w:tooltip="Chèque" w:history="1">
        <w:r w:rsidRPr="00A675AF">
          <w:rPr>
            <w:b/>
          </w:rPr>
          <w:t>chèque</w:t>
        </w:r>
      </w:hyperlink>
      <w:r w:rsidRPr="00A675AF">
        <w:t> ;</w:t>
      </w:r>
    </w:p>
    <w:p w14:paraId="6A1107C5" w14:textId="77777777" w:rsidR="00142593" w:rsidRPr="00A675AF" w:rsidRDefault="00142593">
      <w:pPr>
        <w:pStyle w:val="Paragraphedeliste"/>
        <w:numPr>
          <w:ilvl w:val="0"/>
          <w:numId w:val="2"/>
        </w:numPr>
        <w:autoSpaceDE w:val="0"/>
        <w:autoSpaceDN w:val="0"/>
        <w:adjustRightInd w:val="0"/>
        <w:spacing w:after="0" w:line="240" w:lineRule="auto"/>
        <w:jc w:val="both"/>
      </w:pPr>
      <w:proofErr w:type="gramStart"/>
      <w:r w:rsidRPr="00A675AF">
        <w:rPr>
          <w:b/>
        </w:rPr>
        <w:t>les</w:t>
      </w:r>
      <w:proofErr w:type="gramEnd"/>
      <w:r w:rsidRPr="00A675AF">
        <w:rPr>
          <w:b/>
        </w:rPr>
        <w:t xml:space="preserve"> </w:t>
      </w:r>
      <w:hyperlink r:id="rId18" w:tooltip="Effet de commerce" w:history="1">
        <w:r w:rsidRPr="00A675AF">
          <w:rPr>
            <w:b/>
          </w:rPr>
          <w:t>effets de commerce</w:t>
        </w:r>
      </w:hyperlink>
      <w:r w:rsidRPr="00A675AF">
        <w:t> : la lettre de change (LCR) et le billet à ordre (BOR) ;</w:t>
      </w:r>
    </w:p>
    <w:p w14:paraId="5659DBAB" w14:textId="77777777" w:rsidR="00F81920" w:rsidRPr="00F81920" w:rsidRDefault="00142593" w:rsidP="00F81920">
      <w:pPr>
        <w:pStyle w:val="Paragraphedeliste"/>
        <w:numPr>
          <w:ilvl w:val="0"/>
          <w:numId w:val="2"/>
        </w:numPr>
        <w:autoSpaceDE w:val="0"/>
        <w:autoSpaceDN w:val="0"/>
        <w:adjustRightInd w:val="0"/>
        <w:spacing w:after="0" w:line="240" w:lineRule="auto"/>
        <w:jc w:val="both"/>
      </w:pPr>
      <w:proofErr w:type="gramStart"/>
      <w:r w:rsidRPr="00A675AF">
        <w:rPr>
          <w:b/>
        </w:rPr>
        <w:t>la</w:t>
      </w:r>
      <w:proofErr w:type="gramEnd"/>
      <w:r w:rsidRPr="00A675AF">
        <w:rPr>
          <w:b/>
        </w:rPr>
        <w:t xml:space="preserve"> </w:t>
      </w:r>
      <w:hyperlink r:id="rId19" w:tooltip="Porte-monnaie électronique" w:history="1">
        <w:r w:rsidRPr="00A675AF">
          <w:rPr>
            <w:b/>
          </w:rPr>
          <w:t>monnaie électronique</w:t>
        </w:r>
      </w:hyperlink>
      <w:r w:rsidR="00F81920">
        <w:rPr>
          <w:b/>
        </w:rPr>
        <w:t xml:space="preserve">, </w:t>
      </w:r>
      <w:r w:rsidR="00F81920" w:rsidRPr="00F81920">
        <w:t>telle que définie à l’article 2 paragraphe 2 de la directive (CE) n° 2009/110</w:t>
      </w:r>
      <w:r w:rsidR="00F81920" w:rsidRPr="00F81920">
        <w:rPr>
          <w:rFonts w:ascii="Times New Roman" w:hAnsi="Times New Roman"/>
          <w:position w:val="6"/>
          <w:sz w:val="12"/>
        </w:rPr>
        <w:footnoteReference w:id="4"/>
      </w:r>
      <w:r w:rsidR="00F81920" w:rsidRPr="00F81920">
        <w:t>.</w:t>
      </w:r>
    </w:p>
    <w:p w14:paraId="0C743542" w14:textId="77777777" w:rsidR="007E55EE" w:rsidRPr="00A675AF" w:rsidRDefault="007E55EE">
      <w:pPr>
        <w:pStyle w:val="Paragraphedeliste"/>
        <w:autoSpaceDE w:val="0"/>
        <w:autoSpaceDN w:val="0"/>
        <w:adjustRightInd w:val="0"/>
        <w:spacing w:after="0" w:line="240" w:lineRule="auto"/>
        <w:jc w:val="both"/>
      </w:pPr>
    </w:p>
    <w:p w14:paraId="30D57434" w14:textId="02B7138C" w:rsidR="00142593" w:rsidRDefault="00142593" w:rsidP="00D7057C">
      <w:pPr>
        <w:jc w:val="both"/>
        <w:rPr>
          <w:rFonts w:cstheme="minorHAnsi"/>
        </w:rPr>
      </w:pPr>
      <w:r w:rsidRPr="00FA6CC4">
        <w:rPr>
          <w:rFonts w:cstheme="minorHAnsi"/>
        </w:rPr>
        <w:t xml:space="preserve">Les services de paiements concernés sont les services de paiement mentionnés à l’article </w:t>
      </w:r>
      <w:r w:rsidRPr="00FA6CC4">
        <w:rPr>
          <w:rFonts w:cstheme="minorHAnsi"/>
          <w:color w:val="000000"/>
        </w:rPr>
        <w:t>L. 314-1</w:t>
      </w:r>
      <w:r w:rsidRPr="00FA6CC4">
        <w:rPr>
          <w:rFonts w:cstheme="minorHAnsi"/>
        </w:rPr>
        <w:t xml:space="preserve"> </w:t>
      </w:r>
      <w:r w:rsidR="00F20083">
        <w:rPr>
          <w:rFonts w:cstheme="minorHAnsi"/>
        </w:rPr>
        <w:t>du Code monétaire et financier.</w:t>
      </w:r>
    </w:p>
    <w:p w14:paraId="44759F87" w14:textId="77777777" w:rsidR="00E97D36" w:rsidRDefault="00E97D36" w:rsidP="00142593">
      <w:pPr>
        <w:rPr>
          <w:rFonts w:cstheme="minorHAnsi"/>
        </w:rPr>
      </w:pPr>
    </w:p>
    <w:p w14:paraId="20E8F6D0" w14:textId="7D7AF556" w:rsidR="00DC6649" w:rsidRPr="008241C3" w:rsidRDefault="00300245" w:rsidP="006B400E">
      <w:pPr>
        <w:pStyle w:val="Titre3"/>
        <w:numPr>
          <w:ilvl w:val="2"/>
          <w:numId w:val="18"/>
        </w:numPr>
      </w:pPr>
      <w:bookmarkStart w:id="8" w:name="_Toc222476850"/>
      <w:r>
        <w:t>P</w:t>
      </w:r>
      <w:r w:rsidR="00DC6649">
        <w:t>récisions concernant certaines données</w:t>
      </w:r>
      <w:bookmarkEnd w:id="8"/>
    </w:p>
    <w:p w14:paraId="0A3A8196" w14:textId="77777777" w:rsidR="00F20083" w:rsidRDefault="00F20083" w:rsidP="00142593">
      <w:pPr>
        <w:rPr>
          <w:rFonts w:cstheme="minorHAnsi"/>
          <w:b/>
          <w:u w:val="single"/>
        </w:rPr>
      </w:pPr>
    </w:p>
    <w:p w14:paraId="1B9AF110" w14:textId="77777777" w:rsidR="002319FC" w:rsidRDefault="001B5D07" w:rsidP="002319FC">
      <w:pPr>
        <w:spacing w:after="0" w:line="240" w:lineRule="auto"/>
        <w:rPr>
          <w:rFonts w:cstheme="minorHAnsi"/>
        </w:rPr>
      </w:pPr>
      <w:r>
        <w:rPr>
          <w:rFonts w:cstheme="minorHAnsi"/>
          <w:b/>
          <w:u w:val="single"/>
        </w:rPr>
        <w:t xml:space="preserve">Ventilation </w:t>
      </w:r>
      <w:r w:rsidR="009945AF">
        <w:rPr>
          <w:rFonts w:cstheme="minorHAnsi"/>
          <w:b/>
          <w:u w:val="single"/>
        </w:rPr>
        <w:t>géographique</w:t>
      </w:r>
      <w:r w:rsidR="00137826" w:rsidRPr="00137826">
        <w:rPr>
          <w:rFonts w:cstheme="minorHAnsi"/>
        </w:rPr>
        <w:t xml:space="preserve"> </w:t>
      </w:r>
      <w:r w:rsidR="009945AF" w:rsidRPr="00137826">
        <w:rPr>
          <w:rFonts w:cstheme="minorHAnsi"/>
        </w:rPr>
        <w:t>:</w:t>
      </w:r>
    </w:p>
    <w:p w14:paraId="0BF8BC48" w14:textId="33B0AAF3" w:rsidR="00DC6649" w:rsidRDefault="00331F77" w:rsidP="002319FC">
      <w:pPr>
        <w:spacing w:after="0" w:line="240" w:lineRule="auto"/>
        <w:rPr>
          <w:rFonts w:cstheme="minorHAnsi"/>
        </w:rPr>
      </w:pPr>
      <w:r>
        <w:rPr>
          <w:rFonts w:cstheme="minorHAnsi"/>
        </w:rPr>
        <w:t xml:space="preserve">Sauf mention contraire, toutes les données </w:t>
      </w:r>
      <w:r w:rsidR="0047144C">
        <w:rPr>
          <w:rFonts w:cstheme="minorHAnsi"/>
        </w:rPr>
        <w:t xml:space="preserve">en émission et en réception sont </w:t>
      </w:r>
      <w:r w:rsidR="00A9664C">
        <w:rPr>
          <w:rFonts w:cstheme="minorHAnsi"/>
        </w:rPr>
        <w:t xml:space="preserve">à </w:t>
      </w:r>
      <w:r w:rsidR="00BF5110">
        <w:rPr>
          <w:rFonts w:cstheme="minorHAnsi"/>
        </w:rPr>
        <w:t>déclarer selon la ventilation géographique suivante :</w:t>
      </w:r>
    </w:p>
    <w:p w14:paraId="3BBDA440" w14:textId="77777777" w:rsidR="00C056A4" w:rsidRPr="00A9664C" w:rsidRDefault="00C056A4" w:rsidP="000E2C9C">
      <w:pPr>
        <w:pStyle w:val="Paragraphedeliste"/>
        <w:numPr>
          <w:ilvl w:val="0"/>
          <w:numId w:val="12"/>
        </w:numPr>
        <w:spacing w:after="0" w:line="240" w:lineRule="auto"/>
        <w:jc w:val="both"/>
        <w:rPr>
          <w:rFonts w:cstheme="minorHAnsi"/>
        </w:rPr>
      </w:pPr>
      <w:r w:rsidRPr="00A9664C">
        <w:rPr>
          <w:rFonts w:cstheme="minorHAnsi"/>
        </w:rPr>
        <w:t>France</w:t>
      </w:r>
      <w:r w:rsidR="00A9664C" w:rsidRPr="00D97239">
        <w:rPr>
          <w:rStyle w:val="Appelnotedebasdep"/>
        </w:rPr>
        <w:footnoteReference w:id="5"/>
      </w:r>
      <w:r>
        <w:rPr>
          <w:rFonts w:cstheme="minorHAnsi"/>
        </w:rPr>
        <w:t> </w:t>
      </w:r>
      <w:r>
        <w:t>;</w:t>
      </w:r>
    </w:p>
    <w:p w14:paraId="0A847139" w14:textId="3F63A448" w:rsidR="00C056A4" w:rsidRDefault="00C056A4" w:rsidP="000E2C9C">
      <w:pPr>
        <w:pStyle w:val="Paragraphedeliste"/>
        <w:numPr>
          <w:ilvl w:val="0"/>
          <w:numId w:val="11"/>
        </w:numPr>
        <w:jc w:val="both"/>
        <w:rPr>
          <w:rFonts w:cstheme="minorHAnsi"/>
        </w:rPr>
      </w:pPr>
      <w:r>
        <w:rPr>
          <w:rFonts w:cstheme="minorHAnsi"/>
        </w:rPr>
        <w:t>Pays de l’</w:t>
      </w:r>
      <w:r w:rsidR="001B5D07">
        <w:rPr>
          <w:rFonts w:cstheme="minorHAnsi"/>
        </w:rPr>
        <w:t>Espace Économique E</w:t>
      </w:r>
      <w:r>
        <w:rPr>
          <w:rFonts w:cstheme="minorHAnsi"/>
        </w:rPr>
        <w:t xml:space="preserve">uropéenne </w:t>
      </w:r>
      <w:r w:rsidR="001B5D07">
        <w:rPr>
          <w:rFonts w:cstheme="minorHAnsi"/>
        </w:rPr>
        <w:t>(EEE)</w:t>
      </w:r>
      <w:r>
        <w:rPr>
          <w:rFonts w:cstheme="minorHAnsi"/>
        </w:rPr>
        <w:t xml:space="preserve"> </w:t>
      </w:r>
      <w:r w:rsidR="00137826">
        <w:rPr>
          <w:rFonts w:cstheme="minorHAnsi"/>
        </w:rPr>
        <w:t>a</w:t>
      </w:r>
      <w:r>
        <w:rPr>
          <w:rFonts w:cstheme="minorHAnsi"/>
        </w:rPr>
        <w:t>vec une ventilation par pays ;</w:t>
      </w:r>
    </w:p>
    <w:p w14:paraId="73BF00D8" w14:textId="2411B43C" w:rsidR="00C056A4" w:rsidRDefault="00C056A4" w:rsidP="000E2C9C">
      <w:pPr>
        <w:pStyle w:val="Paragraphedeliste"/>
        <w:numPr>
          <w:ilvl w:val="0"/>
          <w:numId w:val="11"/>
        </w:numPr>
        <w:jc w:val="both"/>
        <w:rPr>
          <w:rFonts w:cstheme="minorHAnsi"/>
        </w:rPr>
      </w:pPr>
      <w:r>
        <w:rPr>
          <w:rFonts w:cstheme="minorHAnsi"/>
        </w:rPr>
        <w:t xml:space="preserve">Pays hors de </w:t>
      </w:r>
      <w:r w:rsidR="001B5D07">
        <w:rPr>
          <w:rFonts w:cstheme="minorHAnsi"/>
        </w:rPr>
        <w:t>l’Esp</w:t>
      </w:r>
      <w:r w:rsidR="00211ED1">
        <w:rPr>
          <w:rFonts w:cstheme="minorHAnsi"/>
        </w:rPr>
        <w:t>a</w:t>
      </w:r>
      <w:r w:rsidR="00BF5110">
        <w:rPr>
          <w:rFonts w:cstheme="minorHAnsi"/>
        </w:rPr>
        <w:t>ce Économique Européenne (EEE).</w:t>
      </w:r>
    </w:p>
    <w:p w14:paraId="2EE8AC02" w14:textId="1D7B9422" w:rsidR="00211ED1" w:rsidRDefault="00996F58" w:rsidP="00996F58">
      <w:pPr>
        <w:jc w:val="both"/>
        <w:rPr>
          <w:rFonts w:cstheme="minorHAnsi"/>
        </w:rPr>
      </w:pPr>
      <w:r>
        <w:rPr>
          <w:rFonts w:cstheme="minorHAnsi"/>
        </w:rPr>
        <w:t>C</w:t>
      </w:r>
      <w:r w:rsidR="00BF5110">
        <w:rPr>
          <w:rFonts w:cstheme="minorHAnsi"/>
        </w:rPr>
        <w:t xml:space="preserve">ette ventilation géographique </w:t>
      </w:r>
      <w:r w:rsidR="000E2C9C">
        <w:rPr>
          <w:rFonts w:cstheme="minorHAnsi"/>
        </w:rPr>
        <w:t xml:space="preserve">est basée </w:t>
      </w:r>
      <w:r w:rsidR="00C31EAD">
        <w:rPr>
          <w:rFonts w:cstheme="minorHAnsi"/>
        </w:rPr>
        <w:t>selon les moyens de paiement comme suit.</w:t>
      </w:r>
      <w:r w:rsidR="009F7CA6">
        <w:rPr>
          <w:rFonts w:cstheme="minorHAnsi"/>
        </w:rPr>
        <w:t xml:space="preserve"> </w:t>
      </w:r>
    </w:p>
    <w:tbl>
      <w:tblPr>
        <w:tblStyle w:val="Grilledutableau"/>
        <w:tblW w:w="9049" w:type="dxa"/>
        <w:tblLook w:val="04A0" w:firstRow="1" w:lastRow="0" w:firstColumn="1" w:lastColumn="0" w:noHBand="0" w:noVBand="1"/>
      </w:tblPr>
      <w:tblGrid>
        <w:gridCol w:w="3102"/>
        <w:gridCol w:w="1697"/>
        <w:gridCol w:w="4250"/>
      </w:tblGrid>
      <w:tr w:rsidR="009F7CA6" w14:paraId="221FE6FA" w14:textId="77777777" w:rsidTr="002319FC">
        <w:tc>
          <w:tcPr>
            <w:tcW w:w="3102" w:type="dxa"/>
            <w:vMerge w:val="restart"/>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7ED98FD3" w14:textId="77777777" w:rsidR="009F7CA6" w:rsidRDefault="009F7CA6" w:rsidP="009F7CA6">
            <w:pPr>
              <w:rPr>
                <w:rFonts w:cstheme="minorHAnsi"/>
              </w:rPr>
            </w:pPr>
            <w:r>
              <w:rPr>
                <w:rFonts w:cstheme="minorHAnsi"/>
              </w:rPr>
              <w:t xml:space="preserve">Carte </w:t>
            </w:r>
          </w:p>
          <w:p w14:paraId="3D521727" w14:textId="1E37A473" w:rsidR="009F7CA6" w:rsidRDefault="009F7CA6" w:rsidP="009F7CA6">
            <w:pPr>
              <w:rPr>
                <w:rFonts w:cstheme="minorHAnsi"/>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3C249ADF" w14:textId="654328A3" w:rsidR="009F7CA6" w:rsidRDefault="009F7CA6" w:rsidP="00211ED1">
            <w:pPr>
              <w:rPr>
                <w:rFonts w:cstheme="minorHAnsi"/>
              </w:rPr>
            </w:pPr>
            <w:r>
              <w:rPr>
                <w:rFonts w:cstheme="minorHAnsi"/>
              </w:rPr>
              <w:t>Vue émetteur</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14F1687" w14:textId="03CD3C04" w:rsidR="009F7CA6" w:rsidRDefault="002D3F94" w:rsidP="00211ED1">
            <w:pPr>
              <w:rPr>
                <w:rFonts w:cstheme="minorHAnsi"/>
              </w:rPr>
            </w:pPr>
            <w:r>
              <w:rPr>
                <w:rFonts w:cstheme="minorHAnsi"/>
              </w:rPr>
              <w:t xml:space="preserve">Pays du </w:t>
            </w:r>
            <w:r w:rsidR="009F7CA6">
              <w:rPr>
                <w:rFonts w:cstheme="minorHAnsi"/>
              </w:rPr>
              <w:t xml:space="preserve">PSP acquéreur </w:t>
            </w:r>
            <w:r w:rsidR="009F7CA6" w:rsidRPr="00553151">
              <w:rPr>
                <w:rFonts w:cstheme="minorHAnsi"/>
                <w:u w:val="single"/>
              </w:rPr>
              <w:t>ET</w:t>
            </w:r>
            <w:r w:rsidR="009F7CA6">
              <w:rPr>
                <w:rFonts w:cstheme="minorHAnsi"/>
              </w:rPr>
              <w:t xml:space="preserve"> celui de localisation du terminal (virtuel ou physique)</w:t>
            </w:r>
          </w:p>
        </w:tc>
      </w:tr>
      <w:tr w:rsidR="009F7CA6" w14:paraId="2B249332" w14:textId="77777777" w:rsidTr="002319FC">
        <w:tc>
          <w:tcPr>
            <w:tcW w:w="3102" w:type="dxa"/>
            <w:vMerge/>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3CECC58F" w14:textId="4E2865E3" w:rsidR="009F7CA6" w:rsidRDefault="009F7CA6" w:rsidP="00211ED1">
            <w:pPr>
              <w:rPr>
                <w:rFonts w:cstheme="minorHAnsi"/>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7CBFA3A8" w14:textId="3CDE4081" w:rsidR="009F7CA6" w:rsidRDefault="009F7CA6" w:rsidP="00211ED1">
            <w:pPr>
              <w:rPr>
                <w:rFonts w:cstheme="minorHAnsi"/>
              </w:rPr>
            </w:pPr>
            <w:r>
              <w:rPr>
                <w:rFonts w:cstheme="minorHAnsi"/>
              </w:rPr>
              <w:t>Vue acquéreur</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6263D664" w14:textId="13A567CC" w:rsidR="009F7CA6" w:rsidRDefault="002D3F94" w:rsidP="00211ED1">
            <w:pPr>
              <w:rPr>
                <w:rFonts w:cstheme="minorHAnsi"/>
              </w:rPr>
            </w:pPr>
            <w:r>
              <w:rPr>
                <w:rFonts w:cstheme="minorHAnsi"/>
              </w:rPr>
              <w:t xml:space="preserve">Pays du </w:t>
            </w:r>
            <w:r w:rsidR="009F7CA6">
              <w:rPr>
                <w:rFonts w:cstheme="minorHAnsi"/>
              </w:rPr>
              <w:t xml:space="preserve">PSP émetteur </w:t>
            </w:r>
            <w:r w:rsidR="009F7CA6" w:rsidRPr="00553151">
              <w:rPr>
                <w:rFonts w:cstheme="minorHAnsi"/>
                <w:u w:val="single"/>
              </w:rPr>
              <w:t>ET</w:t>
            </w:r>
            <w:r w:rsidR="009F7CA6">
              <w:rPr>
                <w:rFonts w:cstheme="minorHAnsi"/>
              </w:rPr>
              <w:t xml:space="preserve"> celui de localisation du terminal (virtuel ou physique)</w:t>
            </w:r>
          </w:p>
        </w:tc>
      </w:tr>
      <w:tr w:rsidR="009F7CA6" w14:paraId="3A36A5CE" w14:textId="77777777" w:rsidTr="002319FC">
        <w:tc>
          <w:tcPr>
            <w:tcW w:w="3102" w:type="dxa"/>
            <w:vMerge w:val="restart"/>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352FA8FA" w14:textId="494BB48D" w:rsidR="009F7CA6" w:rsidRDefault="009F7CA6" w:rsidP="009F7CA6">
            <w:pPr>
              <w:rPr>
                <w:rFonts w:cstheme="minorHAnsi"/>
              </w:rPr>
            </w:pPr>
            <w:r>
              <w:rPr>
                <w:rFonts w:cstheme="minorHAnsi"/>
              </w:rPr>
              <w:t>Monnaie électronique</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2F1F5025" w14:textId="29A4F6C1" w:rsidR="009F7CA6" w:rsidRDefault="009F7CA6" w:rsidP="00211ED1">
            <w:pPr>
              <w:rPr>
                <w:rFonts w:cstheme="minorHAnsi"/>
              </w:rPr>
            </w:pPr>
            <w:r>
              <w:rPr>
                <w:rFonts w:cstheme="minorHAnsi"/>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00724110" w14:textId="5D3E4097" w:rsidR="009F7CA6" w:rsidRDefault="002D3F94" w:rsidP="00211ED1">
            <w:pPr>
              <w:rPr>
                <w:rFonts w:cstheme="minorHAnsi"/>
              </w:rPr>
            </w:pPr>
            <w:r>
              <w:rPr>
                <w:rFonts w:cstheme="minorHAnsi"/>
              </w:rPr>
              <w:t xml:space="preserve">Pays du </w:t>
            </w:r>
            <w:r w:rsidR="009F7CA6">
              <w:rPr>
                <w:rFonts w:cstheme="minorHAnsi"/>
              </w:rPr>
              <w:t>PSP</w:t>
            </w:r>
            <w:r>
              <w:rPr>
                <w:rFonts w:cstheme="minorHAnsi"/>
              </w:rPr>
              <w:t xml:space="preserve"> du payé</w:t>
            </w:r>
          </w:p>
        </w:tc>
      </w:tr>
      <w:tr w:rsidR="002D3F94" w14:paraId="1E2250E9" w14:textId="77777777" w:rsidTr="002319FC">
        <w:tc>
          <w:tcPr>
            <w:tcW w:w="3102" w:type="dxa"/>
            <w:vMerge/>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2E4E3C4" w14:textId="77777777" w:rsidR="002D3F94" w:rsidRDefault="002D3F94" w:rsidP="002D3F94">
            <w:pPr>
              <w:rPr>
                <w:rFonts w:cstheme="minorHAnsi"/>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79BD7913" w14:textId="53755604" w:rsidR="002D3F94" w:rsidRDefault="002D3F94" w:rsidP="002D3F94">
            <w:pPr>
              <w:rPr>
                <w:rFonts w:cstheme="minorHAnsi"/>
              </w:rPr>
            </w:pPr>
            <w:r>
              <w:rPr>
                <w:rFonts w:cstheme="minorHAnsi"/>
              </w:rPr>
              <w:t>En réception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6202BD3A" w14:textId="6E112BB4" w:rsidR="002D3F94" w:rsidRDefault="002D3F94" w:rsidP="002D3F94">
            <w:pPr>
              <w:rPr>
                <w:rFonts w:cstheme="minorHAnsi"/>
              </w:rPr>
            </w:pPr>
            <w:r>
              <w:rPr>
                <w:rFonts w:cstheme="minorHAnsi"/>
              </w:rPr>
              <w:t>Pays du PSP du payeur</w:t>
            </w:r>
          </w:p>
        </w:tc>
      </w:tr>
      <w:tr w:rsidR="002D3F94" w14:paraId="1AC97AA7" w14:textId="77777777" w:rsidTr="002319FC">
        <w:tc>
          <w:tcPr>
            <w:tcW w:w="3102" w:type="dxa"/>
            <w:vMerge w:val="restart"/>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5D83A302" w14:textId="047BB954" w:rsidR="002D3F94" w:rsidRDefault="002D3F94" w:rsidP="002D3F94">
            <w:pPr>
              <w:rPr>
                <w:rFonts w:cstheme="minorHAnsi"/>
              </w:rPr>
            </w:pPr>
            <w:r>
              <w:rPr>
                <w:rFonts w:cstheme="minorHAnsi"/>
              </w:rPr>
              <w:t>Virement</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0866DC0A" w14:textId="5209FAE5" w:rsidR="002D3F94" w:rsidRDefault="002D3F94" w:rsidP="002D3F94">
            <w:pPr>
              <w:rPr>
                <w:rFonts w:cstheme="minorHAnsi"/>
              </w:rPr>
            </w:pPr>
            <w:r>
              <w:rPr>
                <w:rFonts w:cstheme="minorHAnsi"/>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E115A7F" w14:textId="6C939949" w:rsidR="002D3F94" w:rsidRDefault="002D3F94" w:rsidP="002D3F94">
            <w:pPr>
              <w:rPr>
                <w:rFonts w:cstheme="minorHAnsi"/>
              </w:rPr>
            </w:pPr>
            <w:r>
              <w:rPr>
                <w:rFonts w:cstheme="minorHAnsi"/>
              </w:rPr>
              <w:t>Pays du PSP du payé</w:t>
            </w:r>
          </w:p>
        </w:tc>
      </w:tr>
      <w:tr w:rsidR="002D3F94" w14:paraId="2BFDB2AB" w14:textId="77777777" w:rsidTr="002319FC">
        <w:tc>
          <w:tcPr>
            <w:tcW w:w="3102" w:type="dxa"/>
            <w:vMerge/>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921662E" w14:textId="77777777" w:rsidR="002D3F94" w:rsidRDefault="002D3F94" w:rsidP="002D3F94">
            <w:pPr>
              <w:rPr>
                <w:rFonts w:cstheme="minorHAnsi"/>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2159BD6B" w14:textId="63EB1036" w:rsidR="002D3F94" w:rsidRDefault="002D3F94" w:rsidP="002D3F94">
            <w:pPr>
              <w:rPr>
                <w:rFonts w:cstheme="minorHAnsi"/>
              </w:rPr>
            </w:pPr>
            <w:r>
              <w:rPr>
                <w:rFonts w:cstheme="minorHAnsi"/>
              </w:rPr>
              <w:t>En réception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0AC46906" w14:textId="0895D789" w:rsidR="002D3F94" w:rsidRDefault="002D3F94" w:rsidP="002D3F94">
            <w:pPr>
              <w:rPr>
                <w:rFonts w:cstheme="minorHAnsi"/>
              </w:rPr>
            </w:pPr>
            <w:r>
              <w:rPr>
                <w:rFonts w:cstheme="minorHAnsi"/>
              </w:rPr>
              <w:t>Pays du PSP du payeur</w:t>
            </w:r>
          </w:p>
        </w:tc>
      </w:tr>
      <w:tr w:rsidR="002D3F94" w14:paraId="2C048AF3" w14:textId="77777777" w:rsidTr="002319FC">
        <w:tc>
          <w:tcPr>
            <w:tcW w:w="3102" w:type="dxa"/>
            <w:vMerge w:val="restart"/>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3E731B34" w14:textId="2F8A1539" w:rsidR="002D3F94" w:rsidRDefault="002D3F94" w:rsidP="002D3F94">
            <w:pPr>
              <w:rPr>
                <w:rFonts w:cstheme="minorHAnsi"/>
              </w:rPr>
            </w:pPr>
            <w:r>
              <w:rPr>
                <w:rFonts w:cstheme="minorHAnsi"/>
              </w:rPr>
              <w:t>Prélèvement</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39E8B09A" w14:textId="4BD9CC78" w:rsidR="002D3F94" w:rsidRDefault="002D3F94" w:rsidP="002D3F94">
            <w:pPr>
              <w:rPr>
                <w:rFonts w:cstheme="minorHAnsi"/>
              </w:rPr>
            </w:pPr>
            <w:r>
              <w:rPr>
                <w:rFonts w:cstheme="minorHAnsi"/>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60E77F1E" w14:textId="67F52669" w:rsidR="002D3F94" w:rsidRDefault="002D3F94" w:rsidP="002D3F94">
            <w:pPr>
              <w:rPr>
                <w:rFonts w:cstheme="minorHAnsi"/>
              </w:rPr>
            </w:pPr>
            <w:r>
              <w:rPr>
                <w:rFonts w:cstheme="minorHAnsi"/>
              </w:rPr>
              <w:t>Pays du PSP du payeur</w:t>
            </w:r>
          </w:p>
        </w:tc>
      </w:tr>
      <w:tr w:rsidR="002D3F94" w14:paraId="2460D7E9" w14:textId="77777777" w:rsidTr="002319FC">
        <w:tc>
          <w:tcPr>
            <w:tcW w:w="3102" w:type="dxa"/>
            <w:vMerge/>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27D0D303" w14:textId="77777777" w:rsidR="002D3F94" w:rsidRDefault="002D3F94" w:rsidP="002D3F94">
            <w:pPr>
              <w:rPr>
                <w:rFonts w:cstheme="minorHAnsi"/>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13BE82B" w14:textId="7D860429" w:rsidR="002D3F94" w:rsidRDefault="002D3F94" w:rsidP="002D3F94">
            <w:pPr>
              <w:rPr>
                <w:rFonts w:cstheme="minorHAnsi"/>
              </w:rPr>
            </w:pPr>
            <w:r>
              <w:rPr>
                <w:rFonts w:cstheme="minorHAnsi"/>
              </w:rPr>
              <w:t>En réception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2467770" w14:textId="1CA8D498" w:rsidR="002D3F94" w:rsidRDefault="002D3F94" w:rsidP="002D3F94">
            <w:pPr>
              <w:rPr>
                <w:rFonts w:cstheme="minorHAnsi"/>
              </w:rPr>
            </w:pPr>
            <w:r>
              <w:rPr>
                <w:rFonts w:cstheme="minorHAnsi"/>
              </w:rPr>
              <w:t>Pays du PSP du payé</w:t>
            </w:r>
          </w:p>
        </w:tc>
      </w:tr>
      <w:tr w:rsidR="002D3F94" w14:paraId="2939E774" w14:textId="77777777" w:rsidTr="002319FC">
        <w:tc>
          <w:tcPr>
            <w:tcW w:w="3102" w:type="dxa"/>
            <w:vMerge w:val="restart"/>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45535914" w14:textId="75DFF339" w:rsidR="002D3F94" w:rsidRDefault="002D3F94" w:rsidP="002D3F94">
            <w:pPr>
              <w:rPr>
                <w:rFonts w:cstheme="minorHAnsi"/>
              </w:rPr>
            </w:pPr>
            <w:r>
              <w:rPr>
                <w:rFonts w:cstheme="minorHAnsi"/>
              </w:rPr>
              <w:t>Chèque</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5B3F59C3" w14:textId="1CEE58CB" w:rsidR="002D3F94" w:rsidRDefault="002D3F94" w:rsidP="002D3F94">
            <w:pPr>
              <w:rPr>
                <w:rFonts w:cstheme="minorHAnsi"/>
              </w:rPr>
            </w:pPr>
            <w:r>
              <w:rPr>
                <w:rFonts w:cstheme="minorHAnsi"/>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298D3513" w14:textId="0F06CD10" w:rsidR="002D3F94" w:rsidRDefault="002D3F94" w:rsidP="00C31EAD">
            <w:pPr>
              <w:rPr>
                <w:rFonts w:cstheme="minorHAnsi"/>
              </w:rPr>
            </w:pPr>
            <w:r>
              <w:rPr>
                <w:rFonts w:cstheme="minorHAnsi"/>
              </w:rPr>
              <w:t>Pays du PSP du pay</w:t>
            </w:r>
            <w:r w:rsidR="00C31EAD">
              <w:rPr>
                <w:rFonts w:cstheme="minorHAnsi"/>
              </w:rPr>
              <w:t>eur</w:t>
            </w:r>
          </w:p>
        </w:tc>
      </w:tr>
      <w:tr w:rsidR="002D3F94" w14:paraId="42BD0B52" w14:textId="77777777" w:rsidTr="002319FC">
        <w:tc>
          <w:tcPr>
            <w:tcW w:w="3102" w:type="dxa"/>
            <w:vMerge/>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3AB512F8" w14:textId="77777777" w:rsidR="002D3F94" w:rsidRDefault="002D3F94" w:rsidP="002D3F94">
            <w:pPr>
              <w:rPr>
                <w:rFonts w:cstheme="minorHAnsi"/>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FA5852A" w14:textId="7ED1368A" w:rsidR="002D3F94" w:rsidRDefault="002D3F94" w:rsidP="002D3F94">
            <w:pPr>
              <w:rPr>
                <w:rFonts w:cstheme="minorHAnsi"/>
              </w:rPr>
            </w:pPr>
            <w:r>
              <w:rPr>
                <w:rFonts w:cstheme="minorHAnsi"/>
              </w:rPr>
              <w:t>En réception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BF28AA1" w14:textId="0BF16793" w:rsidR="002D3F94" w:rsidRDefault="002D3F94" w:rsidP="002D3F94">
            <w:pPr>
              <w:rPr>
                <w:rFonts w:cstheme="minorHAnsi"/>
              </w:rPr>
            </w:pPr>
            <w:r>
              <w:rPr>
                <w:rFonts w:cstheme="minorHAnsi"/>
              </w:rPr>
              <w:t>Pays du PSP du payé</w:t>
            </w:r>
          </w:p>
        </w:tc>
      </w:tr>
      <w:tr w:rsidR="002D3F94" w14:paraId="78F11C78" w14:textId="77777777" w:rsidTr="002319FC">
        <w:tc>
          <w:tcPr>
            <w:tcW w:w="3102" w:type="dxa"/>
            <w:vMerge w:val="restart"/>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016BC64E" w14:textId="7EFE40C4" w:rsidR="002D3F94" w:rsidRDefault="002D3F94" w:rsidP="002D3F94">
            <w:pPr>
              <w:rPr>
                <w:rFonts w:cstheme="minorHAnsi"/>
              </w:rPr>
            </w:pPr>
            <w:r>
              <w:rPr>
                <w:rFonts w:cstheme="minorHAnsi"/>
              </w:rPr>
              <w:t>Transmission de fonds</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0B85134B" w14:textId="5CFD2C78" w:rsidR="002D3F94" w:rsidRDefault="002D3F94" w:rsidP="002D3F94">
            <w:pPr>
              <w:rPr>
                <w:rFonts w:cstheme="minorHAnsi"/>
              </w:rPr>
            </w:pPr>
            <w:r>
              <w:rPr>
                <w:rFonts w:cstheme="minorHAnsi"/>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EA34740" w14:textId="643053CB" w:rsidR="002D3F94" w:rsidRDefault="002D3F94" w:rsidP="002D3F94">
            <w:pPr>
              <w:rPr>
                <w:rFonts w:cstheme="minorHAnsi"/>
              </w:rPr>
            </w:pPr>
            <w:r>
              <w:rPr>
                <w:rFonts w:cstheme="minorHAnsi"/>
              </w:rPr>
              <w:t>Pays du PSP du payé</w:t>
            </w:r>
          </w:p>
        </w:tc>
      </w:tr>
      <w:tr w:rsidR="002D3F94" w14:paraId="7AB43D66" w14:textId="77777777" w:rsidTr="002319FC">
        <w:tc>
          <w:tcPr>
            <w:tcW w:w="3102" w:type="dxa"/>
            <w:vMerge/>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C0256CB" w14:textId="77777777" w:rsidR="002D3F94" w:rsidRDefault="002D3F94" w:rsidP="002D3F94">
            <w:pPr>
              <w:rPr>
                <w:rFonts w:cstheme="minorHAnsi"/>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786AE0F6" w14:textId="779FDB78" w:rsidR="002D3F94" w:rsidRDefault="002D3F94" w:rsidP="002D3F94">
            <w:pPr>
              <w:rPr>
                <w:rFonts w:cstheme="minorHAnsi"/>
              </w:rPr>
            </w:pPr>
            <w:r>
              <w:rPr>
                <w:rFonts w:cstheme="minorHAnsi"/>
              </w:rPr>
              <w:t>En réception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0C89978" w14:textId="73767C8B" w:rsidR="002D3F94" w:rsidRDefault="009E5B19" w:rsidP="002D3F94">
            <w:pPr>
              <w:rPr>
                <w:rFonts w:cstheme="minorHAnsi"/>
              </w:rPr>
            </w:pPr>
            <w:r>
              <w:rPr>
                <w:rFonts w:cstheme="minorHAnsi"/>
              </w:rPr>
              <w:t>Pays du PSP du payeur</w:t>
            </w:r>
          </w:p>
        </w:tc>
      </w:tr>
      <w:tr w:rsidR="007B465C" w14:paraId="7850AA6F" w14:textId="77777777" w:rsidTr="002319FC">
        <w:tc>
          <w:tcPr>
            <w:tcW w:w="3102"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05A3787C" w14:textId="303C2352" w:rsidR="007B465C" w:rsidRDefault="007B465C" w:rsidP="002D3F94">
            <w:pPr>
              <w:rPr>
                <w:rFonts w:cstheme="minorHAnsi"/>
              </w:rPr>
            </w:pPr>
            <w:r>
              <w:rPr>
                <w:rFonts w:cstheme="minorHAnsi"/>
              </w:rPr>
              <w:t>Service d’initiation de paiement</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6B51EF5B" w14:textId="2DC77E7F" w:rsidR="007B465C" w:rsidRDefault="007B465C" w:rsidP="002D3F94">
            <w:pPr>
              <w:rPr>
                <w:rFonts w:cstheme="minorHAnsi"/>
              </w:rPr>
            </w:pPr>
            <w:r>
              <w:rPr>
                <w:rFonts w:cstheme="minorHAnsi"/>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1586CBF" w14:textId="5BA181C8" w:rsidR="007B465C" w:rsidRDefault="007B465C" w:rsidP="002D3F94">
            <w:pPr>
              <w:rPr>
                <w:rFonts w:cstheme="minorHAnsi"/>
              </w:rPr>
            </w:pPr>
            <w:r>
              <w:rPr>
                <w:rFonts w:cstheme="minorHAnsi"/>
              </w:rPr>
              <w:t>Pays du PSP du payé</w:t>
            </w:r>
          </w:p>
        </w:tc>
      </w:tr>
    </w:tbl>
    <w:p w14:paraId="1E62D455" w14:textId="77777777" w:rsidR="00540A10" w:rsidRDefault="00540A10" w:rsidP="0016297D">
      <w:pPr>
        <w:autoSpaceDE w:val="0"/>
        <w:autoSpaceDN w:val="0"/>
        <w:adjustRightInd w:val="0"/>
        <w:spacing w:after="0" w:line="240" w:lineRule="auto"/>
        <w:jc w:val="both"/>
        <w:rPr>
          <w:rFonts w:cstheme="minorHAnsi"/>
          <w:b/>
          <w:u w:val="single"/>
        </w:rPr>
      </w:pPr>
    </w:p>
    <w:p w14:paraId="0D171354" w14:textId="0B1ACE23" w:rsidR="00C056A4" w:rsidRPr="0016297D" w:rsidRDefault="00C056A4" w:rsidP="0016297D">
      <w:pPr>
        <w:autoSpaceDE w:val="0"/>
        <w:autoSpaceDN w:val="0"/>
        <w:adjustRightInd w:val="0"/>
        <w:spacing w:after="0" w:line="240" w:lineRule="auto"/>
        <w:jc w:val="both"/>
        <w:rPr>
          <w:rFonts w:cstheme="minorHAnsi"/>
          <w:b/>
        </w:rPr>
      </w:pPr>
      <w:r w:rsidRPr="0016297D">
        <w:rPr>
          <w:rFonts w:cstheme="minorHAnsi"/>
          <w:b/>
          <w:u w:val="single"/>
        </w:rPr>
        <w:t>Méthode d’authentification du client</w:t>
      </w:r>
      <w:r w:rsidRPr="0016297D">
        <w:rPr>
          <w:rFonts w:cstheme="minorHAnsi"/>
          <w:b/>
        </w:rPr>
        <w:t> :</w:t>
      </w:r>
    </w:p>
    <w:p w14:paraId="494D3A82" w14:textId="23A886E3" w:rsidR="00C056A4" w:rsidRDefault="00C056A4" w:rsidP="0016297D">
      <w:pPr>
        <w:autoSpaceDE w:val="0"/>
        <w:autoSpaceDN w:val="0"/>
        <w:adjustRightInd w:val="0"/>
        <w:spacing w:after="0" w:line="240" w:lineRule="auto"/>
        <w:jc w:val="both"/>
        <w:rPr>
          <w:rFonts w:cstheme="minorHAnsi"/>
        </w:rPr>
      </w:pPr>
      <w:r w:rsidRPr="00A9664C">
        <w:rPr>
          <w:rFonts w:cstheme="minorHAnsi"/>
        </w:rPr>
        <w:t xml:space="preserve">Les transactions doivent être ventilées selon le mode d’authentification </w:t>
      </w:r>
      <w:r w:rsidR="00C04830">
        <w:rPr>
          <w:rFonts w:cstheme="minorHAnsi"/>
        </w:rPr>
        <w:t xml:space="preserve">forte </w:t>
      </w:r>
      <w:r w:rsidRPr="00A9664C">
        <w:rPr>
          <w:rFonts w:cstheme="minorHAnsi"/>
        </w:rPr>
        <w:t>du client utilisé par l’établissement : soit au moyen de dispositifs d’authentification conformes ou non au règlement délégué UE n°2018/389 (RTS) qui complète la directive UE 2015/2366 (DSP2).</w:t>
      </w:r>
    </w:p>
    <w:p w14:paraId="32CA6186" w14:textId="77777777" w:rsidR="00C056A4" w:rsidRPr="00C056A4" w:rsidRDefault="00C056A4" w:rsidP="0016297D">
      <w:pPr>
        <w:pStyle w:val="Paragraphedeliste"/>
        <w:autoSpaceDE w:val="0"/>
        <w:autoSpaceDN w:val="0"/>
        <w:adjustRightInd w:val="0"/>
        <w:spacing w:after="0" w:line="240" w:lineRule="auto"/>
        <w:jc w:val="both"/>
        <w:rPr>
          <w:rFonts w:cstheme="minorHAnsi"/>
        </w:rPr>
      </w:pPr>
    </w:p>
    <w:tbl>
      <w:tblPr>
        <w:tblStyle w:val="Grilledutableau"/>
        <w:tblW w:w="9049"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3368"/>
        <w:gridCol w:w="5681"/>
      </w:tblGrid>
      <w:tr w:rsidR="00C056A4" w:rsidRPr="00D97239" w14:paraId="3F9A57EE" w14:textId="77777777" w:rsidTr="002319FC">
        <w:trPr>
          <w:trHeight w:val="588"/>
        </w:trPr>
        <w:tc>
          <w:tcPr>
            <w:tcW w:w="3368" w:type="dxa"/>
          </w:tcPr>
          <w:p w14:paraId="190C126C" w14:textId="77777777" w:rsidR="00C056A4" w:rsidRPr="00D97239" w:rsidRDefault="00C056A4" w:rsidP="007578FE">
            <w:pPr>
              <w:autoSpaceDE w:val="0"/>
              <w:autoSpaceDN w:val="0"/>
              <w:adjustRightInd w:val="0"/>
              <w:jc w:val="both"/>
              <w:rPr>
                <w:rFonts w:cstheme="minorHAnsi"/>
                <w:b/>
              </w:rPr>
            </w:pPr>
            <w:r w:rsidRPr="00D97239">
              <w:rPr>
                <w:rFonts w:cstheme="minorHAnsi"/>
                <w:b/>
              </w:rPr>
              <w:t>Avec authentification forte du client</w:t>
            </w:r>
          </w:p>
        </w:tc>
        <w:tc>
          <w:tcPr>
            <w:tcW w:w="5681" w:type="dxa"/>
          </w:tcPr>
          <w:p w14:paraId="7F2B6A4F" w14:textId="77777777" w:rsidR="00C056A4" w:rsidRPr="00D97239" w:rsidRDefault="00C056A4" w:rsidP="007578FE">
            <w:pPr>
              <w:autoSpaceDE w:val="0"/>
              <w:autoSpaceDN w:val="0"/>
              <w:adjustRightInd w:val="0"/>
              <w:jc w:val="both"/>
              <w:rPr>
                <w:rFonts w:cstheme="minorHAnsi"/>
              </w:rPr>
            </w:pPr>
            <w:r w:rsidRPr="00D97239">
              <w:rPr>
                <w:rFonts w:cstheme="minorHAnsi"/>
              </w:rPr>
              <w:t>Authentification du payeur reposant sur l’utilisation de deux éléments d'authentification sécurisés ou plus appartenant à au moins deux catégories différentes parmi la « connaissance » (quelque chose que seul l’utilisateur connaît), la « possession » (quelque chose que seul l’utilisateur possède) et l’« inhérence » (quelque chose que l’utilisateur est) et indépendants en ce sens que la compromission de l’un ne remet pas en question la fiabilité des autres, et qui est conçue de manière à protéger la confidentialité des données d’authentification.</w:t>
            </w:r>
          </w:p>
        </w:tc>
      </w:tr>
      <w:tr w:rsidR="00C056A4" w:rsidRPr="00D97239" w14:paraId="0C9F0FC3" w14:textId="77777777" w:rsidTr="002319FC">
        <w:trPr>
          <w:trHeight w:val="2655"/>
        </w:trPr>
        <w:tc>
          <w:tcPr>
            <w:tcW w:w="3368" w:type="dxa"/>
          </w:tcPr>
          <w:p w14:paraId="1F2C096C" w14:textId="77777777" w:rsidR="00C056A4" w:rsidRPr="00D97239" w:rsidRDefault="00C056A4" w:rsidP="007578FE">
            <w:pPr>
              <w:autoSpaceDE w:val="0"/>
              <w:autoSpaceDN w:val="0"/>
              <w:adjustRightInd w:val="0"/>
              <w:jc w:val="both"/>
              <w:rPr>
                <w:rFonts w:cstheme="minorHAnsi"/>
                <w:b/>
              </w:rPr>
            </w:pPr>
            <w:r w:rsidRPr="00D97239">
              <w:rPr>
                <w:rFonts w:cstheme="minorHAnsi"/>
                <w:b/>
              </w:rPr>
              <w:t>Sans authentification forte du client</w:t>
            </w:r>
          </w:p>
        </w:tc>
        <w:tc>
          <w:tcPr>
            <w:tcW w:w="5681" w:type="dxa"/>
          </w:tcPr>
          <w:p w14:paraId="77724468" w14:textId="77777777" w:rsidR="00C056A4" w:rsidRPr="00D97239" w:rsidRDefault="00C056A4" w:rsidP="007578FE">
            <w:pPr>
              <w:autoSpaceDE w:val="0"/>
              <w:autoSpaceDN w:val="0"/>
              <w:adjustRightInd w:val="0"/>
              <w:jc w:val="both"/>
              <w:rPr>
                <w:rFonts w:cstheme="minorHAnsi"/>
              </w:rPr>
            </w:pPr>
            <w:r w:rsidRPr="00D97239">
              <w:rPr>
                <w:rFonts w:cstheme="minorHAnsi"/>
              </w:rPr>
              <w:t>Authentification non conforme à la définition de l'authentification forte au sens de la DSP2, reposant sur l’utilisation :</w:t>
            </w:r>
          </w:p>
          <w:p w14:paraId="75B73141" w14:textId="77777777" w:rsidR="00C056A4" w:rsidRPr="00D97239" w:rsidRDefault="00C056A4" w:rsidP="007578FE">
            <w:pPr>
              <w:autoSpaceDE w:val="0"/>
              <w:autoSpaceDN w:val="0"/>
              <w:adjustRightInd w:val="0"/>
              <w:jc w:val="both"/>
              <w:rPr>
                <w:rFonts w:cstheme="minorHAnsi"/>
              </w:rPr>
            </w:pPr>
            <w:r w:rsidRPr="00D97239">
              <w:rPr>
                <w:rFonts w:cstheme="minorHAnsi"/>
              </w:rPr>
              <w:t>- d’un seul élément d'authentification sécurisé appartenant à l'une des catégories, parmi la « connaissance » (quelque chose que seul l’utilisateur connaît), la « possession » (quelque chose que seul l’utilisateur possède) et l</w:t>
            </w:r>
            <w:proofErr w:type="gramStart"/>
            <w:r w:rsidRPr="00D97239">
              <w:rPr>
                <w:rFonts w:cstheme="minorHAnsi"/>
              </w:rPr>
              <w:t>’«</w:t>
            </w:r>
            <w:proofErr w:type="gramEnd"/>
            <w:r w:rsidRPr="00D97239">
              <w:rPr>
                <w:rFonts w:cstheme="minorHAnsi"/>
              </w:rPr>
              <w:t xml:space="preserve"> inhérence » (quelque chose que l’utilisateur est) ;</w:t>
            </w:r>
          </w:p>
          <w:p w14:paraId="0FE984F9" w14:textId="77777777" w:rsidR="00C056A4" w:rsidRPr="00D97239" w:rsidRDefault="00C056A4" w:rsidP="007578FE">
            <w:pPr>
              <w:autoSpaceDE w:val="0"/>
              <w:autoSpaceDN w:val="0"/>
              <w:adjustRightInd w:val="0"/>
              <w:jc w:val="both"/>
              <w:rPr>
                <w:rFonts w:cstheme="minorHAnsi"/>
              </w:rPr>
            </w:pPr>
            <w:r w:rsidRPr="00D97239">
              <w:rPr>
                <w:rFonts w:cstheme="minorHAnsi"/>
              </w:rPr>
              <w:t>- ou, sur aucun élément d’authentification sécurisé.</w:t>
            </w:r>
          </w:p>
        </w:tc>
      </w:tr>
    </w:tbl>
    <w:p w14:paraId="4D2C745F" w14:textId="77777777" w:rsidR="00C056A4" w:rsidRDefault="00C056A4" w:rsidP="0016297D">
      <w:pPr>
        <w:autoSpaceDE w:val="0"/>
        <w:autoSpaceDN w:val="0"/>
        <w:adjustRightInd w:val="0"/>
        <w:spacing w:after="0" w:line="240" w:lineRule="auto"/>
        <w:jc w:val="both"/>
        <w:rPr>
          <w:rFonts w:cstheme="minorHAnsi"/>
          <w:b/>
        </w:rPr>
      </w:pPr>
    </w:p>
    <w:p w14:paraId="6DC36BBF" w14:textId="55DD639D" w:rsidR="00C056A4" w:rsidRPr="0016297D" w:rsidRDefault="00C056A4" w:rsidP="0016297D">
      <w:pPr>
        <w:autoSpaceDE w:val="0"/>
        <w:autoSpaceDN w:val="0"/>
        <w:adjustRightInd w:val="0"/>
        <w:spacing w:after="0" w:line="240" w:lineRule="auto"/>
        <w:jc w:val="both"/>
        <w:rPr>
          <w:rFonts w:cstheme="minorHAnsi"/>
          <w:b/>
        </w:rPr>
      </w:pPr>
      <w:r w:rsidRPr="0016297D">
        <w:rPr>
          <w:rFonts w:cstheme="minorHAnsi"/>
          <w:b/>
          <w:u w:val="single"/>
        </w:rPr>
        <w:t xml:space="preserve">Motifs d’exemption </w:t>
      </w:r>
      <w:r w:rsidR="002117C5">
        <w:rPr>
          <w:rFonts w:cstheme="minorHAnsi"/>
          <w:b/>
          <w:u w:val="single"/>
        </w:rPr>
        <w:t xml:space="preserve">et d’exclusion </w:t>
      </w:r>
      <w:r w:rsidRPr="0016297D">
        <w:rPr>
          <w:rFonts w:cstheme="minorHAnsi"/>
          <w:b/>
          <w:u w:val="single"/>
        </w:rPr>
        <w:t>à l’authentification forte du client</w:t>
      </w:r>
      <w:r w:rsidRPr="0016297D">
        <w:rPr>
          <w:rFonts w:cstheme="minorHAnsi"/>
          <w:b/>
        </w:rPr>
        <w:t> :</w:t>
      </w:r>
    </w:p>
    <w:p w14:paraId="46E9F997" w14:textId="7BA245D8" w:rsidR="002117C5" w:rsidRDefault="00C056A4" w:rsidP="002117C5">
      <w:pPr>
        <w:autoSpaceDE w:val="0"/>
        <w:autoSpaceDN w:val="0"/>
        <w:adjustRightInd w:val="0"/>
        <w:spacing w:after="0" w:line="240" w:lineRule="auto"/>
        <w:jc w:val="both"/>
        <w:rPr>
          <w:rFonts w:cstheme="minorHAnsi"/>
        </w:rPr>
      </w:pPr>
      <w:r w:rsidRPr="00A9664C">
        <w:rPr>
          <w:rFonts w:cstheme="minorHAnsi"/>
        </w:rPr>
        <w:t xml:space="preserve">Les transactions n’ayant pas fait l’objet d’une authentification forte du client au sens de la DSP2 </w:t>
      </w:r>
      <w:r w:rsidR="002117C5">
        <w:rPr>
          <w:rFonts w:cstheme="minorHAnsi"/>
        </w:rPr>
        <w:t xml:space="preserve">(Cf. supra) </w:t>
      </w:r>
      <w:r w:rsidRPr="00A9664C">
        <w:rPr>
          <w:rFonts w:cstheme="minorHAnsi"/>
        </w:rPr>
        <w:t>doivent être ventilées selon le motif d’exemption auquel l’établissement a eu recours</w:t>
      </w:r>
      <w:r w:rsidR="002117C5" w:rsidRPr="002117C5">
        <w:rPr>
          <w:rFonts w:cstheme="minorHAnsi"/>
        </w:rPr>
        <w:t xml:space="preserve"> et tel que prévu par le règlement délégué UE n° 2018/389 (RTS) ou selon le motif d’exclusion pour les transactions n’entrant pas dans le périmètre de la DSP2.</w:t>
      </w:r>
    </w:p>
    <w:p w14:paraId="53C892C4" w14:textId="77777777" w:rsidR="00D60574" w:rsidRPr="002117C5" w:rsidRDefault="00D60574" w:rsidP="00D60574">
      <w:pPr>
        <w:autoSpaceDE w:val="0"/>
        <w:autoSpaceDN w:val="0"/>
        <w:adjustRightInd w:val="0"/>
        <w:spacing w:after="0" w:line="240" w:lineRule="auto"/>
        <w:jc w:val="both"/>
        <w:rPr>
          <w:rFonts w:cstheme="minorHAnsi"/>
        </w:rPr>
      </w:pPr>
      <w:r>
        <w:rPr>
          <w:rFonts w:cstheme="minorHAnsi"/>
        </w:rPr>
        <w:t>Pour ce qui concerne les transactions par carte, la ventilation par motif d’exemption est effectuée indépendamment du fait que ce soit l’émetteur ou l’acquéreur qui a déclenché le recours à l’exemption.</w:t>
      </w:r>
    </w:p>
    <w:p w14:paraId="6D141D96" w14:textId="77777777" w:rsidR="00C056A4" w:rsidRPr="00C056A4" w:rsidRDefault="00C056A4" w:rsidP="0016297D">
      <w:pPr>
        <w:pStyle w:val="Paragraphedeliste"/>
        <w:autoSpaceDE w:val="0"/>
        <w:autoSpaceDN w:val="0"/>
        <w:adjustRightInd w:val="0"/>
        <w:spacing w:after="0" w:line="240" w:lineRule="auto"/>
        <w:jc w:val="both"/>
        <w:rPr>
          <w:rFonts w:cstheme="minorHAnsi"/>
        </w:rPr>
      </w:pPr>
    </w:p>
    <w:tbl>
      <w:tblPr>
        <w:tblStyle w:val="Grilledutableau"/>
        <w:tblW w:w="9120"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3350"/>
        <w:gridCol w:w="5770"/>
      </w:tblGrid>
      <w:tr w:rsidR="00477C55" w:rsidRPr="00D97239" w14:paraId="43DADF69" w14:textId="77777777" w:rsidTr="005A1FEA">
        <w:trPr>
          <w:trHeight w:val="290"/>
        </w:trPr>
        <w:tc>
          <w:tcPr>
            <w:tcW w:w="3350" w:type="dxa"/>
          </w:tcPr>
          <w:p w14:paraId="2AE07591" w14:textId="3DF20D8E" w:rsidR="00477C55" w:rsidRPr="00D97239" w:rsidRDefault="00477C55" w:rsidP="007578FE">
            <w:pPr>
              <w:autoSpaceDE w:val="0"/>
              <w:autoSpaceDN w:val="0"/>
              <w:adjustRightInd w:val="0"/>
              <w:jc w:val="both"/>
              <w:rPr>
                <w:rFonts w:cstheme="minorHAnsi"/>
                <w:b/>
              </w:rPr>
            </w:pPr>
            <w:r>
              <w:rPr>
                <w:rFonts w:cstheme="minorHAnsi"/>
                <w:b/>
              </w:rPr>
              <w:t>Article 11 RTS</w:t>
            </w:r>
          </w:p>
        </w:tc>
        <w:tc>
          <w:tcPr>
            <w:tcW w:w="5770" w:type="dxa"/>
          </w:tcPr>
          <w:p w14:paraId="000B12BF" w14:textId="13FBADFC" w:rsidR="00477C55" w:rsidRPr="00D97239" w:rsidRDefault="00477C55" w:rsidP="00EE45EB">
            <w:pPr>
              <w:autoSpaceDE w:val="0"/>
              <w:autoSpaceDN w:val="0"/>
              <w:adjustRightInd w:val="0"/>
              <w:jc w:val="both"/>
              <w:rPr>
                <w:rFonts w:cstheme="minorHAnsi"/>
              </w:rPr>
            </w:pPr>
            <w:r w:rsidRPr="00D97239">
              <w:rPr>
                <w:rFonts w:cstheme="minorHAnsi"/>
              </w:rPr>
              <w:t xml:space="preserve">Paiement </w:t>
            </w:r>
            <w:r w:rsidR="00EE45EB">
              <w:rPr>
                <w:rFonts w:cstheme="minorHAnsi"/>
              </w:rPr>
              <w:t xml:space="preserve">initié en </w:t>
            </w:r>
            <w:r>
              <w:rPr>
                <w:rFonts w:cstheme="minorHAnsi"/>
              </w:rPr>
              <w:t xml:space="preserve">proximité en mode sans contact d’un montant </w:t>
            </w:r>
            <w:r w:rsidRPr="00D97239">
              <w:rPr>
                <w:rFonts w:cstheme="minorHAnsi"/>
              </w:rPr>
              <w:t xml:space="preserve">inférieur à </w:t>
            </w:r>
            <w:r>
              <w:rPr>
                <w:rFonts w:cstheme="minorHAnsi"/>
              </w:rPr>
              <w:t>5</w:t>
            </w:r>
            <w:r w:rsidRPr="00D97239">
              <w:rPr>
                <w:rFonts w:cstheme="minorHAnsi"/>
              </w:rPr>
              <w:t>0 €</w:t>
            </w:r>
            <w:r>
              <w:rPr>
                <w:rFonts w:cstheme="minorHAnsi"/>
              </w:rPr>
              <w:t>,</w:t>
            </w:r>
            <w:r w:rsidRPr="00D97239">
              <w:rPr>
                <w:rFonts w:cstheme="minorHAnsi"/>
              </w:rPr>
              <w:t xml:space="preserve"> dans la limite d</w:t>
            </w:r>
            <w:r>
              <w:rPr>
                <w:rFonts w:cstheme="minorHAnsi"/>
              </w:rPr>
              <w:t>e 5 opérations successives ou de 15</w:t>
            </w:r>
            <w:r w:rsidRPr="00D97239">
              <w:rPr>
                <w:rFonts w:cstheme="minorHAnsi"/>
              </w:rPr>
              <w:t>0 € de paiement cumulé.</w:t>
            </w:r>
          </w:p>
        </w:tc>
      </w:tr>
      <w:tr w:rsidR="00C056A4" w:rsidRPr="00D97239" w14:paraId="57486768" w14:textId="77777777" w:rsidTr="005A1FEA">
        <w:trPr>
          <w:trHeight w:val="290"/>
        </w:trPr>
        <w:tc>
          <w:tcPr>
            <w:tcW w:w="3350" w:type="dxa"/>
          </w:tcPr>
          <w:p w14:paraId="37BFFFA6" w14:textId="77777777" w:rsidR="00C056A4" w:rsidRPr="00D97239" w:rsidRDefault="00C056A4" w:rsidP="007578FE">
            <w:pPr>
              <w:autoSpaceDE w:val="0"/>
              <w:autoSpaceDN w:val="0"/>
              <w:adjustRightInd w:val="0"/>
              <w:jc w:val="both"/>
              <w:rPr>
                <w:rFonts w:cstheme="minorHAnsi"/>
                <w:b/>
              </w:rPr>
            </w:pPr>
            <w:r w:rsidRPr="00D97239">
              <w:rPr>
                <w:rFonts w:cstheme="minorHAnsi"/>
                <w:b/>
              </w:rPr>
              <w:t>Article 12 RTS</w:t>
            </w:r>
          </w:p>
        </w:tc>
        <w:tc>
          <w:tcPr>
            <w:tcW w:w="5770" w:type="dxa"/>
          </w:tcPr>
          <w:p w14:paraId="5BBF5C65" w14:textId="77777777" w:rsidR="00C056A4" w:rsidRPr="00D97239" w:rsidRDefault="00C056A4" w:rsidP="007578FE">
            <w:pPr>
              <w:autoSpaceDE w:val="0"/>
              <w:autoSpaceDN w:val="0"/>
              <w:adjustRightInd w:val="0"/>
              <w:jc w:val="both"/>
              <w:rPr>
                <w:rFonts w:cstheme="minorHAnsi"/>
              </w:rPr>
            </w:pPr>
            <w:r w:rsidRPr="00D97239">
              <w:rPr>
                <w:rFonts w:cstheme="minorHAnsi"/>
              </w:rPr>
              <w:t>Paiement aux automates de transport et de parking.</w:t>
            </w:r>
          </w:p>
        </w:tc>
      </w:tr>
      <w:tr w:rsidR="00C056A4" w:rsidRPr="00D97239" w14:paraId="72E0D336" w14:textId="77777777" w:rsidTr="005A1FEA">
        <w:trPr>
          <w:trHeight w:val="850"/>
        </w:trPr>
        <w:tc>
          <w:tcPr>
            <w:tcW w:w="3350" w:type="dxa"/>
          </w:tcPr>
          <w:p w14:paraId="0FB3DD05" w14:textId="77777777" w:rsidR="00C056A4" w:rsidRPr="00D97239" w:rsidRDefault="00C056A4" w:rsidP="007578FE">
            <w:pPr>
              <w:autoSpaceDE w:val="0"/>
              <w:autoSpaceDN w:val="0"/>
              <w:adjustRightInd w:val="0"/>
              <w:jc w:val="both"/>
              <w:rPr>
                <w:rFonts w:cstheme="minorHAnsi"/>
                <w:b/>
              </w:rPr>
            </w:pPr>
            <w:r w:rsidRPr="00D97239">
              <w:rPr>
                <w:rFonts w:cstheme="minorHAnsi"/>
                <w:b/>
              </w:rPr>
              <w:lastRenderedPageBreak/>
              <w:t>Article 13 RTS</w:t>
            </w:r>
          </w:p>
        </w:tc>
        <w:tc>
          <w:tcPr>
            <w:tcW w:w="5770" w:type="dxa"/>
          </w:tcPr>
          <w:p w14:paraId="68C08478" w14:textId="77777777" w:rsidR="00C056A4" w:rsidRDefault="00C056A4" w:rsidP="007578FE">
            <w:pPr>
              <w:autoSpaceDE w:val="0"/>
              <w:autoSpaceDN w:val="0"/>
              <w:adjustRightInd w:val="0"/>
              <w:jc w:val="both"/>
              <w:rPr>
                <w:rFonts w:cstheme="minorHAnsi"/>
              </w:rPr>
            </w:pPr>
            <w:r w:rsidRPr="00D97239">
              <w:rPr>
                <w:rFonts w:cstheme="minorHAnsi"/>
              </w:rPr>
              <w:t>Paiement vers un bénéficiaire de confiance désigné préalablement comme tel par le payeur auprès de l’établissement teneur de compte.</w:t>
            </w:r>
          </w:p>
          <w:p w14:paraId="0232D34D" w14:textId="0EAD8480" w:rsidR="00D60574" w:rsidRPr="00D97239" w:rsidRDefault="00D60574" w:rsidP="007578FE">
            <w:pPr>
              <w:autoSpaceDE w:val="0"/>
              <w:autoSpaceDN w:val="0"/>
              <w:adjustRightInd w:val="0"/>
              <w:jc w:val="both"/>
              <w:rPr>
                <w:rFonts w:cstheme="minorHAnsi"/>
              </w:rPr>
            </w:pPr>
            <w:r>
              <w:rPr>
                <w:rFonts w:cstheme="minorHAnsi"/>
              </w:rPr>
              <w:t>Pour les paiements par carte, l’émetteur déclare dans la rubrique « Dont au titre de l’art. 13 » et l’émetteur dans la rubrique « Autres ».</w:t>
            </w:r>
          </w:p>
        </w:tc>
      </w:tr>
      <w:tr w:rsidR="00C056A4" w:rsidRPr="00D97239" w14:paraId="02B9D362" w14:textId="77777777" w:rsidTr="005A1FEA">
        <w:trPr>
          <w:trHeight w:val="1142"/>
        </w:trPr>
        <w:tc>
          <w:tcPr>
            <w:tcW w:w="3350" w:type="dxa"/>
          </w:tcPr>
          <w:p w14:paraId="3613BF33" w14:textId="77777777" w:rsidR="00C056A4" w:rsidRPr="00D97239" w:rsidRDefault="00C056A4" w:rsidP="007578FE">
            <w:pPr>
              <w:autoSpaceDE w:val="0"/>
              <w:autoSpaceDN w:val="0"/>
              <w:adjustRightInd w:val="0"/>
              <w:jc w:val="both"/>
              <w:rPr>
                <w:rFonts w:cstheme="minorHAnsi"/>
                <w:b/>
              </w:rPr>
            </w:pPr>
            <w:r w:rsidRPr="00D97239">
              <w:rPr>
                <w:rFonts w:cstheme="minorHAnsi"/>
                <w:b/>
              </w:rPr>
              <w:t>Article 14 RTS</w:t>
            </w:r>
          </w:p>
        </w:tc>
        <w:tc>
          <w:tcPr>
            <w:tcW w:w="5770" w:type="dxa"/>
          </w:tcPr>
          <w:p w14:paraId="2E9AC665" w14:textId="7217D7EA" w:rsidR="00C056A4" w:rsidRPr="00D97239" w:rsidRDefault="00C056A4" w:rsidP="006348A3">
            <w:pPr>
              <w:autoSpaceDE w:val="0"/>
              <w:autoSpaceDN w:val="0"/>
              <w:adjustRightInd w:val="0"/>
              <w:jc w:val="both"/>
              <w:rPr>
                <w:rFonts w:cstheme="minorHAnsi"/>
              </w:rPr>
            </w:pPr>
            <w:r w:rsidRPr="00D97239">
              <w:rPr>
                <w:rFonts w:cstheme="minorHAnsi"/>
              </w:rPr>
              <w:t xml:space="preserve">Série de paiements de même montant et vers </w:t>
            </w:r>
            <w:proofErr w:type="gramStart"/>
            <w:r w:rsidRPr="00D97239">
              <w:rPr>
                <w:rFonts w:cstheme="minorHAnsi"/>
              </w:rPr>
              <w:t xml:space="preserve">le même bénéficiaire </w:t>
            </w:r>
            <w:r w:rsidRPr="002117C5">
              <w:rPr>
                <w:rFonts w:cstheme="minorHAnsi"/>
                <w:b/>
              </w:rPr>
              <w:t>initiée</w:t>
            </w:r>
            <w:proofErr w:type="gramEnd"/>
            <w:r w:rsidRPr="002117C5">
              <w:rPr>
                <w:rFonts w:cstheme="minorHAnsi"/>
                <w:b/>
              </w:rPr>
              <w:t xml:space="preserve"> par le </w:t>
            </w:r>
            <w:r w:rsidR="006348A3">
              <w:rPr>
                <w:rFonts w:cstheme="minorHAnsi"/>
                <w:b/>
              </w:rPr>
              <w:t>payeur</w:t>
            </w:r>
            <w:r w:rsidRPr="00D97239">
              <w:rPr>
                <w:rFonts w:cstheme="minorHAnsi"/>
              </w:rPr>
              <w:t>. Seule l’initiation de la première opération de paiement est soumise à l’authentification forte et doit être déclarée comme telle dans la présente collecte</w:t>
            </w:r>
            <w:r w:rsidR="002117C5">
              <w:rPr>
                <w:rFonts w:cstheme="minorHAnsi"/>
              </w:rPr>
              <w:t xml:space="preserve"> (exemples : abonnement, loyer…)</w:t>
            </w:r>
            <w:r w:rsidR="002117C5" w:rsidRPr="00D97239">
              <w:rPr>
                <w:rFonts w:cstheme="minorHAnsi"/>
              </w:rPr>
              <w:t>.</w:t>
            </w:r>
            <w:r w:rsidR="002117C5">
              <w:rPr>
                <w:rFonts w:cstheme="minorHAnsi"/>
              </w:rPr>
              <w:t xml:space="preserve"> </w:t>
            </w:r>
            <w:r w:rsidRPr="00D97239">
              <w:rPr>
                <w:rFonts w:cstheme="minorHAnsi"/>
              </w:rPr>
              <w:t>.</w:t>
            </w:r>
          </w:p>
        </w:tc>
      </w:tr>
      <w:tr w:rsidR="00C056A4" w:rsidRPr="00D97239" w14:paraId="5604589B" w14:textId="77777777" w:rsidTr="005A1FEA">
        <w:trPr>
          <w:trHeight w:val="570"/>
        </w:trPr>
        <w:tc>
          <w:tcPr>
            <w:tcW w:w="3350" w:type="dxa"/>
          </w:tcPr>
          <w:p w14:paraId="2DEEFD0B" w14:textId="77777777" w:rsidR="00C056A4" w:rsidRPr="00D97239" w:rsidRDefault="00C056A4" w:rsidP="007578FE">
            <w:pPr>
              <w:autoSpaceDE w:val="0"/>
              <w:autoSpaceDN w:val="0"/>
              <w:adjustRightInd w:val="0"/>
              <w:jc w:val="both"/>
              <w:rPr>
                <w:rFonts w:cstheme="minorHAnsi"/>
                <w:b/>
              </w:rPr>
            </w:pPr>
            <w:r w:rsidRPr="00D97239">
              <w:rPr>
                <w:rFonts w:cstheme="minorHAnsi"/>
                <w:b/>
              </w:rPr>
              <w:t>Article 15 RTS</w:t>
            </w:r>
          </w:p>
        </w:tc>
        <w:tc>
          <w:tcPr>
            <w:tcW w:w="5770" w:type="dxa"/>
          </w:tcPr>
          <w:p w14:paraId="446E4971" w14:textId="77777777" w:rsidR="00C056A4" w:rsidRPr="00D97239" w:rsidRDefault="00C056A4" w:rsidP="007578FE">
            <w:pPr>
              <w:autoSpaceDE w:val="0"/>
              <w:autoSpaceDN w:val="0"/>
              <w:adjustRightInd w:val="0"/>
              <w:jc w:val="both"/>
              <w:rPr>
                <w:rFonts w:cstheme="minorHAnsi"/>
              </w:rPr>
            </w:pPr>
            <w:r w:rsidRPr="00D97239">
              <w:rPr>
                <w:rFonts w:cstheme="minorHAnsi"/>
              </w:rPr>
              <w:t>Paiement entre les comptes tenus par l’établissement et détenus par la même personne physique ou morale.</w:t>
            </w:r>
          </w:p>
        </w:tc>
      </w:tr>
      <w:tr w:rsidR="00C056A4" w:rsidRPr="00D97239" w14:paraId="1BA9AE0D" w14:textId="77777777" w:rsidTr="005A1FEA">
        <w:trPr>
          <w:trHeight w:val="570"/>
        </w:trPr>
        <w:tc>
          <w:tcPr>
            <w:tcW w:w="3350" w:type="dxa"/>
          </w:tcPr>
          <w:p w14:paraId="7FC80301" w14:textId="77777777" w:rsidR="00C056A4" w:rsidRPr="00D97239" w:rsidRDefault="00C056A4" w:rsidP="007578FE">
            <w:pPr>
              <w:autoSpaceDE w:val="0"/>
              <w:autoSpaceDN w:val="0"/>
              <w:adjustRightInd w:val="0"/>
              <w:jc w:val="both"/>
              <w:rPr>
                <w:rFonts w:cstheme="minorHAnsi"/>
                <w:b/>
              </w:rPr>
            </w:pPr>
            <w:r w:rsidRPr="00D97239">
              <w:rPr>
                <w:rFonts w:cstheme="minorHAnsi"/>
                <w:b/>
              </w:rPr>
              <w:t>Article 16 RTS</w:t>
            </w:r>
          </w:p>
        </w:tc>
        <w:tc>
          <w:tcPr>
            <w:tcW w:w="5770" w:type="dxa"/>
          </w:tcPr>
          <w:p w14:paraId="37282F41" w14:textId="28464D84" w:rsidR="00C056A4" w:rsidRPr="00D97239" w:rsidRDefault="00C056A4" w:rsidP="00477C55">
            <w:pPr>
              <w:autoSpaceDE w:val="0"/>
              <w:autoSpaceDN w:val="0"/>
              <w:adjustRightInd w:val="0"/>
              <w:jc w:val="both"/>
              <w:rPr>
                <w:rFonts w:cstheme="minorHAnsi"/>
              </w:rPr>
            </w:pPr>
            <w:r w:rsidRPr="00D97239">
              <w:rPr>
                <w:rFonts w:cstheme="minorHAnsi"/>
              </w:rPr>
              <w:t xml:space="preserve">Paiement </w:t>
            </w:r>
            <w:r w:rsidR="00477C55">
              <w:rPr>
                <w:rFonts w:cstheme="minorHAnsi"/>
              </w:rPr>
              <w:t xml:space="preserve">sur internet d’un montant </w:t>
            </w:r>
            <w:r w:rsidRPr="00D97239">
              <w:rPr>
                <w:rFonts w:cstheme="minorHAnsi"/>
              </w:rPr>
              <w:t>inférieur à 30 €</w:t>
            </w:r>
            <w:r w:rsidR="00477C55">
              <w:rPr>
                <w:rFonts w:cstheme="minorHAnsi"/>
              </w:rPr>
              <w:t>,</w:t>
            </w:r>
            <w:r w:rsidRPr="00D97239">
              <w:rPr>
                <w:rFonts w:cstheme="minorHAnsi"/>
              </w:rPr>
              <w:t xml:space="preserve"> dans la limite de 5 opérations successives ou </w:t>
            </w:r>
            <w:r w:rsidR="00477C55">
              <w:rPr>
                <w:rFonts w:cstheme="minorHAnsi"/>
              </w:rPr>
              <w:t xml:space="preserve">de </w:t>
            </w:r>
            <w:r w:rsidRPr="00D97239">
              <w:rPr>
                <w:rFonts w:cstheme="minorHAnsi"/>
              </w:rPr>
              <w:t>100 € de paiement cumulé.</w:t>
            </w:r>
          </w:p>
        </w:tc>
      </w:tr>
      <w:tr w:rsidR="00C056A4" w:rsidRPr="00D97239" w14:paraId="74A07DFA" w14:textId="77777777" w:rsidTr="005A1FEA">
        <w:trPr>
          <w:trHeight w:val="1171"/>
        </w:trPr>
        <w:tc>
          <w:tcPr>
            <w:tcW w:w="3350" w:type="dxa"/>
          </w:tcPr>
          <w:p w14:paraId="5786EF9B" w14:textId="77777777" w:rsidR="00C056A4" w:rsidRPr="00D97239" w:rsidRDefault="00C056A4" w:rsidP="007578FE">
            <w:pPr>
              <w:autoSpaceDE w:val="0"/>
              <w:autoSpaceDN w:val="0"/>
              <w:adjustRightInd w:val="0"/>
              <w:jc w:val="both"/>
              <w:rPr>
                <w:rFonts w:cstheme="minorHAnsi"/>
                <w:b/>
              </w:rPr>
            </w:pPr>
            <w:r w:rsidRPr="00D97239">
              <w:rPr>
                <w:rFonts w:cstheme="minorHAnsi"/>
                <w:b/>
              </w:rPr>
              <w:t>Article 17 RTS</w:t>
            </w:r>
          </w:p>
        </w:tc>
        <w:tc>
          <w:tcPr>
            <w:tcW w:w="5770" w:type="dxa"/>
          </w:tcPr>
          <w:p w14:paraId="6EA2E0B4" w14:textId="6277DD5F" w:rsidR="00C056A4" w:rsidRPr="00D97239" w:rsidRDefault="00C056A4" w:rsidP="007578FE">
            <w:pPr>
              <w:autoSpaceDE w:val="0"/>
              <w:autoSpaceDN w:val="0"/>
              <w:adjustRightInd w:val="0"/>
              <w:jc w:val="both"/>
              <w:rPr>
                <w:rFonts w:cstheme="minorHAnsi"/>
              </w:rPr>
            </w:pPr>
            <w:r w:rsidRPr="00E868D9">
              <w:rPr>
                <w:rFonts w:cstheme="minorHAnsi"/>
              </w:rPr>
              <w:t xml:space="preserve">Paiement recourant à des protocoles de transfert d’ordres de paiement sécurisés </w:t>
            </w:r>
            <w:r w:rsidR="007D06A6">
              <w:rPr>
                <w:rFonts w:cstheme="minorHAnsi"/>
              </w:rPr>
              <w:t>dédiés aux professionnels</w:t>
            </w:r>
            <w:r w:rsidR="002117C5">
              <w:rPr>
                <w:rFonts w:cstheme="minorHAnsi"/>
              </w:rPr>
              <w:t>/entreprises</w:t>
            </w:r>
            <w:r w:rsidR="007D06A6">
              <w:rPr>
                <w:rFonts w:cstheme="minorHAnsi"/>
              </w:rPr>
              <w:t xml:space="preserve"> et </w:t>
            </w:r>
            <w:r w:rsidRPr="00E868D9">
              <w:rPr>
                <w:rFonts w:cstheme="minorHAnsi"/>
              </w:rPr>
              <w:t xml:space="preserve">qui ont été exemptés par la Banque de France, Cf. site </w:t>
            </w:r>
            <w:hyperlink r:id="rId20" w:history="1">
              <w:r w:rsidRPr="00D97239">
                <w:rPr>
                  <w:rFonts w:cstheme="minorHAnsi"/>
                </w:rPr>
                <w:t>www.banque-france.fr</w:t>
              </w:r>
            </w:hyperlink>
            <w:r w:rsidRPr="00E868D9">
              <w:rPr>
                <w:rFonts w:cstheme="minorHAnsi"/>
              </w:rPr>
              <w:t>. Sont notamment éligibles à cette exemption :</w:t>
            </w:r>
          </w:p>
          <w:p w14:paraId="79933998" w14:textId="77777777" w:rsidR="00C056A4" w:rsidRPr="00E868D9" w:rsidRDefault="00C056A4" w:rsidP="007578FE">
            <w:pPr>
              <w:autoSpaceDE w:val="0"/>
              <w:autoSpaceDN w:val="0"/>
              <w:adjustRightInd w:val="0"/>
              <w:jc w:val="both"/>
              <w:rPr>
                <w:rFonts w:cstheme="minorHAnsi"/>
              </w:rPr>
            </w:pPr>
            <w:r w:rsidRPr="00E868D9">
              <w:rPr>
                <w:rFonts w:cstheme="minorHAnsi"/>
              </w:rPr>
              <w:t>- EBICS-TS dans les versions 2.4 et suivantes ;</w:t>
            </w:r>
          </w:p>
          <w:p w14:paraId="2015851D" w14:textId="77777777" w:rsidR="00C056A4" w:rsidRPr="00D97239" w:rsidRDefault="00C056A4" w:rsidP="007578FE">
            <w:pPr>
              <w:autoSpaceDE w:val="0"/>
              <w:autoSpaceDN w:val="0"/>
              <w:adjustRightInd w:val="0"/>
              <w:jc w:val="both"/>
              <w:rPr>
                <w:rFonts w:cstheme="minorHAnsi"/>
              </w:rPr>
            </w:pPr>
            <w:r w:rsidRPr="00D97239">
              <w:rPr>
                <w:rFonts w:cstheme="minorHAnsi"/>
              </w:rPr>
              <w:t xml:space="preserve">- </w:t>
            </w:r>
            <w:proofErr w:type="spellStart"/>
            <w:r w:rsidRPr="00D97239">
              <w:rPr>
                <w:rFonts w:cstheme="minorHAnsi"/>
              </w:rPr>
              <w:t>SWIFTNet</w:t>
            </w:r>
            <w:proofErr w:type="spellEnd"/>
            <w:r w:rsidRPr="00D97239">
              <w:rPr>
                <w:rFonts w:cstheme="minorHAnsi"/>
              </w:rPr>
              <w:t>.</w:t>
            </w:r>
          </w:p>
        </w:tc>
      </w:tr>
      <w:tr w:rsidR="00C056A4" w:rsidRPr="00D97239" w14:paraId="5EA1FD9E" w14:textId="77777777" w:rsidTr="005A1FEA">
        <w:trPr>
          <w:trHeight w:val="850"/>
        </w:trPr>
        <w:tc>
          <w:tcPr>
            <w:tcW w:w="3350" w:type="dxa"/>
          </w:tcPr>
          <w:p w14:paraId="4C0DD4DC" w14:textId="77777777" w:rsidR="00C056A4" w:rsidRPr="00D97239" w:rsidRDefault="00C056A4" w:rsidP="007578FE">
            <w:pPr>
              <w:autoSpaceDE w:val="0"/>
              <w:autoSpaceDN w:val="0"/>
              <w:adjustRightInd w:val="0"/>
              <w:jc w:val="both"/>
              <w:rPr>
                <w:rFonts w:cstheme="minorHAnsi"/>
                <w:b/>
              </w:rPr>
            </w:pPr>
            <w:r w:rsidRPr="00D97239">
              <w:rPr>
                <w:rFonts w:cstheme="minorHAnsi"/>
                <w:b/>
              </w:rPr>
              <w:t>Article 18 RTS</w:t>
            </w:r>
          </w:p>
        </w:tc>
        <w:tc>
          <w:tcPr>
            <w:tcW w:w="5770" w:type="dxa"/>
          </w:tcPr>
          <w:p w14:paraId="49ABCB45" w14:textId="339B31A2" w:rsidR="00C056A4" w:rsidRPr="00D97239" w:rsidRDefault="00C056A4" w:rsidP="007578FE">
            <w:pPr>
              <w:autoSpaceDE w:val="0"/>
              <w:autoSpaceDN w:val="0"/>
              <w:adjustRightInd w:val="0"/>
              <w:jc w:val="both"/>
              <w:rPr>
                <w:rFonts w:cstheme="minorHAnsi"/>
              </w:rPr>
            </w:pPr>
            <w:r w:rsidRPr="00D97239">
              <w:rPr>
                <w:rFonts w:cstheme="minorHAnsi"/>
              </w:rPr>
              <w:t xml:space="preserve">Paiement </w:t>
            </w:r>
            <w:r w:rsidR="002117C5">
              <w:rPr>
                <w:rFonts w:cstheme="minorHAnsi"/>
              </w:rPr>
              <w:t xml:space="preserve">électronique à distance </w:t>
            </w:r>
            <w:r w:rsidRPr="00D97239">
              <w:rPr>
                <w:rFonts w:cstheme="minorHAnsi"/>
              </w:rPr>
              <w:t>présentant un faible niveau de risque au regard du dispositif de détection des opérations de paiement suspectes de l’établissement teneur de comptes.</w:t>
            </w:r>
          </w:p>
        </w:tc>
      </w:tr>
      <w:tr w:rsidR="00C056A4" w:rsidRPr="00D97239" w14:paraId="2A89803D" w14:textId="77777777" w:rsidTr="00916509">
        <w:trPr>
          <w:trHeight w:val="1454"/>
        </w:trPr>
        <w:tc>
          <w:tcPr>
            <w:tcW w:w="3350" w:type="dxa"/>
          </w:tcPr>
          <w:p w14:paraId="078B714A" w14:textId="77777777" w:rsidR="00C056A4" w:rsidRPr="00D97239" w:rsidRDefault="00C056A4" w:rsidP="007578FE">
            <w:pPr>
              <w:autoSpaceDE w:val="0"/>
              <w:autoSpaceDN w:val="0"/>
              <w:adjustRightInd w:val="0"/>
              <w:jc w:val="both"/>
              <w:rPr>
                <w:rFonts w:cstheme="minorHAnsi"/>
                <w:b/>
              </w:rPr>
            </w:pPr>
            <w:r w:rsidRPr="00D97239">
              <w:rPr>
                <w:rFonts w:cstheme="minorHAnsi"/>
                <w:b/>
              </w:rPr>
              <w:t>Paiements initiés par les commerçants (hors périmètre DPS2)</w:t>
            </w:r>
          </w:p>
        </w:tc>
        <w:tc>
          <w:tcPr>
            <w:tcW w:w="5770" w:type="dxa"/>
          </w:tcPr>
          <w:p w14:paraId="0B85E406" w14:textId="2C189B05" w:rsidR="00C056A4" w:rsidRPr="00D97239" w:rsidRDefault="00C056A4" w:rsidP="0077773E">
            <w:pPr>
              <w:autoSpaceDE w:val="0"/>
              <w:autoSpaceDN w:val="0"/>
              <w:adjustRightInd w:val="0"/>
              <w:jc w:val="both"/>
              <w:rPr>
                <w:rFonts w:cstheme="minorHAnsi"/>
              </w:rPr>
            </w:pPr>
            <w:proofErr w:type="gramStart"/>
            <w:r w:rsidRPr="00D97239">
              <w:rPr>
                <w:rFonts w:cstheme="minorHAnsi"/>
              </w:rPr>
              <w:t>Paiement initiés</w:t>
            </w:r>
            <w:proofErr w:type="gramEnd"/>
            <w:r w:rsidRPr="00D97239">
              <w:rPr>
                <w:rFonts w:cstheme="minorHAnsi"/>
              </w:rPr>
              <w:t xml:space="preserve"> par le bénéficiaire sur la base d’un accord préexistant </w:t>
            </w:r>
            <w:r w:rsidR="0077773E">
              <w:rPr>
                <w:rFonts w:cstheme="minorHAnsi"/>
              </w:rPr>
              <w:t>entre</w:t>
            </w:r>
            <w:r w:rsidR="0077773E" w:rsidRPr="00D97239">
              <w:rPr>
                <w:rFonts w:cstheme="minorHAnsi"/>
              </w:rPr>
              <w:t xml:space="preserve"> </w:t>
            </w:r>
            <w:r w:rsidRPr="00D97239">
              <w:rPr>
                <w:rFonts w:cstheme="minorHAnsi"/>
              </w:rPr>
              <w:t>le payeur et le bénéficiaire pour les effectuer</w:t>
            </w:r>
            <w:r w:rsidR="0077773E">
              <w:rPr>
                <w:rFonts w:cstheme="minorHAnsi"/>
              </w:rPr>
              <w:t>,</w:t>
            </w:r>
            <w:r w:rsidRPr="00D97239">
              <w:rPr>
                <w:rFonts w:cstheme="minorHAnsi"/>
              </w:rPr>
              <w:t xml:space="preserve"> et donc non soumis à l’obligation de l’authentification forte du client (Cf. exigences fixées par la Commission européenne dans les Q&amp;A 2018_4131 et Q&amp;A_2018_4031).</w:t>
            </w:r>
          </w:p>
        </w:tc>
      </w:tr>
      <w:tr w:rsidR="00C056A4" w:rsidRPr="00D97239" w14:paraId="7BED523D" w14:textId="77777777" w:rsidTr="005A1FEA">
        <w:trPr>
          <w:trHeight w:val="570"/>
        </w:trPr>
        <w:tc>
          <w:tcPr>
            <w:tcW w:w="3350" w:type="dxa"/>
          </w:tcPr>
          <w:p w14:paraId="780977A1" w14:textId="05F25FE5" w:rsidR="00C056A4" w:rsidRPr="00D97239" w:rsidRDefault="00C056A4" w:rsidP="007578FE">
            <w:pPr>
              <w:autoSpaceDE w:val="0"/>
              <w:autoSpaceDN w:val="0"/>
              <w:adjustRightInd w:val="0"/>
              <w:jc w:val="both"/>
              <w:rPr>
                <w:rFonts w:cstheme="minorHAnsi"/>
                <w:b/>
              </w:rPr>
            </w:pPr>
            <w:r w:rsidRPr="00D97239">
              <w:rPr>
                <w:rFonts w:cstheme="minorHAnsi"/>
                <w:b/>
              </w:rPr>
              <w:t xml:space="preserve">Autres motifs </w:t>
            </w:r>
            <w:r w:rsidR="00037C6B">
              <w:rPr>
                <w:rFonts w:cstheme="minorHAnsi"/>
                <w:b/>
              </w:rPr>
              <w:t xml:space="preserve">d’exclusion </w:t>
            </w:r>
            <w:r w:rsidRPr="00D97239">
              <w:rPr>
                <w:rFonts w:cstheme="minorHAnsi"/>
                <w:b/>
              </w:rPr>
              <w:t>(hors périmètre DSP2)</w:t>
            </w:r>
          </w:p>
        </w:tc>
        <w:tc>
          <w:tcPr>
            <w:tcW w:w="5770" w:type="dxa"/>
          </w:tcPr>
          <w:p w14:paraId="1E3F42AB" w14:textId="6BC677F6" w:rsidR="00C056A4" w:rsidRPr="00D97239" w:rsidRDefault="00C056A4" w:rsidP="007578FE">
            <w:pPr>
              <w:autoSpaceDE w:val="0"/>
              <w:autoSpaceDN w:val="0"/>
              <w:adjustRightInd w:val="0"/>
              <w:jc w:val="both"/>
              <w:rPr>
                <w:rFonts w:cstheme="minorHAnsi"/>
              </w:rPr>
            </w:pPr>
            <w:r w:rsidRPr="00D97239">
              <w:rPr>
                <w:rFonts w:cstheme="minorHAnsi"/>
              </w:rPr>
              <w:t xml:space="preserve">Paiement </w:t>
            </w:r>
            <w:r w:rsidR="00D60574">
              <w:rPr>
                <w:rFonts w:cstheme="minorHAnsi"/>
              </w:rPr>
              <w:t xml:space="preserve">dit </w:t>
            </w:r>
            <w:r w:rsidRPr="00D97239">
              <w:rPr>
                <w:rFonts w:cstheme="minorHAnsi"/>
              </w:rPr>
              <w:t>« </w:t>
            </w:r>
            <w:r w:rsidRPr="005A1FEA">
              <w:rPr>
                <w:rFonts w:cstheme="minorHAnsi"/>
                <w:i/>
              </w:rPr>
              <w:t>One Leg</w:t>
            </w:r>
            <w:r w:rsidRPr="00D97239">
              <w:rPr>
                <w:rFonts w:cstheme="minorHAnsi"/>
              </w:rPr>
              <w:t> » c’est-à-dire lorsque le PSP du payeur ou celui du bénéficiaire est situé hors UE.</w:t>
            </w:r>
          </w:p>
        </w:tc>
      </w:tr>
    </w:tbl>
    <w:p w14:paraId="3E911F92" w14:textId="77777777" w:rsidR="007412ED" w:rsidRDefault="007412ED" w:rsidP="00142593">
      <w:pPr>
        <w:rPr>
          <w:rFonts w:cstheme="minorHAnsi"/>
        </w:rPr>
      </w:pPr>
    </w:p>
    <w:p w14:paraId="04E5FCEF" w14:textId="77777777" w:rsidR="002319FC" w:rsidRDefault="000C33C9" w:rsidP="002319FC">
      <w:pPr>
        <w:spacing w:after="0" w:line="240" w:lineRule="auto"/>
        <w:rPr>
          <w:rFonts w:cstheme="minorHAnsi"/>
        </w:rPr>
      </w:pPr>
      <w:r w:rsidRPr="000C33C9">
        <w:rPr>
          <w:rFonts w:cstheme="minorHAnsi"/>
          <w:b/>
          <w:u w:val="single"/>
        </w:rPr>
        <w:t>Transferts de fonds</w:t>
      </w:r>
      <w:r w:rsidRPr="000C33C9">
        <w:rPr>
          <w:rFonts w:cstheme="minorHAnsi"/>
        </w:rPr>
        <w:t> :</w:t>
      </w:r>
    </w:p>
    <w:p w14:paraId="07D7CCA1" w14:textId="1EFA56F0" w:rsidR="00142593" w:rsidRPr="00A675AF" w:rsidRDefault="00041C40" w:rsidP="002319FC">
      <w:pPr>
        <w:spacing w:after="0" w:line="240" w:lineRule="auto"/>
      </w:pPr>
      <w:r w:rsidRPr="00A675AF">
        <w:t>L</w:t>
      </w:r>
      <w:r w:rsidR="00142593" w:rsidRPr="00A675AF">
        <w:t xml:space="preserve">es transferts de fonds entre deux comptes </w:t>
      </w:r>
      <w:r w:rsidR="002117C5">
        <w:t xml:space="preserve">de paiement </w:t>
      </w:r>
      <w:r w:rsidR="00142593" w:rsidRPr="00A675AF">
        <w:t xml:space="preserve">d’un même client, au sein du même établissement ou au sein de deux établissements distincts, </w:t>
      </w:r>
      <w:r w:rsidR="0077773E">
        <w:t>sont</w:t>
      </w:r>
      <w:r w:rsidR="00142593" w:rsidRPr="00A675AF">
        <w:t xml:space="preserve"> assimilés statistiquement à des paiements</w:t>
      </w:r>
      <w:r w:rsidR="007412ED">
        <w:t xml:space="preserve"> et</w:t>
      </w:r>
      <w:r w:rsidR="005F6C7C">
        <w:t>,</w:t>
      </w:r>
      <w:r w:rsidR="007412ED">
        <w:t xml:space="preserve"> par conséquent, </w:t>
      </w:r>
      <w:r w:rsidR="0077773E">
        <w:t xml:space="preserve">doivent </w:t>
      </w:r>
      <w:r w:rsidR="007412ED">
        <w:t>être déclarés en fonction du service de paiement utilisé</w:t>
      </w:r>
      <w:r w:rsidR="00142593" w:rsidRPr="00A675AF">
        <w:t>.</w:t>
      </w:r>
    </w:p>
    <w:p w14:paraId="7CD1F8E1" w14:textId="6074EF44" w:rsidR="00142593" w:rsidRDefault="00142593" w:rsidP="00041C40">
      <w:pPr>
        <w:autoSpaceDE w:val="0"/>
        <w:autoSpaceDN w:val="0"/>
        <w:adjustRightInd w:val="0"/>
        <w:spacing w:after="0" w:line="240" w:lineRule="auto"/>
        <w:jc w:val="both"/>
      </w:pPr>
    </w:p>
    <w:p w14:paraId="010BEBA2" w14:textId="77777777" w:rsidR="007412ED" w:rsidRDefault="007412ED" w:rsidP="00041C40">
      <w:pPr>
        <w:autoSpaceDE w:val="0"/>
        <w:autoSpaceDN w:val="0"/>
        <w:adjustRightInd w:val="0"/>
        <w:spacing w:after="0" w:line="240" w:lineRule="auto"/>
        <w:jc w:val="both"/>
      </w:pPr>
    </w:p>
    <w:p w14:paraId="7CD11B96" w14:textId="77777777" w:rsidR="000C33C9" w:rsidRPr="0016297D" w:rsidRDefault="000C33C9" w:rsidP="00041C40">
      <w:pPr>
        <w:autoSpaceDE w:val="0"/>
        <w:autoSpaceDN w:val="0"/>
        <w:adjustRightInd w:val="0"/>
        <w:spacing w:after="0" w:line="240" w:lineRule="auto"/>
        <w:jc w:val="both"/>
        <w:rPr>
          <w:rFonts w:cstheme="minorHAnsi"/>
          <w:b/>
          <w:u w:val="single"/>
        </w:rPr>
      </w:pPr>
      <w:r w:rsidRPr="0016297D">
        <w:rPr>
          <w:rFonts w:cstheme="minorHAnsi"/>
          <w:b/>
          <w:u w:val="single"/>
        </w:rPr>
        <w:t>Écritures en compte :</w:t>
      </w:r>
    </w:p>
    <w:p w14:paraId="1E45B904" w14:textId="5A6FBE72" w:rsidR="00142593" w:rsidRPr="00A675AF" w:rsidRDefault="00142593" w:rsidP="00041C40">
      <w:pPr>
        <w:autoSpaceDE w:val="0"/>
        <w:autoSpaceDN w:val="0"/>
        <w:adjustRightInd w:val="0"/>
        <w:spacing w:after="0" w:line="240" w:lineRule="auto"/>
        <w:jc w:val="both"/>
      </w:pPr>
      <w:r w:rsidRPr="00A675AF">
        <w:t>L</w:t>
      </w:r>
      <w:r w:rsidR="00041C40" w:rsidRPr="00A675AF">
        <w:t xml:space="preserve">a collecte comprend </w:t>
      </w:r>
      <w:r w:rsidR="00780AB5" w:rsidRPr="00A675AF">
        <w:t xml:space="preserve">également </w:t>
      </w:r>
      <w:r w:rsidRPr="00A675AF">
        <w:t>les « écritures en compte », définies par la BCE comme des débits ou des crédits opérés directement sur les comptes de clientèle par un établissement teneur de compte, sans l'utilisation d'un quelconque moyen de paiement et sans ordre de paiement explicite du client, lorsque l’établissement est lui-même la contrepartie de l’opération (par exemple, au débit, le prélèvement de commissions, de frais ou de mensualités de remboursement d’un emprunt et au crédit, le versement d’intérêts).</w:t>
      </w:r>
    </w:p>
    <w:p w14:paraId="5C717B45" w14:textId="415B56DB" w:rsidR="007F3240" w:rsidRDefault="007F3240" w:rsidP="00041C40">
      <w:pPr>
        <w:autoSpaceDE w:val="0"/>
        <w:autoSpaceDN w:val="0"/>
        <w:adjustRightInd w:val="0"/>
        <w:spacing w:after="0" w:line="240" w:lineRule="auto"/>
        <w:jc w:val="both"/>
      </w:pPr>
    </w:p>
    <w:p w14:paraId="4999E049" w14:textId="77777777" w:rsidR="002319FC" w:rsidRDefault="007578FE" w:rsidP="002319FC">
      <w:pPr>
        <w:spacing w:after="0" w:line="240" w:lineRule="auto"/>
        <w:rPr>
          <w:rFonts w:cstheme="minorHAnsi"/>
        </w:rPr>
      </w:pPr>
      <w:r>
        <w:rPr>
          <w:rFonts w:cstheme="minorHAnsi"/>
          <w:b/>
          <w:u w:val="single"/>
        </w:rPr>
        <w:lastRenderedPageBreak/>
        <w:t>Rejets d’opération</w:t>
      </w:r>
      <w:r>
        <w:rPr>
          <w:rFonts w:cstheme="minorHAnsi"/>
        </w:rPr>
        <w:t> :</w:t>
      </w:r>
    </w:p>
    <w:p w14:paraId="16712FB4" w14:textId="374ABF4E" w:rsidR="007F3240" w:rsidRPr="00A675AF" w:rsidRDefault="007F3240" w:rsidP="002319FC">
      <w:r w:rsidRPr="00A675AF">
        <w:t xml:space="preserve">Les opérations qui ont fait l’objet d’un rejet (par exemple, prélèvement ou chèque rejeté pour défaut de provision) doivent être comptabilisées parmi les opérations traitées. </w:t>
      </w:r>
      <w:r w:rsidR="0077773E">
        <w:t>À l’inverse, d</w:t>
      </w:r>
      <w:r w:rsidRPr="00A675AF">
        <w:t>ans la mesure du possible, les opérations annulées ne doivent pas être comptabilisées.</w:t>
      </w:r>
    </w:p>
    <w:p w14:paraId="1AADC4F6" w14:textId="17C332E2" w:rsidR="007F3240" w:rsidRDefault="007F3240" w:rsidP="007F3240">
      <w:pPr>
        <w:jc w:val="both"/>
      </w:pPr>
      <w:r w:rsidRPr="00A675AF">
        <w:t xml:space="preserve">Les ordres de paiement rejetés avant leur traitement réel (par exemple : </w:t>
      </w:r>
      <w:r w:rsidR="002117C5">
        <w:t>demande d’émission de virement refusée</w:t>
      </w:r>
      <w:r w:rsidRPr="00A675AF">
        <w:t xml:space="preserve"> pour défaut de provision, fichier d’ordres de paiement rejeté pour non-respect du format requis, etc.) ne doivent pas être comptabilisés.</w:t>
      </w:r>
    </w:p>
    <w:p w14:paraId="537738B0" w14:textId="78939CA2" w:rsidR="007F3240" w:rsidRPr="00F20083" w:rsidRDefault="007F3240" w:rsidP="00F20083">
      <w:pPr>
        <w:tabs>
          <w:tab w:val="left" w:pos="1575"/>
        </w:tabs>
        <w:jc w:val="both"/>
        <w:rPr>
          <w:b/>
        </w:rPr>
      </w:pPr>
      <w:r w:rsidRPr="00F20083">
        <w:rPr>
          <w:b/>
        </w:rPr>
        <w:t xml:space="preserve">Exemples pour le prélèvement SEPA (SDD - SEPA Direct </w:t>
      </w:r>
      <w:proofErr w:type="spellStart"/>
      <w:r w:rsidRPr="00F20083">
        <w:rPr>
          <w:b/>
        </w:rPr>
        <w:t>Debit</w:t>
      </w:r>
      <w:proofErr w:type="spellEnd"/>
      <w:r w:rsidRPr="00F20083">
        <w:rPr>
          <w:b/>
        </w:rPr>
        <w:t>) :</w:t>
      </w:r>
    </w:p>
    <w:tbl>
      <w:tblPr>
        <w:tblStyle w:val="Grilledutableau"/>
        <w:tblW w:w="9191"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2671"/>
        <w:gridCol w:w="3969"/>
        <w:gridCol w:w="2551"/>
      </w:tblGrid>
      <w:tr w:rsidR="007F3240" w:rsidRPr="007F3240" w14:paraId="45FB9706" w14:textId="77777777" w:rsidTr="00694814">
        <w:tc>
          <w:tcPr>
            <w:tcW w:w="9191" w:type="dxa"/>
            <w:gridSpan w:val="3"/>
          </w:tcPr>
          <w:p w14:paraId="1F3817F3" w14:textId="77777777" w:rsidR="007F3240" w:rsidRPr="00A675AF" w:rsidRDefault="007F3240" w:rsidP="001C39B8">
            <w:pPr>
              <w:jc w:val="center"/>
              <w:rPr>
                <w:b/>
              </w:rPr>
            </w:pPr>
            <w:r w:rsidRPr="00A675AF">
              <w:rPr>
                <w:b/>
              </w:rPr>
              <w:t>VISION EMETTEUR (Banque du Créancier)</w:t>
            </w:r>
          </w:p>
        </w:tc>
      </w:tr>
      <w:tr w:rsidR="00A675AF" w:rsidRPr="007F3240" w14:paraId="76AB6C56" w14:textId="77777777" w:rsidTr="00694814">
        <w:tc>
          <w:tcPr>
            <w:tcW w:w="2671" w:type="dxa"/>
            <w:shd w:val="clear" w:color="auto" w:fill="BDD6EE" w:themeFill="accent1" w:themeFillTint="66"/>
          </w:tcPr>
          <w:p w14:paraId="5FDDA189" w14:textId="21018F1A" w:rsidR="007F3240" w:rsidRPr="00A675AF" w:rsidRDefault="007F3240" w:rsidP="007F3240">
            <w:pPr>
              <w:jc w:val="center"/>
            </w:pPr>
            <w:r w:rsidRPr="00A675AF">
              <w:t>Cas</w:t>
            </w:r>
          </w:p>
        </w:tc>
        <w:tc>
          <w:tcPr>
            <w:tcW w:w="3969" w:type="dxa"/>
            <w:shd w:val="clear" w:color="auto" w:fill="BDD6EE" w:themeFill="accent1" w:themeFillTint="66"/>
          </w:tcPr>
          <w:p w14:paraId="548AF53C" w14:textId="53DBA03A" w:rsidR="007F3240" w:rsidRPr="00A675AF" w:rsidRDefault="007F3240" w:rsidP="007F3240">
            <w:pPr>
              <w:jc w:val="center"/>
            </w:pPr>
            <w:r w:rsidRPr="00A675AF">
              <w:t>Scénario</w:t>
            </w:r>
          </w:p>
        </w:tc>
        <w:tc>
          <w:tcPr>
            <w:tcW w:w="2551" w:type="dxa"/>
            <w:shd w:val="clear" w:color="auto" w:fill="BDD6EE" w:themeFill="accent1" w:themeFillTint="66"/>
          </w:tcPr>
          <w:p w14:paraId="71EEF149" w14:textId="77777777" w:rsidR="007F3240" w:rsidRPr="00A675AF" w:rsidRDefault="007F3240" w:rsidP="007F3240">
            <w:pPr>
              <w:jc w:val="center"/>
            </w:pPr>
            <w:r w:rsidRPr="00A675AF">
              <w:t>Consignes</w:t>
            </w:r>
          </w:p>
        </w:tc>
      </w:tr>
      <w:tr w:rsidR="007F3240" w:rsidRPr="007F3240" w14:paraId="3C93E17C" w14:textId="77777777" w:rsidTr="00694814">
        <w:trPr>
          <w:trHeight w:val="1027"/>
        </w:trPr>
        <w:tc>
          <w:tcPr>
            <w:tcW w:w="2671" w:type="dxa"/>
          </w:tcPr>
          <w:p w14:paraId="1885C171" w14:textId="2CB9EA86" w:rsidR="007F3240" w:rsidRPr="00A675AF" w:rsidRDefault="007F3240" w:rsidP="009F25D7">
            <w:r w:rsidRPr="00A675AF">
              <w:t>Opération rejetée par la banque du créancier avant remise dans le système de paiement</w:t>
            </w:r>
          </w:p>
        </w:tc>
        <w:tc>
          <w:tcPr>
            <w:tcW w:w="3969" w:type="dxa"/>
          </w:tcPr>
          <w:p w14:paraId="5E5AD2EE" w14:textId="7797E942" w:rsidR="007F3240" w:rsidRDefault="007F3240" w:rsidP="008A45BC">
            <w:pPr>
              <w:jc w:val="both"/>
            </w:pPr>
            <w:r w:rsidRPr="00A675AF">
              <w:t>Le créancier émet un SDD (pain.008).</w:t>
            </w:r>
          </w:p>
          <w:p w14:paraId="19DC7420" w14:textId="77777777" w:rsidR="00C04830" w:rsidRPr="00A675AF" w:rsidRDefault="00C04830" w:rsidP="008A45BC">
            <w:pPr>
              <w:jc w:val="both"/>
            </w:pPr>
          </w:p>
          <w:p w14:paraId="0471BA8E" w14:textId="77777777" w:rsidR="007F3240" w:rsidRPr="00A675AF" w:rsidRDefault="007F3240" w:rsidP="008A45BC">
            <w:pPr>
              <w:jc w:val="both"/>
            </w:pPr>
            <w:r w:rsidRPr="00A675AF">
              <w:t>Sa banque le rejette (par exemple IBAN incohérent – pain.002) : il s’agit donc d’un rejet avant traitement réel.</w:t>
            </w:r>
          </w:p>
        </w:tc>
        <w:tc>
          <w:tcPr>
            <w:tcW w:w="2551" w:type="dxa"/>
          </w:tcPr>
          <w:p w14:paraId="1A0E95C2" w14:textId="6174E189" w:rsidR="007F3240" w:rsidRPr="00A675AF" w:rsidRDefault="0077773E" w:rsidP="007F3240">
            <w:r>
              <w:t>Hors</w:t>
            </w:r>
            <w:r w:rsidR="007F3240" w:rsidRPr="00A675AF">
              <w:t xml:space="preserve"> déclaration.</w:t>
            </w:r>
          </w:p>
        </w:tc>
      </w:tr>
      <w:tr w:rsidR="007F3240" w:rsidRPr="007F3240" w14:paraId="10327C86" w14:textId="77777777" w:rsidTr="00694814">
        <w:tc>
          <w:tcPr>
            <w:tcW w:w="2671" w:type="dxa"/>
          </w:tcPr>
          <w:p w14:paraId="396ED46F" w14:textId="7366E1FB" w:rsidR="007F3240" w:rsidRPr="00A675AF" w:rsidRDefault="007F3240" w:rsidP="009F25D7">
            <w:r w:rsidRPr="00A675AF">
              <w:t>Opération rejetée ou retournée par la banque du débiteur ou refusée par le débiteur</w:t>
            </w:r>
          </w:p>
        </w:tc>
        <w:tc>
          <w:tcPr>
            <w:tcW w:w="3969" w:type="dxa"/>
          </w:tcPr>
          <w:p w14:paraId="6BD87F90" w14:textId="77777777" w:rsidR="007F3240" w:rsidRPr="00A675AF" w:rsidRDefault="007F3240" w:rsidP="007F3240">
            <w:r w:rsidRPr="00A675AF">
              <w:t>Le créancier émet un SDD (pain.008).</w:t>
            </w:r>
          </w:p>
          <w:p w14:paraId="6BA29DF6" w14:textId="395FBFE0" w:rsidR="007F3240" w:rsidRDefault="007F3240" w:rsidP="007F3240">
            <w:r w:rsidRPr="00A675AF">
              <w:t>Sa banque traite le SDD et l’envoie via le système de paiement (pacs.003).</w:t>
            </w:r>
          </w:p>
          <w:p w14:paraId="2950BC75" w14:textId="77777777" w:rsidR="00C04830" w:rsidRPr="00A675AF" w:rsidRDefault="00C04830" w:rsidP="007F3240"/>
          <w:p w14:paraId="15C9CA9E" w14:textId="77777777" w:rsidR="007F3240" w:rsidRPr="00A675AF" w:rsidRDefault="007F3240" w:rsidP="007F3240">
            <w:r w:rsidRPr="00A675AF">
              <w:t>Le SDD est rejeté ou retourné par la banque du débiteur (suite éventuellement à un refus du débiteur – pacs.002 ou pacs.004).</w:t>
            </w:r>
          </w:p>
        </w:tc>
        <w:tc>
          <w:tcPr>
            <w:tcW w:w="2551" w:type="dxa"/>
          </w:tcPr>
          <w:p w14:paraId="796ECFAF" w14:textId="77777777" w:rsidR="007F3240" w:rsidRPr="00A675AF" w:rsidRDefault="007F3240" w:rsidP="007F3240">
            <w:r w:rsidRPr="00A675AF">
              <w:t>Seul le SDD émis est à déclarer.</w:t>
            </w:r>
          </w:p>
          <w:p w14:paraId="2B2266EF" w14:textId="77777777" w:rsidR="007F3240" w:rsidRPr="00A675AF" w:rsidRDefault="007F3240" w:rsidP="007F3240"/>
          <w:p w14:paraId="61D3AA20" w14:textId="77777777" w:rsidR="007F3240" w:rsidRPr="00A675AF" w:rsidRDefault="007F3240" w:rsidP="007F3240">
            <w:r w:rsidRPr="00A675AF">
              <w:t>L’opération de rejet ou de retour reçue n’est pas à déclarer.</w:t>
            </w:r>
          </w:p>
        </w:tc>
      </w:tr>
      <w:tr w:rsidR="007F3240" w:rsidRPr="007F3240" w14:paraId="298F2078" w14:textId="77777777" w:rsidTr="00694814">
        <w:tc>
          <w:tcPr>
            <w:tcW w:w="2671" w:type="dxa"/>
          </w:tcPr>
          <w:p w14:paraId="53DDDF95" w14:textId="4CF84914" w:rsidR="007F3240" w:rsidRPr="00A675AF" w:rsidRDefault="007F3240" w:rsidP="00BA5BA6">
            <w:r w:rsidRPr="00A675AF">
              <w:t>Opération rejetée ou retournée par la banque du débiteur ou refusée par le débiteur et réémise par le créancier ou sa banque</w:t>
            </w:r>
          </w:p>
        </w:tc>
        <w:tc>
          <w:tcPr>
            <w:tcW w:w="3969" w:type="dxa"/>
          </w:tcPr>
          <w:p w14:paraId="01D7420E" w14:textId="77777777" w:rsidR="007F3240" w:rsidRPr="00A675AF" w:rsidRDefault="007F3240" w:rsidP="007F3240">
            <w:r w:rsidRPr="00A675AF">
              <w:t>Le créancier émet un SDD (pain.008).</w:t>
            </w:r>
          </w:p>
          <w:p w14:paraId="3A0DCE48" w14:textId="77777777" w:rsidR="007F3240" w:rsidRPr="00A675AF" w:rsidRDefault="007F3240" w:rsidP="007F3240">
            <w:r w:rsidRPr="00A675AF">
              <w:t>Sa banque traite le SDD et l’envoie via le système d’échange (pacs.003).</w:t>
            </w:r>
          </w:p>
          <w:p w14:paraId="3EAF66AB" w14:textId="77777777" w:rsidR="007F3240" w:rsidRPr="00A675AF" w:rsidRDefault="007F3240" w:rsidP="007F3240"/>
          <w:p w14:paraId="6A0275AD" w14:textId="77777777" w:rsidR="007F3240" w:rsidRPr="00A675AF" w:rsidRDefault="007F3240" w:rsidP="007F3240">
            <w:r w:rsidRPr="00A675AF">
              <w:t>Le SDD est rejeté ou retourné par la banque du débiteur (suite éventuellement à un refus du débiteur – pacs.002 ou pacs.004).</w:t>
            </w:r>
          </w:p>
          <w:p w14:paraId="7B695997" w14:textId="77777777" w:rsidR="007F3240" w:rsidRPr="00A675AF" w:rsidRDefault="007F3240" w:rsidP="007F3240">
            <w:r w:rsidRPr="00A675AF">
              <w:t xml:space="preserve">Un SDD est réémis par le créancier ou sa banque </w:t>
            </w:r>
            <w:proofErr w:type="gramStart"/>
            <w:r w:rsidRPr="00A675AF">
              <w:t>suite au</w:t>
            </w:r>
            <w:proofErr w:type="gramEnd"/>
            <w:r w:rsidRPr="00A675AF">
              <w:t xml:space="preserve"> rejet ou retour.</w:t>
            </w:r>
          </w:p>
        </w:tc>
        <w:tc>
          <w:tcPr>
            <w:tcW w:w="2551" w:type="dxa"/>
          </w:tcPr>
          <w:p w14:paraId="139EFDB4" w14:textId="77777777" w:rsidR="007F3240" w:rsidRPr="00A675AF" w:rsidRDefault="007F3240" w:rsidP="007F3240">
            <w:r w:rsidRPr="00A675AF">
              <w:t>Seuls les deux SDD émis sont à déclarer.</w:t>
            </w:r>
          </w:p>
          <w:p w14:paraId="5577A201" w14:textId="6C185782" w:rsidR="007F3240" w:rsidRPr="00A675AF" w:rsidRDefault="007F3240" w:rsidP="007F3240"/>
          <w:p w14:paraId="698EE25E" w14:textId="77777777" w:rsidR="007F3240" w:rsidRPr="00A675AF" w:rsidRDefault="007F3240" w:rsidP="007F3240">
            <w:r w:rsidRPr="00A675AF">
              <w:t>L’opération de rejet ou retour reçue n’est pas à déclarer.</w:t>
            </w:r>
          </w:p>
        </w:tc>
      </w:tr>
      <w:tr w:rsidR="007F3240" w:rsidRPr="007F3240" w14:paraId="2183EF44" w14:textId="77777777" w:rsidTr="00694814">
        <w:tc>
          <w:tcPr>
            <w:tcW w:w="2671" w:type="dxa"/>
          </w:tcPr>
          <w:p w14:paraId="30CA44B8" w14:textId="7CE20EDC" w:rsidR="007F3240" w:rsidRPr="00A675AF" w:rsidRDefault="007F3240" w:rsidP="009F25D7">
            <w:r w:rsidRPr="00A675AF">
              <w:t>Opération annulée par le créancier ou sa banque</w:t>
            </w:r>
          </w:p>
        </w:tc>
        <w:tc>
          <w:tcPr>
            <w:tcW w:w="3969" w:type="dxa"/>
          </w:tcPr>
          <w:p w14:paraId="5ABB1272" w14:textId="77777777" w:rsidR="007F3240" w:rsidRPr="00A675AF" w:rsidRDefault="007F3240" w:rsidP="001C39B8">
            <w:r w:rsidRPr="00A675AF">
              <w:t>Le créancier émet un SDD (pain.008).</w:t>
            </w:r>
          </w:p>
          <w:p w14:paraId="55BF83D1" w14:textId="77777777" w:rsidR="007F3240" w:rsidRPr="00A675AF" w:rsidRDefault="007F3240" w:rsidP="001C39B8">
            <w:r w:rsidRPr="00A675AF">
              <w:t>Sa banque traite le SDD et l’envoie via le système d’échange (pacs.003).</w:t>
            </w:r>
          </w:p>
          <w:p w14:paraId="2F30D20D" w14:textId="77777777" w:rsidR="007F3240" w:rsidRPr="00A675AF" w:rsidRDefault="007F3240" w:rsidP="001C39B8"/>
          <w:p w14:paraId="7EF7107D" w14:textId="77777777" w:rsidR="007F3240" w:rsidRPr="00A675AF" w:rsidRDefault="007F3240" w:rsidP="001C39B8">
            <w:r w:rsidRPr="00A675AF">
              <w:t>Le créancier ou sa banque annule ensuite le SDD (pacs.007).</w:t>
            </w:r>
          </w:p>
        </w:tc>
        <w:tc>
          <w:tcPr>
            <w:tcW w:w="2551" w:type="dxa"/>
          </w:tcPr>
          <w:p w14:paraId="67408E75" w14:textId="77777777" w:rsidR="007F3240" w:rsidRPr="00A675AF" w:rsidRDefault="007F3240" w:rsidP="001C39B8">
            <w:r w:rsidRPr="00A675AF">
              <w:t>Le SDD émis n’est pas à déclarer.</w:t>
            </w:r>
          </w:p>
          <w:p w14:paraId="32A612DE" w14:textId="77777777" w:rsidR="007F3240" w:rsidRPr="00A675AF" w:rsidRDefault="007F3240" w:rsidP="001C39B8"/>
          <w:p w14:paraId="282EABDC" w14:textId="77777777" w:rsidR="007F3240" w:rsidRPr="00A675AF" w:rsidRDefault="007F3240" w:rsidP="001C39B8">
            <w:r w:rsidRPr="00A675AF">
              <w:t>L’opération d’annulation (</w:t>
            </w:r>
            <w:proofErr w:type="spellStart"/>
            <w:r w:rsidRPr="005A1FEA">
              <w:t>Request</w:t>
            </w:r>
            <w:proofErr w:type="spellEnd"/>
            <w:r w:rsidRPr="005A1FEA">
              <w:t xml:space="preserve"> for </w:t>
            </w:r>
            <w:proofErr w:type="spellStart"/>
            <w:r w:rsidRPr="005A1FEA">
              <w:t>Cancellation</w:t>
            </w:r>
            <w:proofErr w:type="spellEnd"/>
            <w:r w:rsidRPr="00A675AF">
              <w:t xml:space="preserve"> ou Reversal) émise n’est pas à déclarer.</w:t>
            </w:r>
          </w:p>
        </w:tc>
      </w:tr>
      <w:tr w:rsidR="007F3240" w:rsidRPr="007F3240" w14:paraId="6229472A" w14:textId="77777777" w:rsidTr="00694814">
        <w:tc>
          <w:tcPr>
            <w:tcW w:w="9191" w:type="dxa"/>
            <w:gridSpan w:val="3"/>
          </w:tcPr>
          <w:p w14:paraId="5D7EBD19" w14:textId="77777777" w:rsidR="007F3240" w:rsidRPr="00A675AF" w:rsidRDefault="007F3240" w:rsidP="001C39B8">
            <w:pPr>
              <w:jc w:val="center"/>
              <w:rPr>
                <w:b/>
              </w:rPr>
            </w:pPr>
            <w:r w:rsidRPr="00A675AF">
              <w:rPr>
                <w:b/>
              </w:rPr>
              <w:t>VISION RECEPTEUR (Banque du débiteur)</w:t>
            </w:r>
          </w:p>
        </w:tc>
      </w:tr>
      <w:tr w:rsidR="00A675AF" w:rsidRPr="007F3240" w14:paraId="0103F834" w14:textId="77777777" w:rsidTr="00694814">
        <w:tc>
          <w:tcPr>
            <w:tcW w:w="2671" w:type="dxa"/>
            <w:shd w:val="clear" w:color="auto" w:fill="BDD6EE" w:themeFill="accent1" w:themeFillTint="66"/>
          </w:tcPr>
          <w:p w14:paraId="649C035A" w14:textId="2B9EAB5C" w:rsidR="007F3240" w:rsidRPr="00A675AF" w:rsidRDefault="007F3240" w:rsidP="007F3240">
            <w:pPr>
              <w:jc w:val="center"/>
            </w:pPr>
            <w:r w:rsidRPr="00A675AF">
              <w:t>Cas</w:t>
            </w:r>
          </w:p>
        </w:tc>
        <w:tc>
          <w:tcPr>
            <w:tcW w:w="3969" w:type="dxa"/>
            <w:shd w:val="clear" w:color="auto" w:fill="BDD6EE" w:themeFill="accent1" w:themeFillTint="66"/>
          </w:tcPr>
          <w:p w14:paraId="50397F84" w14:textId="0120BD8B" w:rsidR="007F3240" w:rsidRPr="00A675AF" w:rsidRDefault="007F3240" w:rsidP="007F3240">
            <w:pPr>
              <w:jc w:val="center"/>
            </w:pPr>
            <w:r w:rsidRPr="00A675AF">
              <w:t>Scénario</w:t>
            </w:r>
          </w:p>
        </w:tc>
        <w:tc>
          <w:tcPr>
            <w:tcW w:w="2551" w:type="dxa"/>
            <w:shd w:val="clear" w:color="auto" w:fill="BDD6EE" w:themeFill="accent1" w:themeFillTint="66"/>
          </w:tcPr>
          <w:p w14:paraId="48DDD367" w14:textId="77777777" w:rsidR="007F3240" w:rsidRPr="00A675AF" w:rsidRDefault="007F3240" w:rsidP="007F3240">
            <w:pPr>
              <w:jc w:val="center"/>
            </w:pPr>
            <w:r w:rsidRPr="00A675AF">
              <w:t>Consignes</w:t>
            </w:r>
          </w:p>
        </w:tc>
      </w:tr>
      <w:tr w:rsidR="007F3240" w:rsidRPr="007F3240" w14:paraId="3BC8958D" w14:textId="77777777" w:rsidTr="00694814">
        <w:tc>
          <w:tcPr>
            <w:tcW w:w="2671" w:type="dxa"/>
          </w:tcPr>
          <w:p w14:paraId="3EB2C31B" w14:textId="2E37581A" w:rsidR="007F3240" w:rsidRPr="00A675AF" w:rsidRDefault="007F3240" w:rsidP="009F25D7">
            <w:r w:rsidRPr="00A675AF">
              <w:t>Opération rejetée ou retournée par la banque du débiteur ou refusée par le débiteur</w:t>
            </w:r>
          </w:p>
        </w:tc>
        <w:tc>
          <w:tcPr>
            <w:tcW w:w="3969" w:type="dxa"/>
          </w:tcPr>
          <w:p w14:paraId="6AF3BDE2" w14:textId="1C3BAAEC" w:rsidR="007F3240" w:rsidRPr="00A675AF" w:rsidRDefault="007F3240" w:rsidP="001C39B8">
            <w:r w:rsidRPr="00A675AF">
              <w:t>La banque du débiteur ou le débiteur reçoit un SDD.</w:t>
            </w:r>
          </w:p>
          <w:p w14:paraId="23C86BCF" w14:textId="77777777" w:rsidR="007F3240" w:rsidRPr="00A675AF" w:rsidRDefault="007F3240" w:rsidP="001C39B8"/>
          <w:p w14:paraId="5ADC9C78" w14:textId="77777777" w:rsidR="007F3240" w:rsidRPr="00A675AF" w:rsidRDefault="007F3240" w:rsidP="001C39B8">
            <w:r w:rsidRPr="00A675AF">
              <w:t xml:space="preserve">La banque du débiteur rejette ou retourne le SDD (éventuellement </w:t>
            </w:r>
            <w:proofErr w:type="gramStart"/>
            <w:r w:rsidRPr="00A675AF">
              <w:t>suite à un</w:t>
            </w:r>
            <w:proofErr w:type="gramEnd"/>
            <w:r w:rsidRPr="00A675AF">
              <w:t xml:space="preserve"> refus du débiteur).</w:t>
            </w:r>
          </w:p>
        </w:tc>
        <w:tc>
          <w:tcPr>
            <w:tcW w:w="2551" w:type="dxa"/>
          </w:tcPr>
          <w:p w14:paraId="5C6B913E" w14:textId="3818F288" w:rsidR="007F3240" w:rsidRPr="00A675AF" w:rsidRDefault="007F3240" w:rsidP="001C39B8">
            <w:r w:rsidRPr="00A675AF">
              <w:t>Seul le SDD reçu est à déclarer.</w:t>
            </w:r>
          </w:p>
          <w:p w14:paraId="25AFD5B6" w14:textId="77777777" w:rsidR="007F3240" w:rsidRPr="00A675AF" w:rsidRDefault="007F3240" w:rsidP="001C39B8"/>
          <w:p w14:paraId="65A666F4" w14:textId="77777777" w:rsidR="007F3240" w:rsidRPr="00A675AF" w:rsidRDefault="007F3240" w:rsidP="001C39B8">
            <w:r w:rsidRPr="00A675AF">
              <w:t>L’opération de rejet ou de retour émise n’est pas à déclarer.</w:t>
            </w:r>
          </w:p>
        </w:tc>
      </w:tr>
      <w:tr w:rsidR="007F3240" w:rsidRPr="007F3240" w14:paraId="19560B69" w14:textId="77777777" w:rsidTr="00694814">
        <w:tc>
          <w:tcPr>
            <w:tcW w:w="2671" w:type="dxa"/>
          </w:tcPr>
          <w:p w14:paraId="34AB7207" w14:textId="301D1A3B" w:rsidR="007F3240" w:rsidRPr="00A675AF" w:rsidRDefault="007F3240" w:rsidP="009F25D7">
            <w:r w:rsidRPr="00A675AF">
              <w:lastRenderedPageBreak/>
              <w:t>Opération rejetée ou retournée par la banque du débiteur ou refusée par le débiteur et réémise par le créancier ou sa banque</w:t>
            </w:r>
          </w:p>
        </w:tc>
        <w:tc>
          <w:tcPr>
            <w:tcW w:w="3969" w:type="dxa"/>
          </w:tcPr>
          <w:p w14:paraId="30423CAD" w14:textId="67842691" w:rsidR="007F3240" w:rsidRPr="00A675AF" w:rsidRDefault="007F3240" w:rsidP="001C39B8">
            <w:r w:rsidRPr="00A675AF">
              <w:t xml:space="preserve">La banque du débiteur ou </w:t>
            </w:r>
            <w:r w:rsidR="00BA5BA6" w:rsidRPr="00A675AF">
              <w:t xml:space="preserve">le </w:t>
            </w:r>
            <w:r w:rsidRPr="00A675AF">
              <w:t>débiteur reçoit un SDD.</w:t>
            </w:r>
          </w:p>
          <w:p w14:paraId="781E9348" w14:textId="77777777" w:rsidR="007F3240" w:rsidRPr="00A675AF" w:rsidRDefault="007F3240" w:rsidP="001C39B8"/>
          <w:p w14:paraId="48053A93" w14:textId="53C88069" w:rsidR="007F3240" w:rsidRPr="00A675AF" w:rsidRDefault="007F3240" w:rsidP="001C39B8">
            <w:r w:rsidRPr="00A675AF">
              <w:t xml:space="preserve">La banque du débiteur rejette ou retourne le SDD (éventuellement </w:t>
            </w:r>
            <w:proofErr w:type="gramStart"/>
            <w:r w:rsidRPr="00A675AF">
              <w:t>suite à un</w:t>
            </w:r>
            <w:proofErr w:type="gramEnd"/>
            <w:r w:rsidRPr="00A675AF">
              <w:t xml:space="preserve"> refus du débiteur).</w:t>
            </w:r>
          </w:p>
          <w:p w14:paraId="0BA4F857" w14:textId="4DF32006" w:rsidR="007F3240" w:rsidRPr="00A675AF" w:rsidRDefault="007F3240" w:rsidP="00BA5BA6">
            <w:r w:rsidRPr="00A675AF">
              <w:t>Un nouveau SDD est reçu par la banque du débiteur</w:t>
            </w:r>
            <w:r w:rsidR="00BA5BA6" w:rsidRPr="00A675AF">
              <w:t xml:space="preserve">, visible ou non sur le compte du </w:t>
            </w:r>
            <w:r w:rsidRPr="00A675AF">
              <w:t>débiteur</w:t>
            </w:r>
            <w:r w:rsidR="00BA5BA6" w:rsidRPr="00A675AF">
              <w:t>,</w:t>
            </w:r>
            <w:r w:rsidRPr="00A675AF">
              <w:t xml:space="preserve"> </w:t>
            </w:r>
            <w:proofErr w:type="gramStart"/>
            <w:r w:rsidRPr="00A675AF">
              <w:t>suite au</w:t>
            </w:r>
            <w:proofErr w:type="gramEnd"/>
            <w:r w:rsidRPr="00A675AF">
              <w:t xml:space="preserve"> rejet ou retour.</w:t>
            </w:r>
          </w:p>
        </w:tc>
        <w:tc>
          <w:tcPr>
            <w:tcW w:w="2551" w:type="dxa"/>
          </w:tcPr>
          <w:p w14:paraId="52D7DA66" w14:textId="77777777" w:rsidR="007F3240" w:rsidRPr="00A675AF" w:rsidRDefault="007F3240" w:rsidP="001C39B8">
            <w:r w:rsidRPr="00A675AF">
              <w:t>Seuls les deux SDD reçus sont à déclarer.</w:t>
            </w:r>
          </w:p>
          <w:p w14:paraId="3DE26F1E" w14:textId="77777777" w:rsidR="007F3240" w:rsidRPr="00A675AF" w:rsidRDefault="007F3240" w:rsidP="001C39B8"/>
          <w:p w14:paraId="32CDB99A" w14:textId="77777777" w:rsidR="007F3240" w:rsidRPr="00A675AF" w:rsidRDefault="007F3240" w:rsidP="001C39B8">
            <w:r w:rsidRPr="00A675AF">
              <w:t>L’opération de rejet ou retour émise n’est pas à déclarer.</w:t>
            </w:r>
          </w:p>
        </w:tc>
      </w:tr>
      <w:tr w:rsidR="007F3240" w:rsidRPr="007F3240" w14:paraId="1D280EA1" w14:textId="77777777" w:rsidTr="00694814">
        <w:tc>
          <w:tcPr>
            <w:tcW w:w="2671" w:type="dxa"/>
          </w:tcPr>
          <w:p w14:paraId="1500730B" w14:textId="77777777" w:rsidR="007F3240" w:rsidRPr="00A675AF" w:rsidRDefault="007F3240" w:rsidP="001C39B8">
            <w:r w:rsidRPr="00A675AF">
              <w:t>Opération annulée par le créancier ou sa banque</w:t>
            </w:r>
          </w:p>
        </w:tc>
        <w:tc>
          <w:tcPr>
            <w:tcW w:w="3969" w:type="dxa"/>
          </w:tcPr>
          <w:p w14:paraId="4D4A33CE" w14:textId="6FBEB35D" w:rsidR="007F3240" w:rsidRPr="00A675AF" w:rsidRDefault="007F3240" w:rsidP="001C39B8">
            <w:r w:rsidRPr="00A675AF">
              <w:t xml:space="preserve">La banque du débiteur ou </w:t>
            </w:r>
            <w:r w:rsidR="00BA5BA6" w:rsidRPr="00A675AF">
              <w:t xml:space="preserve">le </w:t>
            </w:r>
            <w:r w:rsidRPr="00A675AF">
              <w:t>débiteur reçoit un SDD.</w:t>
            </w:r>
          </w:p>
          <w:p w14:paraId="32B23244" w14:textId="77777777" w:rsidR="007F3240" w:rsidRPr="00A675AF" w:rsidRDefault="007F3240" w:rsidP="001C39B8"/>
          <w:p w14:paraId="793F18AA" w14:textId="77777777" w:rsidR="007F3240" w:rsidRPr="00A675AF" w:rsidRDefault="007F3240" w:rsidP="001C39B8">
            <w:r w:rsidRPr="00A675AF">
              <w:t>La banque du débiteur reçoit une annulation du SDD.</w:t>
            </w:r>
          </w:p>
        </w:tc>
        <w:tc>
          <w:tcPr>
            <w:tcW w:w="2551" w:type="dxa"/>
          </w:tcPr>
          <w:p w14:paraId="5EAB1C1A" w14:textId="77777777" w:rsidR="00BA5BA6" w:rsidRPr="00A675AF" w:rsidRDefault="007F3240" w:rsidP="001C39B8">
            <w:r w:rsidRPr="00A675AF">
              <w:t>Le SDD reçu n’est pas à déclarer.</w:t>
            </w:r>
          </w:p>
          <w:p w14:paraId="04A23A48" w14:textId="032064E5" w:rsidR="007F3240" w:rsidRPr="00A675AF" w:rsidRDefault="007F3240" w:rsidP="001C39B8"/>
          <w:p w14:paraId="5EA28DD5" w14:textId="77777777" w:rsidR="007F3240" w:rsidRPr="00A675AF" w:rsidRDefault="007F3240" w:rsidP="008A45BC">
            <w:pPr>
              <w:jc w:val="both"/>
            </w:pPr>
            <w:r w:rsidRPr="00A675AF">
              <w:t>L’opération d’annulation (</w:t>
            </w:r>
            <w:proofErr w:type="spellStart"/>
            <w:r w:rsidRPr="005A1FEA">
              <w:t>Request</w:t>
            </w:r>
            <w:proofErr w:type="spellEnd"/>
            <w:r w:rsidRPr="005A1FEA">
              <w:t xml:space="preserve"> for </w:t>
            </w:r>
            <w:proofErr w:type="spellStart"/>
            <w:r w:rsidRPr="005A1FEA">
              <w:t>Cancellation</w:t>
            </w:r>
            <w:proofErr w:type="spellEnd"/>
            <w:r w:rsidRPr="00A675AF">
              <w:t xml:space="preserve"> ou Reversal) reçue n’est pas à déclarer.</w:t>
            </w:r>
          </w:p>
        </w:tc>
      </w:tr>
    </w:tbl>
    <w:p w14:paraId="1EEE8B86" w14:textId="77777777" w:rsidR="00D822C1" w:rsidRDefault="00D822C1" w:rsidP="00F12806"/>
    <w:p w14:paraId="217F776D" w14:textId="1BE33CE6" w:rsidR="004013BE" w:rsidRPr="00A675AF" w:rsidRDefault="004013BE" w:rsidP="00D00626">
      <w:pPr>
        <w:pStyle w:val="Titre2"/>
        <w:numPr>
          <w:ilvl w:val="1"/>
          <w:numId w:val="18"/>
        </w:numPr>
      </w:pPr>
      <w:bookmarkStart w:id="9" w:name="_Toc222476851"/>
      <w:r w:rsidRPr="00A675AF">
        <w:t xml:space="preserve">Présentation des données </w:t>
      </w:r>
      <w:r w:rsidR="00771FCF" w:rsidRPr="00D822C1">
        <w:t>collectées</w:t>
      </w:r>
      <w:bookmarkEnd w:id="9"/>
    </w:p>
    <w:p w14:paraId="772413A1" w14:textId="23758754" w:rsidR="005F76CB" w:rsidRPr="00A675AF" w:rsidRDefault="005F76CB" w:rsidP="005F76CB">
      <w:pPr>
        <w:autoSpaceDE w:val="0"/>
        <w:autoSpaceDN w:val="0"/>
        <w:adjustRightInd w:val="0"/>
        <w:spacing w:after="0" w:line="240" w:lineRule="auto"/>
        <w:jc w:val="both"/>
        <w:rPr>
          <w:b/>
        </w:rPr>
      </w:pPr>
    </w:p>
    <w:p w14:paraId="289850A1" w14:textId="77777777" w:rsidR="001B5D07" w:rsidRPr="001B5D07" w:rsidRDefault="001B5D07" w:rsidP="001B5D07">
      <w:pPr>
        <w:autoSpaceDE w:val="0"/>
        <w:autoSpaceDN w:val="0"/>
        <w:adjustRightInd w:val="0"/>
        <w:spacing w:after="0" w:line="240" w:lineRule="auto"/>
        <w:jc w:val="both"/>
      </w:pPr>
      <w:r w:rsidRPr="001B5D07">
        <w:t xml:space="preserve">Les données en volume doivent être déclarées </w:t>
      </w:r>
      <w:r w:rsidRPr="001B5D07">
        <w:rPr>
          <w:u w:val="single"/>
        </w:rPr>
        <w:t>en unités</w:t>
      </w:r>
      <w:r w:rsidRPr="001B5D07">
        <w:t xml:space="preserve"> et celles exprimées en valeur </w:t>
      </w:r>
      <w:r w:rsidRPr="001B5D07">
        <w:rPr>
          <w:u w:val="single"/>
        </w:rPr>
        <w:t xml:space="preserve">en euros </w:t>
      </w:r>
      <w:r w:rsidRPr="001B5D07">
        <w:t xml:space="preserve">avec deux décimales mais par défaut, en l’absence de décimales, celles-ci sont systématiquement valorisées à « .00 ». </w:t>
      </w:r>
    </w:p>
    <w:p w14:paraId="230CA6E2" w14:textId="77777777" w:rsidR="007412ED" w:rsidRDefault="007412ED" w:rsidP="005F76CB">
      <w:pPr>
        <w:autoSpaceDE w:val="0"/>
        <w:autoSpaceDN w:val="0"/>
        <w:adjustRightInd w:val="0"/>
        <w:spacing w:after="0" w:line="240" w:lineRule="auto"/>
        <w:jc w:val="both"/>
      </w:pPr>
    </w:p>
    <w:p w14:paraId="6ED55ECE" w14:textId="376AF3F5" w:rsidR="005F76CB" w:rsidRDefault="009076A2" w:rsidP="005F76CB">
      <w:pPr>
        <w:autoSpaceDE w:val="0"/>
        <w:autoSpaceDN w:val="0"/>
        <w:adjustRightInd w:val="0"/>
        <w:spacing w:after="0" w:line="240" w:lineRule="auto"/>
        <w:jc w:val="both"/>
        <w:rPr>
          <w:rFonts w:cstheme="minorHAnsi"/>
        </w:rPr>
      </w:pPr>
      <w:r w:rsidRPr="00A675AF">
        <w:t>Si les données sources sont dans une autre devise, il convient de les convertir en euros en utilisant de préférence les taux de change</w:t>
      </w:r>
      <w:r w:rsidR="00780AB5" w:rsidRPr="00A675AF">
        <w:t xml:space="preserve"> </w:t>
      </w:r>
      <w:r w:rsidR="00F346F0" w:rsidRPr="00A675AF">
        <w:t xml:space="preserve">de référence </w:t>
      </w:r>
      <w:r w:rsidR="005A1FEA">
        <w:t>moyens</w:t>
      </w:r>
      <w:r w:rsidR="00F346F0" w:rsidRPr="00A675AF">
        <w:t xml:space="preserve"> </w:t>
      </w:r>
      <w:r w:rsidRPr="00A675AF">
        <w:t xml:space="preserve">publiés par la BCE </w:t>
      </w:r>
      <w:r w:rsidR="00F346F0" w:rsidRPr="00FA6CC4">
        <w:rPr>
          <w:rFonts w:cstheme="minorHAnsi"/>
        </w:rPr>
        <w:t>(</w:t>
      </w:r>
      <w:hyperlink r:id="rId21" w:history="1">
        <w:r w:rsidR="00F346F0" w:rsidRPr="00FA6CC4">
          <w:rPr>
            <w:rStyle w:val="Lienhypertexte"/>
            <w:rFonts w:cstheme="minorHAnsi"/>
          </w:rPr>
          <w:t>www.ecb.int</w:t>
        </w:r>
      </w:hyperlink>
      <w:r w:rsidR="00F346F0" w:rsidRPr="00FA6CC4">
        <w:rPr>
          <w:rFonts w:cstheme="minorHAnsi"/>
        </w:rPr>
        <w:t xml:space="preserve">, </w:t>
      </w:r>
      <w:r w:rsidR="00F346F0" w:rsidRPr="005A1FEA">
        <w:rPr>
          <w:rFonts w:cstheme="minorHAnsi"/>
          <w:i/>
        </w:rPr>
        <w:t xml:space="preserve">Euro </w:t>
      </w:r>
      <w:proofErr w:type="spellStart"/>
      <w:r w:rsidR="00F346F0" w:rsidRPr="005A1FEA">
        <w:rPr>
          <w:rFonts w:cstheme="minorHAnsi"/>
          <w:i/>
        </w:rPr>
        <w:t>foreign</w:t>
      </w:r>
      <w:proofErr w:type="spellEnd"/>
      <w:r w:rsidR="00F346F0" w:rsidRPr="005A1FEA">
        <w:rPr>
          <w:rFonts w:cstheme="minorHAnsi"/>
          <w:i/>
        </w:rPr>
        <w:t xml:space="preserve"> exchange </w:t>
      </w:r>
      <w:proofErr w:type="spellStart"/>
      <w:r w:rsidR="00F346F0" w:rsidRPr="005A1FEA">
        <w:rPr>
          <w:rFonts w:cstheme="minorHAnsi"/>
          <w:i/>
        </w:rPr>
        <w:t>reference</w:t>
      </w:r>
      <w:proofErr w:type="spellEnd"/>
      <w:r w:rsidR="00F346F0" w:rsidRPr="005A1FEA">
        <w:rPr>
          <w:rFonts w:cstheme="minorHAnsi"/>
          <w:i/>
        </w:rPr>
        <w:t xml:space="preserve"> rates</w:t>
      </w:r>
      <w:r w:rsidR="00F346F0" w:rsidRPr="00FA6CC4">
        <w:rPr>
          <w:rFonts w:cstheme="minorHAnsi"/>
        </w:rPr>
        <w:t>), sauf si l’établissement déclarant a retenu une autre méthode (</w:t>
      </w:r>
      <w:r w:rsidR="00F346F0">
        <w:rPr>
          <w:rFonts w:cstheme="minorHAnsi"/>
        </w:rPr>
        <w:t>par exemple</w:t>
      </w:r>
      <w:r w:rsidR="000C7FBC">
        <w:rPr>
          <w:rFonts w:cstheme="minorHAnsi"/>
        </w:rPr>
        <w:t> </w:t>
      </w:r>
      <w:r w:rsidR="00F346F0" w:rsidRPr="00FA6CC4">
        <w:rPr>
          <w:rFonts w:cstheme="minorHAnsi"/>
        </w:rPr>
        <w:t>: conversion au jour le jou</w:t>
      </w:r>
      <w:r w:rsidR="00F346F0">
        <w:rPr>
          <w:rFonts w:cstheme="minorHAnsi"/>
        </w:rPr>
        <w:t>r).</w:t>
      </w:r>
    </w:p>
    <w:p w14:paraId="1D1DDF43" w14:textId="1E0ADE57" w:rsidR="007412ED" w:rsidRDefault="007412ED" w:rsidP="005F76CB">
      <w:pPr>
        <w:autoSpaceDE w:val="0"/>
        <w:autoSpaceDN w:val="0"/>
        <w:adjustRightInd w:val="0"/>
        <w:spacing w:after="0" w:line="240" w:lineRule="auto"/>
        <w:jc w:val="both"/>
        <w:rPr>
          <w:rFonts w:cstheme="minorHAnsi"/>
        </w:rPr>
      </w:pPr>
    </w:p>
    <w:p w14:paraId="6C1C4B82" w14:textId="00DBA02E" w:rsidR="001B5D07" w:rsidRPr="001B5D07" w:rsidRDefault="001B5D07" w:rsidP="001B5D07">
      <w:pPr>
        <w:autoSpaceDE w:val="0"/>
        <w:autoSpaceDN w:val="0"/>
        <w:adjustRightInd w:val="0"/>
        <w:spacing w:after="0" w:line="240" w:lineRule="auto"/>
        <w:jc w:val="both"/>
        <w:rPr>
          <w:rFonts w:cstheme="minorHAnsi"/>
          <w:b/>
        </w:rPr>
      </w:pPr>
      <w:r w:rsidRPr="001B5D07">
        <w:rPr>
          <w:rFonts w:cstheme="minorHAnsi"/>
          <w:b/>
        </w:rPr>
        <w:t>Tous les champs de la collecte doivent être déclarés par l’établissement, le cas échéant à zéro en l’absence de valeurs à déclarer</w:t>
      </w:r>
      <w:r w:rsidR="00B6576E">
        <w:rPr>
          <w:rFonts w:cstheme="minorHAnsi"/>
          <w:b/>
        </w:rPr>
        <w:t xml:space="preserve">, à l’exception des champs relatifs </w:t>
      </w:r>
      <w:r w:rsidR="0062644E">
        <w:rPr>
          <w:rFonts w:cstheme="minorHAnsi"/>
          <w:b/>
        </w:rPr>
        <w:t xml:space="preserve">à la ventilation des transactions par </w:t>
      </w:r>
      <w:r w:rsidR="00B6576E">
        <w:rPr>
          <w:rFonts w:cstheme="minorHAnsi"/>
          <w:b/>
        </w:rPr>
        <w:t>schémas de carte où seuls ceux ayant une valeur doivent être renseignés</w:t>
      </w:r>
      <w:r w:rsidR="0062644E">
        <w:rPr>
          <w:rFonts w:cstheme="minorHAnsi"/>
          <w:b/>
        </w:rPr>
        <w:t xml:space="preserve"> (cf. sections 4.1.2.1, 4.1.2.4, 4.1.3.1)</w:t>
      </w:r>
      <w:r w:rsidR="00B6576E">
        <w:rPr>
          <w:rFonts w:cstheme="minorHAnsi"/>
          <w:b/>
        </w:rPr>
        <w:t>.</w:t>
      </w:r>
    </w:p>
    <w:p w14:paraId="25AB0338" w14:textId="2C71F09C" w:rsidR="006A167F" w:rsidRDefault="006A167F" w:rsidP="005F76CB">
      <w:pPr>
        <w:autoSpaceDE w:val="0"/>
        <w:autoSpaceDN w:val="0"/>
        <w:adjustRightInd w:val="0"/>
        <w:spacing w:after="0" w:line="240" w:lineRule="auto"/>
        <w:jc w:val="both"/>
        <w:rPr>
          <w:rFonts w:cstheme="minorHAnsi"/>
        </w:rPr>
      </w:pPr>
    </w:p>
    <w:p w14:paraId="2A2862F2" w14:textId="799C1A64" w:rsidR="006A167F" w:rsidRDefault="006A167F" w:rsidP="005F76CB">
      <w:pPr>
        <w:autoSpaceDE w:val="0"/>
        <w:autoSpaceDN w:val="0"/>
        <w:adjustRightInd w:val="0"/>
        <w:spacing w:after="0" w:line="240" w:lineRule="auto"/>
        <w:jc w:val="both"/>
        <w:rPr>
          <w:rFonts w:cstheme="minorHAnsi"/>
        </w:rPr>
      </w:pPr>
      <w:r>
        <w:rPr>
          <w:rFonts w:cstheme="minorHAnsi"/>
        </w:rPr>
        <w:t>Des règles de contrôle</w:t>
      </w:r>
      <w:r w:rsidR="00684DD7">
        <w:rPr>
          <w:rFonts w:cstheme="minorHAnsi"/>
        </w:rPr>
        <w:t xml:space="preserve"> à appliquer par les établissements sont paramétrées dans le questionnaire afin d’assurer la cohérence et l’exhaustivité des données déclarées.</w:t>
      </w:r>
    </w:p>
    <w:p w14:paraId="4D8052F3" w14:textId="77777777" w:rsidR="00684DD7" w:rsidRDefault="00684DD7" w:rsidP="005F76CB">
      <w:pPr>
        <w:autoSpaceDE w:val="0"/>
        <w:autoSpaceDN w:val="0"/>
        <w:adjustRightInd w:val="0"/>
        <w:spacing w:after="0" w:line="240" w:lineRule="auto"/>
        <w:jc w:val="both"/>
        <w:rPr>
          <w:rFonts w:cstheme="minorHAnsi"/>
        </w:rPr>
      </w:pPr>
    </w:p>
    <w:p w14:paraId="79D5D8E6" w14:textId="3C87FA1D" w:rsidR="000163F7" w:rsidRPr="00211ED1" w:rsidRDefault="000163F7" w:rsidP="005F76CB">
      <w:pPr>
        <w:autoSpaceDE w:val="0"/>
        <w:autoSpaceDN w:val="0"/>
        <w:adjustRightInd w:val="0"/>
        <w:spacing w:after="0" w:line="240" w:lineRule="auto"/>
        <w:jc w:val="both"/>
        <w:rPr>
          <w:rFonts w:cstheme="minorHAnsi"/>
        </w:rPr>
      </w:pPr>
      <w:r w:rsidRPr="000163F7">
        <w:rPr>
          <w:rFonts w:cstheme="minorHAnsi"/>
          <w:b/>
        </w:rPr>
        <w:t>Les établissements sont invités à contrôler avec la plus grande rigueur la fiabilité des données qu’ils déclarent.</w:t>
      </w:r>
      <w:r>
        <w:rPr>
          <w:rFonts w:cstheme="minorHAnsi"/>
        </w:rPr>
        <w:t xml:space="preserve"> En effet, une déclaration erronée peut avoir des conséquences dommageables sur la qualité des statistiques transmises à la BCE (« </w:t>
      </w:r>
      <w:proofErr w:type="spellStart"/>
      <w:r w:rsidR="002117C5" w:rsidRPr="002117C5">
        <w:rPr>
          <w:rFonts w:cstheme="minorHAnsi"/>
          <w:i/>
        </w:rPr>
        <w:t>Statistical</w:t>
      </w:r>
      <w:proofErr w:type="spellEnd"/>
      <w:r w:rsidR="002117C5" w:rsidRPr="002117C5">
        <w:rPr>
          <w:rFonts w:cstheme="minorHAnsi"/>
          <w:i/>
        </w:rPr>
        <w:t xml:space="preserve"> Data Warehouse</w:t>
      </w:r>
      <w:r>
        <w:rPr>
          <w:rFonts w:cstheme="minorHAnsi"/>
        </w:rPr>
        <w:t> ») et à l’ABE ainsi que pour la surveillance des moyens de paiement exercée par la Banque de France.</w:t>
      </w:r>
      <w:r w:rsidR="00F34171">
        <w:rPr>
          <w:rFonts w:cstheme="minorHAnsi"/>
        </w:rPr>
        <w:t xml:space="preserve"> Par ailleurs, </w:t>
      </w:r>
      <w:r w:rsidR="00F34171" w:rsidRPr="00211ED1">
        <w:t>un projet de règlement de la BCE relatif aux procédures d’infraction en cas de non-respect des obligations de déclarations statistiques est en cours d’élaboration. Il introduit la possibilité de recourir à un plan de remédiation en cas de non-conformité et prévoit un mécanisme de sanctions financières.</w:t>
      </w:r>
    </w:p>
    <w:p w14:paraId="53CAE980" w14:textId="2A6CABEB" w:rsidR="000163F7" w:rsidRDefault="000163F7" w:rsidP="005F76CB">
      <w:pPr>
        <w:autoSpaceDE w:val="0"/>
        <w:autoSpaceDN w:val="0"/>
        <w:adjustRightInd w:val="0"/>
        <w:spacing w:after="0" w:line="240" w:lineRule="auto"/>
        <w:jc w:val="both"/>
        <w:rPr>
          <w:rFonts w:cstheme="minorHAnsi"/>
        </w:rPr>
      </w:pPr>
    </w:p>
    <w:p w14:paraId="28A0549D" w14:textId="399360E0" w:rsidR="004013BE" w:rsidRPr="00D538E8" w:rsidRDefault="00F346F0" w:rsidP="00D00626">
      <w:pPr>
        <w:pStyle w:val="Titre2"/>
        <w:numPr>
          <w:ilvl w:val="1"/>
          <w:numId w:val="18"/>
        </w:numPr>
      </w:pPr>
      <w:bookmarkStart w:id="10" w:name="_Toc222476852"/>
      <w:r w:rsidRPr="00D538E8">
        <w:t>Modalités de déclaration</w:t>
      </w:r>
      <w:bookmarkEnd w:id="10"/>
    </w:p>
    <w:p w14:paraId="19176139" w14:textId="5E08DC15" w:rsidR="00F346F0" w:rsidRPr="00A675AF" w:rsidRDefault="00F346F0" w:rsidP="00F346F0">
      <w:pPr>
        <w:autoSpaceDE w:val="0"/>
        <w:autoSpaceDN w:val="0"/>
        <w:adjustRightInd w:val="0"/>
        <w:spacing w:after="0" w:line="240" w:lineRule="auto"/>
        <w:jc w:val="both"/>
      </w:pPr>
    </w:p>
    <w:p w14:paraId="4FDB3400" w14:textId="343FE7D3" w:rsidR="00A952E4" w:rsidRDefault="00F346F0" w:rsidP="00F346F0">
      <w:pPr>
        <w:autoSpaceDE w:val="0"/>
        <w:autoSpaceDN w:val="0"/>
        <w:adjustRightInd w:val="0"/>
        <w:spacing w:after="0" w:line="240" w:lineRule="auto"/>
        <w:jc w:val="both"/>
      </w:pPr>
      <w:r w:rsidRPr="00A675AF">
        <w:t xml:space="preserve">La </w:t>
      </w:r>
      <w:r w:rsidR="00A952E4">
        <w:t>déclaration est établie sur une base semestrielle. Les pé</w:t>
      </w:r>
      <w:r w:rsidRPr="00A675AF">
        <w:t>riode</w:t>
      </w:r>
      <w:r w:rsidR="00A952E4">
        <w:t>s</w:t>
      </w:r>
      <w:r w:rsidRPr="00A675AF">
        <w:t xml:space="preserve"> de collecte s’étend</w:t>
      </w:r>
      <w:r w:rsidR="00A952E4">
        <w:t>ent pour les données :</w:t>
      </w:r>
    </w:p>
    <w:p w14:paraId="12AD4D9E" w14:textId="77777777" w:rsidR="002319FC" w:rsidRDefault="002319FC" w:rsidP="00F346F0">
      <w:pPr>
        <w:autoSpaceDE w:val="0"/>
        <w:autoSpaceDN w:val="0"/>
        <w:adjustRightInd w:val="0"/>
        <w:spacing w:after="0" w:line="240" w:lineRule="auto"/>
        <w:jc w:val="both"/>
      </w:pPr>
    </w:p>
    <w:p w14:paraId="1913D869" w14:textId="5B9D1014" w:rsidR="003F09C4" w:rsidRDefault="00BF04E8" w:rsidP="00594FDC">
      <w:pPr>
        <w:pStyle w:val="Paragraphedeliste"/>
        <w:numPr>
          <w:ilvl w:val="0"/>
          <w:numId w:val="11"/>
        </w:numPr>
        <w:autoSpaceDE w:val="0"/>
        <w:autoSpaceDN w:val="0"/>
        <w:adjustRightInd w:val="0"/>
        <w:spacing w:after="0" w:line="240" w:lineRule="auto"/>
        <w:jc w:val="both"/>
      </w:pPr>
      <w:r>
        <w:t>Du</w:t>
      </w:r>
      <w:r w:rsidR="00A952E4">
        <w:t xml:space="preserve"> premier semestre (période de janvier à juin) du</w:t>
      </w:r>
      <w:r w:rsidR="003F09C4">
        <w:t xml:space="preserve"> 1</w:t>
      </w:r>
      <w:r w:rsidR="003F09C4" w:rsidRPr="003F09C4">
        <w:rPr>
          <w:vertAlign w:val="superscript"/>
        </w:rPr>
        <w:t>er</w:t>
      </w:r>
      <w:r w:rsidR="003F09C4">
        <w:t xml:space="preserve"> jour ouvrable d’août au dernier jour ouvrable de septembre ;</w:t>
      </w:r>
    </w:p>
    <w:p w14:paraId="77EC7B47" w14:textId="4C23EBA4" w:rsidR="00BF04E8" w:rsidRDefault="00BF04E8" w:rsidP="00594FDC">
      <w:pPr>
        <w:pStyle w:val="Paragraphedeliste"/>
        <w:numPr>
          <w:ilvl w:val="0"/>
          <w:numId w:val="11"/>
        </w:numPr>
        <w:autoSpaceDE w:val="0"/>
        <w:autoSpaceDN w:val="0"/>
        <w:adjustRightInd w:val="0"/>
        <w:spacing w:after="0" w:line="240" w:lineRule="auto"/>
        <w:jc w:val="both"/>
      </w:pPr>
      <w:r>
        <w:t>Du</w:t>
      </w:r>
      <w:r w:rsidR="00A952E4">
        <w:t xml:space="preserve"> </w:t>
      </w:r>
      <w:r>
        <w:t>second semestre (période de juillet</w:t>
      </w:r>
      <w:r w:rsidR="003F09C4">
        <w:t xml:space="preserve"> à décembre) du 1</w:t>
      </w:r>
      <w:r w:rsidR="003F09C4" w:rsidRPr="003F09C4">
        <w:rPr>
          <w:vertAlign w:val="superscript"/>
        </w:rPr>
        <w:t>er</w:t>
      </w:r>
      <w:r w:rsidR="003F09C4">
        <w:t xml:space="preserve"> jour ouvrable de février au dernier jour ouvrable de mars.</w:t>
      </w:r>
    </w:p>
    <w:p w14:paraId="7A6287C7" w14:textId="77777777" w:rsidR="00BF04E8" w:rsidRDefault="00BF04E8" w:rsidP="00BF04E8">
      <w:pPr>
        <w:pStyle w:val="Paragraphedeliste"/>
        <w:autoSpaceDE w:val="0"/>
        <w:autoSpaceDN w:val="0"/>
        <w:adjustRightInd w:val="0"/>
        <w:spacing w:after="0" w:line="240" w:lineRule="auto"/>
        <w:jc w:val="both"/>
      </w:pPr>
    </w:p>
    <w:p w14:paraId="14F00851" w14:textId="61091B54" w:rsidR="00F346F0" w:rsidRPr="00A675AF" w:rsidRDefault="003F09C4" w:rsidP="003F09C4">
      <w:pPr>
        <w:autoSpaceDE w:val="0"/>
        <w:autoSpaceDN w:val="0"/>
        <w:adjustRightInd w:val="0"/>
        <w:spacing w:after="0" w:line="240" w:lineRule="auto"/>
        <w:jc w:val="both"/>
      </w:pPr>
      <w:r>
        <w:t>L</w:t>
      </w:r>
      <w:r w:rsidR="001F72C7" w:rsidRPr="00A675AF">
        <w:t xml:space="preserve">es établissements </w:t>
      </w:r>
      <w:r w:rsidR="000C7FBC" w:rsidRPr="00A675AF">
        <w:t>d</w:t>
      </w:r>
      <w:r w:rsidR="001F72C7" w:rsidRPr="00A675AF">
        <w:t>éclarants sont informés de</w:t>
      </w:r>
      <w:r>
        <w:t>s périodes des collectes</w:t>
      </w:r>
      <w:r w:rsidR="001F72C7" w:rsidRPr="00A675AF">
        <w:t xml:space="preserve"> </w:t>
      </w:r>
      <w:r>
        <w:t xml:space="preserve">chaque début d’année </w:t>
      </w:r>
      <w:r w:rsidR="001F72C7" w:rsidRPr="00A675AF">
        <w:t>par la Banque de France.</w:t>
      </w:r>
    </w:p>
    <w:p w14:paraId="626ED822" w14:textId="51666F0F" w:rsidR="00C8551C" w:rsidRPr="00A675AF" w:rsidRDefault="00C8551C" w:rsidP="00F346F0">
      <w:pPr>
        <w:autoSpaceDE w:val="0"/>
        <w:autoSpaceDN w:val="0"/>
        <w:adjustRightInd w:val="0"/>
        <w:spacing w:after="0" w:line="240" w:lineRule="auto"/>
        <w:jc w:val="both"/>
      </w:pPr>
    </w:p>
    <w:p w14:paraId="61BF8311" w14:textId="6379366F" w:rsidR="00C8551C" w:rsidRPr="00A675AF" w:rsidRDefault="007578FE" w:rsidP="00F346F0">
      <w:pPr>
        <w:autoSpaceDE w:val="0"/>
        <w:autoSpaceDN w:val="0"/>
        <w:adjustRightInd w:val="0"/>
        <w:spacing w:after="0" w:line="240" w:lineRule="auto"/>
        <w:jc w:val="both"/>
      </w:pPr>
      <w:r>
        <w:rPr>
          <w:rFonts w:cstheme="minorHAnsi"/>
        </w:rPr>
        <w:t>La déclaration</w:t>
      </w:r>
      <w:r w:rsidR="00C8551C" w:rsidRPr="00A675AF">
        <w:t xml:space="preserve"> s’effectue au travers du portail ONEGATE – OSCAMPS (portail de </w:t>
      </w:r>
      <w:r w:rsidR="00D00626">
        <w:t xml:space="preserve">déclaration </w:t>
      </w:r>
      <w:r w:rsidR="00C8551C" w:rsidRPr="00A675AF">
        <w:t>de la Banque de France</w:t>
      </w:r>
      <w:r w:rsidR="00C8551C" w:rsidRPr="0016297D">
        <w:rPr>
          <w:rFonts w:cstheme="minorHAnsi"/>
        </w:rPr>
        <w:t>)</w:t>
      </w:r>
      <w:r>
        <w:rPr>
          <w:rFonts w:cstheme="minorHAnsi"/>
        </w:rPr>
        <w:t xml:space="preserve"> dont l</w:t>
      </w:r>
      <w:r w:rsidR="00C8551C" w:rsidRPr="0016297D">
        <w:rPr>
          <w:rFonts w:cstheme="minorHAnsi"/>
        </w:rPr>
        <w:t>es</w:t>
      </w:r>
      <w:r w:rsidR="00C8551C" w:rsidRPr="00A675AF">
        <w:t xml:space="preserve"> modalités d’accès sont </w:t>
      </w:r>
      <w:r>
        <w:rPr>
          <w:rFonts w:cstheme="minorHAnsi"/>
        </w:rPr>
        <w:t>précisées</w:t>
      </w:r>
      <w:r w:rsidR="00C8551C" w:rsidRPr="00A675AF">
        <w:t xml:space="preserve"> dans le </w:t>
      </w:r>
      <w:r w:rsidR="00DC6CFB" w:rsidRPr="00A675AF">
        <w:t>manuel</w:t>
      </w:r>
      <w:r w:rsidR="00C8551C" w:rsidRPr="00A675AF">
        <w:t xml:space="preserve"> utilisateur</w:t>
      </w:r>
      <w:r w:rsidR="00DC6CFB" w:rsidRPr="00A675AF">
        <w:t xml:space="preserve"> externe</w:t>
      </w:r>
      <w:r w:rsidR="00C8551C" w:rsidRPr="00A675AF">
        <w:t xml:space="preserve"> ONEGATE</w:t>
      </w:r>
      <w:r w:rsidR="000C7FBC" w:rsidRPr="00A675AF">
        <w:t xml:space="preserve"> </w:t>
      </w:r>
      <w:r>
        <w:rPr>
          <w:rFonts w:cstheme="minorHAnsi"/>
        </w:rPr>
        <w:t xml:space="preserve">disponible sur le site internet de la Banque de France </w:t>
      </w:r>
      <w:r w:rsidR="000C7FBC" w:rsidRPr="00A675AF">
        <w:t>(</w:t>
      </w:r>
      <w:r w:rsidR="00DC6CFB" w:rsidRPr="00DC6CFB">
        <w:t>www.banque-france.fr, rubrique OSCAMPS</w:t>
      </w:r>
      <w:r w:rsidR="000C7FBC" w:rsidRPr="00A675AF">
        <w:t>)</w:t>
      </w:r>
      <w:r w:rsidR="00C8551C" w:rsidRPr="00A675AF">
        <w:t>.</w:t>
      </w:r>
    </w:p>
    <w:p w14:paraId="64964D9D" w14:textId="752C5CF1" w:rsidR="00C8551C" w:rsidRPr="00A675AF" w:rsidRDefault="00C8551C" w:rsidP="00F346F0">
      <w:pPr>
        <w:autoSpaceDE w:val="0"/>
        <w:autoSpaceDN w:val="0"/>
        <w:adjustRightInd w:val="0"/>
        <w:spacing w:after="0" w:line="240" w:lineRule="auto"/>
        <w:jc w:val="both"/>
      </w:pPr>
    </w:p>
    <w:p w14:paraId="41F692BF" w14:textId="4EFBF4D2" w:rsidR="00C8551C" w:rsidRPr="00A675AF" w:rsidRDefault="00C8551C" w:rsidP="00F346F0">
      <w:pPr>
        <w:autoSpaceDE w:val="0"/>
        <w:autoSpaceDN w:val="0"/>
        <w:adjustRightInd w:val="0"/>
        <w:spacing w:after="0" w:line="240" w:lineRule="auto"/>
        <w:jc w:val="both"/>
      </w:pPr>
      <w:r w:rsidRPr="00A675AF">
        <w:t xml:space="preserve">Un </w:t>
      </w:r>
      <w:r w:rsidR="007578FE">
        <w:rPr>
          <w:rFonts w:cstheme="minorHAnsi"/>
        </w:rPr>
        <w:t>contrat d’interface remettant, également</w:t>
      </w:r>
      <w:r w:rsidR="00DC6CFB" w:rsidRPr="00A675AF">
        <w:t xml:space="preserve"> disponible sur le site </w:t>
      </w:r>
      <w:r w:rsidR="007578FE">
        <w:rPr>
          <w:rFonts w:cstheme="minorHAnsi"/>
        </w:rPr>
        <w:t xml:space="preserve">internet </w:t>
      </w:r>
      <w:r w:rsidR="00DC6CFB" w:rsidRPr="00A675AF">
        <w:t>de la Banque de France</w:t>
      </w:r>
      <w:r w:rsidR="007578FE">
        <w:rPr>
          <w:rFonts w:cstheme="minorHAnsi"/>
        </w:rPr>
        <w:t>,</w:t>
      </w:r>
      <w:r w:rsidR="00DC6CFB" w:rsidRPr="00A675AF">
        <w:t xml:space="preserve"> </w:t>
      </w:r>
      <w:r w:rsidRPr="00A675AF">
        <w:t>complète le présent guide de remplissage.</w:t>
      </w:r>
    </w:p>
    <w:p w14:paraId="79312DB5" w14:textId="6EB35F1A" w:rsidR="00C8551C" w:rsidRDefault="00C8551C" w:rsidP="00F346F0">
      <w:pPr>
        <w:autoSpaceDE w:val="0"/>
        <w:autoSpaceDN w:val="0"/>
        <w:adjustRightInd w:val="0"/>
        <w:spacing w:after="0" w:line="240" w:lineRule="auto"/>
        <w:jc w:val="both"/>
        <w:rPr>
          <w:rFonts w:cstheme="minorHAnsi"/>
          <w:sz w:val="24"/>
          <w:szCs w:val="24"/>
        </w:rPr>
      </w:pPr>
    </w:p>
    <w:p w14:paraId="319D1460" w14:textId="77777777" w:rsidR="007B3D6D" w:rsidRDefault="00C8551C" w:rsidP="007B3D6D">
      <w:pPr>
        <w:autoSpaceDE w:val="0"/>
        <w:autoSpaceDN w:val="0"/>
        <w:adjustRightInd w:val="0"/>
        <w:spacing w:after="0" w:line="240" w:lineRule="auto"/>
        <w:jc w:val="both"/>
        <w:rPr>
          <w:b/>
        </w:rPr>
      </w:pPr>
      <w:r w:rsidRPr="00A675AF">
        <w:rPr>
          <w:b/>
        </w:rPr>
        <w:t>Pour toute information, vous pouvez contacter le</w:t>
      </w:r>
      <w:r w:rsidR="00D00626">
        <w:rPr>
          <w:b/>
        </w:rPr>
        <w:t>s</w:t>
      </w:r>
      <w:r w:rsidRPr="00A675AF">
        <w:rPr>
          <w:b/>
        </w:rPr>
        <w:t xml:space="preserve"> service</w:t>
      </w:r>
      <w:r w:rsidR="00D00626">
        <w:rPr>
          <w:b/>
        </w:rPr>
        <w:t xml:space="preserve">s de </w:t>
      </w:r>
      <w:r w:rsidRPr="00A675AF">
        <w:rPr>
          <w:b/>
        </w:rPr>
        <w:t xml:space="preserve">la Banque de France </w:t>
      </w:r>
      <w:r w:rsidR="00C71672">
        <w:rPr>
          <w:b/>
        </w:rPr>
        <w:t>à partir des</w:t>
      </w:r>
      <w:r w:rsidRPr="00A675AF">
        <w:rPr>
          <w:b/>
        </w:rPr>
        <w:t xml:space="preserve"> coordonnées suivantes :</w:t>
      </w:r>
    </w:p>
    <w:p w14:paraId="06213BF3" w14:textId="77777777" w:rsidR="007B3D6D" w:rsidRDefault="007B3D6D" w:rsidP="007B3D6D">
      <w:pPr>
        <w:autoSpaceDE w:val="0"/>
        <w:autoSpaceDN w:val="0"/>
        <w:adjustRightInd w:val="0"/>
        <w:spacing w:after="0" w:line="240" w:lineRule="auto"/>
        <w:jc w:val="both"/>
        <w:rPr>
          <w:b/>
        </w:rPr>
      </w:pPr>
    </w:p>
    <w:p w14:paraId="0B9C4D93" w14:textId="77777777" w:rsidR="007B3D6D" w:rsidRDefault="007B3D6D" w:rsidP="007B3D6D">
      <w:pPr>
        <w:pStyle w:val="Paragraphedeliste"/>
        <w:numPr>
          <w:ilvl w:val="0"/>
          <w:numId w:val="37"/>
        </w:numPr>
        <w:spacing w:after="0" w:line="240" w:lineRule="auto"/>
        <w:jc w:val="both"/>
        <w:rPr>
          <w:rFonts w:cstheme="minorHAnsi"/>
        </w:rPr>
      </w:pPr>
      <w:hyperlink r:id="rId22" w:history="1">
        <w:r>
          <w:rPr>
            <w:rStyle w:val="Lienhypertexte"/>
            <w:rFonts w:cstheme="minorHAnsi"/>
          </w:rPr>
          <w:t>Support-ONEGATE@banque-france.fr</w:t>
        </w:r>
      </w:hyperlink>
      <w:r>
        <w:rPr>
          <w:rFonts w:cstheme="minorHAnsi"/>
        </w:rPr>
        <w:t>, pour les questions relatives au portail de déclaration ;</w:t>
      </w:r>
    </w:p>
    <w:p w14:paraId="0658A725" w14:textId="3CF99D50" w:rsidR="007B3D6D" w:rsidRDefault="007B3D6D" w:rsidP="007B3D6D">
      <w:pPr>
        <w:pStyle w:val="Paragraphedeliste"/>
        <w:numPr>
          <w:ilvl w:val="0"/>
          <w:numId w:val="37"/>
        </w:numPr>
        <w:spacing w:after="0" w:line="240" w:lineRule="auto"/>
        <w:jc w:val="both"/>
        <w:rPr>
          <w:rFonts w:cstheme="minorHAnsi"/>
        </w:rPr>
      </w:pPr>
      <w:hyperlink r:id="rId23" w:history="1">
        <w:r>
          <w:rPr>
            <w:rStyle w:val="Lienhypertexte"/>
            <w:rFonts w:cstheme="minorHAnsi"/>
          </w:rPr>
          <w:t>collectes-BCE-paiements@banque-france.fr</w:t>
        </w:r>
      </w:hyperlink>
      <w:r>
        <w:rPr>
          <w:rFonts w:cstheme="minorHAnsi"/>
        </w:rPr>
        <w:t xml:space="preserve">, guichet de la Banque de France pour toute question portant sur le contrat d’interface de la collecte, </w:t>
      </w:r>
      <w:r>
        <w:t xml:space="preserve">sur la gestion opérationnelle de la collecte ou </w:t>
      </w:r>
      <w:r>
        <w:rPr>
          <w:rFonts w:cstheme="minorHAnsi"/>
        </w:rPr>
        <w:t>sur la méthodologie pour lesquelles le guide de remplissage n’apporte pas de réponse.</w:t>
      </w:r>
    </w:p>
    <w:p w14:paraId="731DE171" w14:textId="76110607" w:rsidR="00D00626" w:rsidRDefault="007B3D6D" w:rsidP="007B3D6D">
      <w:pPr>
        <w:autoSpaceDE w:val="0"/>
        <w:autoSpaceDN w:val="0"/>
        <w:adjustRightInd w:val="0"/>
        <w:spacing w:after="0" w:line="240" w:lineRule="auto"/>
        <w:jc w:val="both"/>
      </w:pPr>
      <w:r>
        <w:t xml:space="preserve"> </w:t>
      </w:r>
    </w:p>
    <w:p w14:paraId="7A023283" w14:textId="77777777" w:rsidR="00D00626" w:rsidRDefault="00D00626">
      <w:pPr>
        <w:rPr>
          <w:rFonts w:eastAsiaTheme="majorEastAsia" w:cstheme="majorBidi"/>
          <w:b/>
          <w:caps/>
          <w:sz w:val="36"/>
          <w:szCs w:val="32"/>
        </w:rPr>
      </w:pPr>
      <w:r>
        <w:br w:type="page"/>
      </w:r>
    </w:p>
    <w:p w14:paraId="248692ED" w14:textId="664EABB3" w:rsidR="00771FCF" w:rsidRPr="00D00626" w:rsidRDefault="00771FCF" w:rsidP="00D00626">
      <w:pPr>
        <w:pStyle w:val="Titre1"/>
      </w:pPr>
      <w:bookmarkStart w:id="11" w:name="_Toc222476853"/>
      <w:r w:rsidRPr="00D00626">
        <w:lastRenderedPageBreak/>
        <w:t>Structure et contenu du questionnaire</w:t>
      </w:r>
      <w:bookmarkEnd w:id="11"/>
    </w:p>
    <w:p w14:paraId="3807C761" w14:textId="76F17516" w:rsidR="007718A3" w:rsidRDefault="00777E5C" w:rsidP="007718A3">
      <w:pPr>
        <w:pStyle w:val="Titre2"/>
        <w:numPr>
          <w:ilvl w:val="1"/>
          <w:numId w:val="19"/>
        </w:numPr>
      </w:pPr>
      <w:bookmarkStart w:id="12" w:name="_Toc222476854"/>
      <w:r w:rsidRPr="0096058A">
        <w:t>C</w:t>
      </w:r>
      <w:r w:rsidR="007718A3">
        <w:t>OMPTES</w:t>
      </w:r>
      <w:bookmarkEnd w:id="12"/>
    </w:p>
    <w:p w14:paraId="4EC1EE74" w14:textId="77777777" w:rsidR="007718A3" w:rsidRDefault="007718A3" w:rsidP="007718A3"/>
    <w:p w14:paraId="59F797A5" w14:textId="47103B17" w:rsidR="007718A3" w:rsidRDefault="007718A3" w:rsidP="007718A3">
      <w:pPr>
        <w:pStyle w:val="Titre3"/>
        <w:numPr>
          <w:ilvl w:val="2"/>
          <w:numId w:val="38"/>
        </w:numPr>
      </w:pPr>
      <w:bookmarkStart w:id="13" w:name="_Toc222476855"/>
      <w:r w:rsidRPr="007718A3">
        <w:t>Dénombrement des comptes</w:t>
      </w:r>
      <w:bookmarkEnd w:id="13"/>
    </w:p>
    <w:p w14:paraId="20E2A5A8" w14:textId="77777777" w:rsidR="003A73CA" w:rsidRDefault="003A73CA" w:rsidP="003A73CA"/>
    <w:p w14:paraId="15B4C7D9" w14:textId="60AE2701" w:rsidR="00DC380E" w:rsidRDefault="00DC380E" w:rsidP="003A73CA">
      <w:pPr>
        <w:autoSpaceDE w:val="0"/>
        <w:autoSpaceDN w:val="0"/>
        <w:adjustRightInd w:val="0"/>
        <w:spacing w:after="0" w:line="240" w:lineRule="auto"/>
        <w:jc w:val="both"/>
        <w:rPr>
          <w:rFonts w:cstheme="minorHAnsi"/>
        </w:rPr>
      </w:pPr>
      <w:r>
        <w:rPr>
          <w:rFonts w:cstheme="minorHAnsi"/>
        </w:rPr>
        <w:t xml:space="preserve">Il s’agit de dénombrer le nombre de comptes actifs inscrit dans les livres de l’établissement au dernier jour ouvrable de la période de déclaration. </w:t>
      </w:r>
    </w:p>
    <w:p w14:paraId="002E7A74" w14:textId="77777777" w:rsidR="00AB1B47" w:rsidRPr="00F527A2" w:rsidRDefault="00AB1B47" w:rsidP="003A73CA">
      <w:pPr>
        <w:autoSpaceDE w:val="0"/>
        <w:autoSpaceDN w:val="0"/>
        <w:adjustRightInd w:val="0"/>
        <w:spacing w:after="0" w:line="240" w:lineRule="auto"/>
        <w:jc w:val="both"/>
        <w:rPr>
          <w:rFonts w:cstheme="minorHAnsi"/>
        </w:rPr>
      </w:pPr>
    </w:p>
    <w:tbl>
      <w:tblPr>
        <w:tblW w:w="8969" w:type="dxa"/>
        <w:tblInd w:w="-38" w:type="dxa"/>
        <w:tblLayout w:type="fixed"/>
        <w:tblCellMar>
          <w:left w:w="30" w:type="dxa"/>
          <w:right w:w="30" w:type="dxa"/>
        </w:tblCellMar>
        <w:tblLook w:val="0000" w:firstRow="0" w:lastRow="0" w:firstColumn="0" w:lastColumn="0" w:noHBand="0" w:noVBand="0"/>
      </w:tblPr>
      <w:tblGrid>
        <w:gridCol w:w="322"/>
        <w:gridCol w:w="3024"/>
        <w:gridCol w:w="4205"/>
        <w:gridCol w:w="709"/>
        <w:gridCol w:w="709"/>
      </w:tblGrid>
      <w:tr w:rsidR="000361D9" w:rsidRPr="003538A2" w14:paraId="527A0F20" w14:textId="77777777" w:rsidTr="00F67208">
        <w:trPr>
          <w:trHeight w:val="366"/>
        </w:trPr>
        <w:tc>
          <w:tcPr>
            <w:tcW w:w="7551" w:type="dxa"/>
            <w:gridSpan w:val="3"/>
            <w:tcBorders>
              <w:top w:val="single" w:sz="18" w:space="0" w:color="5B9BD5" w:themeColor="accent1"/>
              <w:bottom w:val="single" w:sz="18" w:space="0" w:color="5B9BD5" w:themeColor="accent1"/>
              <w:right w:val="single" w:sz="6" w:space="0" w:color="3366FF"/>
            </w:tcBorders>
            <w:shd w:val="solid" w:color="FFFFFF" w:fill="000000"/>
          </w:tcPr>
          <w:p w14:paraId="20A322D8" w14:textId="77777777" w:rsidR="000361D9" w:rsidRPr="00095DC9" w:rsidRDefault="000361D9" w:rsidP="006A54B8">
            <w:pPr>
              <w:jc w:val="both"/>
              <w:rPr>
                <w:rFonts w:ascii="Calibri" w:hAnsi="Calibri"/>
                <w:b/>
                <w:sz w:val="14"/>
              </w:rPr>
            </w:pPr>
            <w:bookmarkStart w:id="14" w:name="_Hlk222476783"/>
          </w:p>
        </w:tc>
        <w:tc>
          <w:tcPr>
            <w:tcW w:w="70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2D7C8C64" w14:textId="77777777" w:rsidR="000361D9" w:rsidRPr="00095DC9" w:rsidRDefault="000361D9" w:rsidP="006A54B8">
            <w:pPr>
              <w:jc w:val="center"/>
              <w:rPr>
                <w:rFonts w:ascii="Calibri" w:hAnsi="Calibri"/>
                <w:b/>
                <w:sz w:val="14"/>
              </w:rPr>
            </w:pPr>
            <w:r>
              <w:rPr>
                <w:rFonts w:cstheme="minorHAnsi"/>
                <w:b/>
                <w:bCs/>
                <w:sz w:val="14"/>
                <w:szCs w:val="18"/>
              </w:rPr>
              <w:t>Volume en unités</w:t>
            </w:r>
          </w:p>
        </w:tc>
        <w:tc>
          <w:tcPr>
            <w:tcW w:w="709" w:type="dxa"/>
            <w:tcBorders>
              <w:top w:val="single" w:sz="18" w:space="0" w:color="5B9BD5" w:themeColor="accent1"/>
              <w:left w:val="single" w:sz="2" w:space="0" w:color="5B9BD5" w:themeColor="accent1"/>
              <w:bottom w:val="single" w:sz="18" w:space="0" w:color="5B9BD5" w:themeColor="accent1"/>
            </w:tcBorders>
            <w:shd w:val="solid" w:color="FFFFFF" w:fill="000000"/>
          </w:tcPr>
          <w:p w14:paraId="1E229C97" w14:textId="77777777" w:rsidR="000361D9" w:rsidRDefault="000361D9" w:rsidP="006A54B8">
            <w:pPr>
              <w:autoSpaceDE w:val="0"/>
              <w:autoSpaceDN w:val="0"/>
              <w:adjustRightInd w:val="0"/>
              <w:spacing w:after="0" w:line="240" w:lineRule="auto"/>
              <w:jc w:val="center"/>
              <w:rPr>
                <w:rFonts w:cstheme="minorHAnsi"/>
                <w:b/>
                <w:bCs/>
                <w:sz w:val="14"/>
                <w:szCs w:val="18"/>
              </w:rPr>
            </w:pPr>
            <w:r>
              <w:rPr>
                <w:rFonts w:cstheme="minorHAnsi"/>
                <w:b/>
                <w:bCs/>
                <w:sz w:val="14"/>
                <w:szCs w:val="18"/>
              </w:rPr>
              <w:t>Valeur en</w:t>
            </w:r>
          </w:p>
          <w:p w14:paraId="30DE128A" w14:textId="77777777" w:rsidR="000361D9" w:rsidRPr="00095DC9" w:rsidRDefault="000361D9" w:rsidP="006A54B8">
            <w:pPr>
              <w:jc w:val="center"/>
              <w:rPr>
                <w:rFonts w:ascii="Calibri" w:hAnsi="Calibri"/>
                <w:b/>
                <w:sz w:val="14"/>
              </w:rPr>
            </w:pPr>
            <w:proofErr w:type="gramStart"/>
            <w:r>
              <w:rPr>
                <w:rFonts w:cstheme="minorHAnsi"/>
                <w:b/>
                <w:bCs/>
                <w:sz w:val="14"/>
                <w:szCs w:val="18"/>
              </w:rPr>
              <w:t>euros</w:t>
            </w:r>
            <w:proofErr w:type="gramEnd"/>
          </w:p>
        </w:tc>
      </w:tr>
      <w:tr w:rsidR="000361D9" w:rsidRPr="003538A2" w14:paraId="0EA18615" w14:textId="77777777" w:rsidTr="00AB4C99">
        <w:trPr>
          <w:trHeight w:val="374"/>
        </w:trPr>
        <w:tc>
          <w:tcPr>
            <w:tcW w:w="3346" w:type="dxa"/>
            <w:gridSpan w:val="2"/>
            <w:tcBorders>
              <w:top w:val="single" w:sz="18" w:space="0" w:color="5B9BD5" w:themeColor="accent1"/>
              <w:bottom w:val="single" w:sz="2" w:space="0" w:color="5B9BD5" w:themeColor="accent1"/>
              <w:right w:val="single" w:sz="6" w:space="0" w:color="5B9BD5" w:themeColor="accent1"/>
            </w:tcBorders>
            <w:shd w:val="solid" w:color="FFFFFF" w:themeColor="background1" w:fill="D0CECE" w:themeFill="background2" w:themeFillShade="E6"/>
            <w:vAlign w:val="center"/>
          </w:tcPr>
          <w:p w14:paraId="2FA3140B" w14:textId="1BE7B2A9" w:rsidR="000361D9" w:rsidRPr="000361D9" w:rsidRDefault="000361D9" w:rsidP="006A54B8">
            <w:pPr>
              <w:autoSpaceDE w:val="0"/>
              <w:autoSpaceDN w:val="0"/>
              <w:adjustRightInd w:val="0"/>
              <w:spacing w:after="0" w:line="240" w:lineRule="auto"/>
              <w:rPr>
                <w:rFonts w:cstheme="minorHAnsi"/>
                <w:b/>
                <w:bCs/>
                <w:sz w:val="14"/>
                <w:szCs w:val="14"/>
              </w:rPr>
            </w:pPr>
            <w:r w:rsidRPr="000361D9">
              <w:rPr>
                <w:rFonts w:cstheme="minorHAnsi"/>
                <w:b/>
                <w:bCs/>
                <w:sz w:val="14"/>
                <w:szCs w:val="14"/>
              </w:rPr>
              <w:t xml:space="preserve">Nombre </w:t>
            </w:r>
            <w:r w:rsidR="00A74EFA">
              <w:rPr>
                <w:rFonts w:cstheme="minorHAnsi"/>
                <w:b/>
                <w:bCs/>
                <w:sz w:val="14"/>
                <w:szCs w:val="14"/>
              </w:rPr>
              <w:t xml:space="preserve">total </w:t>
            </w:r>
            <w:r w:rsidRPr="000361D9">
              <w:rPr>
                <w:rFonts w:cstheme="minorHAnsi"/>
                <w:b/>
                <w:bCs/>
                <w:sz w:val="14"/>
                <w:szCs w:val="14"/>
              </w:rPr>
              <w:t>de comptes détenus par l’établissement</w:t>
            </w:r>
          </w:p>
        </w:tc>
        <w:tc>
          <w:tcPr>
            <w:tcW w:w="4205" w:type="dxa"/>
            <w:tcBorders>
              <w:top w:val="single" w:sz="18" w:space="0" w:color="5B9BD5" w:themeColor="accent1"/>
              <w:left w:val="single" w:sz="6" w:space="0" w:color="5B9BD5" w:themeColor="accent1"/>
              <w:bottom w:val="single" w:sz="2" w:space="0" w:color="5B9BD5" w:themeColor="accent1"/>
              <w:right w:val="single" w:sz="6" w:space="0" w:color="5B9BD5" w:themeColor="accent1"/>
            </w:tcBorders>
            <w:shd w:val="solid" w:color="FFFFFF" w:themeColor="background1" w:fill="D0CECE" w:themeFill="background2" w:themeFillShade="E6"/>
            <w:vAlign w:val="center"/>
          </w:tcPr>
          <w:p w14:paraId="1E44C689" w14:textId="77777777" w:rsidR="000361D9" w:rsidRPr="000361D9" w:rsidRDefault="000361D9" w:rsidP="00AB4C99">
            <w:pPr>
              <w:autoSpaceDE w:val="0"/>
              <w:autoSpaceDN w:val="0"/>
              <w:adjustRightInd w:val="0"/>
              <w:spacing w:after="0" w:line="240" w:lineRule="auto"/>
              <w:rPr>
                <w:rFonts w:ascii="Calibri" w:hAnsi="Calibri"/>
                <w:bCs/>
                <w:sz w:val="14"/>
                <w:szCs w:val="14"/>
              </w:rPr>
            </w:pPr>
            <w:r w:rsidRPr="00AB4C99">
              <w:rPr>
                <w:rFonts w:cstheme="minorHAnsi"/>
                <w:b/>
                <w:bCs/>
                <w:sz w:val="14"/>
                <w:szCs w:val="14"/>
              </w:rPr>
              <w:t>Total des comptes de dépôt à vue, des comptes de paiement et des comptes de monnaie électronique détenus par l’établissement.</w:t>
            </w:r>
          </w:p>
        </w:tc>
        <w:tc>
          <w:tcPr>
            <w:tcW w:w="709" w:type="dxa"/>
            <w:tcBorders>
              <w:top w:val="single" w:sz="6" w:space="0" w:color="3366FF"/>
              <w:left w:val="single" w:sz="6" w:space="0" w:color="5B9BD5" w:themeColor="accent1"/>
              <w:bottom w:val="single" w:sz="6" w:space="0" w:color="5B9BD5" w:themeColor="accent1"/>
              <w:right w:val="single" w:sz="6" w:space="0" w:color="5B9BD5" w:themeColor="accent1"/>
            </w:tcBorders>
            <w:shd w:val="solid" w:color="FFFFFF" w:fill="000000"/>
          </w:tcPr>
          <w:p w14:paraId="4F8135C2" w14:textId="77777777" w:rsidR="000361D9" w:rsidRPr="00095DC9" w:rsidRDefault="000361D9" w:rsidP="006A54B8">
            <w:pPr>
              <w:jc w:val="both"/>
              <w:rPr>
                <w:rFonts w:ascii="Calibri" w:hAnsi="Calibri"/>
                <w:b/>
                <w:sz w:val="14"/>
              </w:rPr>
            </w:pPr>
          </w:p>
        </w:tc>
        <w:tc>
          <w:tcPr>
            <w:tcW w:w="709" w:type="dxa"/>
            <w:tcBorders>
              <w:top w:val="single" w:sz="6" w:space="0" w:color="3366FF"/>
              <w:left w:val="single" w:sz="6" w:space="0" w:color="5B9BD5" w:themeColor="accent1"/>
              <w:bottom w:val="single" w:sz="6" w:space="0" w:color="5B9BD5" w:themeColor="accent1"/>
            </w:tcBorders>
            <w:shd w:val="clear" w:color="auto" w:fill="A6A6A6" w:themeFill="background1" w:themeFillShade="A6"/>
          </w:tcPr>
          <w:p w14:paraId="2AF831F6" w14:textId="77777777" w:rsidR="000361D9" w:rsidRPr="00095DC9" w:rsidRDefault="000361D9" w:rsidP="006A54B8">
            <w:pPr>
              <w:jc w:val="both"/>
              <w:rPr>
                <w:rFonts w:ascii="Calibri" w:hAnsi="Calibri"/>
                <w:b/>
                <w:sz w:val="14"/>
              </w:rPr>
            </w:pPr>
          </w:p>
        </w:tc>
      </w:tr>
      <w:tr w:rsidR="00F67208" w:rsidRPr="003538A2" w14:paraId="49063D94" w14:textId="77777777" w:rsidTr="00F67208">
        <w:trPr>
          <w:trHeight w:val="548"/>
        </w:trPr>
        <w:tc>
          <w:tcPr>
            <w:tcW w:w="322" w:type="dxa"/>
            <w:tcBorders>
              <w:top w:val="single" w:sz="2" w:space="0" w:color="5B9BD5" w:themeColor="accent1"/>
              <w:left w:val="single" w:sz="2" w:space="0" w:color="5B9BD5" w:themeColor="accent1"/>
              <w:bottom w:val="single" w:sz="2" w:space="0" w:color="5B9BD5" w:themeColor="accent1"/>
              <w:right w:val="single" w:sz="6" w:space="0" w:color="5B9BD5" w:themeColor="accent1"/>
            </w:tcBorders>
            <w:shd w:val="solid" w:color="FFFFFF" w:themeColor="background1" w:fill="D0CECE" w:themeFill="background2" w:themeFillShade="E6"/>
            <w:vAlign w:val="center"/>
          </w:tcPr>
          <w:p w14:paraId="65A193B1" w14:textId="77777777" w:rsidR="000361D9" w:rsidRPr="0044236A" w:rsidRDefault="000361D9" w:rsidP="006A54B8">
            <w:pPr>
              <w:autoSpaceDE w:val="0"/>
              <w:autoSpaceDN w:val="0"/>
              <w:adjustRightInd w:val="0"/>
              <w:spacing w:after="0" w:line="240" w:lineRule="auto"/>
              <w:rPr>
                <w:rFonts w:cstheme="minorHAnsi"/>
                <w:b/>
                <w:bCs/>
                <w:sz w:val="16"/>
                <w:szCs w:val="16"/>
              </w:rPr>
            </w:pPr>
          </w:p>
        </w:tc>
        <w:tc>
          <w:tcPr>
            <w:tcW w:w="3024" w:type="dxa"/>
            <w:tcBorders>
              <w:top w:val="single" w:sz="2" w:space="0" w:color="5B9BD5" w:themeColor="accent1"/>
              <w:left w:val="single" w:sz="6" w:space="0" w:color="5B9BD5" w:themeColor="accent1"/>
              <w:bottom w:val="single" w:sz="2" w:space="0" w:color="5B9BD5" w:themeColor="accent1"/>
              <w:right w:val="single" w:sz="6" w:space="0" w:color="5B9BD5" w:themeColor="accent1"/>
            </w:tcBorders>
            <w:shd w:val="solid" w:color="FFFFFF" w:themeColor="background1" w:fill="D0CECE" w:themeFill="background2" w:themeFillShade="E6"/>
            <w:vAlign w:val="center"/>
          </w:tcPr>
          <w:p w14:paraId="02ABD2C2" w14:textId="0391BBE4" w:rsidR="000361D9" w:rsidRPr="000361D9" w:rsidRDefault="000361D9" w:rsidP="006A54B8">
            <w:pPr>
              <w:autoSpaceDE w:val="0"/>
              <w:autoSpaceDN w:val="0"/>
              <w:adjustRightInd w:val="0"/>
              <w:spacing w:after="0" w:line="240" w:lineRule="auto"/>
              <w:rPr>
                <w:rFonts w:cstheme="minorHAnsi"/>
                <w:sz w:val="14"/>
                <w:szCs w:val="14"/>
              </w:rPr>
            </w:pPr>
            <w:r>
              <w:rPr>
                <w:rFonts w:cstheme="minorHAnsi"/>
                <w:sz w:val="14"/>
                <w:szCs w:val="14"/>
              </w:rPr>
              <w:t xml:space="preserve">Dont </w:t>
            </w:r>
            <w:r w:rsidRPr="000361D9">
              <w:rPr>
                <w:rFonts w:cstheme="minorHAnsi"/>
                <w:sz w:val="14"/>
                <w:szCs w:val="14"/>
              </w:rPr>
              <w:t>Nombre de comptes de dépôt à vue</w:t>
            </w:r>
          </w:p>
        </w:tc>
        <w:tc>
          <w:tcPr>
            <w:tcW w:w="4205" w:type="dxa"/>
            <w:tcBorders>
              <w:top w:val="single" w:sz="2" w:space="0" w:color="5B9BD5" w:themeColor="accent1"/>
              <w:left w:val="single" w:sz="6" w:space="0" w:color="5B9BD5" w:themeColor="accent1"/>
              <w:bottom w:val="single" w:sz="2" w:space="0" w:color="5B9BD5" w:themeColor="accent1"/>
              <w:right w:val="single" w:sz="6" w:space="0" w:color="5B9BD5" w:themeColor="accent1"/>
            </w:tcBorders>
            <w:shd w:val="solid" w:color="FFFFFF" w:themeColor="background1" w:fill="D0CECE" w:themeFill="background2" w:themeFillShade="E6"/>
            <w:vAlign w:val="center"/>
          </w:tcPr>
          <w:p w14:paraId="14C10DB5" w14:textId="7BBB83AB" w:rsidR="000361D9" w:rsidRPr="00AB4C99" w:rsidRDefault="00A74EFA" w:rsidP="00AB4C99">
            <w:pPr>
              <w:autoSpaceDE w:val="0"/>
              <w:autoSpaceDN w:val="0"/>
              <w:adjustRightInd w:val="0"/>
              <w:spacing w:after="0" w:line="240" w:lineRule="auto"/>
              <w:rPr>
                <w:rFonts w:cstheme="minorHAnsi"/>
                <w:sz w:val="14"/>
                <w:szCs w:val="14"/>
              </w:rPr>
            </w:pPr>
            <w:r>
              <w:rPr>
                <w:rFonts w:cstheme="minorHAnsi"/>
                <w:sz w:val="14"/>
                <w:szCs w:val="14"/>
              </w:rPr>
              <w:t>C</w:t>
            </w:r>
            <w:r w:rsidR="000361D9" w:rsidRPr="00AB4C99">
              <w:rPr>
                <w:rFonts w:cstheme="minorHAnsi"/>
                <w:sz w:val="14"/>
                <w:szCs w:val="14"/>
              </w:rPr>
              <w:t>ompte détenant des dépôts à vue tels que définis au point 9.1 du tableau « Catégories d'instruments » de la deuxième partie de l’annexe II du règlement (UE) n ° 1071/2013 (BCE/2013/33).</w:t>
            </w:r>
          </w:p>
        </w:tc>
        <w:tc>
          <w:tcPr>
            <w:tcW w:w="709" w:type="dxa"/>
            <w:tcBorders>
              <w:top w:val="single" w:sz="6" w:space="0" w:color="3366FF"/>
              <w:left w:val="single" w:sz="6" w:space="0" w:color="5B9BD5" w:themeColor="accent1"/>
              <w:bottom w:val="single" w:sz="2" w:space="0" w:color="5B9BD5" w:themeColor="accent1"/>
              <w:right w:val="single" w:sz="6" w:space="0" w:color="5B9BD5" w:themeColor="accent1"/>
            </w:tcBorders>
            <w:shd w:val="solid" w:color="FFFFFF" w:fill="000000"/>
          </w:tcPr>
          <w:p w14:paraId="4D379932" w14:textId="77777777" w:rsidR="000361D9" w:rsidRPr="00095DC9" w:rsidRDefault="000361D9" w:rsidP="006A54B8">
            <w:pPr>
              <w:jc w:val="both"/>
              <w:rPr>
                <w:rFonts w:ascii="Calibri" w:hAnsi="Calibri"/>
                <w:b/>
                <w:sz w:val="14"/>
              </w:rPr>
            </w:pPr>
          </w:p>
        </w:tc>
        <w:tc>
          <w:tcPr>
            <w:tcW w:w="709" w:type="dxa"/>
            <w:tcBorders>
              <w:top w:val="single" w:sz="6" w:space="0" w:color="3366FF"/>
              <w:left w:val="single" w:sz="6" w:space="0" w:color="5B9BD5" w:themeColor="accent1"/>
              <w:bottom w:val="single" w:sz="2" w:space="0" w:color="5B9BD5" w:themeColor="accent1"/>
            </w:tcBorders>
            <w:shd w:val="clear" w:color="auto" w:fill="A6A6A6" w:themeFill="background1" w:themeFillShade="A6"/>
          </w:tcPr>
          <w:p w14:paraId="68FCE5BC" w14:textId="77777777" w:rsidR="000361D9" w:rsidRPr="00095DC9" w:rsidRDefault="000361D9" w:rsidP="006A54B8">
            <w:pPr>
              <w:jc w:val="both"/>
              <w:rPr>
                <w:rFonts w:ascii="Calibri" w:hAnsi="Calibri"/>
                <w:b/>
                <w:sz w:val="14"/>
              </w:rPr>
            </w:pPr>
          </w:p>
        </w:tc>
      </w:tr>
      <w:tr w:rsidR="007D52D6" w:rsidRPr="003538A2" w14:paraId="3C6267F3" w14:textId="77777777" w:rsidTr="007D52D6">
        <w:trPr>
          <w:trHeight w:val="547"/>
        </w:trPr>
        <w:tc>
          <w:tcPr>
            <w:tcW w:w="322" w:type="dxa"/>
            <w:tcBorders>
              <w:top w:val="single" w:sz="2" w:space="0" w:color="5B9BD5" w:themeColor="accent1"/>
              <w:left w:val="single" w:sz="2" w:space="0" w:color="5B9BD5" w:themeColor="accent1"/>
              <w:bottom w:val="single" w:sz="2" w:space="0" w:color="5B9BD5" w:themeColor="accent1"/>
              <w:right w:val="single" w:sz="6" w:space="0" w:color="5B9BD5" w:themeColor="accent1"/>
            </w:tcBorders>
            <w:shd w:val="clear" w:color="auto" w:fill="FFFFFF" w:themeFill="background1"/>
            <w:vAlign w:val="center"/>
          </w:tcPr>
          <w:p w14:paraId="0F754045" w14:textId="77777777" w:rsidR="000361D9" w:rsidRPr="0044236A" w:rsidRDefault="000361D9" w:rsidP="006A54B8">
            <w:pPr>
              <w:autoSpaceDE w:val="0"/>
              <w:autoSpaceDN w:val="0"/>
              <w:adjustRightInd w:val="0"/>
              <w:spacing w:after="0" w:line="240" w:lineRule="auto"/>
              <w:rPr>
                <w:rFonts w:cstheme="minorHAnsi"/>
                <w:b/>
                <w:bCs/>
                <w:sz w:val="16"/>
                <w:szCs w:val="16"/>
              </w:rPr>
            </w:pPr>
          </w:p>
        </w:tc>
        <w:tc>
          <w:tcPr>
            <w:tcW w:w="3024" w:type="dxa"/>
            <w:tcBorders>
              <w:top w:val="single" w:sz="2" w:space="0" w:color="5B9BD5" w:themeColor="accent1"/>
              <w:bottom w:val="single" w:sz="2" w:space="0" w:color="5B9BD5" w:themeColor="accent1"/>
              <w:right w:val="single" w:sz="6" w:space="0" w:color="5B9BD5" w:themeColor="accent1"/>
            </w:tcBorders>
            <w:shd w:val="clear" w:color="auto" w:fill="FFFFFF" w:themeFill="background1"/>
            <w:vAlign w:val="center"/>
          </w:tcPr>
          <w:p w14:paraId="202F40F4" w14:textId="52A34867" w:rsidR="000361D9" w:rsidRPr="000361D9" w:rsidRDefault="000361D9" w:rsidP="006A54B8">
            <w:pPr>
              <w:autoSpaceDE w:val="0"/>
              <w:autoSpaceDN w:val="0"/>
              <w:adjustRightInd w:val="0"/>
              <w:spacing w:after="0" w:line="240" w:lineRule="auto"/>
              <w:rPr>
                <w:rFonts w:cstheme="minorHAnsi"/>
                <w:sz w:val="14"/>
                <w:szCs w:val="14"/>
              </w:rPr>
            </w:pPr>
            <w:r>
              <w:rPr>
                <w:rFonts w:cstheme="minorHAnsi"/>
                <w:sz w:val="14"/>
                <w:szCs w:val="14"/>
              </w:rPr>
              <w:t xml:space="preserve">Dont </w:t>
            </w:r>
            <w:r w:rsidRPr="000361D9">
              <w:rPr>
                <w:rFonts w:cstheme="minorHAnsi"/>
                <w:sz w:val="14"/>
                <w:szCs w:val="14"/>
              </w:rPr>
              <w:t>Nombre de comptes de paiement</w:t>
            </w:r>
          </w:p>
        </w:tc>
        <w:tc>
          <w:tcPr>
            <w:tcW w:w="4205" w:type="dxa"/>
            <w:tcBorders>
              <w:top w:val="single" w:sz="2" w:space="0" w:color="5B9BD5" w:themeColor="accent1"/>
              <w:left w:val="single" w:sz="6" w:space="0" w:color="5B9BD5" w:themeColor="accent1"/>
              <w:bottom w:val="single" w:sz="2" w:space="0" w:color="5B9BD5" w:themeColor="accent1"/>
              <w:right w:val="single" w:sz="6" w:space="0" w:color="5B9BD5" w:themeColor="accent1"/>
            </w:tcBorders>
            <w:shd w:val="clear" w:color="auto" w:fill="FFFFFF" w:themeFill="background1"/>
            <w:vAlign w:val="center"/>
          </w:tcPr>
          <w:p w14:paraId="4FDB98B9" w14:textId="77777777" w:rsidR="000361D9" w:rsidRPr="000361D9" w:rsidRDefault="000361D9" w:rsidP="00AB4C99">
            <w:pPr>
              <w:autoSpaceDE w:val="0"/>
              <w:autoSpaceDN w:val="0"/>
              <w:adjustRightInd w:val="0"/>
              <w:spacing w:after="0" w:line="240" w:lineRule="auto"/>
              <w:rPr>
                <w:rFonts w:cstheme="minorHAnsi"/>
                <w:sz w:val="14"/>
                <w:szCs w:val="14"/>
              </w:rPr>
            </w:pPr>
            <w:r w:rsidRPr="000361D9">
              <w:rPr>
                <w:rFonts w:cstheme="minorHAnsi"/>
                <w:sz w:val="14"/>
                <w:szCs w:val="14"/>
              </w:rPr>
              <w:t>Compte qui est détenu au nom d’un ou de plusieurs utilisateurs de services de paiement et qui est utilisé aux fins de l’exécution d’opérations de paiement.</w:t>
            </w:r>
          </w:p>
        </w:tc>
        <w:tc>
          <w:tcPr>
            <w:tcW w:w="709" w:type="dxa"/>
            <w:tcBorders>
              <w:top w:val="single" w:sz="2" w:space="0" w:color="5B9BD5" w:themeColor="accent1"/>
              <w:left w:val="single" w:sz="6" w:space="0" w:color="5B9BD5" w:themeColor="accent1"/>
              <w:bottom w:val="single" w:sz="2" w:space="0" w:color="5B9BD5" w:themeColor="accent1"/>
              <w:right w:val="single" w:sz="6" w:space="0" w:color="5B9BD5" w:themeColor="accent1"/>
            </w:tcBorders>
            <w:shd w:val="solid" w:color="FFFFFF" w:fill="000000"/>
          </w:tcPr>
          <w:p w14:paraId="367EC102" w14:textId="77777777" w:rsidR="000361D9" w:rsidRPr="00095DC9" w:rsidRDefault="000361D9" w:rsidP="006A54B8">
            <w:pPr>
              <w:autoSpaceDE w:val="0"/>
              <w:autoSpaceDN w:val="0"/>
              <w:adjustRightInd w:val="0"/>
              <w:spacing w:after="0" w:line="240" w:lineRule="auto"/>
              <w:rPr>
                <w:rFonts w:cstheme="minorHAnsi"/>
                <w:sz w:val="14"/>
                <w:szCs w:val="18"/>
              </w:rPr>
            </w:pPr>
          </w:p>
        </w:tc>
        <w:tc>
          <w:tcPr>
            <w:tcW w:w="709" w:type="dxa"/>
            <w:tcBorders>
              <w:top w:val="single" w:sz="2" w:space="0" w:color="5B9BD5" w:themeColor="accent1"/>
              <w:left w:val="single" w:sz="6" w:space="0" w:color="5B9BD5" w:themeColor="accent1"/>
              <w:bottom w:val="single" w:sz="2" w:space="0" w:color="5B9BD5" w:themeColor="accent1"/>
            </w:tcBorders>
            <w:shd w:val="clear" w:color="auto" w:fill="A6A6A6" w:themeFill="background1" w:themeFillShade="A6"/>
          </w:tcPr>
          <w:p w14:paraId="37BF2E5D" w14:textId="77777777" w:rsidR="000361D9" w:rsidRPr="00095DC9" w:rsidRDefault="000361D9" w:rsidP="006A54B8">
            <w:pPr>
              <w:autoSpaceDE w:val="0"/>
              <w:autoSpaceDN w:val="0"/>
              <w:adjustRightInd w:val="0"/>
              <w:spacing w:after="0" w:line="240" w:lineRule="auto"/>
              <w:rPr>
                <w:rFonts w:cstheme="minorHAnsi"/>
                <w:sz w:val="14"/>
                <w:szCs w:val="18"/>
              </w:rPr>
            </w:pPr>
          </w:p>
        </w:tc>
      </w:tr>
      <w:tr w:rsidR="007D52D6" w:rsidRPr="003538A2" w14:paraId="79A64E0F" w14:textId="77777777" w:rsidTr="003241E7">
        <w:trPr>
          <w:trHeight w:val="603"/>
        </w:trPr>
        <w:tc>
          <w:tcPr>
            <w:tcW w:w="322" w:type="dxa"/>
            <w:tcBorders>
              <w:top w:val="single" w:sz="2" w:space="0" w:color="5B9BD5" w:themeColor="accent1"/>
              <w:left w:val="single" w:sz="2" w:space="0" w:color="5B9BD5" w:themeColor="accent1"/>
              <w:bottom w:val="single" w:sz="18" w:space="0" w:color="5B9BD5" w:themeColor="accent1"/>
              <w:right w:val="single" w:sz="6" w:space="0" w:color="5B9BD5" w:themeColor="accent1"/>
            </w:tcBorders>
            <w:shd w:val="clear" w:color="auto" w:fill="FFFFFF" w:themeFill="background1"/>
            <w:vAlign w:val="center"/>
          </w:tcPr>
          <w:p w14:paraId="263A97AA" w14:textId="77777777" w:rsidR="000361D9" w:rsidRPr="0044236A" w:rsidRDefault="000361D9" w:rsidP="006A54B8">
            <w:pPr>
              <w:autoSpaceDE w:val="0"/>
              <w:autoSpaceDN w:val="0"/>
              <w:adjustRightInd w:val="0"/>
              <w:spacing w:after="0" w:line="240" w:lineRule="auto"/>
              <w:rPr>
                <w:rFonts w:cstheme="minorHAnsi"/>
                <w:b/>
                <w:bCs/>
                <w:sz w:val="16"/>
                <w:szCs w:val="16"/>
              </w:rPr>
            </w:pPr>
          </w:p>
        </w:tc>
        <w:tc>
          <w:tcPr>
            <w:tcW w:w="3024" w:type="dxa"/>
            <w:tcBorders>
              <w:top w:val="single" w:sz="2" w:space="0" w:color="5B9BD5" w:themeColor="accent1"/>
              <w:bottom w:val="single" w:sz="18" w:space="0" w:color="5B9BD5" w:themeColor="accent1"/>
              <w:right w:val="single" w:sz="6" w:space="0" w:color="5B9BD5" w:themeColor="accent1"/>
            </w:tcBorders>
            <w:shd w:val="clear" w:color="auto" w:fill="FFFFFF" w:themeFill="background1"/>
            <w:vAlign w:val="center"/>
          </w:tcPr>
          <w:p w14:paraId="30D92C0D" w14:textId="1E12C8FE" w:rsidR="000361D9" w:rsidRPr="000361D9" w:rsidRDefault="000361D9" w:rsidP="006A54B8">
            <w:pPr>
              <w:autoSpaceDE w:val="0"/>
              <w:autoSpaceDN w:val="0"/>
              <w:adjustRightInd w:val="0"/>
              <w:spacing w:after="0" w:line="240" w:lineRule="auto"/>
              <w:rPr>
                <w:rFonts w:cstheme="minorHAnsi"/>
                <w:sz w:val="14"/>
                <w:szCs w:val="14"/>
              </w:rPr>
            </w:pPr>
            <w:r>
              <w:rPr>
                <w:rFonts w:cstheme="minorHAnsi"/>
                <w:sz w:val="14"/>
                <w:szCs w:val="14"/>
              </w:rPr>
              <w:t xml:space="preserve">Dont </w:t>
            </w:r>
            <w:r w:rsidRPr="000361D9">
              <w:rPr>
                <w:rFonts w:cstheme="minorHAnsi"/>
                <w:sz w:val="14"/>
                <w:szCs w:val="14"/>
              </w:rPr>
              <w:t>Nombre de comptes de monnaie électronique</w:t>
            </w:r>
          </w:p>
        </w:tc>
        <w:tc>
          <w:tcPr>
            <w:tcW w:w="4205" w:type="dxa"/>
            <w:tcBorders>
              <w:top w:val="single" w:sz="2" w:space="0" w:color="5B9BD5" w:themeColor="accent1"/>
              <w:left w:val="single" w:sz="6" w:space="0" w:color="5B9BD5" w:themeColor="accent1"/>
              <w:bottom w:val="single" w:sz="18" w:space="0" w:color="5B9BD5" w:themeColor="accent1"/>
              <w:right w:val="single" w:sz="6" w:space="0" w:color="5B9BD5" w:themeColor="accent1"/>
            </w:tcBorders>
            <w:shd w:val="clear" w:color="auto" w:fill="FFFFFF" w:themeFill="background1"/>
            <w:vAlign w:val="center"/>
          </w:tcPr>
          <w:p w14:paraId="167BB9A7" w14:textId="41F4D1FE" w:rsidR="000361D9" w:rsidRPr="000361D9" w:rsidRDefault="000361D9" w:rsidP="00AB4C99">
            <w:pPr>
              <w:autoSpaceDE w:val="0"/>
              <w:autoSpaceDN w:val="0"/>
              <w:adjustRightInd w:val="0"/>
              <w:spacing w:after="0" w:line="240" w:lineRule="auto"/>
              <w:rPr>
                <w:rFonts w:cstheme="minorHAnsi"/>
                <w:sz w:val="14"/>
                <w:szCs w:val="14"/>
              </w:rPr>
            </w:pPr>
            <w:r w:rsidRPr="000361D9">
              <w:rPr>
                <w:rFonts w:cstheme="minorHAnsi"/>
                <w:sz w:val="14"/>
                <w:szCs w:val="14"/>
              </w:rPr>
              <w:t>Compte de paiement sur lequel la monnaie électronique est stockée</w:t>
            </w:r>
            <w:r w:rsidR="00AB1B47">
              <w:rPr>
                <w:rFonts w:cstheme="minorHAnsi"/>
                <w:sz w:val="14"/>
                <w:szCs w:val="14"/>
              </w:rPr>
              <w:t>.</w:t>
            </w:r>
          </w:p>
        </w:tc>
        <w:tc>
          <w:tcPr>
            <w:tcW w:w="709" w:type="dxa"/>
            <w:tcBorders>
              <w:top w:val="single" w:sz="2" w:space="0" w:color="5B9BD5" w:themeColor="accent1"/>
              <w:left w:val="single" w:sz="6" w:space="0" w:color="5B9BD5" w:themeColor="accent1"/>
              <w:bottom w:val="single" w:sz="18" w:space="0" w:color="5B9BD5" w:themeColor="accent1"/>
              <w:right w:val="single" w:sz="6" w:space="0" w:color="5B9BD5" w:themeColor="accent1"/>
            </w:tcBorders>
            <w:shd w:val="solid" w:color="FFFFFF" w:fill="000000"/>
          </w:tcPr>
          <w:p w14:paraId="238E07B9" w14:textId="77777777" w:rsidR="000361D9" w:rsidRPr="00095DC9" w:rsidRDefault="000361D9" w:rsidP="006A54B8">
            <w:pPr>
              <w:autoSpaceDE w:val="0"/>
              <w:autoSpaceDN w:val="0"/>
              <w:adjustRightInd w:val="0"/>
              <w:spacing w:after="0" w:line="240" w:lineRule="auto"/>
              <w:rPr>
                <w:rFonts w:cstheme="minorHAnsi"/>
                <w:sz w:val="14"/>
                <w:szCs w:val="18"/>
              </w:rPr>
            </w:pPr>
          </w:p>
        </w:tc>
        <w:tc>
          <w:tcPr>
            <w:tcW w:w="709" w:type="dxa"/>
            <w:tcBorders>
              <w:top w:val="single" w:sz="2" w:space="0" w:color="5B9BD5" w:themeColor="accent1"/>
              <w:left w:val="single" w:sz="6" w:space="0" w:color="5B9BD5" w:themeColor="accent1"/>
              <w:bottom w:val="single" w:sz="18" w:space="0" w:color="5B9BD5" w:themeColor="accent1"/>
            </w:tcBorders>
            <w:shd w:val="clear" w:color="auto" w:fill="A6A6A6" w:themeFill="background1" w:themeFillShade="A6"/>
          </w:tcPr>
          <w:p w14:paraId="1ACB05B2" w14:textId="77777777" w:rsidR="000361D9" w:rsidRPr="00095DC9" w:rsidRDefault="000361D9" w:rsidP="006A54B8">
            <w:pPr>
              <w:autoSpaceDE w:val="0"/>
              <w:autoSpaceDN w:val="0"/>
              <w:adjustRightInd w:val="0"/>
              <w:spacing w:after="0" w:line="240" w:lineRule="auto"/>
              <w:rPr>
                <w:rFonts w:cstheme="minorHAnsi"/>
                <w:sz w:val="14"/>
                <w:szCs w:val="18"/>
              </w:rPr>
            </w:pPr>
          </w:p>
        </w:tc>
      </w:tr>
      <w:bookmarkEnd w:id="14"/>
    </w:tbl>
    <w:p w14:paraId="5DB73EF8" w14:textId="77777777" w:rsidR="007718A3" w:rsidRPr="007718A3" w:rsidRDefault="007718A3" w:rsidP="007718A3"/>
    <w:p w14:paraId="5C31628D" w14:textId="77777777" w:rsidR="00AE5DC9" w:rsidRPr="00A675AF" w:rsidRDefault="00AE5DC9" w:rsidP="00AE5DC9">
      <w:pPr>
        <w:spacing w:after="0" w:line="240" w:lineRule="auto"/>
        <w:jc w:val="both"/>
        <w:rPr>
          <w:rFonts w:ascii="Calibri" w:hAnsi="Calibri"/>
          <w:b/>
          <w:smallCaps/>
          <w:color w:val="2E74B5" w:themeColor="accent1" w:themeShade="BF"/>
          <w:sz w:val="24"/>
        </w:rPr>
      </w:pPr>
      <w:r w:rsidRPr="00A675AF">
        <w:rPr>
          <w:rFonts w:ascii="Calibri" w:hAnsi="Calibri"/>
          <w:b/>
          <w:smallCaps/>
          <w:color w:val="2E74B5" w:themeColor="accent1" w:themeShade="BF"/>
          <w:sz w:val="24"/>
        </w:rPr>
        <w:t>Contrôles :</w:t>
      </w:r>
    </w:p>
    <w:p w14:paraId="6D9E9E20" w14:textId="77777777" w:rsidR="00AE5DC9" w:rsidRDefault="00AE5DC9" w:rsidP="00AE5DC9">
      <w:pPr>
        <w:pStyle w:val="Paragraphedeliste"/>
        <w:autoSpaceDE w:val="0"/>
        <w:autoSpaceDN w:val="0"/>
        <w:adjustRightInd w:val="0"/>
        <w:spacing w:after="0" w:line="240" w:lineRule="auto"/>
        <w:jc w:val="both"/>
        <w:rPr>
          <w:rFonts w:cstheme="minorHAnsi"/>
        </w:rPr>
      </w:pPr>
    </w:p>
    <w:p w14:paraId="792528D5" w14:textId="77777777" w:rsidR="00AE5DC9" w:rsidRDefault="00AE5DC9" w:rsidP="00AE5DC9">
      <w:pPr>
        <w:autoSpaceDE w:val="0"/>
        <w:autoSpaceDN w:val="0"/>
        <w:adjustRightInd w:val="0"/>
        <w:spacing w:after="0" w:line="240" w:lineRule="auto"/>
        <w:jc w:val="both"/>
        <w:rPr>
          <w:rFonts w:cstheme="minorHAnsi"/>
        </w:rPr>
      </w:pPr>
      <w:r w:rsidRPr="002F77C9">
        <w:rPr>
          <w:rFonts w:cstheme="minorHAnsi"/>
        </w:rPr>
        <w:t>Les règles de contrôle suivantes doivent être appliquées</w:t>
      </w:r>
      <w:r>
        <w:rPr>
          <w:rFonts w:cstheme="minorHAnsi"/>
        </w:rPr>
        <w:t>.</w:t>
      </w:r>
    </w:p>
    <w:p w14:paraId="219C7349" w14:textId="77777777" w:rsidR="00AE5DC9" w:rsidRPr="002F77C9" w:rsidRDefault="00AE5DC9" w:rsidP="00AE5DC9">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AE5DC9" w:rsidRPr="009E00CF" w14:paraId="2714862C" w14:textId="77777777" w:rsidTr="006A54B8">
        <w:trPr>
          <w:trHeight w:val="409"/>
        </w:trPr>
        <w:tc>
          <w:tcPr>
            <w:tcW w:w="9054" w:type="dxa"/>
          </w:tcPr>
          <w:p w14:paraId="09FF6D66" w14:textId="77777777" w:rsidR="00AE5DC9" w:rsidRPr="007C75F3" w:rsidRDefault="00AE5DC9" w:rsidP="006A54B8">
            <w:pPr>
              <w:pStyle w:val="Paragraphedeliste"/>
              <w:autoSpaceDE w:val="0"/>
              <w:autoSpaceDN w:val="0"/>
              <w:adjustRightInd w:val="0"/>
              <w:ind w:left="0"/>
              <w:jc w:val="both"/>
              <w:rPr>
                <w:rFonts w:cstheme="minorHAnsi"/>
                <w:sz w:val="18"/>
                <w:szCs w:val="18"/>
              </w:rPr>
            </w:pPr>
            <w:r w:rsidRPr="00A675AF">
              <w:rPr>
                <w:rFonts w:cstheme="minorHAnsi"/>
                <w:sz w:val="18"/>
                <w:szCs w:val="18"/>
              </w:rPr>
              <w:t xml:space="preserve">Le </w:t>
            </w:r>
            <w:r>
              <w:rPr>
                <w:rFonts w:cstheme="minorHAnsi"/>
                <w:sz w:val="18"/>
                <w:szCs w:val="18"/>
              </w:rPr>
              <w:t xml:space="preserve">total du nombre de comptes est égal à la somme des 3 sous-ventilations (comptes dépôt à vue + comptes de paiement + comptes de monnaie électronique) </w:t>
            </w:r>
          </w:p>
        </w:tc>
      </w:tr>
    </w:tbl>
    <w:p w14:paraId="0479353F" w14:textId="77777777" w:rsidR="007718A3" w:rsidRDefault="007718A3" w:rsidP="007718A3"/>
    <w:p w14:paraId="5E1FAFF5" w14:textId="77777777" w:rsidR="007718A3" w:rsidRPr="0096058A" w:rsidRDefault="007718A3" w:rsidP="007718A3">
      <w:pPr>
        <w:pStyle w:val="Titre2"/>
        <w:numPr>
          <w:ilvl w:val="1"/>
          <w:numId w:val="38"/>
        </w:numPr>
      </w:pPr>
      <w:bookmarkStart w:id="15" w:name="_Toc222476856"/>
      <w:r w:rsidRPr="0096058A">
        <w:t>CARTES</w:t>
      </w:r>
      <w:bookmarkEnd w:id="15"/>
    </w:p>
    <w:p w14:paraId="326971AD" w14:textId="77777777" w:rsidR="00777E5C" w:rsidRPr="00A675AF" w:rsidRDefault="00777E5C" w:rsidP="00A675AF">
      <w:pPr>
        <w:pStyle w:val="Paragraphedeliste"/>
        <w:autoSpaceDE w:val="0"/>
        <w:autoSpaceDN w:val="0"/>
        <w:adjustRightInd w:val="0"/>
        <w:spacing w:after="0" w:line="240" w:lineRule="auto"/>
        <w:jc w:val="both"/>
        <w:rPr>
          <w:b/>
          <w:smallCaps/>
          <w:sz w:val="28"/>
        </w:rPr>
      </w:pPr>
    </w:p>
    <w:p w14:paraId="123AC049" w14:textId="0082CFE4" w:rsidR="00F527A2" w:rsidRPr="00F527A2" w:rsidRDefault="00F527A2" w:rsidP="00777E5C">
      <w:pPr>
        <w:autoSpaceDE w:val="0"/>
        <w:autoSpaceDN w:val="0"/>
        <w:adjustRightInd w:val="0"/>
        <w:spacing w:after="0" w:line="240" w:lineRule="auto"/>
        <w:jc w:val="both"/>
        <w:rPr>
          <w:rFonts w:cstheme="minorHAnsi"/>
        </w:rPr>
      </w:pPr>
      <w:r w:rsidRPr="00F527A2">
        <w:rPr>
          <w:rFonts w:cstheme="minorHAnsi"/>
        </w:rPr>
        <w:t>Les d</w:t>
      </w:r>
      <w:r>
        <w:rPr>
          <w:rFonts w:cstheme="minorHAnsi"/>
        </w:rPr>
        <w:t xml:space="preserve">onnées à déclarer sont celles à la fin de la période de </w:t>
      </w:r>
      <w:r w:rsidR="00854CFC">
        <w:rPr>
          <w:rFonts w:cstheme="minorHAnsi"/>
        </w:rPr>
        <w:t>déclaration</w:t>
      </w:r>
      <w:r>
        <w:rPr>
          <w:rFonts w:cstheme="minorHAnsi"/>
        </w:rPr>
        <w:t xml:space="preserve"> (</w:t>
      </w:r>
      <w:r w:rsidR="006A7BF4" w:rsidRPr="00A675AF">
        <w:rPr>
          <w:rFonts w:cstheme="minorHAnsi"/>
        </w:rPr>
        <w:t>c.-à-d.</w:t>
      </w:r>
      <w:r w:rsidR="00D82B3E">
        <w:rPr>
          <w:rFonts w:cstheme="minorHAnsi"/>
        </w:rPr>
        <w:t xml:space="preserve"> </w:t>
      </w:r>
      <w:r>
        <w:rPr>
          <w:rFonts w:cstheme="minorHAnsi"/>
        </w:rPr>
        <w:t xml:space="preserve">stock au </w:t>
      </w:r>
      <w:r w:rsidR="00845F9D">
        <w:rPr>
          <w:rFonts w:cstheme="minorHAnsi"/>
        </w:rPr>
        <w:t>dernier jour ouvrable de la période de déclaration</w:t>
      </w:r>
      <w:r>
        <w:rPr>
          <w:rFonts w:cstheme="minorHAnsi"/>
        </w:rPr>
        <w:t>).</w:t>
      </w:r>
    </w:p>
    <w:p w14:paraId="72EF5A1A" w14:textId="77777777" w:rsidR="00F527A2" w:rsidRDefault="00F527A2" w:rsidP="00777E5C">
      <w:pPr>
        <w:autoSpaceDE w:val="0"/>
        <w:autoSpaceDN w:val="0"/>
        <w:adjustRightInd w:val="0"/>
        <w:spacing w:after="0" w:line="240" w:lineRule="auto"/>
        <w:jc w:val="both"/>
        <w:rPr>
          <w:rFonts w:cstheme="minorHAnsi"/>
          <w:b/>
        </w:rPr>
      </w:pPr>
    </w:p>
    <w:p w14:paraId="1CC44DBA" w14:textId="58664978" w:rsidR="00777E5C" w:rsidRPr="00D81FDA" w:rsidRDefault="00777E5C" w:rsidP="007718A3">
      <w:pPr>
        <w:pStyle w:val="Titre3"/>
        <w:numPr>
          <w:ilvl w:val="2"/>
          <w:numId w:val="38"/>
        </w:numPr>
      </w:pPr>
      <w:bookmarkStart w:id="16" w:name="_Toc222476857"/>
      <w:r w:rsidRPr="00A675AF">
        <w:t>Dénombrement des cartes</w:t>
      </w:r>
      <w:r w:rsidR="00B3271C" w:rsidRPr="00D81FDA">
        <w:t xml:space="preserve"> et terminaux</w:t>
      </w:r>
      <w:bookmarkEnd w:id="16"/>
    </w:p>
    <w:p w14:paraId="31E69E2E" w14:textId="77777777" w:rsidR="00B3271C" w:rsidRDefault="00B3271C" w:rsidP="0016297D">
      <w:pPr>
        <w:pStyle w:val="Paragraphedeliste"/>
        <w:autoSpaceDE w:val="0"/>
        <w:autoSpaceDN w:val="0"/>
        <w:adjustRightInd w:val="0"/>
        <w:spacing w:after="0" w:line="240" w:lineRule="auto"/>
        <w:ind w:left="1080"/>
        <w:jc w:val="both"/>
        <w:rPr>
          <w:rFonts w:cstheme="minorHAnsi"/>
          <w:b/>
          <w:smallCaps/>
          <w:sz w:val="28"/>
          <w:szCs w:val="28"/>
        </w:rPr>
      </w:pPr>
    </w:p>
    <w:p w14:paraId="63609061" w14:textId="3E0B448E" w:rsidR="00777E5C" w:rsidRPr="00A675AF" w:rsidRDefault="00B3271C" w:rsidP="007718A3">
      <w:pPr>
        <w:pStyle w:val="Titre4"/>
        <w:numPr>
          <w:ilvl w:val="3"/>
          <w:numId w:val="38"/>
        </w:numPr>
      </w:pPr>
      <w:bookmarkStart w:id="17" w:name="_Toc222476858"/>
      <w:r>
        <w:t>Dénombrement des cartes</w:t>
      </w:r>
      <w:bookmarkEnd w:id="17"/>
    </w:p>
    <w:p w14:paraId="0A8FB9AD" w14:textId="77777777" w:rsidR="00777E5C" w:rsidRPr="00C806A1" w:rsidRDefault="00777E5C" w:rsidP="00C806A1">
      <w:pPr>
        <w:autoSpaceDE w:val="0"/>
        <w:autoSpaceDN w:val="0"/>
        <w:adjustRightInd w:val="0"/>
        <w:spacing w:after="0" w:line="240" w:lineRule="auto"/>
        <w:jc w:val="both"/>
        <w:rPr>
          <w:rFonts w:cstheme="minorHAnsi"/>
        </w:rPr>
      </w:pPr>
    </w:p>
    <w:p w14:paraId="3F972D3D" w14:textId="2DE1F104" w:rsidR="005925F1" w:rsidRDefault="00D82B3E" w:rsidP="00C806A1">
      <w:pPr>
        <w:autoSpaceDE w:val="0"/>
        <w:autoSpaceDN w:val="0"/>
        <w:adjustRightInd w:val="0"/>
        <w:spacing w:after="0" w:line="240" w:lineRule="auto"/>
        <w:jc w:val="both"/>
        <w:rPr>
          <w:rFonts w:cstheme="minorHAnsi"/>
        </w:rPr>
      </w:pPr>
      <w:r w:rsidRPr="00C806A1">
        <w:rPr>
          <w:rFonts w:cstheme="minorHAnsi"/>
        </w:rPr>
        <w:t xml:space="preserve">Il s’agit de </w:t>
      </w:r>
      <w:r w:rsidR="000E661B">
        <w:rPr>
          <w:rFonts w:cstheme="minorHAnsi"/>
        </w:rPr>
        <w:t>dénombrer les c</w:t>
      </w:r>
      <w:r w:rsidRPr="00C806A1">
        <w:rPr>
          <w:rFonts w:cstheme="minorHAnsi"/>
        </w:rPr>
        <w:t xml:space="preserve">artes </w:t>
      </w:r>
      <w:r w:rsidR="00DD5786">
        <w:rPr>
          <w:rFonts w:cstheme="minorHAnsi"/>
        </w:rPr>
        <w:t xml:space="preserve">en circulation </w:t>
      </w:r>
      <w:r w:rsidRPr="00C806A1">
        <w:rPr>
          <w:rFonts w:cstheme="minorHAnsi"/>
        </w:rPr>
        <w:t>émises par l’établissement</w:t>
      </w:r>
      <w:r w:rsidR="00B37BAD">
        <w:rPr>
          <w:rFonts w:cstheme="minorHAnsi"/>
        </w:rPr>
        <w:t>,</w:t>
      </w:r>
      <w:r w:rsidRPr="00C806A1">
        <w:rPr>
          <w:rFonts w:cstheme="minorHAnsi"/>
        </w:rPr>
        <w:t xml:space="preserve"> indépendamment du lieu de résidence du </w:t>
      </w:r>
      <w:r w:rsidR="00E32537" w:rsidRPr="00C806A1">
        <w:rPr>
          <w:rFonts w:cstheme="minorHAnsi"/>
        </w:rPr>
        <w:t>porteur</w:t>
      </w:r>
      <w:r w:rsidRPr="00C806A1">
        <w:rPr>
          <w:rFonts w:cstheme="minorHAnsi"/>
        </w:rPr>
        <w:t xml:space="preserve"> de la carte (payeur</w:t>
      </w:r>
      <w:r w:rsidR="0036351F">
        <w:rPr>
          <w:rFonts w:cstheme="minorHAnsi"/>
        </w:rPr>
        <w:t xml:space="preserve">) </w:t>
      </w:r>
      <w:r w:rsidR="00B37BAD">
        <w:rPr>
          <w:rFonts w:cstheme="minorHAnsi"/>
        </w:rPr>
        <w:t xml:space="preserve">ou du lieu où est </w:t>
      </w:r>
      <w:r w:rsidR="0077773E">
        <w:rPr>
          <w:rFonts w:cstheme="minorHAnsi"/>
        </w:rPr>
        <w:t xml:space="preserve">domicilié </w:t>
      </w:r>
      <w:r w:rsidR="00B37BAD">
        <w:rPr>
          <w:rFonts w:cstheme="minorHAnsi"/>
        </w:rPr>
        <w:t xml:space="preserve">le compte bancaire auquel la carte est rattachée, </w:t>
      </w:r>
      <w:r w:rsidR="005925F1">
        <w:rPr>
          <w:rFonts w:cstheme="minorHAnsi"/>
        </w:rPr>
        <w:t>avec une ventilation par fonction de la carte</w:t>
      </w:r>
      <w:r w:rsidR="00DD5786">
        <w:rPr>
          <w:rFonts w:cstheme="minorHAnsi"/>
        </w:rPr>
        <w:t xml:space="preserve"> et </w:t>
      </w:r>
      <w:r w:rsidR="005925F1">
        <w:rPr>
          <w:rFonts w:cstheme="minorHAnsi"/>
        </w:rPr>
        <w:t>par système de carte</w:t>
      </w:r>
      <w:r w:rsidR="002158ED">
        <w:rPr>
          <w:rFonts w:cstheme="minorHAnsi"/>
        </w:rPr>
        <w:t>.</w:t>
      </w:r>
    </w:p>
    <w:p w14:paraId="4FE80084" w14:textId="3ED9A508" w:rsidR="002158ED" w:rsidRDefault="00D50821" w:rsidP="00AC50C2">
      <w:pPr>
        <w:autoSpaceDE w:val="0"/>
        <w:autoSpaceDN w:val="0"/>
        <w:adjustRightInd w:val="0"/>
        <w:spacing w:after="0" w:line="240" w:lineRule="auto"/>
        <w:ind w:right="2407"/>
        <w:jc w:val="both"/>
        <w:rPr>
          <w:rFonts w:cstheme="minorHAnsi"/>
        </w:rPr>
      </w:pPr>
      <w:r>
        <w:rPr>
          <w:noProof/>
          <w:lang w:eastAsia="fr-FR"/>
        </w:rPr>
        <w:lastRenderedPageBreak/>
        <w:drawing>
          <wp:inline distT="0" distB="0" distL="0" distR="0" wp14:anchorId="7E697B74" wp14:editId="7DE0C248">
            <wp:extent cx="5761249" cy="3282315"/>
            <wp:effectExtent l="0" t="0" r="68580" b="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27BC5D1" w14:textId="2EFA95B0" w:rsidR="005925F1" w:rsidRDefault="00CA09B9" w:rsidP="00C806A1">
      <w:pPr>
        <w:autoSpaceDE w:val="0"/>
        <w:autoSpaceDN w:val="0"/>
        <w:adjustRightInd w:val="0"/>
        <w:spacing w:after="0" w:line="240" w:lineRule="auto"/>
        <w:jc w:val="both"/>
        <w:rPr>
          <w:rFonts w:cstheme="minorHAnsi"/>
        </w:rPr>
      </w:pPr>
      <w:r>
        <w:rPr>
          <w:rFonts w:cstheme="minorHAnsi"/>
          <w:u w:val="single"/>
        </w:rPr>
        <w:t>Sont e</w:t>
      </w:r>
      <w:r w:rsidR="005925F1" w:rsidRPr="005925F1">
        <w:rPr>
          <w:rFonts w:cstheme="minorHAnsi"/>
          <w:u w:val="single"/>
        </w:rPr>
        <w:t>xclu</w:t>
      </w:r>
      <w:r>
        <w:rPr>
          <w:rFonts w:cstheme="minorHAnsi"/>
          <w:u w:val="single"/>
        </w:rPr>
        <w:t>es</w:t>
      </w:r>
      <w:r w:rsidR="005925F1">
        <w:rPr>
          <w:rFonts w:cstheme="minorHAnsi"/>
        </w:rPr>
        <w:t> :</w:t>
      </w:r>
    </w:p>
    <w:p w14:paraId="46D2CC8F" w14:textId="09F382F9" w:rsidR="00D82B3E" w:rsidRPr="005925F1" w:rsidRDefault="005925F1" w:rsidP="00594FDC">
      <w:pPr>
        <w:pStyle w:val="Paragraphedeliste"/>
        <w:numPr>
          <w:ilvl w:val="0"/>
          <w:numId w:val="6"/>
        </w:numPr>
        <w:autoSpaceDE w:val="0"/>
        <w:autoSpaceDN w:val="0"/>
        <w:adjustRightInd w:val="0"/>
        <w:spacing w:after="0" w:line="240" w:lineRule="auto"/>
        <w:jc w:val="both"/>
        <w:rPr>
          <w:rFonts w:cstheme="minorHAnsi"/>
        </w:rPr>
      </w:pPr>
      <w:r>
        <w:rPr>
          <w:rFonts w:cstheme="minorHAnsi"/>
        </w:rPr>
        <w:t xml:space="preserve">Les </w:t>
      </w:r>
      <w:r w:rsidR="0036351F" w:rsidRPr="005925F1">
        <w:rPr>
          <w:rFonts w:cstheme="minorHAnsi"/>
        </w:rPr>
        <w:t xml:space="preserve">cartes expirées ou </w:t>
      </w:r>
      <w:r w:rsidR="002117C5">
        <w:rPr>
          <w:rFonts w:cstheme="minorHAnsi"/>
        </w:rPr>
        <w:t>annulées</w:t>
      </w:r>
      <w:r w:rsidR="0036351F" w:rsidRPr="005925F1">
        <w:rPr>
          <w:rFonts w:cstheme="minorHAnsi"/>
        </w:rPr>
        <w:t>.</w:t>
      </w:r>
    </w:p>
    <w:p w14:paraId="1FFE51F5" w14:textId="7866D2C8" w:rsidR="001B739A" w:rsidRPr="00A675AF" w:rsidRDefault="001B739A" w:rsidP="00A675AF">
      <w:pPr>
        <w:autoSpaceDE w:val="0"/>
        <w:autoSpaceDN w:val="0"/>
        <w:adjustRightInd w:val="0"/>
        <w:spacing w:after="0" w:line="240" w:lineRule="auto"/>
        <w:jc w:val="both"/>
        <w:rPr>
          <w:rFonts w:cstheme="minorHAnsi"/>
          <w:u w:val="single"/>
        </w:rPr>
      </w:pPr>
    </w:p>
    <w:p w14:paraId="247C9680" w14:textId="138516BE" w:rsidR="001B739A" w:rsidRPr="00A675AF" w:rsidRDefault="00780AB5" w:rsidP="00A675AF">
      <w:pPr>
        <w:autoSpaceDE w:val="0"/>
        <w:autoSpaceDN w:val="0"/>
        <w:adjustRightInd w:val="0"/>
        <w:spacing w:after="0" w:line="240" w:lineRule="auto"/>
        <w:jc w:val="both"/>
        <w:rPr>
          <w:rFonts w:cstheme="minorHAnsi"/>
          <w:u w:val="single"/>
        </w:rPr>
      </w:pPr>
      <w:r w:rsidRPr="00C70A45">
        <w:rPr>
          <w:rFonts w:cstheme="minorHAnsi"/>
          <w:u w:val="single"/>
        </w:rPr>
        <w:t>Remarques</w:t>
      </w:r>
      <w:r>
        <w:rPr>
          <w:rFonts w:cstheme="minorHAnsi"/>
        </w:rPr>
        <w:t> </w:t>
      </w:r>
      <w:r w:rsidR="001B739A" w:rsidRPr="00C70A45">
        <w:rPr>
          <w:rFonts w:cstheme="minorHAnsi"/>
        </w:rPr>
        <w:t>:</w:t>
      </w:r>
    </w:p>
    <w:p w14:paraId="0AD85D7B" w14:textId="299D040E" w:rsidR="000A4B5F" w:rsidRDefault="000A4B5F" w:rsidP="00594FDC">
      <w:pPr>
        <w:pStyle w:val="Paragraphedeliste"/>
        <w:numPr>
          <w:ilvl w:val="0"/>
          <w:numId w:val="3"/>
        </w:numPr>
        <w:autoSpaceDE w:val="0"/>
        <w:autoSpaceDN w:val="0"/>
        <w:adjustRightInd w:val="0"/>
        <w:spacing w:after="0" w:line="240" w:lineRule="auto"/>
        <w:jc w:val="both"/>
        <w:rPr>
          <w:rFonts w:cstheme="minorHAnsi"/>
        </w:rPr>
      </w:pPr>
      <w:r>
        <w:rPr>
          <w:rFonts w:cstheme="minorHAnsi"/>
        </w:rPr>
        <w:t>Le « </w:t>
      </w:r>
      <w:r w:rsidR="00DD5786" w:rsidRPr="00DD5786">
        <w:rPr>
          <w:rFonts w:cstheme="minorHAnsi"/>
        </w:rPr>
        <w:t>N</w:t>
      </w:r>
      <w:r w:rsidRPr="00DD5786">
        <w:rPr>
          <w:rFonts w:cstheme="minorHAnsi"/>
        </w:rPr>
        <w:t>ombre total de cartes émises</w:t>
      </w:r>
      <w:r>
        <w:rPr>
          <w:rFonts w:cstheme="minorHAnsi"/>
        </w:rPr>
        <w:t> » est déterminé indépendamment du nombre de fonction de</w:t>
      </w:r>
      <w:r w:rsidR="001F4EE7">
        <w:rPr>
          <w:rFonts w:cstheme="minorHAnsi"/>
        </w:rPr>
        <w:t>s</w:t>
      </w:r>
      <w:r>
        <w:rPr>
          <w:rFonts w:cstheme="minorHAnsi"/>
        </w:rPr>
        <w:t xml:space="preserve"> cartes. Par conséquent, ce nombre </w:t>
      </w:r>
      <w:r w:rsidR="009613DD" w:rsidRPr="00C806A1">
        <w:rPr>
          <w:rFonts w:cstheme="minorHAnsi"/>
        </w:rPr>
        <w:t xml:space="preserve">peut être inférieur à la somme </w:t>
      </w:r>
      <w:r w:rsidR="00944486">
        <w:rPr>
          <w:rFonts w:cstheme="minorHAnsi"/>
        </w:rPr>
        <w:t>des</w:t>
      </w:r>
      <w:r w:rsidR="009613DD">
        <w:rPr>
          <w:rFonts w:cstheme="minorHAnsi"/>
        </w:rPr>
        <w:t xml:space="preserve"> « </w:t>
      </w:r>
      <w:r w:rsidR="00DD5786">
        <w:rPr>
          <w:rFonts w:cstheme="minorHAnsi"/>
        </w:rPr>
        <w:t>C</w:t>
      </w:r>
      <w:r w:rsidR="009613DD">
        <w:rPr>
          <w:rFonts w:cstheme="minorHAnsi"/>
        </w:rPr>
        <w:t>artes ayant une fonction espèces », des « </w:t>
      </w:r>
      <w:r w:rsidR="00DD5786">
        <w:rPr>
          <w:rFonts w:cstheme="minorHAnsi"/>
        </w:rPr>
        <w:t>C</w:t>
      </w:r>
      <w:r w:rsidR="009613DD">
        <w:rPr>
          <w:rFonts w:cstheme="minorHAnsi"/>
        </w:rPr>
        <w:t>artes ayant une fonction de paiement » et des « </w:t>
      </w:r>
      <w:r w:rsidR="00DD5786">
        <w:rPr>
          <w:rFonts w:cstheme="minorHAnsi"/>
        </w:rPr>
        <w:t>C</w:t>
      </w:r>
      <w:r w:rsidR="009613DD">
        <w:rPr>
          <w:rFonts w:cstheme="minorHAnsi"/>
        </w:rPr>
        <w:t>artes ayant une fonction de monnaie électronique »</w:t>
      </w:r>
      <w:r w:rsidR="009613DD" w:rsidRPr="00C806A1">
        <w:rPr>
          <w:rFonts w:cstheme="minorHAnsi"/>
        </w:rPr>
        <w:t xml:space="preserve"> et, afin d’éviter un double comptage, les sous-catégories ne doivent pas être additionnées.</w:t>
      </w:r>
    </w:p>
    <w:p w14:paraId="3DE4B2A9" w14:textId="676A429A" w:rsidR="00272FF4" w:rsidRPr="002F4AD9" w:rsidRDefault="00272FF4" w:rsidP="00957FB4">
      <w:pPr>
        <w:pStyle w:val="Paragraphedeliste"/>
        <w:numPr>
          <w:ilvl w:val="0"/>
          <w:numId w:val="3"/>
        </w:numPr>
        <w:jc w:val="both"/>
        <w:rPr>
          <w:rFonts w:cstheme="minorHAnsi"/>
        </w:rPr>
      </w:pPr>
      <w:bookmarkStart w:id="18" w:name="_Toc401303680"/>
      <w:bookmarkStart w:id="19" w:name="_Toc401304823"/>
      <w:r w:rsidRPr="002F4AD9">
        <w:rPr>
          <w:rFonts w:cstheme="minorHAnsi"/>
        </w:rPr>
        <w:t xml:space="preserve">Les cartes </w:t>
      </w:r>
      <w:proofErr w:type="spellStart"/>
      <w:r w:rsidRPr="002F4AD9">
        <w:rPr>
          <w:rFonts w:cstheme="minorHAnsi"/>
        </w:rPr>
        <w:t>co</w:t>
      </w:r>
      <w:proofErr w:type="spellEnd"/>
      <w:r w:rsidRPr="002F4AD9">
        <w:rPr>
          <w:rFonts w:cstheme="minorHAnsi"/>
        </w:rPr>
        <w:t xml:space="preserve">-badgées CB/MasterCard et CB/Visa doivent être déclarées </w:t>
      </w:r>
      <w:r w:rsidR="006230CB" w:rsidRPr="002F4AD9">
        <w:rPr>
          <w:rFonts w:cstheme="minorHAnsi"/>
        </w:rPr>
        <w:t>dans chacun des schémas applicables</w:t>
      </w:r>
      <w:r w:rsidRPr="002F4AD9">
        <w:rPr>
          <w:rFonts w:cstheme="minorHAnsi"/>
        </w:rPr>
        <w:t>.</w:t>
      </w:r>
      <w:bookmarkEnd w:id="18"/>
      <w:bookmarkEnd w:id="19"/>
      <w:r w:rsidR="00331F77" w:rsidRPr="002F4AD9">
        <w:rPr>
          <w:rFonts w:cstheme="minorHAnsi"/>
        </w:rPr>
        <w:t xml:space="preserve"> Par conséquent, le nombre de cartes par mode (débit, débit différé, cré</w:t>
      </w:r>
      <w:r w:rsidR="002F4AD9" w:rsidRPr="002F4AD9">
        <w:rPr>
          <w:rFonts w:cstheme="minorHAnsi"/>
        </w:rPr>
        <w:t>dit) peut être inférieur à la so</w:t>
      </w:r>
      <w:r w:rsidR="00331F77" w:rsidRPr="002F4AD9">
        <w:rPr>
          <w:rFonts w:cstheme="minorHAnsi"/>
        </w:rPr>
        <w:t>mme de ces cartes ventilées par schéma de carte.</w:t>
      </w:r>
    </w:p>
    <w:p w14:paraId="605B240E" w14:textId="2B8BE84F" w:rsidR="007429D5" w:rsidRPr="00D801DF" w:rsidRDefault="00DD5786" w:rsidP="00594FDC">
      <w:pPr>
        <w:pStyle w:val="Paragraphedeliste"/>
        <w:numPr>
          <w:ilvl w:val="0"/>
          <w:numId w:val="3"/>
        </w:numPr>
        <w:autoSpaceDE w:val="0"/>
        <w:autoSpaceDN w:val="0"/>
        <w:adjustRightInd w:val="0"/>
        <w:spacing w:after="0" w:line="240" w:lineRule="auto"/>
        <w:jc w:val="both"/>
        <w:rPr>
          <w:rFonts w:cstheme="minorHAnsi"/>
        </w:rPr>
      </w:pPr>
      <w:r>
        <w:rPr>
          <w:rFonts w:cstheme="minorHAnsi"/>
        </w:rPr>
        <w:t>L</w:t>
      </w:r>
      <w:r w:rsidR="009D6819">
        <w:rPr>
          <w:rFonts w:cstheme="minorHAnsi"/>
        </w:rPr>
        <w:t>es « </w:t>
      </w:r>
      <w:r>
        <w:rPr>
          <w:rFonts w:cstheme="minorHAnsi"/>
        </w:rPr>
        <w:t>C</w:t>
      </w:r>
      <w:r w:rsidR="009D6819">
        <w:rPr>
          <w:rFonts w:cstheme="minorHAnsi"/>
        </w:rPr>
        <w:t>artes ayant une fonction de paiement »</w:t>
      </w:r>
      <w:r>
        <w:rPr>
          <w:rFonts w:cstheme="minorHAnsi"/>
        </w:rPr>
        <w:t xml:space="preserve"> </w:t>
      </w:r>
      <w:r w:rsidR="009D6819">
        <w:rPr>
          <w:rFonts w:cstheme="minorHAnsi"/>
        </w:rPr>
        <w:t xml:space="preserve">doivent être ventilées </w:t>
      </w:r>
      <w:r w:rsidR="009F76B2">
        <w:rPr>
          <w:rFonts w:cstheme="minorHAnsi"/>
        </w:rPr>
        <w:t>dans chacun des modes qu’elles proposent</w:t>
      </w:r>
      <w:r w:rsidR="00363A56">
        <w:rPr>
          <w:rFonts w:cstheme="minorHAnsi"/>
        </w:rPr>
        <w:t xml:space="preserve"> (débit, débit différé, crédit) et, afin d’éviter un double comptage, les sous-catégories ne doivent pas être additionnées.</w:t>
      </w:r>
    </w:p>
    <w:p w14:paraId="30C177D6" w14:textId="2AF6600E" w:rsidR="007578FE" w:rsidRPr="007578FE" w:rsidRDefault="007578FE" w:rsidP="007578FE">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tbl>
      <w:tblPr>
        <w:tblW w:w="9110" w:type="dxa"/>
        <w:tblInd w:w="-38" w:type="dxa"/>
        <w:tblLayout w:type="fixed"/>
        <w:tblCellMar>
          <w:left w:w="30" w:type="dxa"/>
          <w:right w:w="30" w:type="dxa"/>
        </w:tblCellMar>
        <w:tblLook w:val="0000" w:firstRow="0" w:lastRow="0" w:firstColumn="0" w:lastColumn="0" w:noHBand="0" w:noVBand="0"/>
      </w:tblPr>
      <w:tblGrid>
        <w:gridCol w:w="132"/>
        <w:gridCol w:w="233"/>
        <w:gridCol w:w="240"/>
        <w:gridCol w:w="284"/>
        <w:gridCol w:w="1417"/>
        <w:gridCol w:w="3828"/>
        <w:gridCol w:w="1134"/>
        <w:gridCol w:w="850"/>
        <w:gridCol w:w="992"/>
      </w:tblGrid>
      <w:tr w:rsidR="0001666E" w:rsidRPr="00865F4D" w14:paraId="57D3584A" w14:textId="42895C32" w:rsidTr="00572C5F">
        <w:trPr>
          <w:trHeight w:val="161"/>
        </w:trPr>
        <w:tc>
          <w:tcPr>
            <w:tcW w:w="6134" w:type="dxa"/>
            <w:gridSpan w:val="6"/>
            <w:tcBorders>
              <w:top w:val="single" w:sz="18" w:space="0" w:color="5B9BD5" w:themeColor="accent1"/>
              <w:bottom w:val="single" w:sz="18" w:space="0" w:color="5B9BD5" w:themeColor="accent1"/>
            </w:tcBorders>
            <w:shd w:val="solid" w:color="FFFFFF" w:fill="000000"/>
          </w:tcPr>
          <w:p w14:paraId="004AFCDD" w14:textId="77777777" w:rsidR="0001666E" w:rsidRPr="00736108" w:rsidRDefault="0001666E" w:rsidP="0001666E">
            <w:pPr>
              <w:autoSpaceDE w:val="0"/>
              <w:autoSpaceDN w:val="0"/>
              <w:adjustRightInd w:val="0"/>
              <w:spacing w:after="0" w:line="240" w:lineRule="auto"/>
              <w:jc w:val="both"/>
              <w:rPr>
                <w:rFonts w:cstheme="minorHAnsi"/>
                <w:bCs/>
                <w:sz w:val="14"/>
                <w:szCs w:val="16"/>
              </w:rPr>
            </w:pP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clear" w:color="auto" w:fill="A6A6A6" w:themeFill="background1" w:themeFillShade="A6"/>
          </w:tcPr>
          <w:p w14:paraId="1E9F959B" w14:textId="052607B5" w:rsidR="0001666E" w:rsidRPr="00736108" w:rsidRDefault="0001666E" w:rsidP="00102F9F">
            <w:pPr>
              <w:autoSpaceDE w:val="0"/>
              <w:autoSpaceDN w:val="0"/>
              <w:adjustRightInd w:val="0"/>
              <w:spacing w:after="0" w:line="240" w:lineRule="auto"/>
              <w:jc w:val="center"/>
              <w:rPr>
                <w:rFonts w:cstheme="minorHAnsi"/>
                <w:bCs/>
                <w:sz w:val="14"/>
                <w:szCs w:val="16"/>
              </w:rPr>
            </w:pPr>
          </w:p>
        </w:tc>
        <w:tc>
          <w:tcPr>
            <w:tcW w:w="850"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E912342" w14:textId="2874F114" w:rsidR="0001666E" w:rsidRPr="00736108" w:rsidRDefault="0001666E" w:rsidP="00102F9F">
            <w:pPr>
              <w:autoSpaceDE w:val="0"/>
              <w:autoSpaceDN w:val="0"/>
              <w:adjustRightInd w:val="0"/>
              <w:spacing w:after="0" w:line="240" w:lineRule="auto"/>
              <w:jc w:val="center"/>
              <w:rPr>
                <w:rFonts w:cstheme="minorHAnsi"/>
                <w:bCs/>
                <w:sz w:val="14"/>
                <w:szCs w:val="16"/>
              </w:rPr>
            </w:pPr>
            <w:r>
              <w:rPr>
                <w:rFonts w:cstheme="minorHAnsi"/>
                <w:b/>
                <w:bCs/>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29515CAA" w14:textId="77777777" w:rsidR="0001666E" w:rsidRDefault="0001666E" w:rsidP="00102F9F">
            <w:pPr>
              <w:autoSpaceDE w:val="0"/>
              <w:autoSpaceDN w:val="0"/>
              <w:adjustRightInd w:val="0"/>
              <w:spacing w:after="0" w:line="240" w:lineRule="auto"/>
              <w:jc w:val="center"/>
              <w:rPr>
                <w:rFonts w:cstheme="minorHAnsi"/>
                <w:b/>
                <w:bCs/>
                <w:sz w:val="14"/>
                <w:szCs w:val="18"/>
              </w:rPr>
            </w:pPr>
            <w:r>
              <w:rPr>
                <w:rFonts w:cstheme="minorHAnsi"/>
                <w:b/>
                <w:bCs/>
                <w:sz w:val="14"/>
                <w:szCs w:val="18"/>
              </w:rPr>
              <w:t>Valeur en</w:t>
            </w:r>
          </w:p>
          <w:p w14:paraId="2AA2BA7D" w14:textId="315CBBC7" w:rsidR="0001666E" w:rsidRPr="00736108" w:rsidRDefault="0001666E" w:rsidP="00102F9F">
            <w:pPr>
              <w:autoSpaceDE w:val="0"/>
              <w:autoSpaceDN w:val="0"/>
              <w:adjustRightInd w:val="0"/>
              <w:spacing w:after="0" w:line="240" w:lineRule="auto"/>
              <w:jc w:val="center"/>
              <w:rPr>
                <w:rFonts w:cstheme="minorHAnsi"/>
                <w:bCs/>
                <w:sz w:val="14"/>
                <w:szCs w:val="16"/>
              </w:rPr>
            </w:pPr>
            <w:proofErr w:type="gramStart"/>
            <w:r>
              <w:rPr>
                <w:rFonts w:cstheme="minorHAnsi"/>
                <w:b/>
                <w:bCs/>
                <w:sz w:val="14"/>
                <w:szCs w:val="18"/>
              </w:rPr>
              <w:t>euros</w:t>
            </w:r>
            <w:proofErr w:type="gramEnd"/>
          </w:p>
        </w:tc>
      </w:tr>
      <w:tr w:rsidR="0001666E" w:rsidRPr="00865F4D" w14:paraId="088FEF23" w14:textId="3FD91C76" w:rsidTr="00572C5F">
        <w:trPr>
          <w:trHeight w:val="161"/>
        </w:trPr>
        <w:tc>
          <w:tcPr>
            <w:tcW w:w="2306" w:type="dxa"/>
            <w:gridSpan w:val="5"/>
            <w:tcBorders>
              <w:top w:val="single" w:sz="18" w:space="0" w:color="5B9BD5" w:themeColor="accent1"/>
              <w:bottom w:val="single" w:sz="4" w:space="0" w:color="5B9BD5" w:themeColor="accent1"/>
              <w:right w:val="single" w:sz="4" w:space="0" w:color="5B9BD5" w:themeColor="accent1"/>
            </w:tcBorders>
            <w:shd w:val="solid" w:color="FFFFFF" w:fill="000000"/>
          </w:tcPr>
          <w:p w14:paraId="06A83CFE" w14:textId="77777777" w:rsidR="0001666E" w:rsidRPr="00736108" w:rsidRDefault="0001666E" w:rsidP="00DA1238">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Nombre total de cartes émises</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083D3CAB" w14:textId="0CCA42D8"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bCs/>
                <w:sz w:val="14"/>
                <w:szCs w:val="16"/>
              </w:rPr>
              <w:t>Quel que soit le nombre de fonctions de cartes.</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5764C7A5" w14:textId="77777777" w:rsidR="0001666E" w:rsidRPr="00736108" w:rsidRDefault="0001666E" w:rsidP="00865F4D">
            <w:pPr>
              <w:autoSpaceDE w:val="0"/>
              <w:autoSpaceDN w:val="0"/>
              <w:adjustRightInd w:val="0"/>
              <w:spacing w:after="0" w:line="240" w:lineRule="auto"/>
              <w:jc w:val="both"/>
              <w:rPr>
                <w:rFonts w:cstheme="minorHAnsi"/>
                <w:bCs/>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6B027126" w14:textId="77777777" w:rsidR="0001666E" w:rsidRPr="00736108" w:rsidRDefault="0001666E" w:rsidP="00865F4D">
            <w:pPr>
              <w:autoSpaceDE w:val="0"/>
              <w:autoSpaceDN w:val="0"/>
              <w:adjustRightInd w:val="0"/>
              <w:spacing w:after="0" w:line="240" w:lineRule="auto"/>
              <w:jc w:val="both"/>
              <w:rPr>
                <w:rFonts w:cstheme="minorHAnsi"/>
                <w:bCs/>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0725A68C" w14:textId="77777777" w:rsidR="0001666E" w:rsidRPr="00736108" w:rsidRDefault="0001666E" w:rsidP="00865F4D">
            <w:pPr>
              <w:autoSpaceDE w:val="0"/>
              <w:autoSpaceDN w:val="0"/>
              <w:adjustRightInd w:val="0"/>
              <w:spacing w:after="0" w:line="240" w:lineRule="auto"/>
              <w:jc w:val="both"/>
              <w:rPr>
                <w:rFonts w:cstheme="minorHAnsi"/>
                <w:bCs/>
                <w:sz w:val="14"/>
                <w:szCs w:val="16"/>
              </w:rPr>
            </w:pPr>
          </w:p>
        </w:tc>
      </w:tr>
      <w:tr w:rsidR="0001666E" w:rsidRPr="00865F4D" w14:paraId="481B1FFB" w14:textId="4A730DDE"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000000"/>
          </w:tcPr>
          <w:p w14:paraId="14D5B3E3" w14:textId="77777777" w:rsidR="0001666E" w:rsidRPr="00736108" w:rsidRDefault="0001666E" w:rsidP="00DA1238">
            <w:pPr>
              <w:autoSpaceDE w:val="0"/>
              <w:autoSpaceDN w:val="0"/>
              <w:adjustRightInd w:val="0"/>
              <w:spacing w:after="0" w:line="240" w:lineRule="auto"/>
              <w:jc w:val="right"/>
              <w:rPr>
                <w:rFonts w:cstheme="minorHAnsi"/>
                <w:b/>
                <w:bCs/>
                <w:color w:val="000000"/>
                <w:sz w:val="14"/>
                <w:szCs w:val="16"/>
              </w:rPr>
            </w:pPr>
          </w:p>
        </w:tc>
        <w:tc>
          <w:tcPr>
            <w:tcW w:w="2174"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562B858" w14:textId="77777777" w:rsidR="0001666E" w:rsidRPr="00736108" w:rsidRDefault="0001666E" w:rsidP="00DA1238">
            <w:pPr>
              <w:autoSpaceDE w:val="0"/>
              <w:autoSpaceDN w:val="0"/>
              <w:adjustRightInd w:val="0"/>
              <w:spacing w:after="0" w:line="240" w:lineRule="auto"/>
              <w:rPr>
                <w:rFonts w:cstheme="minorHAnsi"/>
                <w:bCs/>
                <w:color w:val="000000"/>
                <w:sz w:val="14"/>
                <w:szCs w:val="16"/>
              </w:rPr>
            </w:pPr>
            <w:r w:rsidRPr="00736108">
              <w:rPr>
                <w:rFonts w:cstheme="minorHAnsi"/>
                <w:bCs/>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tcPr>
          <w:p w14:paraId="19072AAA" w14:textId="6F5887D4"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 xml:space="preserve">Cartes émises par un établissement émetteur, membre du Groupement « Cartes Bancaires » (« CB »), et dont l’utilisation </w:t>
            </w:r>
            <w:r w:rsidR="00C55963">
              <w:rPr>
                <w:rFonts w:cstheme="minorHAnsi"/>
                <w:sz w:val="14"/>
                <w:szCs w:val="16"/>
              </w:rPr>
              <w:t>peut être</w:t>
            </w:r>
            <w:r w:rsidRPr="00736108">
              <w:rPr>
                <w:rFonts w:cstheme="minorHAnsi"/>
                <w:sz w:val="14"/>
                <w:szCs w:val="16"/>
              </w:rPr>
              <w:t xml:space="preserve"> régie par des règles CB.</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9DC6E43"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573FB132"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AE7E2A7"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4FF47D99" w14:textId="6CEEF4CF"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000000"/>
          </w:tcPr>
          <w:p w14:paraId="53A6B65A" w14:textId="77777777" w:rsidR="0001666E" w:rsidRPr="00736108" w:rsidRDefault="0001666E" w:rsidP="00DA1238">
            <w:pPr>
              <w:autoSpaceDE w:val="0"/>
              <w:autoSpaceDN w:val="0"/>
              <w:adjustRightInd w:val="0"/>
              <w:spacing w:after="0" w:line="240" w:lineRule="auto"/>
              <w:jc w:val="right"/>
              <w:rPr>
                <w:rFonts w:cstheme="minorHAnsi"/>
                <w:b/>
                <w:bCs/>
                <w:color w:val="000000"/>
                <w:sz w:val="14"/>
                <w:szCs w:val="16"/>
              </w:rPr>
            </w:pPr>
          </w:p>
        </w:tc>
        <w:tc>
          <w:tcPr>
            <w:tcW w:w="2174"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DAE7BA7" w14:textId="77777777" w:rsidR="0001666E" w:rsidRPr="00736108" w:rsidRDefault="0001666E" w:rsidP="00DA1238">
            <w:pPr>
              <w:autoSpaceDE w:val="0"/>
              <w:autoSpaceDN w:val="0"/>
              <w:adjustRightInd w:val="0"/>
              <w:spacing w:after="0" w:line="240" w:lineRule="auto"/>
              <w:rPr>
                <w:rFonts w:cstheme="minorHAnsi"/>
                <w:bCs/>
                <w:color w:val="000000"/>
                <w:sz w:val="14"/>
                <w:szCs w:val="16"/>
              </w:rPr>
            </w:pPr>
            <w:r w:rsidRPr="00736108">
              <w:rPr>
                <w:rFonts w:cstheme="minorHAnsi"/>
                <w:bCs/>
                <w:color w:val="000000"/>
                <w:sz w:val="14"/>
                <w:szCs w:val="16"/>
              </w:rPr>
              <w:t xml:space="preserve">Dont cartes interbancaires </w:t>
            </w:r>
            <w:proofErr w:type="gramStart"/>
            <w:r w:rsidRPr="00736108">
              <w:rPr>
                <w:rFonts w:cstheme="minorHAnsi"/>
                <w:bCs/>
                <w:color w:val="000000"/>
                <w:sz w:val="14"/>
                <w:szCs w:val="16"/>
              </w:rPr>
              <w:t>non CB</w:t>
            </w:r>
            <w:proofErr w:type="gramEnd"/>
          </w:p>
        </w:tc>
        <w:tc>
          <w:tcPr>
            <w:tcW w:w="3828" w:type="dxa"/>
            <w:tcBorders>
              <w:top w:val="single" w:sz="4" w:space="0" w:color="5B9BD5" w:themeColor="accent1"/>
              <w:left w:val="single" w:sz="4" w:space="0" w:color="5B9BD5" w:themeColor="accent1"/>
              <w:bottom w:val="single" w:sz="4" w:space="0" w:color="5B9BD5" w:themeColor="accent1"/>
            </w:tcBorders>
          </w:tcPr>
          <w:p w14:paraId="69190468" w14:textId="799DA248" w:rsidR="0001666E" w:rsidRPr="00736108" w:rsidRDefault="0001666E" w:rsidP="00C55963">
            <w:pPr>
              <w:autoSpaceDE w:val="0"/>
              <w:autoSpaceDN w:val="0"/>
              <w:adjustRightInd w:val="0"/>
              <w:spacing w:after="0" w:line="240" w:lineRule="auto"/>
              <w:jc w:val="both"/>
              <w:rPr>
                <w:rFonts w:cstheme="minorHAnsi"/>
                <w:bCs/>
                <w:color w:val="000000"/>
                <w:sz w:val="14"/>
                <w:szCs w:val="16"/>
              </w:rPr>
            </w:pPr>
            <w:r w:rsidRPr="00AC50C2">
              <w:rPr>
                <w:rFonts w:cstheme="minorHAnsi"/>
                <w:sz w:val="14"/>
                <w:szCs w:val="16"/>
              </w:rPr>
              <w:t xml:space="preserve">Cartes émises par un établissement émetteur dont l’utilisation </w:t>
            </w:r>
            <w:r w:rsidR="00C55963" w:rsidRPr="00AC50C2">
              <w:rPr>
                <w:rFonts w:cstheme="minorHAnsi"/>
                <w:sz w:val="14"/>
                <w:szCs w:val="16"/>
              </w:rPr>
              <w:t>peut être</w:t>
            </w:r>
            <w:r w:rsidRPr="00AC50C2">
              <w:rPr>
                <w:rFonts w:cstheme="minorHAnsi"/>
                <w:sz w:val="14"/>
                <w:szCs w:val="16"/>
              </w:rPr>
              <w:t xml:space="preserve"> régie par</w:t>
            </w:r>
            <w:r w:rsidR="00C55963" w:rsidRPr="00AC50C2">
              <w:rPr>
                <w:rFonts w:cstheme="minorHAnsi"/>
                <w:sz w:val="14"/>
                <w:szCs w:val="16"/>
              </w:rPr>
              <w:t xml:space="preserve"> d</w:t>
            </w:r>
            <w:r w:rsidRPr="00AC50C2">
              <w:rPr>
                <w:rFonts w:cstheme="minorHAnsi"/>
                <w:sz w:val="14"/>
                <w:szCs w:val="16"/>
              </w:rPr>
              <w:t>es règles</w:t>
            </w:r>
            <w:r w:rsidR="00C55963" w:rsidRPr="00AC50C2">
              <w:rPr>
                <w:rFonts w:cstheme="minorHAnsi"/>
                <w:sz w:val="14"/>
                <w:szCs w:val="16"/>
              </w:rPr>
              <w:t xml:space="preserve"> interbancaires </w:t>
            </w:r>
            <w:proofErr w:type="gramStart"/>
            <w:r w:rsidR="00C55963" w:rsidRPr="00AC50C2">
              <w:rPr>
                <w:rFonts w:cstheme="minorHAnsi"/>
                <w:sz w:val="14"/>
                <w:szCs w:val="16"/>
              </w:rPr>
              <w:t>non CB</w:t>
            </w:r>
            <w:proofErr w:type="gramEnd"/>
            <w:r w:rsidR="00C55963" w:rsidRPr="00AC50C2">
              <w:rPr>
                <w:rFonts w:cstheme="minorHAnsi"/>
                <w:sz w:val="14"/>
                <w:szCs w:val="16"/>
              </w:rPr>
              <w:t xml:space="preserve"> (exemple : cartes </w:t>
            </w:r>
            <w:proofErr w:type="spellStart"/>
            <w:r w:rsidR="00C55963" w:rsidRPr="00AC50C2">
              <w:rPr>
                <w:rFonts w:cstheme="minorHAnsi"/>
                <w:sz w:val="14"/>
                <w:szCs w:val="16"/>
              </w:rPr>
              <w:t>co</w:t>
            </w:r>
            <w:proofErr w:type="spellEnd"/>
            <w:r w:rsidR="00C55963" w:rsidRPr="00AC50C2">
              <w:rPr>
                <w:rFonts w:cstheme="minorHAnsi"/>
                <w:sz w:val="14"/>
                <w:szCs w:val="16"/>
              </w:rPr>
              <w:t>-badgée</w:t>
            </w:r>
            <w:r w:rsidR="0025744E" w:rsidRPr="00AC50C2">
              <w:rPr>
                <w:rFonts w:cstheme="minorHAnsi"/>
                <w:sz w:val="14"/>
                <w:szCs w:val="16"/>
              </w:rPr>
              <w:t>s</w:t>
            </w:r>
            <w:r w:rsidR="00C55963" w:rsidRPr="00AC50C2">
              <w:rPr>
                <w:rFonts w:cstheme="minorHAnsi"/>
                <w:sz w:val="14"/>
                <w:szCs w:val="16"/>
              </w:rPr>
              <w:t>, carte</w:t>
            </w:r>
            <w:r w:rsidR="005654FF" w:rsidRPr="00AC50C2">
              <w:rPr>
                <w:rFonts w:cstheme="minorHAnsi"/>
                <w:sz w:val="14"/>
                <w:szCs w:val="16"/>
              </w:rPr>
              <w:t xml:space="preserve">s Mastercard </w:t>
            </w:r>
            <w:proofErr w:type="spellStart"/>
            <w:r w:rsidR="005654FF" w:rsidRPr="00AC50C2">
              <w:rPr>
                <w:rFonts w:cstheme="minorHAnsi"/>
                <w:i/>
                <w:sz w:val="14"/>
                <w:szCs w:val="16"/>
              </w:rPr>
              <w:t>only</w:t>
            </w:r>
            <w:proofErr w:type="spellEnd"/>
            <w:r w:rsidR="005654FF" w:rsidRPr="00AC50C2">
              <w:rPr>
                <w:rFonts w:cstheme="minorHAnsi"/>
                <w:sz w:val="14"/>
                <w:szCs w:val="16"/>
              </w:rPr>
              <w:t xml:space="preserve">, ou Visa </w:t>
            </w:r>
            <w:proofErr w:type="spellStart"/>
            <w:r w:rsidR="005654FF" w:rsidRPr="00AC50C2">
              <w:rPr>
                <w:rFonts w:cstheme="minorHAnsi"/>
                <w:i/>
                <w:sz w:val="14"/>
                <w:szCs w:val="16"/>
              </w:rPr>
              <w:t>only</w:t>
            </w:r>
            <w:proofErr w:type="spellEnd"/>
            <w:r w:rsidRPr="00AC50C2">
              <w:rPr>
                <w:rFonts w:cstheme="minorHAnsi"/>
                <w:sz w:val="14"/>
                <w:szCs w:val="16"/>
              </w:rPr>
              <w:t>).</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151D8C0"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0E3271E4"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632A8BB"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6E35299C" w14:textId="007FC768" w:rsidTr="00572C5F">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000000"/>
          </w:tcPr>
          <w:p w14:paraId="718347F2" w14:textId="77777777" w:rsidR="0001666E" w:rsidRPr="00736108" w:rsidRDefault="0001666E" w:rsidP="00DA1238">
            <w:pPr>
              <w:autoSpaceDE w:val="0"/>
              <w:autoSpaceDN w:val="0"/>
              <w:adjustRightInd w:val="0"/>
              <w:spacing w:after="0" w:line="240" w:lineRule="auto"/>
              <w:jc w:val="right"/>
              <w:rPr>
                <w:rFonts w:cstheme="minorHAnsi"/>
                <w:b/>
                <w:bCs/>
                <w:color w:val="000000"/>
                <w:sz w:val="14"/>
                <w:szCs w:val="16"/>
              </w:rPr>
            </w:pPr>
          </w:p>
        </w:tc>
        <w:tc>
          <w:tcPr>
            <w:tcW w:w="2174"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46C084C" w14:textId="77777777" w:rsidR="0001666E" w:rsidRPr="00736108" w:rsidRDefault="0001666E" w:rsidP="00DA1238">
            <w:pPr>
              <w:autoSpaceDE w:val="0"/>
              <w:autoSpaceDN w:val="0"/>
              <w:adjustRightInd w:val="0"/>
              <w:spacing w:after="0" w:line="240" w:lineRule="auto"/>
              <w:rPr>
                <w:rFonts w:cstheme="minorHAnsi"/>
                <w:bCs/>
                <w:color w:val="000000"/>
                <w:sz w:val="14"/>
                <w:szCs w:val="16"/>
              </w:rPr>
            </w:pPr>
            <w:r w:rsidRPr="00736108">
              <w:rPr>
                <w:rFonts w:cstheme="minorHAnsi"/>
                <w:bCs/>
                <w:color w:val="000000"/>
                <w:sz w:val="14"/>
                <w:szCs w:val="16"/>
              </w:rPr>
              <w:t>Dont cartes privatives</w:t>
            </w:r>
          </w:p>
        </w:tc>
        <w:tc>
          <w:tcPr>
            <w:tcW w:w="3828" w:type="dxa"/>
            <w:tcBorders>
              <w:top w:val="single" w:sz="4" w:space="0" w:color="5B9BD5" w:themeColor="accent1"/>
              <w:left w:val="single" w:sz="4" w:space="0" w:color="5B9BD5" w:themeColor="accent1"/>
              <w:bottom w:val="single" w:sz="4" w:space="0" w:color="5B9BD5" w:themeColor="accent1"/>
            </w:tcBorders>
          </w:tcPr>
          <w:p w14:paraId="28FD94BB" w14:textId="2D2A8074"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 xml:space="preserve">Cartes pour lesquelles il existe un nombre réduit d’établissements émetteur et acquéreurs. Une carte privative est une carte dont l'utilisation n'est pas régie par des règles </w:t>
            </w:r>
            <w:proofErr w:type="gramStart"/>
            <w:r w:rsidRPr="00736108">
              <w:rPr>
                <w:rFonts w:cstheme="minorHAnsi"/>
                <w:sz w:val="14"/>
                <w:szCs w:val="16"/>
              </w:rPr>
              <w:t>interbancaires;</w:t>
            </w:r>
            <w:proofErr w:type="gramEnd"/>
            <w:r w:rsidRPr="00736108">
              <w:rPr>
                <w:rFonts w:cstheme="minorHAnsi"/>
                <w:sz w:val="14"/>
                <w:szCs w:val="16"/>
              </w:rPr>
              <w:t xml:space="preserve"> elle peut être émise par un "grand émetteur" qui en effectue lui-même la gestion mais pas nécessairement la distribution (ex : American Express, Diners) ou émise par un établissement habilité, pour le compte d’un ou de plusieurs commerçants (dans le cadre d'un programme de fidélisation et/ou de l'utilisation d’un crédit). Carte offrant </w:t>
            </w:r>
            <w:r w:rsidRPr="00736108">
              <w:rPr>
                <w:rFonts w:cstheme="minorHAnsi"/>
                <w:i/>
                <w:sz w:val="14"/>
                <w:szCs w:val="16"/>
              </w:rPr>
              <w:t>a minima</w:t>
            </w:r>
            <w:r w:rsidRPr="00736108">
              <w:rPr>
                <w:rFonts w:cstheme="minorHAnsi"/>
                <w:sz w:val="14"/>
                <w:szCs w:val="16"/>
              </w:rPr>
              <w:t xml:space="preserve"> la fonction « paiement », soit en mode débit soit en mode crédit.</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58842AA"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20B950EB"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111A078"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127F2BF4" w14:textId="5C460491" w:rsidTr="00572C5F">
        <w:trPr>
          <w:trHeight w:val="259"/>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000000"/>
          </w:tcPr>
          <w:p w14:paraId="088A334C" w14:textId="77777777" w:rsidR="0001666E" w:rsidRPr="00736108" w:rsidRDefault="0001666E" w:rsidP="00DA1238">
            <w:pPr>
              <w:autoSpaceDE w:val="0"/>
              <w:autoSpaceDN w:val="0"/>
              <w:adjustRightInd w:val="0"/>
              <w:spacing w:after="0" w:line="240" w:lineRule="auto"/>
              <w:jc w:val="right"/>
              <w:rPr>
                <w:rFonts w:cstheme="minorHAnsi"/>
                <w:b/>
                <w:bCs/>
                <w:color w:val="000000"/>
                <w:sz w:val="14"/>
                <w:szCs w:val="16"/>
              </w:rPr>
            </w:pPr>
          </w:p>
        </w:tc>
        <w:tc>
          <w:tcPr>
            <w:tcW w:w="2174" w:type="dxa"/>
            <w:gridSpan w:val="4"/>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38DE9432" w14:textId="77777777" w:rsidR="0001666E" w:rsidRPr="00736108" w:rsidRDefault="0001666E" w:rsidP="00DA1238">
            <w:pPr>
              <w:autoSpaceDE w:val="0"/>
              <w:autoSpaceDN w:val="0"/>
              <w:adjustRightInd w:val="0"/>
              <w:spacing w:after="0" w:line="240" w:lineRule="auto"/>
              <w:rPr>
                <w:rFonts w:cstheme="minorHAnsi"/>
                <w:bCs/>
                <w:color w:val="000000"/>
                <w:sz w:val="14"/>
                <w:szCs w:val="16"/>
              </w:rPr>
            </w:pPr>
            <w:r w:rsidRPr="00736108">
              <w:rPr>
                <w:rFonts w:cstheme="minorHAnsi"/>
                <w:bCs/>
                <w:color w:val="000000"/>
                <w:sz w:val="14"/>
                <w:szCs w:val="16"/>
              </w:rPr>
              <w:t>Dont cartes de retraits propriétaires</w:t>
            </w:r>
          </w:p>
        </w:tc>
        <w:tc>
          <w:tcPr>
            <w:tcW w:w="3828" w:type="dxa"/>
            <w:tcBorders>
              <w:top w:val="single" w:sz="4" w:space="0" w:color="5B9BD5" w:themeColor="accent1"/>
              <w:left w:val="single" w:sz="4" w:space="0" w:color="5B9BD5" w:themeColor="accent1"/>
              <w:bottom w:val="single" w:sz="18" w:space="0" w:color="5B9BD5" w:themeColor="accent1"/>
            </w:tcBorders>
          </w:tcPr>
          <w:p w14:paraId="5B8BF3D3" w14:textId="528EB516"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Cartes offrant la fonction « retrait » uniquement et qui ne peuvent être utilisées que sur les DAB/GAB de l’établissement qui les a émises ou du groupe auquel il appartient.</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76E3FA94"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tcPr>
          <w:p w14:paraId="4B093B2F"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052A2657"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28FD78F6" w14:textId="3D0D8E27"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33C5F7CC" w14:textId="77777777" w:rsidR="0001666E" w:rsidRPr="00736108" w:rsidRDefault="0001666E" w:rsidP="00DA1238">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lastRenderedPageBreak/>
              <w:t xml:space="preserve"> </w:t>
            </w:r>
          </w:p>
        </w:tc>
        <w:tc>
          <w:tcPr>
            <w:tcW w:w="2174"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4CC023E0" w14:textId="77777777" w:rsidR="0001666E" w:rsidRPr="00736108" w:rsidRDefault="0001666E" w:rsidP="00DA1238">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ayant une fonction combinée (débit, espèces et monnaie électronique)</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1659FFB0" w14:textId="5EB59B73"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Cartes qui combinent au moins deux fonctions parmi les fonctions de débit, espèces et monnaie électronique.</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5DC5A403"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249FFD1D"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4C1350FF"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2CC35E94" w14:textId="1C1736E2"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F16392E"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29C5BF3"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38042A2"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04858CC0" w14:textId="7BFCBF41"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13DDD39" w14:textId="77777777" w:rsidR="0001666E" w:rsidRPr="00736108" w:rsidRDefault="0001666E" w:rsidP="00865F4D">
            <w:pPr>
              <w:autoSpaceDE w:val="0"/>
              <w:autoSpaceDN w:val="0"/>
              <w:adjustRightInd w:val="0"/>
              <w:spacing w:after="0" w:line="240" w:lineRule="auto"/>
              <w:jc w:val="both"/>
              <w:rPr>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1ABAE246" w14:textId="77777777" w:rsidR="0001666E" w:rsidRPr="00736108" w:rsidRDefault="0001666E" w:rsidP="00865F4D">
            <w:pPr>
              <w:autoSpaceDE w:val="0"/>
              <w:autoSpaceDN w:val="0"/>
              <w:adjustRightInd w:val="0"/>
              <w:spacing w:after="0" w:line="240" w:lineRule="auto"/>
              <w:jc w:val="both"/>
              <w:rPr>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1A13353" w14:textId="77777777" w:rsidR="0001666E" w:rsidRPr="00736108" w:rsidRDefault="0001666E" w:rsidP="00865F4D">
            <w:pPr>
              <w:autoSpaceDE w:val="0"/>
              <w:autoSpaceDN w:val="0"/>
              <w:adjustRightInd w:val="0"/>
              <w:spacing w:after="0" w:line="240" w:lineRule="auto"/>
              <w:jc w:val="both"/>
              <w:rPr>
                <w:sz w:val="14"/>
                <w:szCs w:val="16"/>
              </w:rPr>
            </w:pPr>
          </w:p>
        </w:tc>
      </w:tr>
      <w:tr w:rsidR="0001666E" w:rsidRPr="00865F4D" w14:paraId="4B0701BC" w14:textId="603ACBF8"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5E102702"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CB5705D"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7A46432"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Dont cartes interbancaires </w:t>
            </w:r>
            <w:proofErr w:type="gramStart"/>
            <w:r w:rsidRPr="00736108">
              <w:rPr>
                <w:rFonts w:cstheme="minorHAnsi"/>
                <w:color w:val="000000"/>
                <w:sz w:val="14"/>
                <w:szCs w:val="16"/>
              </w:rPr>
              <w:t>non CB</w:t>
            </w:r>
            <w:proofErr w:type="gramEnd"/>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3D10C430" w14:textId="2A421893"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94987B6" w14:textId="77777777" w:rsidR="0001666E" w:rsidRPr="00736108" w:rsidRDefault="0001666E" w:rsidP="00865F4D">
            <w:pPr>
              <w:autoSpaceDE w:val="0"/>
              <w:autoSpaceDN w:val="0"/>
              <w:adjustRightInd w:val="0"/>
              <w:spacing w:after="0" w:line="240" w:lineRule="auto"/>
              <w:jc w:val="both"/>
              <w:rPr>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77D2D221" w14:textId="77777777" w:rsidR="0001666E" w:rsidRPr="00736108" w:rsidRDefault="0001666E" w:rsidP="00865F4D">
            <w:pPr>
              <w:autoSpaceDE w:val="0"/>
              <w:autoSpaceDN w:val="0"/>
              <w:adjustRightInd w:val="0"/>
              <w:spacing w:after="0" w:line="240" w:lineRule="auto"/>
              <w:jc w:val="both"/>
              <w:rPr>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AAFDA9C" w14:textId="77777777" w:rsidR="0001666E" w:rsidRPr="00736108" w:rsidRDefault="0001666E" w:rsidP="00865F4D">
            <w:pPr>
              <w:autoSpaceDE w:val="0"/>
              <w:autoSpaceDN w:val="0"/>
              <w:adjustRightInd w:val="0"/>
              <w:spacing w:after="0" w:line="240" w:lineRule="auto"/>
              <w:jc w:val="both"/>
              <w:rPr>
                <w:sz w:val="14"/>
                <w:szCs w:val="16"/>
              </w:rPr>
            </w:pPr>
          </w:p>
        </w:tc>
      </w:tr>
      <w:tr w:rsidR="0001666E" w:rsidRPr="00865F4D" w14:paraId="53FC0793" w14:textId="576273A1" w:rsidTr="00572C5F">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66DA5ECA"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2734EE3"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CA63CB1"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7897A734" w14:textId="44B591E6"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C656C7D" w14:textId="77777777" w:rsidR="0001666E" w:rsidRPr="00736108" w:rsidRDefault="0001666E" w:rsidP="00865F4D">
            <w:pPr>
              <w:autoSpaceDE w:val="0"/>
              <w:autoSpaceDN w:val="0"/>
              <w:adjustRightInd w:val="0"/>
              <w:spacing w:after="0" w:line="240" w:lineRule="auto"/>
              <w:jc w:val="both"/>
              <w:rPr>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02F90B69" w14:textId="77777777" w:rsidR="0001666E" w:rsidRPr="00736108" w:rsidRDefault="0001666E" w:rsidP="00865F4D">
            <w:pPr>
              <w:autoSpaceDE w:val="0"/>
              <w:autoSpaceDN w:val="0"/>
              <w:adjustRightInd w:val="0"/>
              <w:spacing w:after="0" w:line="240" w:lineRule="auto"/>
              <w:jc w:val="both"/>
              <w:rPr>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6FAC2F9" w14:textId="77777777" w:rsidR="0001666E" w:rsidRPr="00736108" w:rsidRDefault="0001666E" w:rsidP="00865F4D">
            <w:pPr>
              <w:autoSpaceDE w:val="0"/>
              <w:autoSpaceDN w:val="0"/>
              <w:adjustRightInd w:val="0"/>
              <w:spacing w:after="0" w:line="240" w:lineRule="auto"/>
              <w:jc w:val="both"/>
              <w:rPr>
                <w:sz w:val="14"/>
                <w:szCs w:val="16"/>
              </w:rPr>
            </w:pPr>
          </w:p>
        </w:tc>
      </w:tr>
      <w:tr w:rsidR="0001666E" w:rsidRPr="00865F4D" w14:paraId="5876FDDA" w14:textId="0D16C259" w:rsidTr="00572C5F">
        <w:trPr>
          <w:trHeight w:val="259"/>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06BB717D"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5FFD8F24"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1D6943E7"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de retraits propriétaires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477638F2" w14:textId="04AAFDE0"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763C33B8" w14:textId="77777777" w:rsidR="0001666E" w:rsidRPr="00736108" w:rsidRDefault="0001666E" w:rsidP="00865F4D">
            <w:pPr>
              <w:autoSpaceDE w:val="0"/>
              <w:autoSpaceDN w:val="0"/>
              <w:adjustRightInd w:val="0"/>
              <w:spacing w:after="0" w:line="240" w:lineRule="auto"/>
              <w:jc w:val="both"/>
              <w:rPr>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13D8243C" w14:textId="77777777" w:rsidR="0001666E" w:rsidRPr="00736108" w:rsidRDefault="0001666E" w:rsidP="00865F4D">
            <w:pPr>
              <w:autoSpaceDE w:val="0"/>
              <w:autoSpaceDN w:val="0"/>
              <w:adjustRightInd w:val="0"/>
              <w:spacing w:after="0" w:line="240" w:lineRule="auto"/>
              <w:jc w:val="both"/>
              <w:rPr>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3D2A756C" w14:textId="77777777" w:rsidR="0001666E" w:rsidRPr="00736108" w:rsidRDefault="0001666E" w:rsidP="00865F4D">
            <w:pPr>
              <w:autoSpaceDE w:val="0"/>
              <w:autoSpaceDN w:val="0"/>
              <w:adjustRightInd w:val="0"/>
              <w:spacing w:after="0" w:line="240" w:lineRule="auto"/>
              <w:jc w:val="both"/>
              <w:rPr>
                <w:sz w:val="14"/>
                <w:szCs w:val="16"/>
              </w:rPr>
            </w:pPr>
          </w:p>
        </w:tc>
      </w:tr>
      <w:tr w:rsidR="0001666E" w:rsidRPr="00865F4D" w14:paraId="0687EE86" w14:textId="20E786B4"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67F5851C" w14:textId="77777777" w:rsidR="0001666E" w:rsidRPr="00736108" w:rsidRDefault="0001666E" w:rsidP="00DA1238">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174"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5100791C" w14:textId="77777777" w:rsidR="0001666E" w:rsidRPr="00736108" w:rsidRDefault="0001666E" w:rsidP="00DA1238">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ayant une fonction espèces</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73172C29" w14:textId="43277B09"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Cartes permettant aux porteurs de retirer ou de déposer des espèces à un GAB.</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5377A572"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2CE8C737"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6D277264"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3912AB5F" w14:textId="1D5C5FB7"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7D646B3"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2630775"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C2209D2"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26D6DA5" w14:textId="32E78CCE"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1B5D250" w14:textId="77777777" w:rsidR="0001666E" w:rsidRPr="00736108" w:rsidRDefault="0001666E" w:rsidP="00865F4D">
            <w:pPr>
              <w:autoSpaceDE w:val="0"/>
              <w:autoSpaceDN w:val="0"/>
              <w:adjustRightInd w:val="0"/>
              <w:spacing w:after="0" w:line="240" w:lineRule="auto"/>
              <w:jc w:val="both"/>
              <w:rPr>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29568AD1" w14:textId="77777777" w:rsidR="0001666E" w:rsidRPr="00736108" w:rsidRDefault="0001666E" w:rsidP="00865F4D">
            <w:pPr>
              <w:autoSpaceDE w:val="0"/>
              <w:autoSpaceDN w:val="0"/>
              <w:adjustRightInd w:val="0"/>
              <w:spacing w:after="0" w:line="240" w:lineRule="auto"/>
              <w:jc w:val="both"/>
              <w:rPr>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BD0ACD8" w14:textId="77777777" w:rsidR="0001666E" w:rsidRPr="00736108" w:rsidRDefault="0001666E" w:rsidP="00865F4D">
            <w:pPr>
              <w:autoSpaceDE w:val="0"/>
              <w:autoSpaceDN w:val="0"/>
              <w:adjustRightInd w:val="0"/>
              <w:spacing w:after="0" w:line="240" w:lineRule="auto"/>
              <w:jc w:val="both"/>
              <w:rPr>
                <w:sz w:val="14"/>
                <w:szCs w:val="16"/>
              </w:rPr>
            </w:pPr>
          </w:p>
        </w:tc>
      </w:tr>
      <w:tr w:rsidR="0001666E" w:rsidRPr="00865F4D" w14:paraId="46A6FD4D" w14:textId="0F83D19C"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C452BC3"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4AC9FEC"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D7FF089"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Dont cartes interbancaires </w:t>
            </w:r>
            <w:proofErr w:type="gramStart"/>
            <w:r w:rsidRPr="00736108">
              <w:rPr>
                <w:rFonts w:cstheme="minorHAnsi"/>
                <w:color w:val="000000"/>
                <w:sz w:val="14"/>
                <w:szCs w:val="16"/>
              </w:rPr>
              <w:t>non CB</w:t>
            </w:r>
            <w:proofErr w:type="gramEnd"/>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DB3C11A" w14:textId="7811981E"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A17924A" w14:textId="77777777" w:rsidR="0001666E" w:rsidRPr="00736108" w:rsidRDefault="0001666E" w:rsidP="00865F4D">
            <w:pPr>
              <w:autoSpaceDE w:val="0"/>
              <w:autoSpaceDN w:val="0"/>
              <w:adjustRightInd w:val="0"/>
              <w:spacing w:after="0" w:line="240" w:lineRule="auto"/>
              <w:jc w:val="both"/>
              <w:rPr>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559A7ED3" w14:textId="77777777" w:rsidR="0001666E" w:rsidRPr="00736108" w:rsidRDefault="0001666E" w:rsidP="00865F4D">
            <w:pPr>
              <w:autoSpaceDE w:val="0"/>
              <w:autoSpaceDN w:val="0"/>
              <w:adjustRightInd w:val="0"/>
              <w:spacing w:after="0" w:line="240" w:lineRule="auto"/>
              <w:jc w:val="both"/>
              <w:rPr>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F0CF9F4" w14:textId="77777777" w:rsidR="0001666E" w:rsidRPr="00736108" w:rsidRDefault="0001666E" w:rsidP="00865F4D">
            <w:pPr>
              <w:autoSpaceDE w:val="0"/>
              <w:autoSpaceDN w:val="0"/>
              <w:adjustRightInd w:val="0"/>
              <w:spacing w:after="0" w:line="240" w:lineRule="auto"/>
              <w:jc w:val="both"/>
              <w:rPr>
                <w:sz w:val="14"/>
                <w:szCs w:val="16"/>
              </w:rPr>
            </w:pPr>
          </w:p>
        </w:tc>
      </w:tr>
      <w:tr w:rsidR="0001666E" w:rsidRPr="00865F4D" w14:paraId="0CEF2E6A" w14:textId="3FDDECE4" w:rsidTr="00572C5F">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0F5058A4"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8653ADC"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E8FD4FF"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6EB18188" w14:textId="5605BC92"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22DD83A" w14:textId="77777777" w:rsidR="0001666E" w:rsidRPr="00736108" w:rsidRDefault="0001666E" w:rsidP="00865F4D">
            <w:pPr>
              <w:autoSpaceDE w:val="0"/>
              <w:autoSpaceDN w:val="0"/>
              <w:adjustRightInd w:val="0"/>
              <w:spacing w:after="0" w:line="240" w:lineRule="auto"/>
              <w:jc w:val="both"/>
              <w:rPr>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5DA91F94" w14:textId="77777777" w:rsidR="0001666E" w:rsidRPr="00736108" w:rsidRDefault="0001666E" w:rsidP="00865F4D">
            <w:pPr>
              <w:autoSpaceDE w:val="0"/>
              <w:autoSpaceDN w:val="0"/>
              <w:adjustRightInd w:val="0"/>
              <w:spacing w:after="0" w:line="240" w:lineRule="auto"/>
              <w:jc w:val="both"/>
              <w:rPr>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FD5CC35" w14:textId="77777777" w:rsidR="0001666E" w:rsidRPr="00736108" w:rsidRDefault="0001666E" w:rsidP="00865F4D">
            <w:pPr>
              <w:autoSpaceDE w:val="0"/>
              <w:autoSpaceDN w:val="0"/>
              <w:adjustRightInd w:val="0"/>
              <w:spacing w:after="0" w:line="240" w:lineRule="auto"/>
              <w:jc w:val="both"/>
              <w:rPr>
                <w:sz w:val="14"/>
                <w:szCs w:val="16"/>
              </w:rPr>
            </w:pPr>
          </w:p>
        </w:tc>
      </w:tr>
      <w:tr w:rsidR="0001666E" w:rsidRPr="00865F4D" w14:paraId="1E40462F" w14:textId="0807DDE1" w:rsidTr="00572C5F">
        <w:trPr>
          <w:trHeight w:val="259"/>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4ED443F7"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4040420F"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7C32FF6E"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de retraits propriétaires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1D2C3088" w14:textId="352008AD"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55E7F084" w14:textId="77777777" w:rsidR="0001666E" w:rsidRPr="00736108" w:rsidRDefault="0001666E" w:rsidP="00865F4D">
            <w:pPr>
              <w:autoSpaceDE w:val="0"/>
              <w:autoSpaceDN w:val="0"/>
              <w:adjustRightInd w:val="0"/>
              <w:spacing w:after="0" w:line="240" w:lineRule="auto"/>
              <w:jc w:val="both"/>
              <w:rPr>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33798C9E" w14:textId="77777777" w:rsidR="0001666E" w:rsidRPr="00736108" w:rsidRDefault="0001666E" w:rsidP="00865F4D">
            <w:pPr>
              <w:autoSpaceDE w:val="0"/>
              <w:autoSpaceDN w:val="0"/>
              <w:adjustRightInd w:val="0"/>
              <w:spacing w:after="0" w:line="240" w:lineRule="auto"/>
              <w:jc w:val="both"/>
              <w:rPr>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30D7C54D" w14:textId="77777777" w:rsidR="0001666E" w:rsidRPr="00736108" w:rsidRDefault="0001666E" w:rsidP="00865F4D">
            <w:pPr>
              <w:autoSpaceDE w:val="0"/>
              <w:autoSpaceDN w:val="0"/>
              <w:adjustRightInd w:val="0"/>
              <w:spacing w:after="0" w:line="240" w:lineRule="auto"/>
              <w:jc w:val="both"/>
              <w:rPr>
                <w:sz w:val="14"/>
                <w:szCs w:val="16"/>
              </w:rPr>
            </w:pPr>
          </w:p>
        </w:tc>
      </w:tr>
      <w:tr w:rsidR="0001666E" w:rsidRPr="00865F4D" w14:paraId="18B9B2C0" w14:textId="60B8D62A"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22D14D39" w14:textId="77777777" w:rsidR="0001666E" w:rsidRPr="00736108" w:rsidRDefault="0001666E" w:rsidP="00DA1238">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174"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528C3682" w14:textId="77777777" w:rsidR="0001666E" w:rsidRPr="00736108" w:rsidRDefault="0001666E" w:rsidP="00DA1238">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ayant une fonction de paiement</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323CF121"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bCs/>
                <w:color w:val="000000"/>
                <w:sz w:val="14"/>
                <w:szCs w:val="16"/>
              </w:rPr>
              <w:t xml:space="preserve">Cartes disposant d’au moins un des modes </w:t>
            </w:r>
            <w:proofErr w:type="gramStart"/>
            <w:r w:rsidRPr="00736108">
              <w:rPr>
                <w:rFonts w:cstheme="minorHAnsi"/>
                <w:bCs/>
                <w:color w:val="000000"/>
                <w:sz w:val="14"/>
                <w:szCs w:val="16"/>
              </w:rPr>
              <w:t>suivants:</w:t>
            </w:r>
            <w:proofErr w:type="gramEnd"/>
            <w:r w:rsidRPr="00736108">
              <w:rPr>
                <w:rFonts w:cstheme="minorHAnsi"/>
                <w:bCs/>
                <w:color w:val="000000"/>
                <w:sz w:val="14"/>
                <w:szCs w:val="16"/>
              </w:rPr>
              <w:t xml:space="preserve"> débit, débit différé ou crédit. Elles peuvent également disposer d’autres fonctions comme une fonction monnaie électronique.</w:t>
            </w:r>
          </w:p>
          <w:p w14:paraId="66FB58D3"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bCs/>
                <w:color w:val="000000"/>
                <w:sz w:val="14"/>
                <w:szCs w:val="16"/>
              </w:rPr>
              <w:t>Exclues :</w:t>
            </w:r>
          </w:p>
          <w:p w14:paraId="36BCBEBB" w14:textId="538B8EB0"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bCs/>
                <w:color w:val="000000"/>
                <w:sz w:val="14"/>
                <w:szCs w:val="16"/>
              </w:rPr>
              <w:t>•</w:t>
            </w:r>
            <w:r w:rsidRPr="00736108">
              <w:rPr>
                <w:rFonts w:cstheme="minorHAnsi"/>
                <w:bCs/>
                <w:color w:val="000000"/>
                <w:sz w:val="14"/>
                <w:szCs w:val="16"/>
              </w:rPr>
              <w:tab/>
              <w:t>Cartes ayant uniquement une fonction monnaie électronique.</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0CCCCF35"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7A029CF0"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2DFCF621"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p>
        </w:tc>
      </w:tr>
      <w:tr w:rsidR="0001666E" w:rsidRPr="00865F4D" w14:paraId="3AE7D2F3" w14:textId="5C7B26E7"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70B355C"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40ADA71"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F6B20F4"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D6C9BED" w14:textId="325EB80F"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46B5510"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5D7D4870"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B9060BA"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41A7BD2E" w14:textId="6CDBC697"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6A948E7D"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02B45EC"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72659E1"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Dont cartes interbancaires </w:t>
            </w:r>
            <w:proofErr w:type="gramStart"/>
            <w:r w:rsidRPr="00736108">
              <w:rPr>
                <w:rFonts w:cstheme="minorHAnsi"/>
                <w:color w:val="000000"/>
                <w:sz w:val="14"/>
                <w:szCs w:val="16"/>
              </w:rPr>
              <w:t>non CB</w:t>
            </w:r>
            <w:proofErr w:type="gramEnd"/>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1D33A97" w14:textId="76C7E78B"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43B9667"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783FD12B"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65E74FC"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04DD3B33" w14:textId="30BAB134" w:rsidTr="00572C5F">
        <w:trPr>
          <w:trHeight w:val="168"/>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5B1173D6"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4795C8AF"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5840C9A6"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6B372661" w14:textId="6E0AC65D"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5E2509E7"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4A95B489"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052CE093"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093089D7" w14:textId="25B02239"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3634CE59" w14:textId="77777777" w:rsidR="0001666E" w:rsidRPr="00736108" w:rsidRDefault="0001666E" w:rsidP="00DA1238">
            <w:pPr>
              <w:autoSpaceDE w:val="0"/>
              <w:autoSpaceDN w:val="0"/>
              <w:adjustRightInd w:val="0"/>
              <w:spacing w:after="0" w:line="240" w:lineRule="auto"/>
              <w:rPr>
                <w:rFonts w:cstheme="minorHAnsi"/>
                <w:color w:val="000000"/>
                <w:sz w:val="14"/>
                <w:szCs w:val="16"/>
              </w:rPr>
            </w:pPr>
          </w:p>
        </w:tc>
        <w:tc>
          <w:tcPr>
            <w:tcW w:w="23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2DCF65D" w14:textId="77777777" w:rsidR="0001666E" w:rsidRPr="00736108" w:rsidRDefault="0001666E" w:rsidP="00DA1238">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11E412F2" w14:textId="77777777" w:rsidR="0001666E" w:rsidRPr="00736108" w:rsidRDefault="0001666E" w:rsidP="00DA1238">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avec une fonction de débit</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3EC79853"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bCs/>
                <w:color w:val="000000"/>
                <w:sz w:val="14"/>
                <w:szCs w:val="16"/>
              </w:rPr>
              <w:t>Cartes pour lesquelles les paiements sont directement et immédiatement portés au débit du compte, que celui-ci soit ouvert auprès de l’émetteur de la carte ou non.</w:t>
            </w:r>
          </w:p>
          <w:p w14:paraId="0A2B7E06"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bCs/>
                <w:color w:val="000000"/>
                <w:sz w:val="14"/>
                <w:szCs w:val="16"/>
              </w:rPr>
              <w:t>Une carte en mode débit peut être associée à un compte permettant les découverts, à titre accessoire. Le nombre de cartes en mode débit représente le nombre total de cartes en circulation et non le nombre de comptes auxquels les cartes sont rattachées.</w:t>
            </w:r>
          </w:p>
          <w:p w14:paraId="44F593AB" w14:textId="418E65CD"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bCs/>
                <w:color w:val="000000"/>
                <w:sz w:val="14"/>
                <w:szCs w:val="16"/>
              </w:rPr>
              <w:t>La différence entre une carte en mode débit et une carte en mode crédit ou débit différé réside dans l’accord contractuel selon lequel les achats sont directement débités du compte courant du porteur de la carte.</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02469F15"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4A9A748B"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711DAEBC"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p>
        </w:tc>
      </w:tr>
      <w:tr w:rsidR="0001666E" w:rsidRPr="00865F4D" w14:paraId="4008FABE" w14:textId="1AC54DD2" w:rsidTr="00155B05">
        <w:trPr>
          <w:trHeight w:val="252"/>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624B65A" w14:textId="77777777" w:rsidR="0001666E" w:rsidRPr="00736108" w:rsidRDefault="0001666E" w:rsidP="00865F4D">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746BD7"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25A0C72" w14:textId="77777777" w:rsidR="0001666E" w:rsidRPr="00736108" w:rsidRDefault="0001666E" w:rsidP="00865F4D">
            <w:pPr>
              <w:autoSpaceDE w:val="0"/>
              <w:autoSpaceDN w:val="0"/>
              <w:adjustRightInd w:val="0"/>
              <w:spacing w:after="0" w:line="240" w:lineRule="auto"/>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39C3620"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4B094B1A" w14:textId="2138A458"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6C4D628"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1EAB2C8D"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E473DF1"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0518CD52" w14:textId="2E20196C" w:rsidTr="00155B05">
        <w:trPr>
          <w:trHeight w:val="252"/>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38822B1" w14:textId="77777777" w:rsidR="0001666E" w:rsidRPr="00736108" w:rsidRDefault="0001666E" w:rsidP="00865F4D">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8A7A7B6"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2D9A891" w14:textId="77777777" w:rsidR="0001666E" w:rsidRPr="00736108" w:rsidRDefault="0001666E" w:rsidP="00865F4D">
            <w:pPr>
              <w:autoSpaceDE w:val="0"/>
              <w:autoSpaceDN w:val="0"/>
              <w:adjustRightInd w:val="0"/>
              <w:spacing w:after="0" w:line="240" w:lineRule="auto"/>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324860A" w14:textId="77777777" w:rsidR="0001666E" w:rsidRPr="00E6214E" w:rsidRDefault="0001666E" w:rsidP="00865F4D">
            <w:pPr>
              <w:autoSpaceDE w:val="0"/>
              <w:autoSpaceDN w:val="0"/>
              <w:adjustRightInd w:val="0"/>
              <w:spacing w:after="0" w:line="240" w:lineRule="auto"/>
              <w:rPr>
                <w:rFonts w:cstheme="minorHAnsi"/>
                <w:color w:val="000000"/>
                <w:sz w:val="14"/>
                <w:szCs w:val="16"/>
              </w:rPr>
            </w:pPr>
            <w:r w:rsidRPr="00E6214E">
              <w:rPr>
                <w:rFonts w:cstheme="minorHAnsi"/>
                <w:color w:val="000000"/>
                <w:sz w:val="14"/>
                <w:szCs w:val="16"/>
              </w:rPr>
              <w:t xml:space="preserve">Dont cartes interbancaires </w:t>
            </w:r>
            <w:proofErr w:type="gramStart"/>
            <w:r w:rsidRPr="00E6214E">
              <w:rPr>
                <w:rFonts w:cstheme="minorHAnsi"/>
                <w:color w:val="000000"/>
                <w:sz w:val="14"/>
                <w:szCs w:val="16"/>
              </w:rPr>
              <w:t>non CB</w:t>
            </w:r>
            <w:proofErr w:type="gramEnd"/>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29E9D468" w14:textId="15058BC1" w:rsidR="0001666E" w:rsidRPr="00E6214E" w:rsidRDefault="0001666E" w:rsidP="00865F4D">
            <w:pPr>
              <w:autoSpaceDE w:val="0"/>
              <w:autoSpaceDN w:val="0"/>
              <w:adjustRightInd w:val="0"/>
              <w:spacing w:after="0" w:line="240" w:lineRule="auto"/>
              <w:jc w:val="both"/>
              <w:rPr>
                <w:rFonts w:cstheme="minorHAnsi"/>
                <w:color w:val="000000"/>
                <w:sz w:val="14"/>
                <w:szCs w:val="16"/>
              </w:rPr>
            </w:pPr>
            <w:r w:rsidRPr="00E6214E">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A37248D"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48040413"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07C1A08"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7D934ABC" w14:textId="53FF578F"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3896D6D" w14:textId="77777777" w:rsidR="0001666E" w:rsidRPr="00736108" w:rsidRDefault="0001666E" w:rsidP="00DA1238">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37AFA2" w14:textId="77777777" w:rsidR="0001666E" w:rsidRPr="00736108" w:rsidRDefault="0001666E" w:rsidP="00DA1238">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559CD2A" w14:textId="77777777" w:rsidR="0001666E" w:rsidRPr="00736108" w:rsidRDefault="0001666E" w:rsidP="00DA1238">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120B301" w14:textId="77777777" w:rsidR="0001666E" w:rsidRPr="00E6214E" w:rsidRDefault="0001666E" w:rsidP="00DA1238">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7FF2D3" w14:textId="77777777" w:rsidR="0001666E" w:rsidRPr="00E6214E" w:rsidRDefault="0001666E" w:rsidP="00DA1238">
            <w:pPr>
              <w:autoSpaceDE w:val="0"/>
              <w:autoSpaceDN w:val="0"/>
              <w:adjustRightInd w:val="0"/>
              <w:spacing w:after="0" w:line="240" w:lineRule="auto"/>
              <w:rPr>
                <w:rFonts w:cstheme="minorHAnsi"/>
                <w:bCs/>
                <w:sz w:val="14"/>
                <w:szCs w:val="16"/>
              </w:rPr>
            </w:pPr>
            <w:r w:rsidRPr="00E6214E">
              <w:rPr>
                <w:rFonts w:cstheme="minorHAnsi"/>
                <w:bCs/>
                <w:sz w:val="14"/>
                <w:szCs w:val="16"/>
              </w:rPr>
              <w:t>Dont cartes VISA</w:t>
            </w:r>
          </w:p>
        </w:tc>
        <w:tc>
          <w:tcPr>
            <w:tcW w:w="3828" w:type="dxa"/>
            <w:tcBorders>
              <w:top w:val="single" w:sz="4" w:space="0" w:color="5B9BD5" w:themeColor="accent1"/>
              <w:left w:val="single" w:sz="4" w:space="0" w:color="5B9BD5" w:themeColor="accent1"/>
              <w:bottom w:val="single" w:sz="4" w:space="0" w:color="5B9BD5" w:themeColor="accent1"/>
            </w:tcBorders>
          </w:tcPr>
          <w:p w14:paraId="607C2A0C" w14:textId="71F54A05" w:rsidR="0001666E" w:rsidRPr="00E6214E" w:rsidRDefault="00E821CA" w:rsidP="00865F4D">
            <w:pPr>
              <w:autoSpaceDE w:val="0"/>
              <w:autoSpaceDN w:val="0"/>
              <w:adjustRightInd w:val="0"/>
              <w:spacing w:after="0" w:line="240" w:lineRule="auto"/>
              <w:jc w:val="both"/>
              <w:rPr>
                <w:rFonts w:cstheme="minorHAnsi"/>
                <w:bCs/>
                <w:sz w:val="14"/>
                <w:szCs w:val="16"/>
              </w:rPr>
            </w:pPr>
            <w:r w:rsidRPr="00E6214E">
              <w:rPr>
                <w:rFonts w:cstheme="minorHAnsi"/>
                <w:bCs/>
                <w:sz w:val="14"/>
                <w:szCs w:val="16"/>
              </w:rPr>
              <w:t>Cartes émises par l’établissement émetteur dont l’utilisation est régie par les règles VISA.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C45DF6B" w14:textId="77777777" w:rsidR="0001666E" w:rsidRPr="00736108" w:rsidRDefault="0001666E" w:rsidP="00865F4D">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4013F356" w14:textId="77777777" w:rsidR="0001666E" w:rsidRPr="00736108" w:rsidRDefault="0001666E" w:rsidP="00865F4D">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5CEDAB3" w14:textId="77777777" w:rsidR="0001666E" w:rsidRPr="00736108" w:rsidRDefault="0001666E" w:rsidP="00865F4D">
            <w:pPr>
              <w:autoSpaceDE w:val="0"/>
              <w:autoSpaceDN w:val="0"/>
              <w:adjustRightInd w:val="0"/>
              <w:spacing w:after="0" w:line="240" w:lineRule="auto"/>
              <w:jc w:val="both"/>
              <w:rPr>
                <w:rFonts w:cstheme="minorHAnsi"/>
                <w:bCs/>
                <w:sz w:val="14"/>
                <w:szCs w:val="16"/>
              </w:rPr>
            </w:pPr>
          </w:p>
        </w:tc>
      </w:tr>
      <w:tr w:rsidR="00E821CA" w:rsidRPr="00865F4D" w14:paraId="60A5CCD3" w14:textId="6BA8BF05"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6A71672"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14C88A"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F5E27A7"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A24237D" w14:textId="77777777" w:rsidR="00E821CA" w:rsidRPr="00E6214E" w:rsidRDefault="00E821CA" w:rsidP="00E821CA">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722297" w14:textId="77777777" w:rsidR="00E821CA" w:rsidRPr="00E6214E" w:rsidRDefault="00E821CA" w:rsidP="00E821CA">
            <w:pPr>
              <w:autoSpaceDE w:val="0"/>
              <w:autoSpaceDN w:val="0"/>
              <w:adjustRightInd w:val="0"/>
              <w:spacing w:after="0" w:line="240" w:lineRule="auto"/>
              <w:rPr>
                <w:rFonts w:cstheme="minorHAnsi"/>
                <w:bCs/>
                <w:sz w:val="14"/>
                <w:szCs w:val="16"/>
              </w:rPr>
            </w:pPr>
            <w:r w:rsidRPr="00E6214E">
              <w:rPr>
                <w:rFonts w:cstheme="minorHAnsi"/>
                <w:bCs/>
                <w:sz w:val="14"/>
                <w:szCs w:val="16"/>
              </w:rPr>
              <w:t>Dont cartes MASTERCARD</w:t>
            </w:r>
          </w:p>
        </w:tc>
        <w:tc>
          <w:tcPr>
            <w:tcW w:w="3828" w:type="dxa"/>
            <w:tcBorders>
              <w:top w:val="single" w:sz="4" w:space="0" w:color="5B9BD5" w:themeColor="accent1"/>
              <w:left w:val="single" w:sz="4" w:space="0" w:color="5B9BD5" w:themeColor="accent1"/>
              <w:bottom w:val="single" w:sz="4" w:space="0" w:color="5B9BD5" w:themeColor="accent1"/>
            </w:tcBorders>
          </w:tcPr>
          <w:p w14:paraId="61EAF745" w14:textId="2D76D85D" w:rsidR="00E821CA" w:rsidRPr="00E6214E" w:rsidRDefault="00E821CA" w:rsidP="00E821CA">
            <w:pPr>
              <w:autoSpaceDE w:val="0"/>
              <w:autoSpaceDN w:val="0"/>
              <w:adjustRightInd w:val="0"/>
              <w:spacing w:after="0" w:line="240" w:lineRule="auto"/>
              <w:jc w:val="both"/>
              <w:rPr>
                <w:rFonts w:cstheme="minorHAnsi"/>
                <w:bCs/>
                <w:sz w:val="14"/>
                <w:szCs w:val="16"/>
              </w:rPr>
            </w:pPr>
            <w:r w:rsidRPr="00E6214E">
              <w:rPr>
                <w:rFonts w:cstheme="minorHAnsi"/>
                <w:bCs/>
                <w:sz w:val="14"/>
                <w:szCs w:val="16"/>
              </w:rPr>
              <w:t>Cartes émises par l’établissement émetteur dont l’utilisation</w:t>
            </w:r>
            <w:r w:rsidR="001E5DAD" w:rsidRPr="00E6214E">
              <w:rPr>
                <w:rFonts w:cstheme="minorHAnsi"/>
                <w:bCs/>
                <w:sz w:val="14"/>
                <w:szCs w:val="16"/>
              </w:rPr>
              <w:t xml:space="preserve"> est régie par les règles MASTER</w:t>
            </w:r>
            <w:r w:rsidRPr="00E6214E">
              <w:rPr>
                <w:rFonts w:cstheme="minorHAnsi"/>
                <w:bCs/>
                <w:sz w:val="14"/>
                <w:szCs w:val="16"/>
              </w:rPr>
              <w:t>CARD.</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8F05A96"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1D34E38B"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3B51349"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D05E5E" w:rsidRPr="00865F4D" w14:paraId="17BDF334" w14:textId="77777777"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4053608" w14:textId="77777777" w:rsidR="00D05E5E" w:rsidRPr="00736108" w:rsidRDefault="00D05E5E" w:rsidP="00D05E5E">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6F684C1" w14:textId="77777777" w:rsidR="00D05E5E" w:rsidRPr="00736108" w:rsidRDefault="00D05E5E" w:rsidP="00D05E5E">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A4FD4A0" w14:textId="77777777" w:rsidR="00D05E5E" w:rsidRPr="00736108" w:rsidRDefault="00D05E5E" w:rsidP="00D05E5E">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39CE95A" w14:textId="77777777" w:rsidR="00D05E5E" w:rsidRPr="00E6214E" w:rsidRDefault="00D05E5E" w:rsidP="00D05E5E">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B0D267" w14:textId="54C20F23" w:rsidR="00D05E5E" w:rsidRPr="00E6214E" w:rsidRDefault="00D05E5E" w:rsidP="00D05E5E">
            <w:pPr>
              <w:autoSpaceDE w:val="0"/>
              <w:autoSpaceDN w:val="0"/>
              <w:adjustRightInd w:val="0"/>
              <w:spacing w:after="0" w:line="240" w:lineRule="auto"/>
              <w:rPr>
                <w:rFonts w:cstheme="minorHAnsi"/>
                <w:bCs/>
                <w:sz w:val="14"/>
                <w:szCs w:val="16"/>
              </w:rPr>
            </w:pPr>
            <w:r w:rsidRPr="00E6214E">
              <w:rPr>
                <w:rFonts w:cstheme="minorHAnsi"/>
                <w:bCs/>
                <w:sz w:val="14"/>
                <w:szCs w:val="16"/>
              </w:rPr>
              <w:t xml:space="preserve">Dont cartes </w:t>
            </w:r>
            <w:proofErr w:type="spellStart"/>
            <w:r w:rsidRPr="00E6214E">
              <w:rPr>
                <w:rFonts w:cstheme="minorHAnsi"/>
                <w:bCs/>
                <w:sz w:val="14"/>
                <w:szCs w:val="16"/>
              </w:rPr>
              <w:t>UnionPay</w:t>
            </w:r>
            <w:proofErr w:type="spellEnd"/>
          </w:p>
        </w:tc>
        <w:tc>
          <w:tcPr>
            <w:tcW w:w="3828" w:type="dxa"/>
            <w:tcBorders>
              <w:top w:val="single" w:sz="4" w:space="0" w:color="5B9BD5" w:themeColor="accent1"/>
              <w:left w:val="single" w:sz="4" w:space="0" w:color="5B9BD5" w:themeColor="accent1"/>
              <w:bottom w:val="single" w:sz="4" w:space="0" w:color="5B9BD5" w:themeColor="accent1"/>
            </w:tcBorders>
          </w:tcPr>
          <w:p w14:paraId="6B846F70" w14:textId="33CB8B55" w:rsidR="00D05E5E" w:rsidRPr="00E6214E" w:rsidRDefault="00D05E5E" w:rsidP="00D05E5E">
            <w:pPr>
              <w:autoSpaceDE w:val="0"/>
              <w:autoSpaceDN w:val="0"/>
              <w:adjustRightInd w:val="0"/>
              <w:spacing w:after="0" w:line="240" w:lineRule="auto"/>
              <w:jc w:val="both"/>
              <w:rPr>
                <w:rFonts w:cstheme="minorHAnsi"/>
                <w:bCs/>
                <w:sz w:val="14"/>
                <w:szCs w:val="16"/>
              </w:rPr>
            </w:pPr>
            <w:r w:rsidRPr="00E6214E">
              <w:rPr>
                <w:rFonts w:cstheme="minorHAnsi"/>
                <w:bCs/>
                <w:sz w:val="14"/>
                <w:szCs w:val="16"/>
              </w:rPr>
              <w:t>Cartes émises par UNION PAY.</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2B41A77" w14:textId="77777777" w:rsidR="00D05E5E" w:rsidRPr="00736108" w:rsidRDefault="00D05E5E" w:rsidP="00D05E5E">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62682DF5" w14:textId="77777777" w:rsidR="00D05E5E" w:rsidRPr="00736108" w:rsidRDefault="00D05E5E" w:rsidP="00D05E5E">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1B7EAF7" w14:textId="77777777" w:rsidR="00D05E5E" w:rsidRPr="00736108" w:rsidRDefault="00D05E5E" w:rsidP="00D05E5E">
            <w:pPr>
              <w:autoSpaceDE w:val="0"/>
              <w:autoSpaceDN w:val="0"/>
              <w:adjustRightInd w:val="0"/>
              <w:spacing w:after="0" w:line="240" w:lineRule="auto"/>
              <w:jc w:val="both"/>
              <w:rPr>
                <w:rFonts w:cstheme="minorHAnsi"/>
                <w:bCs/>
                <w:sz w:val="14"/>
                <w:szCs w:val="16"/>
              </w:rPr>
            </w:pPr>
          </w:p>
        </w:tc>
      </w:tr>
      <w:tr w:rsidR="00E821CA" w:rsidRPr="00865F4D" w14:paraId="35CC9D69" w14:textId="14B1A3B9"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53AFAFEA"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FC881D"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3FE8DCA"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7923C47" w14:textId="77777777" w:rsidR="00E821CA" w:rsidRPr="00E6214E" w:rsidRDefault="00E821CA" w:rsidP="00E821CA">
            <w:pPr>
              <w:autoSpaceDE w:val="0"/>
              <w:autoSpaceDN w:val="0"/>
              <w:adjustRightInd w:val="0"/>
              <w:spacing w:after="0" w:line="240" w:lineRule="auto"/>
              <w:rPr>
                <w:rFonts w:cstheme="minorHAnsi"/>
                <w:sz w:val="14"/>
                <w:szCs w:val="16"/>
              </w:rPr>
            </w:pPr>
            <w:r w:rsidRPr="00E6214E">
              <w:rPr>
                <w:rFonts w:cstheme="minorHAnsi"/>
                <w:sz w:val="14"/>
                <w:szCs w:val="16"/>
              </w:rPr>
              <w:t>Dont cartes privatives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0A55E9A2" w14:textId="2C8BEEBB" w:rsidR="00E821CA" w:rsidRPr="00E6214E" w:rsidRDefault="00E821CA" w:rsidP="00E821CA">
            <w:pPr>
              <w:autoSpaceDE w:val="0"/>
              <w:autoSpaceDN w:val="0"/>
              <w:adjustRightInd w:val="0"/>
              <w:spacing w:after="0" w:line="240" w:lineRule="auto"/>
              <w:jc w:val="both"/>
              <w:rPr>
                <w:rFonts w:cstheme="minorHAnsi"/>
                <w:sz w:val="14"/>
                <w:szCs w:val="16"/>
              </w:rPr>
            </w:pPr>
            <w:r w:rsidRPr="00E6214E">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F45827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4AA6842D"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DE2BFA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5EFA85AE" w14:textId="7EDE7201"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05BFA11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93779A"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B6001AB"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D2CFC33" w14:textId="77777777" w:rsidR="00E821CA" w:rsidRPr="00E6214E" w:rsidRDefault="00E821CA" w:rsidP="00E821CA">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D40CC4" w14:textId="77777777" w:rsidR="00E821CA" w:rsidRPr="00E6214E" w:rsidRDefault="00E821CA" w:rsidP="00E821CA">
            <w:pPr>
              <w:autoSpaceDE w:val="0"/>
              <w:autoSpaceDN w:val="0"/>
              <w:adjustRightInd w:val="0"/>
              <w:spacing w:after="0" w:line="240" w:lineRule="auto"/>
              <w:rPr>
                <w:rFonts w:cstheme="minorHAnsi"/>
                <w:bCs/>
                <w:sz w:val="14"/>
                <w:szCs w:val="16"/>
              </w:rPr>
            </w:pPr>
            <w:r w:rsidRPr="00E6214E">
              <w:rPr>
                <w:rFonts w:cstheme="minorHAnsi"/>
                <w:bCs/>
                <w:sz w:val="14"/>
                <w:szCs w:val="16"/>
              </w:rPr>
              <w:t>Dont cartes AMERICAN EXPRESS</w:t>
            </w:r>
          </w:p>
        </w:tc>
        <w:tc>
          <w:tcPr>
            <w:tcW w:w="3828" w:type="dxa"/>
            <w:tcBorders>
              <w:top w:val="single" w:sz="4" w:space="0" w:color="5B9BD5" w:themeColor="accent1"/>
              <w:left w:val="single" w:sz="4" w:space="0" w:color="5B9BD5" w:themeColor="accent1"/>
              <w:bottom w:val="single" w:sz="4" w:space="0" w:color="5B9BD5" w:themeColor="accent1"/>
            </w:tcBorders>
          </w:tcPr>
          <w:p w14:paraId="56200B0F" w14:textId="6B3E5767" w:rsidR="00E821CA" w:rsidRPr="00E6214E" w:rsidRDefault="00E55633" w:rsidP="00E821CA">
            <w:pPr>
              <w:autoSpaceDE w:val="0"/>
              <w:autoSpaceDN w:val="0"/>
              <w:adjustRightInd w:val="0"/>
              <w:spacing w:after="0" w:line="240" w:lineRule="auto"/>
              <w:jc w:val="both"/>
              <w:rPr>
                <w:rFonts w:cstheme="minorHAnsi"/>
                <w:bCs/>
                <w:sz w:val="14"/>
                <w:szCs w:val="16"/>
              </w:rPr>
            </w:pPr>
            <w:r w:rsidRPr="00E6214E">
              <w:rPr>
                <w:rFonts w:cstheme="minorHAnsi"/>
                <w:bCs/>
                <w:sz w:val="14"/>
                <w:szCs w:val="16"/>
              </w:rPr>
              <w:t>Cartes émises par AMERICAN EXPRESS.</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FE9D7CC"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62ABD6D5"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6C88D92"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E55633" w:rsidRPr="00865F4D" w14:paraId="2E7DA6A8" w14:textId="46EBE198" w:rsidTr="00155B05">
        <w:trPr>
          <w:trHeight w:val="161"/>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BE7532E"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6EE5EE"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D778340"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CF2F308" w14:textId="77777777" w:rsidR="00E55633" w:rsidRPr="00E6214E"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62705E" w14:textId="77777777" w:rsidR="00E55633" w:rsidRPr="00E6214E" w:rsidRDefault="00E55633" w:rsidP="00E55633">
            <w:pPr>
              <w:autoSpaceDE w:val="0"/>
              <w:autoSpaceDN w:val="0"/>
              <w:adjustRightInd w:val="0"/>
              <w:spacing w:after="0" w:line="240" w:lineRule="auto"/>
              <w:rPr>
                <w:rFonts w:cstheme="minorHAnsi"/>
                <w:bCs/>
                <w:sz w:val="14"/>
                <w:szCs w:val="16"/>
              </w:rPr>
            </w:pPr>
            <w:r w:rsidRPr="00E6214E">
              <w:rPr>
                <w:rFonts w:cstheme="minorHAnsi"/>
                <w:bCs/>
                <w:sz w:val="14"/>
                <w:szCs w:val="16"/>
              </w:rPr>
              <w:t>Dont cartes ONEY BANK</w:t>
            </w:r>
          </w:p>
        </w:tc>
        <w:tc>
          <w:tcPr>
            <w:tcW w:w="3828" w:type="dxa"/>
            <w:tcBorders>
              <w:top w:val="single" w:sz="4" w:space="0" w:color="5B9BD5" w:themeColor="accent1"/>
              <w:left w:val="single" w:sz="4" w:space="0" w:color="5B9BD5" w:themeColor="accent1"/>
              <w:bottom w:val="single" w:sz="4" w:space="0" w:color="5B9BD5" w:themeColor="accent1"/>
            </w:tcBorders>
          </w:tcPr>
          <w:p w14:paraId="28E24872" w14:textId="1FDFCBF7" w:rsidR="00E55633" w:rsidRPr="00E6214E" w:rsidRDefault="00E55633" w:rsidP="00E55633">
            <w:pPr>
              <w:autoSpaceDE w:val="0"/>
              <w:autoSpaceDN w:val="0"/>
              <w:adjustRightInd w:val="0"/>
              <w:spacing w:after="0" w:line="240" w:lineRule="auto"/>
              <w:jc w:val="both"/>
              <w:rPr>
                <w:rFonts w:cstheme="minorHAnsi"/>
                <w:bCs/>
                <w:sz w:val="14"/>
                <w:szCs w:val="16"/>
              </w:rPr>
            </w:pPr>
            <w:r w:rsidRPr="00E6214E">
              <w:rPr>
                <w:rFonts w:cstheme="minorHAnsi"/>
                <w:bCs/>
                <w:sz w:val="14"/>
                <w:szCs w:val="16"/>
              </w:rPr>
              <w:t>Cartes émises par ONEY BANK.</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4E66435"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202C4542"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23A6FF7"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4CBD05B3" w14:textId="76E63836" w:rsidTr="00283A0C">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56F5313"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D2C3CA"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2ADE597"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44D9717" w14:textId="77777777" w:rsidR="00E55633" w:rsidRPr="00163B6F" w:rsidRDefault="00E55633" w:rsidP="00E55633">
            <w:pPr>
              <w:autoSpaceDE w:val="0"/>
              <w:autoSpaceDN w:val="0"/>
              <w:adjustRightInd w:val="0"/>
              <w:spacing w:after="0" w:line="240" w:lineRule="auto"/>
              <w:jc w:val="right"/>
              <w:rPr>
                <w:rFonts w:cstheme="minorHAnsi"/>
                <w:color w:val="000000"/>
                <w:sz w:val="14"/>
                <w:szCs w:val="16"/>
                <w:highlight w:val="yellow"/>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AA20E6"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Crédit Agricole Consumer Finance</w:t>
            </w:r>
          </w:p>
        </w:tc>
        <w:tc>
          <w:tcPr>
            <w:tcW w:w="3828" w:type="dxa"/>
            <w:tcBorders>
              <w:top w:val="single" w:sz="4" w:space="0" w:color="5B9BD5" w:themeColor="accent1"/>
              <w:left w:val="single" w:sz="4" w:space="0" w:color="5B9BD5" w:themeColor="accent1"/>
              <w:bottom w:val="single" w:sz="4" w:space="0" w:color="5B9BD5" w:themeColor="accent1"/>
            </w:tcBorders>
            <w:shd w:val="clear" w:color="auto" w:fill="auto"/>
          </w:tcPr>
          <w:p w14:paraId="449F68AD" w14:textId="742259A3"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bCs/>
                <w:sz w:val="14"/>
                <w:szCs w:val="16"/>
              </w:rPr>
              <w:t>Cartes émises par CREDIT AGRICOLE CONSUMER FINANCE.</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D8B1D30"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3C95179A"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9075584"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5ED914F7" w14:textId="2968AA5B" w:rsidTr="00283A0C">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0A907E52"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4ABE8B"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27CC186"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7190228" w14:textId="77777777" w:rsidR="00E55633" w:rsidRPr="00163B6F" w:rsidRDefault="00E55633" w:rsidP="00E55633">
            <w:pPr>
              <w:autoSpaceDE w:val="0"/>
              <w:autoSpaceDN w:val="0"/>
              <w:adjustRightInd w:val="0"/>
              <w:spacing w:after="0" w:line="240" w:lineRule="auto"/>
              <w:jc w:val="right"/>
              <w:rPr>
                <w:rFonts w:cstheme="minorHAnsi"/>
                <w:color w:val="000000"/>
                <w:sz w:val="14"/>
                <w:szCs w:val="16"/>
                <w:highlight w:val="yellow"/>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5746F28"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COFIDIS</w:t>
            </w:r>
          </w:p>
        </w:tc>
        <w:tc>
          <w:tcPr>
            <w:tcW w:w="3828" w:type="dxa"/>
            <w:tcBorders>
              <w:top w:val="single" w:sz="4" w:space="0" w:color="5B9BD5" w:themeColor="accent1"/>
              <w:left w:val="single" w:sz="4" w:space="0" w:color="5B9BD5" w:themeColor="accent1"/>
              <w:bottom w:val="single" w:sz="4" w:space="0" w:color="5B9BD5" w:themeColor="accent1"/>
            </w:tcBorders>
            <w:shd w:val="clear" w:color="auto" w:fill="auto"/>
          </w:tcPr>
          <w:p w14:paraId="63E7D838" w14:textId="1A8BD2E3"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bCs/>
                <w:sz w:val="14"/>
                <w:szCs w:val="16"/>
              </w:rPr>
              <w:t>Cartes émises par COFIDIS.</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06E49F6"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17EBDEA5"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F5C3336"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5D640657" w14:textId="7F256366" w:rsidTr="00283A0C">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90633DA"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001029"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3789FD4"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59864ED" w14:textId="77777777" w:rsidR="00E55633" w:rsidRPr="00163B6F" w:rsidRDefault="00E55633" w:rsidP="00E55633">
            <w:pPr>
              <w:autoSpaceDE w:val="0"/>
              <w:autoSpaceDN w:val="0"/>
              <w:adjustRightInd w:val="0"/>
              <w:spacing w:after="0" w:line="240" w:lineRule="auto"/>
              <w:jc w:val="right"/>
              <w:rPr>
                <w:rFonts w:cstheme="minorHAnsi"/>
                <w:color w:val="000000"/>
                <w:sz w:val="14"/>
                <w:szCs w:val="16"/>
                <w:highlight w:val="yellow"/>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64BAEE"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Franfinance</w:t>
            </w:r>
          </w:p>
        </w:tc>
        <w:tc>
          <w:tcPr>
            <w:tcW w:w="3828" w:type="dxa"/>
            <w:tcBorders>
              <w:top w:val="single" w:sz="4" w:space="0" w:color="5B9BD5" w:themeColor="accent1"/>
              <w:left w:val="single" w:sz="4" w:space="0" w:color="5B9BD5" w:themeColor="accent1"/>
              <w:bottom w:val="single" w:sz="4" w:space="0" w:color="5B9BD5" w:themeColor="accent1"/>
            </w:tcBorders>
            <w:shd w:val="clear" w:color="auto" w:fill="auto"/>
          </w:tcPr>
          <w:p w14:paraId="5DADCD2A" w14:textId="5A2A0BCB"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bCs/>
                <w:sz w:val="14"/>
                <w:szCs w:val="16"/>
              </w:rPr>
              <w:t>Cartes émises par FRANFINANCE.</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85A1CF2"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12934634"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8633684"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14BB4EC2" w14:textId="712F4688" w:rsidTr="00283A0C">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61541530"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BDCD9E"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98617EB"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8504D0A" w14:textId="77777777" w:rsidR="00E55633" w:rsidRPr="00163B6F" w:rsidRDefault="00E55633" w:rsidP="00E55633">
            <w:pPr>
              <w:autoSpaceDE w:val="0"/>
              <w:autoSpaceDN w:val="0"/>
              <w:adjustRightInd w:val="0"/>
              <w:spacing w:after="0" w:line="240" w:lineRule="auto"/>
              <w:jc w:val="right"/>
              <w:rPr>
                <w:rFonts w:cstheme="minorHAnsi"/>
                <w:color w:val="000000"/>
                <w:sz w:val="14"/>
                <w:szCs w:val="16"/>
                <w:highlight w:val="yellow"/>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BA85B17"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JCB</w:t>
            </w:r>
          </w:p>
        </w:tc>
        <w:tc>
          <w:tcPr>
            <w:tcW w:w="3828" w:type="dxa"/>
            <w:tcBorders>
              <w:top w:val="single" w:sz="4" w:space="0" w:color="5B9BD5" w:themeColor="accent1"/>
              <w:left w:val="single" w:sz="4" w:space="0" w:color="5B9BD5" w:themeColor="accent1"/>
              <w:bottom w:val="single" w:sz="4" w:space="0" w:color="5B9BD5" w:themeColor="accent1"/>
            </w:tcBorders>
            <w:shd w:val="clear" w:color="auto" w:fill="auto"/>
          </w:tcPr>
          <w:p w14:paraId="1D6567D0" w14:textId="1DED2BB3"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bCs/>
                <w:sz w:val="14"/>
                <w:szCs w:val="16"/>
              </w:rPr>
              <w:t>Cartes émises par JCB.</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5CE73E6"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05BBED65"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DB1D4C7"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47529074" w14:textId="6A3CBC6B" w:rsidTr="00283A0C">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70C9344D"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E86747"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BCF11FD"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1F21936" w14:textId="77777777" w:rsidR="00E55633" w:rsidRPr="00163B6F" w:rsidRDefault="00E55633" w:rsidP="00E55633">
            <w:pPr>
              <w:autoSpaceDE w:val="0"/>
              <w:autoSpaceDN w:val="0"/>
              <w:adjustRightInd w:val="0"/>
              <w:spacing w:after="0" w:line="240" w:lineRule="auto"/>
              <w:jc w:val="right"/>
              <w:rPr>
                <w:rFonts w:cstheme="minorHAnsi"/>
                <w:color w:val="000000"/>
                <w:sz w:val="14"/>
                <w:szCs w:val="16"/>
                <w:highlight w:val="yellow"/>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BE01A9" w14:textId="390804A6" w:rsidR="00E55633" w:rsidRPr="00283A0C" w:rsidRDefault="00D05E5E" w:rsidP="00E55633">
            <w:pPr>
              <w:autoSpaceDE w:val="0"/>
              <w:autoSpaceDN w:val="0"/>
              <w:adjustRightInd w:val="0"/>
              <w:spacing w:after="0" w:line="240" w:lineRule="auto"/>
              <w:rPr>
                <w:rFonts w:cstheme="minorHAnsi"/>
                <w:color w:val="000000"/>
                <w:sz w:val="14"/>
                <w:szCs w:val="16"/>
              </w:rPr>
            </w:pPr>
            <w:r w:rsidRPr="00283A0C">
              <w:rPr>
                <w:rFonts w:cstheme="minorHAnsi"/>
                <w:color w:val="000000"/>
                <w:sz w:val="14"/>
                <w:szCs w:val="16"/>
              </w:rPr>
              <w:t>Dont cartes Diners</w:t>
            </w:r>
          </w:p>
        </w:tc>
        <w:tc>
          <w:tcPr>
            <w:tcW w:w="3828" w:type="dxa"/>
            <w:tcBorders>
              <w:top w:val="single" w:sz="4" w:space="0" w:color="5B9BD5" w:themeColor="accent1"/>
              <w:left w:val="single" w:sz="4" w:space="0" w:color="5B9BD5" w:themeColor="accent1"/>
              <w:bottom w:val="single" w:sz="4" w:space="0" w:color="5B9BD5" w:themeColor="accent1"/>
            </w:tcBorders>
            <w:shd w:val="clear" w:color="auto" w:fill="auto"/>
          </w:tcPr>
          <w:p w14:paraId="47BB7390" w14:textId="2528BC49" w:rsidR="00E55633" w:rsidRPr="00283A0C" w:rsidRDefault="00E55633" w:rsidP="00D05E5E">
            <w:pPr>
              <w:autoSpaceDE w:val="0"/>
              <w:autoSpaceDN w:val="0"/>
              <w:adjustRightInd w:val="0"/>
              <w:spacing w:after="0" w:line="240" w:lineRule="auto"/>
              <w:jc w:val="both"/>
              <w:rPr>
                <w:rFonts w:cstheme="minorHAnsi"/>
                <w:color w:val="000000"/>
                <w:sz w:val="14"/>
                <w:szCs w:val="16"/>
              </w:rPr>
            </w:pPr>
            <w:r w:rsidRPr="00283A0C">
              <w:rPr>
                <w:rFonts w:cstheme="minorHAnsi"/>
                <w:color w:val="000000"/>
                <w:sz w:val="14"/>
                <w:szCs w:val="16"/>
              </w:rPr>
              <w:t xml:space="preserve">Cartes émises par </w:t>
            </w:r>
            <w:r w:rsidR="00D05E5E" w:rsidRPr="00283A0C">
              <w:rPr>
                <w:rFonts w:cstheme="minorHAnsi"/>
                <w:color w:val="000000"/>
                <w:sz w:val="14"/>
                <w:szCs w:val="16"/>
              </w:rPr>
              <w:t>Diners</w:t>
            </w:r>
            <w:r w:rsidRPr="00283A0C">
              <w:rPr>
                <w:rFonts w:cstheme="minorHAnsi"/>
                <w:color w:val="000000"/>
                <w:sz w:val="14"/>
                <w:szCs w:val="16"/>
              </w:rPr>
              <w:t>.</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77465863"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tcPr>
          <w:p w14:paraId="271E1A6F"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371544D1"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D05E5E" w:rsidRPr="00865F4D" w14:paraId="7363A0C4" w14:textId="77777777" w:rsidTr="00283A0C">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03AB1DC0" w14:textId="77777777" w:rsidR="00D05E5E" w:rsidRPr="00736108" w:rsidRDefault="00D05E5E"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6A10D17" w14:textId="77777777" w:rsidR="00D05E5E" w:rsidRPr="00736108" w:rsidRDefault="00D05E5E"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B8009FD" w14:textId="77777777" w:rsidR="00D05E5E" w:rsidRPr="00736108" w:rsidRDefault="00D05E5E" w:rsidP="00E55633">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A0C188E" w14:textId="77777777" w:rsidR="00D05E5E" w:rsidRPr="00163B6F" w:rsidRDefault="00D05E5E" w:rsidP="00E55633">
            <w:pPr>
              <w:autoSpaceDE w:val="0"/>
              <w:autoSpaceDN w:val="0"/>
              <w:adjustRightInd w:val="0"/>
              <w:spacing w:after="0" w:line="240" w:lineRule="auto"/>
              <w:jc w:val="right"/>
              <w:rPr>
                <w:rFonts w:cstheme="minorHAnsi"/>
                <w:color w:val="000000"/>
                <w:sz w:val="14"/>
                <w:szCs w:val="16"/>
                <w:highlight w:val="yellow"/>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D170449" w14:textId="411B1164" w:rsidR="00D05E5E" w:rsidRPr="00283A0C" w:rsidRDefault="00D05E5E" w:rsidP="00E55633">
            <w:pPr>
              <w:autoSpaceDE w:val="0"/>
              <w:autoSpaceDN w:val="0"/>
              <w:adjustRightInd w:val="0"/>
              <w:spacing w:after="0" w:line="240" w:lineRule="auto"/>
              <w:rPr>
                <w:rFonts w:cstheme="minorHAnsi"/>
                <w:color w:val="000000"/>
                <w:sz w:val="14"/>
                <w:szCs w:val="16"/>
              </w:rPr>
            </w:pPr>
            <w:r w:rsidRPr="00283A0C">
              <w:rPr>
                <w:rFonts w:cstheme="minorHAnsi"/>
                <w:color w:val="000000"/>
                <w:sz w:val="14"/>
                <w:szCs w:val="16"/>
              </w:rPr>
              <w:t>Dont cartes Discover</w:t>
            </w:r>
          </w:p>
        </w:tc>
        <w:tc>
          <w:tcPr>
            <w:tcW w:w="3828" w:type="dxa"/>
            <w:tcBorders>
              <w:top w:val="single" w:sz="4" w:space="0" w:color="5B9BD5" w:themeColor="accent1"/>
              <w:left w:val="single" w:sz="4" w:space="0" w:color="5B9BD5" w:themeColor="accent1"/>
              <w:bottom w:val="single" w:sz="4" w:space="0" w:color="5B9BD5" w:themeColor="accent1"/>
            </w:tcBorders>
            <w:shd w:val="clear" w:color="auto" w:fill="auto"/>
          </w:tcPr>
          <w:p w14:paraId="370C325F" w14:textId="49B3EA2D" w:rsidR="00D05E5E" w:rsidRPr="00283A0C" w:rsidRDefault="00840A48" w:rsidP="00840A48">
            <w:pPr>
              <w:autoSpaceDE w:val="0"/>
              <w:autoSpaceDN w:val="0"/>
              <w:adjustRightInd w:val="0"/>
              <w:spacing w:after="0" w:line="240" w:lineRule="auto"/>
              <w:jc w:val="both"/>
              <w:rPr>
                <w:rFonts w:cstheme="minorHAnsi"/>
                <w:color w:val="000000"/>
                <w:sz w:val="14"/>
                <w:szCs w:val="16"/>
              </w:rPr>
            </w:pPr>
            <w:r w:rsidRPr="00283A0C">
              <w:rPr>
                <w:rFonts w:cstheme="minorHAnsi"/>
                <w:color w:val="000000"/>
                <w:sz w:val="14"/>
                <w:szCs w:val="16"/>
              </w:rPr>
              <w:t>Cartes émises par Discover</w:t>
            </w:r>
            <w:r w:rsidR="00283A0C">
              <w:rPr>
                <w:rFonts w:cstheme="minorHAnsi"/>
                <w:color w:val="000000"/>
                <w:sz w:val="14"/>
                <w:szCs w:val="16"/>
              </w:rPr>
              <w:t>.</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69F535C9" w14:textId="77777777" w:rsidR="00D05E5E" w:rsidRPr="00736108" w:rsidRDefault="00D05E5E"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tcPr>
          <w:p w14:paraId="7F1D4099" w14:textId="77777777" w:rsidR="00D05E5E" w:rsidRPr="00736108" w:rsidRDefault="00D05E5E"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204432F5" w14:textId="77777777" w:rsidR="00D05E5E" w:rsidRPr="00736108" w:rsidRDefault="00D05E5E" w:rsidP="00E55633">
            <w:pPr>
              <w:autoSpaceDE w:val="0"/>
              <w:autoSpaceDN w:val="0"/>
              <w:adjustRightInd w:val="0"/>
              <w:spacing w:after="0" w:line="240" w:lineRule="auto"/>
              <w:jc w:val="both"/>
              <w:rPr>
                <w:rFonts w:cstheme="minorHAnsi"/>
                <w:bCs/>
                <w:sz w:val="14"/>
                <w:szCs w:val="16"/>
              </w:rPr>
            </w:pPr>
          </w:p>
        </w:tc>
      </w:tr>
      <w:tr w:rsidR="00D05E5E" w:rsidRPr="00865F4D" w14:paraId="709317E4" w14:textId="77777777" w:rsidTr="00283A0C">
        <w:trPr>
          <w:trHeight w:val="178"/>
        </w:trPr>
        <w:tc>
          <w:tcPr>
            <w:tcW w:w="132" w:type="dxa"/>
            <w:tcBorders>
              <w:top w:val="single" w:sz="4" w:space="0" w:color="5B9BD5" w:themeColor="accent1"/>
              <w:left w:val="single" w:sz="4" w:space="0" w:color="FFFFFF" w:themeColor="background1"/>
              <w:bottom w:val="single" w:sz="18" w:space="0" w:color="5B9BD5" w:themeColor="accent1"/>
              <w:right w:val="single" w:sz="4" w:space="0" w:color="5B9BD5" w:themeColor="accent1"/>
            </w:tcBorders>
            <w:shd w:val="solid" w:color="FFFFFF" w:fill="auto"/>
          </w:tcPr>
          <w:p w14:paraId="174899DF" w14:textId="77777777" w:rsidR="00D05E5E" w:rsidRPr="00736108" w:rsidRDefault="00D05E5E"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5743BFA0" w14:textId="77777777" w:rsidR="00D05E5E" w:rsidRPr="00736108" w:rsidRDefault="00D05E5E"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5D1B3F21" w14:textId="77777777" w:rsidR="00D05E5E" w:rsidRPr="00736108" w:rsidRDefault="00D05E5E" w:rsidP="00E55633">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7951C54D" w14:textId="77777777" w:rsidR="00D05E5E" w:rsidRPr="00163B6F" w:rsidRDefault="00D05E5E" w:rsidP="00E55633">
            <w:pPr>
              <w:autoSpaceDE w:val="0"/>
              <w:autoSpaceDN w:val="0"/>
              <w:adjustRightInd w:val="0"/>
              <w:spacing w:after="0" w:line="240" w:lineRule="auto"/>
              <w:jc w:val="right"/>
              <w:rPr>
                <w:rFonts w:cstheme="minorHAnsi"/>
                <w:color w:val="000000"/>
                <w:sz w:val="14"/>
                <w:szCs w:val="16"/>
                <w:highlight w:val="yellow"/>
              </w:rPr>
            </w:pPr>
          </w:p>
        </w:tc>
        <w:tc>
          <w:tcPr>
            <w:tcW w:w="1417"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auto" w:fill="auto"/>
          </w:tcPr>
          <w:p w14:paraId="510B25E4" w14:textId="3CE6BBF4" w:rsidR="00D05E5E" w:rsidRPr="00283A0C" w:rsidRDefault="00767404"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Aurore</w:t>
            </w:r>
          </w:p>
        </w:tc>
        <w:tc>
          <w:tcPr>
            <w:tcW w:w="3828" w:type="dxa"/>
            <w:tcBorders>
              <w:top w:val="single" w:sz="4" w:space="0" w:color="5B9BD5" w:themeColor="accent1"/>
              <w:left w:val="single" w:sz="4" w:space="0" w:color="5B9BD5" w:themeColor="accent1"/>
              <w:bottom w:val="single" w:sz="4" w:space="0" w:color="5B9BD5" w:themeColor="accent1"/>
            </w:tcBorders>
            <w:shd w:val="clear" w:color="auto" w:fill="auto"/>
          </w:tcPr>
          <w:p w14:paraId="33B96CAD" w14:textId="16B1CD4D" w:rsidR="00D05E5E" w:rsidRPr="00283A0C" w:rsidRDefault="00767404" w:rsidP="00283A0C">
            <w:pPr>
              <w:autoSpaceDE w:val="0"/>
              <w:autoSpaceDN w:val="0"/>
              <w:adjustRightInd w:val="0"/>
              <w:spacing w:after="0" w:line="240" w:lineRule="auto"/>
              <w:jc w:val="both"/>
              <w:rPr>
                <w:rFonts w:cstheme="minorHAnsi"/>
                <w:bCs/>
                <w:sz w:val="14"/>
                <w:szCs w:val="16"/>
              </w:rPr>
            </w:pPr>
            <w:r w:rsidRPr="00283A0C">
              <w:rPr>
                <w:rFonts w:cstheme="minorHAnsi"/>
                <w:bCs/>
                <w:sz w:val="14"/>
                <w:szCs w:val="16"/>
              </w:rPr>
              <w:t>Cartes</w:t>
            </w:r>
            <w:r w:rsidR="00283A0C">
              <w:rPr>
                <w:rFonts w:cstheme="minorHAnsi"/>
                <w:bCs/>
                <w:sz w:val="14"/>
                <w:szCs w:val="16"/>
              </w:rPr>
              <w:t xml:space="preserve"> « Aurore »</w:t>
            </w:r>
            <w:r w:rsidRPr="00283A0C">
              <w:rPr>
                <w:rFonts w:cstheme="minorHAnsi"/>
                <w:bCs/>
                <w:sz w:val="14"/>
                <w:szCs w:val="16"/>
              </w:rPr>
              <w:t xml:space="preserve"> émises par </w:t>
            </w:r>
            <w:r w:rsidR="00283A0C">
              <w:rPr>
                <w:rFonts w:cstheme="minorHAnsi"/>
                <w:bCs/>
                <w:sz w:val="14"/>
                <w:szCs w:val="16"/>
              </w:rPr>
              <w:t xml:space="preserve">BNP </w:t>
            </w:r>
            <w:proofErr w:type="spellStart"/>
            <w:r w:rsidR="00283A0C">
              <w:rPr>
                <w:rFonts w:cstheme="minorHAnsi"/>
                <w:bCs/>
                <w:sz w:val="14"/>
                <w:szCs w:val="16"/>
              </w:rPr>
              <w:t>Personal</w:t>
            </w:r>
            <w:proofErr w:type="spellEnd"/>
            <w:r w:rsidR="00283A0C">
              <w:rPr>
                <w:rFonts w:cstheme="minorHAnsi"/>
                <w:bCs/>
                <w:sz w:val="14"/>
                <w:szCs w:val="16"/>
              </w:rPr>
              <w:t xml:space="preserve"> Finance</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6B8B024F" w14:textId="77777777" w:rsidR="00D05E5E" w:rsidRPr="00736108" w:rsidRDefault="00D05E5E"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tcPr>
          <w:p w14:paraId="4EE48C41" w14:textId="77777777" w:rsidR="00D05E5E" w:rsidRPr="00736108" w:rsidRDefault="00D05E5E"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30E587AF" w14:textId="77777777" w:rsidR="00D05E5E" w:rsidRPr="00736108" w:rsidRDefault="00D05E5E" w:rsidP="00E55633">
            <w:pPr>
              <w:autoSpaceDE w:val="0"/>
              <w:autoSpaceDN w:val="0"/>
              <w:adjustRightInd w:val="0"/>
              <w:spacing w:after="0" w:line="240" w:lineRule="auto"/>
              <w:jc w:val="both"/>
              <w:rPr>
                <w:rFonts w:cstheme="minorHAnsi"/>
                <w:bCs/>
                <w:sz w:val="14"/>
                <w:szCs w:val="16"/>
              </w:rPr>
            </w:pPr>
          </w:p>
        </w:tc>
      </w:tr>
      <w:tr w:rsidR="00E821CA" w:rsidRPr="00865F4D" w14:paraId="3C1994ED" w14:textId="45FDC7A3" w:rsidTr="00840A48">
        <w:trPr>
          <w:trHeight w:val="185"/>
        </w:trPr>
        <w:tc>
          <w:tcPr>
            <w:tcW w:w="132" w:type="dxa"/>
            <w:tcBorders>
              <w:top w:val="single" w:sz="4" w:space="0" w:color="FFFFFF" w:themeColor="background1"/>
              <w:left w:val="single" w:sz="4" w:space="0" w:color="FFFFFF" w:themeColor="background1"/>
              <w:bottom w:val="single" w:sz="4" w:space="0" w:color="5B9BD5" w:themeColor="accent1"/>
              <w:right w:val="single" w:sz="4" w:space="0" w:color="5B9BD5" w:themeColor="accent1"/>
            </w:tcBorders>
            <w:shd w:val="solid" w:color="FFFFFF" w:fill="auto"/>
          </w:tcPr>
          <w:p w14:paraId="457C86BC"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5549B6E8"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07FACF9B" w14:textId="77777777" w:rsidR="00E821CA" w:rsidRPr="00736108" w:rsidRDefault="00E821CA" w:rsidP="00E821CA">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avec une fonction de débit différé</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1727DD65" w14:textId="38647FC2" w:rsidR="00E821CA" w:rsidRPr="00736108" w:rsidRDefault="00E821CA" w:rsidP="00E821CA">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 xml:space="preserve">Cartes pour lesquelles les paiements sont portés au débit d’un compte ouvert auprès de l’émetteur de la carte, à concurrence d’un plafond autorisé. Le solde de ce compte est ensuite réglé en totalité à l’expiration d’une période déterminée à l’avance. La différence entre une carte en mode débit différé et une carte en mode crédit ou débit réside dans l’accord contractuel conférant une ligne de crédit assortie d’une obligation de régler la dette contractée à la fin d’une période prédéfinie. </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53077AB7"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27B878F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33E09D85"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720F436B" w14:textId="4B07C0F8" w:rsidTr="00155B05">
        <w:trPr>
          <w:trHeight w:val="252"/>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C7318F2"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690D561"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D56BF6F"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3FACCF5"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4611232" w14:textId="6A9CC422"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0096836"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37C496CF"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382D92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4D294456" w14:textId="4DD0F4E5" w:rsidTr="00155B05">
        <w:trPr>
          <w:trHeight w:val="252"/>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E9A462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F81F766"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7FCC47F"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70AF7B5" w14:textId="77777777" w:rsidR="00E821CA" w:rsidRPr="00283A0C" w:rsidRDefault="00E821CA" w:rsidP="00E821CA">
            <w:pPr>
              <w:autoSpaceDE w:val="0"/>
              <w:autoSpaceDN w:val="0"/>
              <w:adjustRightInd w:val="0"/>
              <w:spacing w:after="0" w:line="240" w:lineRule="auto"/>
              <w:rPr>
                <w:rFonts w:cstheme="minorHAnsi"/>
                <w:color w:val="000000"/>
                <w:sz w:val="14"/>
                <w:szCs w:val="16"/>
              </w:rPr>
            </w:pPr>
            <w:r w:rsidRPr="00283A0C">
              <w:rPr>
                <w:rFonts w:cstheme="minorHAnsi"/>
                <w:color w:val="000000"/>
                <w:sz w:val="14"/>
                <w:szCs w:val="16"/>
              </w:rPr>
              <w:t xml:space="preserve">Dont cartes interbancaires </w:t>
            </w:r>
            <w:proofErr w:type="gramStart"/>
            <w:r w:rsidRPr="00283A0C">
              <w:rPr>
                <w:rFonts w:cstheme="minorHAnsi"/>
                <w:color w:val="000000"/>
                <w:sz w:val="14"/>
                <w:szCs w:val="16"/>
              </w:rPr>
              <w:t>non CB</w:t>
            </w:r>
            <w:proofErr w:type="gramEnd"/>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088A5C88" w14:textId="1B1D4AC2" w:rsidR="00E821CA" w:rsidRPr="00283A0C" w:rsidRDefault="00E821CA" w:rsidP="00E821CA">
            <w:pPr>
              <w:autoSpaceDE w:val="0"/>
              <w:autoSpaceDN w:val="0"/>
              <w:adjustRightInd w:val="0"/>
              <w:spacing w:after="0" w:line="240" w:lineRule="auto"/>
              <w:jc w:val="both"/>
              <w:rPr>
                <w:rFonts w:cstheme="minorHAnsi"/>
                <w:color w:val="000000"/>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C9C86D8"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51083322"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44FE595"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2DDDE054" w14:textId="682770A6"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32F6791"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A4F4BB"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F4D4F40"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3E60F42" w14:textId="77777777" w:rsidR="00E821CA" w:rsidRPr="00283A0C" w:rsidRDefault="00E821CA" w:rsidP="00E821CA">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E43BFA" w14:textId="77777777" w:rsidR="00E821CA" w:rsidRPr="00283A0C" w:rsidRDefault="00E821CA" w:rsidP="00E821CA">
            <w:pPr>
              <w:autoSpaceDE w:val="0"/>
              <w:autoSpaceDN w:val="0"/>
              <w:adjustRightInd w:val="0"/>
              <w:spacing w:after="0" w:line="240" w:lineRule="auto"/>
              <w:rPr>
                <w:rFonts w:cstheme="minorHAnsi"/>
                <w:bCs/>
                <w:sz w:val="14"/>
                <w:szCs w:val="16"/>
              </w:rPr>
            </w:pPr>
            <w:r w:rsidRPr="00283A0C">
              <w:rPr>
                <w:rFonts w:cstheme="minorHAnsi"/>
                <w:bCs/>
                <w:sz w:val="14"/>
                <w:szCs w:val="16"/>
              </w:rPr>
              <w:t>Dont cartes VISA</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CF5B891" w14:textId="29679092" w:rsidR="00E821CA" w:rsidRPr="00283A0C" w:rsidRDefault="00E821CA" w:rsidP="00E821CA">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EA3CDA6"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5822B5DD"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C19833F"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E821CA" w:rsidRPr="00865F4D" w14:paraId="78BE95FF" w14:textId="09CCD3CB"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3F3CFC2"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7605C4"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9C80432"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955E3C2" w14:textId="77777777" w:rsidR="00E821CA" w:rsidRPr="00283A0C" w:rsidRDefault="00E821CA" w:rsidP="00E821CA">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0F4B0A" w14:textId="77777777" w:rsidR="00E821CA" w:rsidRPr="00283A0C" w:rsidRDefault="00E821CA" w:rsidP="00E821CA">
            <w:pPr>
              <w:autoSpaceDE w:val="0"/>
              <w:autoSpaceDN w:val="0"/>
              <w:adjustRightInd w:val="0"/>
              <w:spacing w:after="0" w:line="240" w:lineRule="auto"/>
              <w:rPr>
                <w:rFonts w:cstheme="minorHAnsi"/>
                <w:bCs/>
                <w:sz w:val="14"/>
                <w:szCs w:val="16"/>
              </w:rPr>
            </w:pPr>
            <w:r w:rsidRPr="00283A0C">
              <w:rPr>
                <w:rFonts w:cstheme="minorHAnsi"/>
                <w:bCs/>
                <w:sz w:val="14"/>
                <w:szCs w:val="16"/>
              </w:rPr>
              <w:t>Dont cartes MASTERCARD</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481D023A" w14:textId="0521EDE2" w:rsidR="00E821CA" w:rsidRPr="00283A0C" w:rsidRDefault="00E821CA" w:rsidP="00E821CA">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3350EA5"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2CF1413A"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1E5C64D"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C32498" w:rsidRPr="00865F4D" w14:paraId="2C2A49B8" w14:textId="77777777"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74E89322" w14:textId="77777777" w:rsidR="00C32498" w:rsidRPr="00736108" w:rsidRDefault="00C32498" w:rsidP="00C32498">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617FEE" w14:textId="77777777" w:rsidR="00C32498" w:rsidRPr="00736108" w:rsidRDefault="00C32498" w:rsidP="00C32498">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C759B9C" w14:textId="77777777" w:rsidR="00C32498" w:rsidRPr="00736108" w:rsidRDefault="00C32498" w:rsidP="00C32498">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6DF9AD1" w14:textId="77777777" w:rsidR="00C32498" w:rsidRPr="00283A0C" w:rsidRDefault="00C32498" w:rsidP="00C32498">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433A63" w14:textId="15B3A3AE" w:rsidR="00C32498" w:rsidRPr="00283A0C" w:rsidRDefault="00C32498" w:rsidP="00C32498">
            <w:pPr>
              <w:autoSpaceDE w:val="0"/>
              <w:autoSpaceDN w:val="0"/>
              <w:adjustRightInd w:val="0"/>
              <w:spacing w:after="0" w:line="240" w:lineRule="auto"/>
              <w:rPr>
                <w:rFonts w:cstheme="minorHAnsi"/>
                <w:bCs/>
                <w:sz w:val="14"/>
                <w:szCs w:val="16"/>
              </w:rPr>
            </w:pPr>
            <w:r w:rsidRPr="00283A0C">
              <w:rPr>
                <w:rFonts w:cstheme="minorHAnsi"/>
                <w:bCs/>
                <w:sz w:val="14"/>
                <w:szCs w:val="16"/>
              </w:rPr>
              <w:t xml:space="preserve">Dont cartes </w:t>
            </w:r>
            <w:proofErr w:type="spellStart"/>
            <w:r w:rsidRPr="00283A0C">
              <w:rPr>
                <w:rFonts w:cstheme="minorHAnsi"/>
                <w:bCs/>
                <w:sz w:val="14"/>
                <w:szCs w:val="16"/>
              </w:rPr>
              <w:t>UnionPay</w:t>
            </w:r>
            <w:proofErr w:type="spellEnd"/>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3D23C879" w14:textId="279B01E2" w:rsidR="00C32498" w:rsidRPr="00283A0C" w:rsidRDefault="00C32498" w:rsidP="00C32498">
            <w:pPr>
              <w:autoSpaceDE w:val="0"/>
              <w:autoSpaceDN w:val="0"/>
              <w:adjustRightInd w:val="0"/>
              <w:spacing w:after="0" w:line="240" w:lineRule="auto"/>
              <w:jc w:val="both"/>
              <w:rPr>
                <w:rFonts w:cstheme="minorHAnsi"/>
                <w:bCs/>
                <w:sz w:val="14"/>
                <w:szCs w:val="16"/>
              </w:rPr>
            </w:pPr>
            <w:r w:rsidRPr="00283A0C">
              <w:rPr>
                <w:rFonts w:cstheme="minorHAnsi"/>
                <w:bCs/>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0CEA200"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32299DE3"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19AD6AD"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r>
      <w:tr w:rsidR="00E821CA" w:rsidRPr="00865F4D" w14:paraId="1E234E56" w14:textId="36F52A40"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28D4FE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3EF290"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3EC4726"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A721F33" w14:textId="77777777" w:rsidR="00E821CA" w:rsidRPr="00283A0C" w:rsidRDefault="00E821CA" w:rsidP="00E821CA">
            <w:pPr>
              <w:autoSpaceDE w:val="0"/>
              <w:autoSpaceDN w:val="0"/>
              <w:adjustRightInd w:val="0"/>
              <w:spacing w:after="0" w:line="240" w:lineRule="auto"/>
              <w:rPr>
                <w:rFonts w:cstheme="minorHAnsi"/>
                <w:sz w:val="14"/>
                <w:szCs w:val="16"/>
              </w:rPr>
            </w:pPr>
            <w:r w:rsidRPr="00283A0C">
              <w:rPr>
                <w:rFonts w:cstheme="minorHAnsi"/>
                <w:sz w:val="14"/>
                <w:szCs w:val="16"/>
              </w:rPr>
              <w:t>Dont cartes privatives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2B077898" w14:textId="22A8D3E6" w:rsidR="00E821CA" w:rsidRPr="00283A0C" w:rsidRDefault="00E821CA" w:rsidP="00E821CA">
            <w:pPr>
              <w:autoSpaceDE w:val="0"/>
              <w:autoSpaceDN w:val="0"/>
              <w:adjustRightInd w:val="0"/>
              <w:spacing w:after="0" w:line="240" w:lineRule="auto"/>
              <w:jc w:val="both"/>
              <w:rPr>
                <w:rFonts w:cstheme="minorHAnsi"/>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E8724FB"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08CE33FE"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662AE8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36E337CD" w14:textId="42CDF2EB"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B80FEC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BAE159"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263F0FE"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F211C0F" w14:textId="77777777" w:rsidR="00E821CA" w:rsidRPr="00283A0C" w:rsidRDefault="00E821CA" w:rsidP="00E821CA">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43E58D9" w14:textId="77777777" w:rsidR="00E821CA" w:rsidRPr="00283A0C" w:rsidRDefault="00E821CA" w:rsidP="00E821CA">
            <w:pPr>
              <w:autoSpaceDE w:val="0"/>
              <w:autoSpaceDN w:val="0"/>
              <w:adjustRightInd w:val="0"/>
              <w:spacing w:after="0" w:line="240" w:lineRule="auto"/>
              <w:rPr>
                <w:rFonts w:cstheme="minorHAnsi"/>
                <w:bCs/>
                <w:sz w:val="14"/>
                <w:szCs w:val="16"/>
              </w:rPr>
            </w:pPr>
            <w:r w:rsidRPr="00283A0C">
              <w:rPr>
                <w:rFonts w:cstheme="minorHAnsi"/>
                <w:bCs/>
                <w:sz w:val="14"/>
                <w:szCs w:val="16"/>
              </w:rPr>
              <w:t>Dont cartes AMERICAN EXPRESS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4928F2D" w14:textId="57EDF526" w:rsidR="00E821CA" w:rsidRPr="00283A0C" w:rsidRDefault="00E821CA" w:rsidP="00E821CA">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600DCCD"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3B105748"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1ECE9AD"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E821CA" w:rsidRPr="00865F4D" w14:paraId="4068FF68" w14:textId="28CD768E"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5E08B70"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522AF7"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547396C"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872A919" w14:textId="77777777" w:rsidR="00E821CA" w:rsidRPr="00283A0C" w:rsidRDefault="00E821CA" w:rsidP="00E821CA">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CDD4C9" w14:textId="77777777" w:rsidR="00E821CA" w:rsidRPr="00283A0C" w:rsidRDefault="00E821CA" w:rsidP="00E821CA">
            <w:pPr>
              <w:autoSpaceDE w:val="0"/>
              <w:autoSpaceDN w:val="0"/>
              <w:adjustRightInd w:val="0"/>
              <w:spacing w:after="0" w:line="240" w:lineRule="auto"/>
              <w:rPr>
                <w:rFonts w:cstheme="minorHAnsi"/>
                <w:bCs/>
                <w:sz w:val="14"/>
                <w:szCs w:val="16"/>
              </w:rPr>
            </w:pPr>
            <w:r w:rsidRPr="00283A0C">
              <w:rPr>
                <w:rFonts w:cstheme="minorHAnsi"/>
                <w:bCs/>
                <w:sz w:val="14"/>
                <w:szCs w:val="16"/>
              </w:rPr>
              <w:t>Dont cartes ONEY BANK</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629322B3" w14:textId="5EE2A90A" w:rsidR="00E821CA" w:rsidRPr="00283A0C" w:rsidRDefault="00E821CA" w:rsidP="00E821CA">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1665591"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4BE866E1"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D49DDDB"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E821CA" w:rsidRPr="00865F4D" w14:paraId="4A93FEFB" w14:textId="45D10435"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71B1133"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6F91E5"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73CB2CA"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EA3DCD9" w14:textId="77777777" w:rsidR="00E821CA" w:rsidRPr="00283A0C" w:rsidRDefault="00E821CA" w:rsidP="00E821CA">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5C7F7E" w14:textId="77777777" w:rsidR="00E821CA" w:rsidRPr="00283A0C" w:rsidRDefault="00E821CA" w:rsidP="00E821CA">
            <w:pPr>
              <w:autoSpaceDE w:val="0"/>
              <w:autoSpaceDN w:val="0"/>
              <w:adjustRightInd w:val="0"/>
              <w:spacing w:after="0" w:line="240" w:lineRule="auto"/>
              <w:rPr>
                <w:rFonts w:cstheme="minorHAnsi"/>
                <w:bCs/>
                <w:sz w:val="14"/>
                <w:szCs w:val="16"/>
              </w:rPr>
            </w:pPr>
            <w:r w:rsidRPr="00283A0C">
              <w:rPr>
                <w:rFonts w:cstheme="minorHAnsi"/>
                <w:bCs/>
                <w:sz w:val="14"/>
                <w:szCs w:val="16"/>
              </w:rPr>
              <w:t>Dont cartes Crédit Agricole Consumer Finance</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40158071" w14:textId="387BD699" w:rsidR="00E821CA" w:rsidRPr="00283A0C" w:rsidRDefault="00E821CA" w:rsidP="00E821CA">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A54B407"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2DA4280E"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E9B4396"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E821CA" w:rsidRPr="00865F4D" w14:paraId="581EDB35" w14:textId="257CC5A2"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AA9C6EA"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40CFC8"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76FFE27"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E75F77C" w14:textId="77777777" w:rsidR="00E821CA" w:rsidRPr="00283A0C" w:rsidRDefault="00E821CA" w:rsidP="00E821CA">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A4174D" w14:textId="77777777" w:rsidR="00E821CA" w:rsidRPr="00283A0C" w:rsidRDefault="00E821CA" w:rsidP="00E821CA">
            <w:pPr>
              <w:autoSpaceDE w:val="0"/>
              <w:autoSpaceDN w:val="0"/>
              <w:adjustRightInd w:val="0"/>
              <w:spacing w:after="0" w:line="240" w:lineRule="auto"/>
              <w:rPr>
                <w:rFonts w:cstheme="minorHAnsi"/>
                <w:bCs/>
                <w:sz w:val="14"/>
                <w:szCs w:val="16"/>
              </w:rPr>
            </w:pPr>
            <w:r w:rsidRPr="00283A0C">
              <w:rPr>
                <w:rFonts w:cstheme="minorHAnsi"/>
                <w:bCs/>
                <w:sz w:val="14"/>
                <w:szCs w:val="16"/>
              </w:rPr>
              <w:t>Dont cartes COFIDIS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0FB93406" w14:textId="01E48FFD" w:rsidR="00E821CA" w:rsidRPr="00283A0C" w:rsidRDefault="00E821CA" w:rsidP="00E821CA">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39FA184"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0762E2DC"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EB6A04F"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E821CA" w:rsidRPr="00865F4D" w14:paraId="5BAAE4D7" w14:textId="7F30C2F9"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2CC7239"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46B2BF"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B443282"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2529F5D" w14:textId="77777777" w:rsidR="00E821CA" w:rsidRPr="00283A0C" w:rsidRDefault="00E821CA" w:rsidP="00E821CA">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B86942" w14:textId="77777777" w:rsidR="00E821CA" w:rsidRPr="00283A0C" w:rsidRDefault="00E821CA" w:rsidP="00E821CA">
            <w:pPr>
              <w:autoSpaceDE w:val="0"/>
              <w:autoSpaceDN w:val="0"/>
              <w:adjustRightInd w:val="0"/>
              <w:spacing w:after="0" w:line="240" w:lineRule="auto"/>
              <w:rPr>
                <w:rFonts w:cstheme="minorHAnsi"/>
                <w:bCs/>
                <w:sz w:val="14"/>
                <w:szCs w:val="16"/>
              </w:rPr>
            </w:pPr>
            <w:r w:rsidRPr="00283A0C">
              <w:rPr>
                <w:rFonts w:cstheme="minorHAnsi"/>
                <w:bCs/>
                <w:sz w:val="14"/>
                <w:szCs w:val="16"/>
              </w:rPr>
              <w:t>Dont cartes Franfinance</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2E82FB8" w14:textId="38749FAC" w:rsidR="00E821CA" w:rsidRPr="00283A0C" w:rsidRDefault="00E821CA" w:rsidP="00E821CA">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4960471"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2D08B1F0"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CB4C737"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E821CA" w:rsidRPr="00865F4D" w14:paraId="04C432C2" w14:textId="0E4B4D18"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619F11C"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439350"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7776396"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A3477B0" w14:textId="77777777" w:rsidR="00E821CA" w:rsidRPr="00283A0C" w:rsidRDefault="00E821CA" w:rsidP="00E821CA">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E08112" w14:textId="77777777" w:rsidR="00E821CA" w:rsidRPr="00283A0C" w:rsidRDefault="00E821CA" w:rsidP="00E821CA">
            <w:pPr>
              <w:autoSpaceDE w:val="0"/>
              <w:autoSpaceDN w:val="0"/>
              <w:adjustRightInd w:val="0"/>
              <w:spacing w:after="0" w:line="240" w:lineRule="auto"/>
              <w:rPr>
                <w:rFonts w:cstheme="minorHAnsi"/>
                <w:bCs/>
                <w:sz w:val="14"/>
                <w:szCs w:val="16"/>
              </w:rPr>
            </w:pPr>
            <w:r w:rsidRPr="00283A0C">
              <w:rPr>
                <w:rFonts w:cstheme="minorHAnsi"/>
                <w:bCs/>
                <w:sz w:val="14"/>
                <w:szCs w:val="16"/>
              </w:rPr>
              <w:t>Dont cartes JCB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0988350" w14:textId="6D1E5D41" w:rsidR="00E821CA" w:rsidRPr="00283A0C" w:rsidRDefault="00E821CA" w:rsidP="00E821CA">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FD0E02F"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0B6A7C9B"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9D94976"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C32498" w:rsidRPr="00865F4D" w14:paraId="0661CA51" w14:textId="77777777"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4446B75" w14:textId="77777777" w:rsidR="00C32498" w:rsidRPr="00736108" w:rsidRDefault="00C32498" w:rsidP="00C32498">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DB1BE0" w14:textId="77777777" w:rsidR="00C32498" w:rsidRPr="00736108" w:rsidRDefault="00C32498" w:rsidP="00C32498">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3C95F4E" w14:textId="77777777" w:rsidR="00C32498" w:rsidRPr="00736108" w:rsidRDefault="00C32498" w:rsidP="00C32498">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F5A01CA" w14:textId="77777777" w:rsidR="00C32498" w:rsidRPr="00283A0C" w:rsidRDefault="00C32498" w:rsidP="00C32498">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035CAD" w14:textId="2EAB15D0" w:rsidR="00C32498" w:rsidRPr="00283A0C" w:rsidRDefault="00C32498" w:rsidP="00C32498">
            <w:pPr>
              <w:autoSpaceDE w:val="0"/>
              <w:autoSpaceDN w:val="0"/>
              <w:adjustRightInd w:val="0"/>
              <w:spacing w:after="0" w:line="240" w:lineRule="auto"/>
              <w:rPr>
                <w:rFonts w:cstheme="minorHAnsi"/>
                <w:bCs/>
                <w:sz w:val="14"/>
                <w:szCs w:val="16"/>
              </w:rPr>
            </w:pPr>
            <w:r w:rsidRPr="00283A0C">
              <w:rPr>
                <w:rFonts w:cstheme="minorHAnsi"/>
                <w:bCs/>
                <w:sz w:val="14"/>
                <w:szCs w:val="16"/>
              </w:rPr>
              <w:t>Dont cartes Diners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2B073ED4" w14:textId="5FE08B1D" w:rsidR="00C32498" w:rsidRPr="00283A0C" w:rsidRDefault="001E5DAD" w:rsidP="00C32498">
            <w:pPr>
              <w:autoSpaceDE w:val="0"/>
              <w:autoSpaceDN w:val="0"/>
              <w:adjustRightInd w:val="0"/>
              <w:spacing w:after="0" w:line="240" w:lineRule="auto"/>
              <w:jc w:val="both"/>
              <w:rPr>
                <w:rFonts w:cstheme="minorHAnsi"/>
                <w:bCs/>
                <w:sz w:val="14"/>
                <w:szCs w:val="16"/>
              </w:rPr>
            </w:pPr>
            <w:r w:rsidRPr="00283A0C">
              <w:rPr>
                <w:rFonts w:cstheme="minorHAnsi"/>
                <w:bCs/>
                <w:sz w:val="14"/>
                <w:szCs w:val="16"/>
              </w:rPr>
              <w:t>Cf. définition supra</w:t>
            </w:r>
            <w:r w:rsidR="00C32498" w:rsidRPr="00283A0C">
              <w:rPr>
                <w:rFonts w:cstheme="minorHAnsi"/>
                <w:bCs/>
                <w:sz w:val="14"/>
                <w:szCs w:val="16"/>
              </w:rPr>
              <w:t>.</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00206A8"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78C64B58"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A4579E2"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r>
      <w:tr w:rsidR="00C32498" w:rsidRPr="00865F4D" w14:paraId="0F3F1182" w14:textId="77777777"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2518FA9" w14:textId="77777777" w:rsidR="00C32498" w:rsidRPr="00736108" w:rsidRDefault="00C32498" w:rsidP="00C32498">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0105DB" w14:textId="77777777" w:rsidR="00C32498" w:rsidRPr="00736108" w:rsidRDefault="00C32498" w:rsidP="00C32498">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84A9CFF" w14:textId="77777777" w:rsidR="00C32498" w:rsidRPr="00736108" w:rsidRDefault="00C32498" w:rsidP="00C32498">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1758E9F" w14:textId="77777777" w:rsidR="00C32498" w:rsidRPr="00283A0C" w:rsidRDefault="00C32498" w:rsidP="00C32498">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ED3525" w14:textId="3FCA3EA2" w:rsidR="00C32498" w:rsidRPr="00283A0C" w:rsidRDefault="00C32498" w:rsidP="00C32498">
            <w:pPr>
              <w:autoSpaceDE w:val="0"/>
              <w:autoSpaceDN w:val="0"/>
              <w:adjustRightInd w:val="0"/>
              <w:spacing w:after="0" w:line="240" w:lineRule="auto"/>
              <w:rPr>
                <w:rFonts w:cstheme="minorHAnsi"/>
                <w:bCs/>
                <w:sz w:val="14"/>
                <w:szCs w:val="16"/>
              </w:rPr>
            </w:pPr>
            <w:r w:rsidRPr="00283A0C">
              <w:rPr>
                <w:rFonts w:cstheme="minorHAnsi"/>
                <w:bCs/>
                <w:sz w:val="14"/>
                <w:szCs w:val="16"/>
              </w:rPr>
              <w:t>Dont cartes Discover</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781C7593" w14:textId="52625DBB" w:rsidR="00C32498" w:rsidRPr="00283A0C" w:rsidRDefault="000E5B3A" w:rsidP="00C32498">
            <w:pPr>
              <w:autoSpaceDE w:val="0"/>
              <w:autoSpaceDN w:val="0"/>
              <w:adjustRightInd w:val="0"/>
              <w:spacing w:after="0" w:line="240" w:lineRule="auto"/>
              <w:jc w:val="both"/>
              <w:rPr>
                <w:rFonts w:cstheme="minorHAnsi"/>
                <w:bCs/>
                <w:sz w:val="14"/>
                <w:szCs w:val="16"/>
              </w:rPr>
            </w:pPr>
            <w:r w:rsidRPr="00283A0C">
              <w:rPr>
                <w:rFonts w:cstheme="minorHAnsi"/>
                <w:bCs/>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6D77DE3"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44056679"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E391749"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r>
      <w:tr w:rsidR="00C32498" w:rsidRPr="00865F4D" w14:paraId="45EDF21E" w14:textId="1FE43977" w:rsidTr="00155B05">
        <w:trPr>
          <w:trHeight w:val="178"/>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75DBFE30" w14:textId="77777777" w:rsidR="00C32498" w:rsidRPr="00736108" w:rsidRDefault="00C32498" w:rsidP="00C32498">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13B35CBE" w14:textId="77777777" w:rsidR="00C32498" w:rsidRPr="00736108" w:rsidRDefault="00C32498" w:rsidP="00C32498">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62F9AEAD" w14:textId="77777777" w:rsidR="00C32498" w:rsidRPr="00736108" w:rsidRDefault="00C32498" w:rsidP="00C32498">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1FAF11E5" w14:textId="77777777" w:rsidR="00C32498" w:rsidRPr="00283A0C" w:rsidRDefault="00C32498" w:rsidP="00C32498">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1A4E3903" w14:textId="41D13E84" w:rsidR="00C32498" w:rsidRPr="00283A0C" w:rsidRDefault="00767404" w:rsidP="00C32498">
            <w:pPr>
              <w:autoSpaceDE w:val="0"/>
              <w:autoSpaceDN w:val="0"/>
              <w:adjustRightInd w:val="0"/>
              <w:spacing w:after="0" w:line="240" w:lineRule="auto"/>
              <w:rPr>
                <w:rFonts w:cstheme="minorHAnsi"/>
                <w:bCs/>
                <w:sz w:val="14"/>
                <w:szCs w:val="16"/>
              </w:rPr>
            </w:pPr>
            <w:r w:rsidRPr="00283A0C">
              <w:rPr>
                <w:rFonts w:cstheme="minorHAnsi"/>
                <w:bCs/>
                <w:sz w:val="14"/>
                <w:szCs w:val="16"/>
              </w:rPr>
              <w:t>Dont Aurore</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7C8C7555" w14:textId="48870C49" w:rsidR="00C32498" w:rsidRPr="00283A0C" w:rsidRDefault="000E5B3A" w:rsidP="00C32498">
            <w:pPr>
              <w:autoSpaceDE w:val="0"/>
              <w:autoSpaceDN w:val="0"/>
              <w:adjustRightInd w:val="0"/>
              <w:spacing w:after="0" w:line="240" w:lineRule="auto"/>
              <w:jc w:val="both"/>
              <w:rPr>
                <w:rFonts w:cstheme="minorHAnsi"/>
                <w:bCs/>
                <w:sz w:val="14"/>
                <w:szCs w:val="16"/>
              </w:rPr>
            </w:pPr>
            <w:r w:rsidRPr="00283A0C">
              <w:rPr>
                <w:rFonts w:cstheme="minorHAnsi"/>
                <w:bCs/>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44992294"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tcPr>
          <w:p w14:paraId="638AB154"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117D5EFA"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r>
      <w:tr w:rsidR="00E821CA" w:rsidRPr="00865F4D" w14:paraId="182E37E6" w14:textId="11B16102"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546E546B"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7A97FD0"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2C991A77" w14:textId="77777777" w:rsidR="00E821CA" w:rsidRPr="00736108" w:rsidRDefault="00E821CA" w:rsidP="00E821CA">
            <w:pPr>
              <w:autoSpaceDE w:val="0"/>
              <w:autoSpaceDN w:val="0"/>
              <w:adjustRightInd w:val="0"/>
              <w:spacing w:after="0" w:line="240" w:lineRule="auto"/>
              <w:rPr>
                <w:rFonts w:cstheme="minorHAnsi"/>
                <w:b/>
                <w:bCs/>
                <w:sz w:val="14"/>
                <w:szCs w:val="16"/>
              </w:rPr>
            </w:pPr>
            <w:r w:rsidRPr="00736108">
              <w:rPr>
                <w:rFonts w:cstheme="minorHAnsi"/>
                <w:b/>
                <w:bCs/>
                <w:sz w:val="14"/>
                <w:szCs w:val="16"/>
              </w:rPr>
              <w:t>Dont cartes avec une fonction de crédit</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0E067308" w14:textId="0AD2BBD5" w:rsidR="00E821CA" w:rsidRPr="00736108" w:rsidRDefault="00E821CA" w:rsidP="00E821CA">
            <w:pPr>
              <w:autoSpaceDE w:val="0"/>
              <w:autoSpaceDN w:val="0"/>
              <w:adjustRightInd w:val="0"/>
              <w:spacing w:after="0" w:line="240" w:lineRule="auto"/>
              <w:jc w:val="both"/>
              <w:rPr>
                <w:rFonts w:cstheme="minorHAnsi"/>
                <w:bCs/>
                <w:sz w:val="14"/>
                <w:szCs w:val="16"/>
              </w:rPr>
            </w:pPr>
            <w:r w:rsidRPr="00736108">
              <w:rPr>
                <w:rFonts w:cstheme="minorHAnsi"/>
                <w:sz w:val="14"/>
                <w:szCs w:val="16"/>
              </w:rPr>
              <w:t>Cartes pour lesquelles les paiements et, dans certains cas, les opérations de retrait d’espèces à concurrence d’un plafond fixé d’avance. Le crédit accordé peut être remboursé soit intégralement à la fin d’une période déterminée, soit en partie, le solde étant considéré comme une prorogation de crédit, généralement porteur d’intérêts. La différence entre une carte en mode crédit et une carte en mode débit ou débit différé réside dans l’accord contractuel qui confère au porteur de la carte une ligne de crédit permettant la prorogation de crédit.</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7185514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594FF247"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5CE3487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60AB2C6E" w14:textId="165EF22B" w:rsidTr="00155B05">
        <w:trPr>
          <w:trHeight w:val="252"/>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023414E"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8D2381"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897E15A"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5AD438F"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5935420" w14:textId="3A45E5F9"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F2D2EBA"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220F4A82"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37D0A4D"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55B0CA25" w14:textId="7F010C07" w:rsidTr="00155B05">
        <w:trPr>
          <w:trHeight w:val="252"/>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1D4571F"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1F0DF6"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4677E11"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15C3B00" w14:textId="77777777" w:rsidR="00E821CA" w:rsidRPr="00283A0C" w:rsidRDefault="00E821CA" w:rsidP="00E821CA">
            <w:pPr>
              <w:autoSpaceDE w:val="0"/>
              <w:autoSpaceDN w:val="0"/>
              <w:adjustRightInd w:val="0"/>
              <w:spacing w:after="0" w:line="240" w:lineRule="auto"/>
              <w:rPr>
                <w:rFonts w:cstheme="minorHAnsi"/>
                <w:color w:val="000000"/>
                <w:sz w:val="14"/>
                <w:szCs w:val="16"/>
              </w:rPr>
            </w:pPr>
            <w:r w:rsidRPr="00283A0C">
              <w:rPr>
                <w:rFonts w:cstheme="minorHAnsi"/>
                <w:color w:val="000000"/>
                <w:sz w:val="14"/>
                <w:szCs w:val="16"/>
              </w:rPr>
              <w:t xml:space="preserve">Dont cartes interbancaires </w:t>
            </w:r>
            <w:proofErr w:type="gramStart"/>
            <w:r w:rsidRPr="00283A0C">
              <w:rPr>
                <w:rFonts w:cstheme="minorHAnsi"/>
                <w:color w:val="000000"/>
                <w:sz w:val="14"/>
                <w:szCs w:val="16"/>
              </w:rPr>
              <w:t>non CB</w:t>
            </w:r>
            <w:proofErr w:type="gramEnd"/>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6CAE9A54" w14:textId="26944E56" w:rsidR="00E821CA" w:rsidRPr="00283A0C" w:rsidRDefault="00E821CA" w:rsidP="00E821CA">
            <w:pPr>
              <w:autoSpaceDE w:val="0"/>
              <w:autoSpaceDN w:val="0"/>
              <w:adjustRightInd w:val="0"/>
              <w:spacing w:after="0" w:line="240" w:lineRule="auto"/>
              <w:jc w:val="both"/>
              <w:rPr>
                <w:rFonts w:cstheme="minorHAnsi"/>
                <w:color w:val="000000"/>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A03D56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7ED8E6D0"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6376380"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55633" w:rsidRPr="00865F4D" w14:paraId="3369AAB6" w14:textId="75F1022F"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7A47E03A"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721BC4"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E9FEA12"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7E39366" w14:textId="77777777" w:rsidR="00E55633" w:rsidRPr="00283A0C"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9A883F"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VISA</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FEE8A48" w14:textId="59B359F6"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15CA069"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5A56C11B"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9EDB95D"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39EAEC5D" w14:textId="6FECFB06"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77C6C914"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1CF09D"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14783B1"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F93C9CE" w14:textId="77777777" w:rsidR="00E55633" w:rsidRPr="00283A0C"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B1DFFE"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MASTERCARD</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8DFC801" w14:textId="508F2070"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7DCA716"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70119BBC"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1671800"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0E5B3A" w:rsidRPr="00865F4D" w14:paraId="3093611A" w14:textId="77777777"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7285FA6B" w14:textId="77777777" w:rsidR="000E5B3A" w:rsidRPr="00736108" w:rsidRDefault="000E5B3A" w:rsidP="000E5B3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E4BCBB" w14:textId="77777777" w:rsidR="000E5B3A" w:rsidRPr="00736108" w:rsidRDefault="000E5B3A" w:rsidP="000E5B3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A290E1B" w14:textId="77777777" w:rsidR="000E5B3A" w:rsidRPr="00736108" w:rsidRDefault="000E5B3A" w:rsidP="000E5B3A">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40ECFD1" w14:textId="77777777" w:rsidR="000E5B3A" w:rsidRPr="00283A0C" w:rsidRDefault="000E5B3A" w:rsidP="000E5B3A">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474CA2" w14:textId="1E1761EE" w:rsidR="000E5B3A" w:rsidRPr="00283A0C" w:rsidRDefault="000E5B3A" w:rsidP="000E5B3A">
            <w:pPr>
              <w:autoSpaceDE w:val="0"/>
              <w:autoSpaceDN w:val="0"/>
              <w:adjustRightInd w:val="0"/>
              <w:spacing w:after="0" w:line="240" w:lineRule="auto"/>
              <w:rPr>
                <w:rFonts w:cstheme="minorHAnsi"/>
                <w:bCs/>
                <w:sz w:val="14"/>
                <w:szCs w:val="16"/>
              </w:rPr>
            </w:pPr>
            <w:r w:rsidRPr="00283A0C">
              <w:rPr>
                <w:rFonts w:cstheme="minorHAnsi"/>
                <w:bCs/>
                <w:sz w:val="14"/>
                <w:szCs w:val="16"/>
              </w:rPr>
              <w:t xml:space="preserve">Dont cartes </w:t>
            </w:r>
            <w:proofErr w:type="spellStart"/>
            <w:r w:rsidRPr="00283A0C">
              <w:rPr>
                <w:rFonts w:cstheme="minorHAnsi"/>
                <w:bCs/>
                <w:sz w:val="14"/>
                <w:szCs w:val="16"/>
              </w:rPr>
              <w:t>UnionPay</w:t>
            </w:r>
            <w:proofErr w:type="spellEnd"/>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4553B62C" w14:textId="0214AA73" w:rsidR="000E5B3A" w:rsidRPr="00283A0C" w:rsidRDefault="000E5B3A" w:rsidP="000E5B3A">
            <w:pPr>
              <w:autoSpaceDE w:val="0"/>
              <w:autoSpaceDN w:val="0"/>
              <w:adjustRightInd w:val="0"/>
              <w:spacing w:after="0" w:line="240" w:lineRule="auto"/>
              <w:jc w:val="both"/>
              <w:rPr>
                <w:rFonts w:cstheme="minorHAnsi"/>
                <w:bCs/>
                <w:sz w:val="14"/>
                <w:szCs w:val="16"/>
              </w:rPr>
            </w:pPr>
            <w:r w:rsidRPr="00283A0C">
              <w:rPr>
                <w:rFonts w:cstheme="minorHAnsi"/>
                <w:bCs/>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7808F3A"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5A03645C"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F2DF16A"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r>
      <w:tr w:rsidR="00E821CA" w:rsidRPr="00865F4D" w14:paraId="0E3A1251" w14:textId="1B10BDE6"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047A8481"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39FEBC"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AEE6324"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65E24D6" w14:textId="77777777" w:rsidR="00E821CA" w:rsidRPr="00283A0C" w:rsidRDefault="00E821CA" w:rsidP="00E821CA">
            <w:pPr>
              <w:autoSpaceDE w:val="0"/>
              <w:autoSpaceDN w:val="0"/>
              <w:adjustRightInd w:val="0"/>
              <w:spacing w:after="0" w:line="240" w:lineRule="auto"/>
              <w:rPr>
                <w:rFonts w:cstheme="minorHAnsi"/>
                <w:sz w:val="14"/>
                <w:szCs w:val="16"/>
              </w:rPr>
            </w:pPr>
            <w:r w:rsidRPr="00283A0C">
              <w:rPr>
                <w:rFonts w:cstheme="minorHAnsi"/>
                <w:sz w:val="14"/>
                <w:szCs w:val="16"/>
              </w:rPr>
              <w:t>Dont cartes privatives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5D5C5C9" w14:textId="307EDA8A" w:rsidR="00E821CA" w:rsidRPr="00283A0C" w:rsidRDefault="00E821CA" w:rsidP="00E821CA">
            <w:pPr>
              <w:autoSpaceDE w:val="0"/>
              <w:autoSpaceDN w:val="0"/>
              <w:adjustRightInd w:val="0"/>
              <w:spacing w:after="0" w:line="240" w:lineRule="auto"/>
              <w:jc w:val="both"/>
              <w:rPr>
                <w:rFonts w:cstheme="minorHAnsi"/>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47C5165"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3768D4A0"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C51EACE"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55633" w:rsidRPr="00865F4D" w14:paraId="7DBF4B4F" w14:textId="1DA9E144"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64DD72F5"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90106D"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7D2DCE6"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F7118FB" w14:textId="77777777" w:rsidR="00E55633" w:rsidRPr="00283A0C"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D81C38"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AMERICAN EXPRESS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498FB4E0" w14:textId="66C544F4"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994E749"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7F52806F"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933AE12"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7F91E605" w14:textId="6EA99D23"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EB91408"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D423F5E"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1859F10"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E33FF35" w14:textId="77777777" w:rsidR="00E55633" w:rsidRPr="00283A0C"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D25849"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ONEY BANK</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035010E2" w14:textId="38F333FC"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9CA699B"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3CFD925B"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BFE352F"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5EEEFACF" w14:textId="624B3473"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B32579D"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557D702"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5E051AD"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9AA2DB1" w14:textId="77777777" w:rsidR="00E55633" w:rsidRPr="00283A0C"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A7C2F5"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Crédit Agricole Consumer Finance</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0920C960" w14:textId="651E213D"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0B55343"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693A4A2A"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A27FAAA"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6566CA11" w14:textId="6AC83242"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118ADD2"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D103DD"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F8E266D"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B65083A" w14:textId="77777777" w:rsidR="00E55633" w:rsidRPr="00283A0C"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F970BC"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COFIDIS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13DE783" w14:textId="4FEE0111"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42C1AFF"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26B53293"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D3CFA66"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2542978C" w14:textId="475EEE9A"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362CC10"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3B4C24"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DE4E21D"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0C32EB4" w14:textId="77777777" w:rsidR="00E55633" w:rsidRPr="00283A0C"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E383C3"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Franfinance</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D5D06A1" w14:textId="78ABD631"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30B4CF0"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18AD055C"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FF451BB"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6EFB54DB" w14:textId="7AF026DB"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06BCA92F"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B322F4"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950AAEF"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6BA4074" w14:textId="77777777" w:rsidR="00E55633" w:rsidRPr="00283A0C"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4793BB"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JCB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250B8A84" w14:textId="73452104"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A4BD165"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39CBC1B6"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A0F9B0A"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0E5B3A" w:rsidRPr="00865F4D" w14:paraId="106AEE3E" w14:textId="77777777"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55323C45" w14:textId="77777777" w:rsidR="000E5B3A" w:rsidRPr="00736108" w:rsidRDefault="000E5B3A" w:rsidP="000E5B3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3EF3EB" w14:textId="77777777" w:rsidR="000E5B3A" w:rsidRPr="00736108" w:rsidRDefault="000E5B3A" w:rsidP="000E5B3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1203179" w14:textId="77777777" w:rsidR="000E5B3A" w:rsidRPr="00736108" w:rsidRDefault="000E5B3A" w:rsidP="000E5B3A">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B16C427" w14:textId="77777777" w:rsidR="000E5B3A" w:rsidRPr="00283A0C" w:rsidRDefault="000E5B3A" w:rsidP="000E5B3A">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6FEACD" w14:textId="41A5C8E3" w:rsidR="000E5B3A" w:rsidRPr="00283A0C" w:rsidRDefault="000E5B3A" w:rsidP="000E5B3A">
            <w:pPr>
              <w:autoSpaceDE w:val="0"/>
              <w:autoSpaceDN w:val="0"/>
              <w:adjustRightInd w:val="0"/>
              <w:spacing w:after="0" w:line="240" w:lineRule="auto"/>
              <w:rPr>
                <w:rFonts w:cstheme="minorHAnsi"/>
                <w:bCs/>
                <w:sz w:val="14"/>
                <w:szCs w:val="16"/>
              </w:rPr>
            </w:pPr>
            <w:r w:rsidRPr="00283A0C">
              <w:rPr>
                <w:rFonts w:cstheme="minorHAnsi"/>
                <w:bCs/>
                <w:sz w:val="14"/>
                <w:szCs w:val="16"/>
              </w:rPr>
              <w:t>Dont cartes Diners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78FA432" w14:textId="17F1EAE2" w:rsidR="000E5B3A" w:rsidRPr="00283A0C" w:rsidRDefault="000E5B3A" w:rsidP="000E5B3A">
            <w:pPr>
              <w:autoSpaceDE w:val="0"/>
              <w:autoSpaceDN w:val="0"/>
              <w:adjustRightInd w:val="0"/>
              <w:spacing w:after="0" w:line="240" w:lineRule="auto"/>
              <w:jc w:val="both"/>
              <w:rPr>
                <w:rFonts w:cstheme="minorHAnsi"/>
                <w:bCs/>
                <w:sz w:val="14"/>
                <w:szCs w:val="16"/>
              </w:rPr>
            </w:pPr>
            <w:r w:rsidRPr="00283A0C">
              <w:rPr>
                <w:rFonts w:cstheme="minorHAnsi"/>
                <w:bCs/>
                <w:sz w:val="14"/>
                <w:szCs w:val="16"/>
              </w:rPr>
              <w:t xml:space="preserve">Cf. définition </w:t>
            </w:r>
            <w:proofErr w:type="gramStart"/>
            <w:r w:rsidRPr="00283A0C">
              <w:rPr>
                <w:rFonts w:cstheme="minorHAnsi"/>
                <w:bCs/>
                <w:sz w:val="14"/>
                <w:szCs w:val="16"/>
              </w:rPr>
              <w:t>supra..</w:t>
            </w:r>
            <w:proofErr w:type="gramEnd"/>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C9AF751"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200EC082"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0FC0C25"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r>
      <w:tr w:rsidR="000E5B3A" w:rsidRPr="00865F4D" w14:paraId="460814A1" w14:textId="77777777"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FB9017F" w14:textId="77777777" w:rsidR="000E5B3A" w:rsidRPr="00736108" w:rsidRDefault="000E5B3A" w:rsidP="000E5B3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7B37B5" w14:textId="77777777" w:rsidR="000E5B3A" w:rsidRPr="00736108" w:rsidRDefault="000E5B3A" w:rsidP="000E5B3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D14FB0A" w14:textId="77777777" w:rsidR="000E5B3A" w:rsidRPr="00736108" w:rsidRDefault="000E5B3A" w:rsidP="000E5B3A">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8EF71C4" w14:textId="77777777" w:rsidR="000E5B3A" w:rsidRPr="00283A0C" w:rsidRDefault="000E5B3A" w:rsidP="000E5B3A">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4EC62D1" w14:textId="192161C9" w:rsidR="000E5B3A" w:rsidRPr="00283A0C" w:rsidRDefault="000E5B3A" w:rsidP="000E5B3A">
            <w:pPr>
              <w:autoSpaceDE w:val="0"/>
              <w:autoSpaceDN w:val="0"/>
              <w:adjustRightInd w:val="0"/>
              <w:spacing w:after="0" w:line="240" w:lineRule="auto"/>
              <w:rPr>
                <w:rFonts w:cstheme="minorHAnsi"/>
                <w:bCs/>
                <w:sz w:val="14"/>
                <w:szCs w:val="16"/>
              </w:rPr>
            </w:pPr>
            <w:r w:rsidRPr="00283A0C">
              <w:rPr>
                <w:rFonts w:cstheme="minorHAnsi"/>
                <w:bCs/>
                <w:sz w:val="14"/>
                <w:szCs w:val="16"/>
              </w:rPr>
              <w:t>Dont cartes Discover</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4B97B415" w14:textId="39E0733F" w:rsidR="000E5B3A" w:rsidRPr="00283A0C" w:rsidRDefault="000E5B3A" w:rsidP="000E5B3A">
            <w:pPr>
              <w:autoSpaceDE w:val="0"/>
              <w:autoSpaceDN w:val="0"/>
              <w:adjustRightInd w:val="0"/>
              <w:spacing w:after="0" w:line="240" w:lineRule="auto"/>
              <w:jc w:val="both"/>
              <w:rPr>
                <w:rFonts w:cstheme="minorHAnsi"/>
                <w:bCs/>
                <w:sz w:val="14"/>
                <w:szCs w:val="16"/>
              </w:rPr>
            </w:pPr>
            <w:r w:rsidRPr="00283A0C">
              <w:rPr>
                <w:rFonts w:cstheme="minorHAnsi"/>
                <w:bCs/>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5E46066"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7552E991"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8D74894"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r>
      <w:tr w:rsidR="000E5B3A" w:rsidRPr="00865F4D" w14:paraId="293A9D5C" w14:textId="73BBB5A8" w:rsidTr="00155B05">
        <w:trPr>
          <w:trHeight w:val="178"/>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3AF3534A" w14:textId="77777777" w:rsidR="000E5B3A" w:rsidRPr="00736108" w:rsidRDefault="000E5B3A" w:rsidP="000E5B3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23CF0FEE" w14:textId="77777777" w:rsidR="000E5B3A" w:rsidRPr="00736108" w:rsidRDefault="000E5B3A" w:rsidP="000E5B3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59A2F354" w14:textId="77777777" w:rsidR="000E5B3A" w:rsidRPr="00736108" w:rsidRDefault="000E5B3A" w:rsidP="000E5B3A">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5B5DBD7F" w14:textId="77777777" w:rsidR="000E5B3A" w:rsidRPr="00283A0C" w:rsidRDefault="000E5B3A" w:rsidP="000E5B3A">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363BA520" w14:textId="612E5650" w:rsidR="000E5B3A" w:rsidRPr="00283A0C" w:rsidRDefault="00767404" w:rsidP="000E5B3A">
            <w:pPr>
              <w:autoSpaceDE w:val="0"/>
              <w:autoSpaceDN w:val="0"/>
              <w:adjustRightInd w:val="0"/>
              <w:spacing w:after="0" w:line="240" w:lineRule="auto"/>
              <w:rPr>
                <w:rFonts w:cstheme="minorHAnsi"/>
                <w:bCs/>
                <w:sz w:val="14"/>
                <w:szCs w:val="16"/>
              </w:rPr>
            </w:pPr>
            <w:r w:rsidRPr="00283A0C">
              <w:rPr>
                <w:rFonts w:cstheme="minorHAnsi"/>
                <w:bCs/>
                <w:sz w:val="14"/>
                <w:szCs w:val="16"/>
              </w:rPr>
              <w:t>Dont Aurore</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B9E59CB" w14:textId="3DBF20E7" w:rsidR="000E5B3A" w:rsidRPr="00283A0C" w:rsidRDefault="000E5B3A" w:rsidP="000E5B3A">
            <w:pPr>
              <w:autoSpaceDE w:val="0"/>
              <w:autoSpaceDN w:val="0"/>
              <w:adjustRightInd w:val="0"/>
              <w:spacing w:after="0" w:line="240" w:lineRule="auto"/>
              <w:jc w:val="both"/>
              <w:rPr>
                <w:rFonts w:cstheme="minorHAnsi"/>
                <w:bCs/>
                <w:sz w:val="14"/>
                <w:szCs w:val="16"/>
              </w:rPr>
            </w:pPr>
            <w:r w:rsidRPr="00283A0C">
              <w:rPr>
                <w:rFonts w:cstheme="minorHAnsi"/>
                <w:bCs/>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7A6AEDDC"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tcPr>
          <w:p w14:paraId="384CB1E7"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0334E4DF"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r>
      <w:tr w:rsidR="00E821CA" w:rsidRPr="00865F4D" w14:paraId="0814783B" w14:textId="1F3CF5C9"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48B39901"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174"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2D019940" w14:textId="77777777" w:rsidR="00E821CA" w:rsidRPr="00736108" w:rsidRDefault="00E821CA" w:rsidP="00E821CA">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avec une fonction sans contact</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24531BF8" w14:textId="5099AEA5" w:rsidR="00E821CA" w:rsidRPr="00736108" w:rsidRDefault="00E821CA" w:rsidP="00E821CA">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Cartes équipées d’un dispositif compatible avec la technologie NFC, Bluetooth ou QR Code.</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2CA7AB39"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6A7D068F"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00ADF166"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50C81FF4" w14:textId="2C128436"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45522D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1263673"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20390EC"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692BC3FA" w14:textId="6C8CD9C1"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984477D"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72F3FEB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D66E143"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247F8905" w14:textId="4EDC9DEB"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87EC097"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1AF1861"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5470B91"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Dont cartes interbancaires </w:t>
            </w:r>
            <w:proofErr w:type="gramStart"/>
            <w:r w:rsidRPr="00736108">
              <w:rPr>
                <w:rFonts w:cstheme="minorHAnsi"/>
                <w:color w:val="000000"/>
                <w:sz w:val="14"/>
                <w:szCs w:val="16"/>
              </w:rPr>
              <w:t>non CB</w:t>
            </w:r>
            <w:proofErr w:type="gramEnd"/>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40AAB48" w14:textId="728ABD57"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95A14F7"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4D55C05D"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0A328FA"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5498EAD0" w14:textId="0E67A1D1" w:rsidTr="00572C5F">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BB850A5"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8FA9CE2"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1618D3A"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66AEA167" w14:textId="4F8EB91A"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86BE59F"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33C3FC9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8B77BBC"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35ED1EE6" w14:textId="7212B219" w:rsidTr="00572C5F">
        <w:trPr>
          <w:trHeight w:val="259"/>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09750A2D"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6A14274D"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2234B5B4"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de retraits propriétaires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53887400" w14:textId="315FF615"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5C6D634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713C492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524766A9"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581F1AFA" w14:textId="183A4BB8"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64C73704"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174"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49969002" w14:textId="77777777" w:rsidR="00E821CA" w:rsidRPr="00736108" w:rsidRDefault="00E821CA" w:rsidP="00E821CA">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avec piste magnétique (uniquement)</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36C6936D" w14:textId="0BFB124C" w:rsidR="00E821CA" w:rsidRPr="00736108" w:rsidRDefault="00E821CA" w:rsidP="00E821CA">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Cartes ne répondant pas au standard EMV.</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11ADA3E0"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0C4C7177"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0F77A205"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5989F993" w14:textId="7B8F5AED"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C5AC05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0918314"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95E55F4"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06797CA" w14:textId="22540DCB"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8B4AC63"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62BEBF7C"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5A0306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15ECB141" w14:textId="2D6CE3DD"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D385F3C"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6AA4AAE"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DFFAC6F"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Dont cartes interbancaires </w:t>
            </w:r>
            <w:proofErr w:type="gramStart"/>
            <w:r w:rsidRPr="00736108">
              <w:rPr>
                <w:rFonts w:cstheme="minorHAnsi"/>
                <w:color w:val="000000"/>
                <w:sz w:val="14"/>
                <w:szCs w:val="16"/>
              </w:rPr>
              <w:t>non CB</w:t>
            </w:r>
            <w:proofErr w:type="gramEnd"/>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FF46A62" w14:textId="0DA1D959"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9B2B60D"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0088CB88"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56E5AF8"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58152585" w14:textId="35A4B316" w:rsidTr="00572C5F">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458C6C8"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CCEBB06"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1E9C340"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6E6C085E" w14:textId="151BF271"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3B9AA3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3C46643A"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A77286A"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00012AA3" w14:textId="185620AF" w:rsidTr="00572C5F">
        <w:trPr>
          <w:trHeight w:val="259"/>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3E4D3A48"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33C1A344"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26A129A4"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de retraits propriétaires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6600D3AA" w14:textId="6C309AFC"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517DA856"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087C961E"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3B309990"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31A74A4F" w14:textId="528007CC"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47CD5F8B"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174"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2CD73768" w14:textId="77777777" w:rsidR="00E821CA" w:rsidRPr="00736108" w:rsidRDefault="00E821CA" w:rsidP="00E821CA">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ayant une fonction monnaie électronique</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69ACA389" w14:textId="77777777" w:rsidR="00E821CA" w:rsidRPr="00736108" w:rsidRDefault="00E821CA" w:rsidP="00E821CA">
            <w:pPr>
              <w:jc w:val="both"/>
              <w:rPr>
                <w:rFonts w:cstheme="minorHAnsi"/>
                <w:sz w:val="14"/>
                <w:szCs w:val="16"/>
              </w:rPr>
            </w:pPr>
            <w:r w:rsidRPr="00736108">
              <w:rPr>
                <w:rFonts w:cstheme="minorHAnsi"/>
                <w:sz w:val="14"/>
                <w:szCs w:val="16"/>
              </w:rPr>
              <w:t>Cartes permettant d’effectuer des opérations en monnaie électronique soit :</w:t>
            </w:r>
          </w:p>
          <w:p w14:paraId="0D8F4143" w14:textId="05D7085B" w:rsidR="00E821CA" w:rsidRPr="00736108" w:rsidRDefault="00E821CA" w:rsidP="00E821CA">
            <w:pPr>
              <w:pStyle w:val="Paragraphedeliste"/>
              <w:numPr>
                <w:ilvl w:val="0"/>
                <w:numId w:val="3"/>
              </w:numPr>
              <w:jc w:val="both"/>
              <w:rPr>
                <w:rFonts w:cstheme="minorHAnsi"/>
                <w:sz w:val="14"/>
                <w:szCs w:val="16"/>
              </w:rPr>
            </w:pPr>
            <w:r w:rsidRPr="00736108">
              <w:rPr>
                <w:rFonts w:cstheme="minorHAnsi"/>
                <w:sz w:val="14"/>
                <w:szCs w:val="16"/>
              </w:rPr>
              <w:t>Cartes permettant le stockage direct de monnaie électronique ;</w:t>
            </w:r>
          </w:p>
          <w:p w14:paraId="4AD3CE77" w14:textId="33C26A25" w:rsidR="00E821CA" w:rsidRPr="00736108" w:rsidRDefault="00E821CA" w:rsidP="00E821CA">
            <w:pPr>
              <w:pStyle w:val="Paragraphedeliste"/>
              <w:numPr>
                <w:ilvl w:val="0"/>
                <w:numId w:val="3"/>
              </w:numPr>
              <w:jc w:val="both"/>
              <w:rPr>
                <w:rFonts w:cstheme="minorHAnsi"/>
                <w:bCs/>
                <w:color w:val="000000"/>
                <w:sz w:val="14"/>
                <w:szCs w:val="16"/>
              </w:rPr>
            </w:pPr>
            <w:r w:rsidRPr="00736108">
              <w:rPr>
                <w:rFonts w:cstheme="minorHAnsi"/>
                <w:sz w:val="14"/>
                <w:szCs w:val="16"/>
              </w:rPr>
              <w:t>Cartes donnant accès à de la monnaie électronique stockée sur des comptes de monnaie électronique.</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608FACA0" w14:textId="77777777" w:rsidR="00E821CA" w:rsidRPr="00736108" w:rsidRDefault="00E821CA" w:rsidP="00E821CA">
            <w:pPr>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0B143309" w14:textId="77777777" w:rsidR="00E821CA" w:rsidRPr="00736108" w:rsidRDefault="00E821CA" w:rsidP="00E821CA">
            <w:pPr>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14B7F8D3" w14:textId="77777777" w:rsidR="00E821CA" w:rsidRPr="00736108" w:rsidRDefault="00E821CA" w:rsidP="00E821CA">
            <w:pPr>
              <w:jc w:val="both"/>
              <w:rPr>
                <w:rFonts w:cstheme="minorHAnsi"/>
                <w:sz w:val="14"/>
                <w:szCs w:val="16"/>
              </w:rPr>
            </w:pPr>
          </w:p>
        </w:tc>
      </w:tr>
      <w:tr w:rsidR="00E821CA" w:rsidRPr="00865F4D" w14:paraId="1E2D66C3" w14:textId="70D176B7"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79DA984E"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211DFD9" w14:textId="77777777" w:rsidR="00E821CA" w:rsidRPr="00736108" w:rsidRDefault="00E821CA" w:rsidP="00E821CA">
            <w:pPr>
              <w:autoSpaceDE w:val="0"/>
              <w:autoSpaceDN w:val="0"/>
              <w:adjustRightInd w:val="0"/>
              <w:spacing w:after="0" w:line="240" w:lineRule="auto"/>
              <w:jc w:val="right"/>
              <w:rPr>
                <w:rFonts w:cstheme="minorHAnsi"/>
                <w:b/>
                <w:bCs/>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2C556E2"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518EF22" w14:textId="2A28C650"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5AE8867"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2EAB96C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EC42FEF"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1E3E2147" w14:textId="376FBB91"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ECC1AFC"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lastRenderedPageBreak/>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7340EB7" w14:textId="77777777" w:rsidR="00E821CA" w:rsidRPr="00736108" w:rsidRDefault="00E821CA" w:rsidP="00E821CA">
            <w:pPr>
              <w:autoSpaceDE w:val="0"/>
              <w:autoSpaceDN w:val="0"/>
              <w:adjustRightInd w:val="0"/>
              <w:spacing w:after="0" w:line="240" w:lineRule="auto"/>
              <w:jc w:val="right"/>
              <w:rPr>
                <w:rFonts w:cstheme="minorHAnsi"/>
                <w:b/>
                <w:bCs/>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3253BCC"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Dont cartes interbancaires </w:t>
            </w:r>
            <w:proofErr w:type="gramStart"/>
            <w:r w:rsidRPr="00736108">
              <w:rPr>
                <w:rFonts w:cstheme="minorHAnsi"/>
                <w:color w:val="000000"/>
                <w:sz w:val="14"/>
                <w:szCs w:val="16"/>
              </w:rPr>
              <w:t>non CB</w:t>
            </w:r>
            <w:proofErr w:type="gramEnd"/>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24329E7C" w14:textId="794CAE1F"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F92DA6E"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79D3785B"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47B780D"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3DAA126A" w14:textId="1FB9646A" w:rsidTr="00572C5F">
        <w:trPr>
          <w:trHeight w:val="168"/>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508F6D5E"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2963A16A" w14:textId="77777777" w:rsidR="00E821CA" w:rsidRPr="00736108" w:rsidRDefault="00E821CA" w:rsidP="00E821CA">
            <w:pPr>
              <w:autoSpaceDE w:val="0"/>
              <w:autoSpaceDN w:val="0"/>
              <w:adjustRightInd w:val="0"/>
              <w:spacing w:after="0" w:line="240" w:lineRule="auto"/>
              <w:jc w:val="right"/>
              <w:rPr>
                <w:rFonts w:cstheme="minorHAnsi"/>
                <w:b/>
                <w:bCs/>
                <w:color w:val="000000"/>
                <w:sz w:val="14"/>
                <w:szCs w:val="16"/>
              </w:rPr>
            </w:pPr>
          </w:p>
        </w:tc>
        <w:tc>
          <w:tcPr>
            <w:tcW w:w="1941" w:type="dxa"/>
            <w:gridSpan w:val="3"/>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6E34396B"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4866A745" w14:textId="0DC0CAE9"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17385D1C"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34F39DF8"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264DFA3F"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3929A689" w14:textId="1885FE28"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4091309E"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D02FB83"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1941" w:type="dxa"/>
            <w:gridSpan w:val="3"/>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16778977" w14:textId="77777777" w:rsidR="00E821CA" w:rsidRPr="00736108" w:rsidRDefault="00E821CA" w:rsidP="00E821CA">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permettant le stockage direct de la monnaie électronique</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21606545" w14:textId="6F913340" w:rsidR="00E821CA" w:rsidRPr="00736108" w:rsidRDefault="00E821CA" w:rsidP="00E821CA">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Monnaie électronique disponible sur une carte possédée par le détenteur de la monnaie électronique (exemple, carte prépayée).</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2E3C3BF3"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7925683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6774120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07D5875C" w14:textId="6AE3A985" w:rsidTr="00155B05">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0DE6A127"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3C0FE4D"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DE8C575"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5EC1283"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C1688D0" w14:textId="2183940F"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5E577B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4AE9C099"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AEB488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405E2797" w14:textId="6F4959FF" w:rsidTr="00155B05">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5B67A90"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488AB3F"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A1E6DEB"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C6BCF00"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Dont cartes interbancaires </w:t>
            </w:r>
            <w:proofErr w:type="gramStart"/>
            <w:r w:rsidRPr="00736108">
              <w:rPr>
                <w:rFonts w:cstheme="minorHAnsi"/>
                <w:color w:val="000000"/>
                <w:sz w:val="14"/>
                <w:szCs w:val="16"/>
              </w:rPr>
              <w:t>non CB</w:t>
            </w:r>
            <w:proofErr w:type="gramEnd"/>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2602F2DE" w14:textId="4FD3B966"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FB1DAFC"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6DBF8B7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C0E835F"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2CE9BF87" w14:textId="03D2B78C" w:rsidTr="00155B05">
        <w:trPr>
          <w:trHeight w:val="168"/>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7721923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5DF310F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50DE8435"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0382D31A"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61664D98" w14:textId="087C4F81"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74CD8CDE"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3098E39B"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45D815DB"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155B05" w:rsidRPr="00736108" w14:paraId="1D9C7F97" w14:textId="77777777" w:rsidTr="00155B05">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01C003C5"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33" w:type="dxa"/>
            <w:tcBorders>
              <w:top w:val="single" w:sz="18" w:space="0" w:color="5B9BD5" w:themeColor="accent1"/>
              <w:bottom w:val="single" w:sz="4" w:space="0" w:color="5B9BD5" w:themeColor="accent1"/>
              <w:right w:val="single" w:sz="4" w:space="0" w:color="5B9BD5" w:themeColor="accent1"/>
            </w:tcBorders>
            <w:shd w:val="solid" w:color="FFFFFF" w:fill="auto"/>
          </w:tcPr>
          <w:p w14:paraId="3E5D53F0"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40"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D6A00F3"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1701" w:type="dxa"/>
            <w:gridSpan w:val="2"/>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69BA49C1" w14:textId="77777777" w:rsidR="00572C5F" w:rsidRDefault="00572C5F" w:rsidP="005F0D60">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 xml:space="preserve">Dont cartes ayant été chargées au moins </w:t>
            </w:r>
          </w:p>
          <w:p w14:paraId="06B31DD5" w14:textId="4C5EBE60" w:rsidR="00572C5F" w:rsidRPr="00736108" w:rsidRDefault="00572C5F" w:rsidP="005F0D60">
            <w:pPr>
              <w:autoSpaceDE w:val="0"/>
              <w:autoSpaceDN w:val="0"/>
              <w:adjustRightInd w:val="0"/>
              <w:spacing w:after="0" w:line="240" w:lineRule="auto"/>
              <w:rPr>
                <w:rFonts w:cstheme="minorHAnsi"/>
                <w:b/>
                <w:bCs/>
                <w:color w:val="000000"/>
                <w:sz w:val="14"/>
                <w:szCs w:val="16"/>
              </w:rPr>
            </w:pPr>
            <w:proofErr w:type="gramStart"/>
            <w:r w:rsidRPr="00736108">
              <w:rPr>
                <w:rFonts w:cstheme="minorHAnsi"/>
                <w:b/>
                <w:bCs/>
                <w:color w:val="000000"/>
                <w:sz w:val="14"/>
                <w:szCs w:val="16"/>
              </w:rPr>
              <w:t>une</w:t>
            </w:r>
            <w:proofErr w:type="gramEnd"/>
            <w:r w:rsidRPr="00736108">
              <w:rPr>
                <w:rFonts w:cstheme="minorHAnsi"/>
                <w:b/>
                <w:bCs/>
                <w:color w:val="000000"/>
                <w:sz w:val="14"/>
                <w:szCs w:val="16"/>
              </w:rPr>
              <w:t xml:space="preserve"> fois</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208C26A8" w14:textId="77777777" w:rsidR="00572C5F" w:rsidRPr="00736108" w:rsidRDefault="00572C5F" w:rsidP="005F0D60">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Cartes ayant été chargées au moins une fois et qui peut donc être considérée comme activée. Le chargement peut être considéré comme indiquant l’intention d’utiliser la fonction monnaie électronique.</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3BB3D04D"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7C4AE892"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60C917A2"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r>
      <w:tr w:rsidR="00155B05" w:rsidRPr="00736108" w14:paraId="6E456301" w14:textId="77777777" w:rsidTr="00155B05">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7D78040"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bottom w:val="single" w:sz="4" w:space="0" w:color="5B9BD5" w:themeColor="accent1"/>
              <w:right w:val="single" w:sz="4" w:space="0" w:color="5B9BD5" w:themeColor="accent1"/>
            </w:tcBorders>
            <w:shd w:val="solid" w:color="FFFFFF" w:fill="auto"/>
          </w:tcPr>
          <w:p w14:paraId="415FDA29"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541389B"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2254065" w14:textId="77777777" w:rsidR="00572C5F" w:rsidRPr="00736108" w:rsidRDefault="00572C5F" w:rsidP="005F0D60">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A240B00" w14:textId="77777777" w:rsidR="00572C5F" w:rsidRPr="00736108" w:rsidRDefault="00572C5F" w:rsidP="005F0D60">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03C6F492" w14:textId="77777777" w:rsidR="00572C5F" w:rsidRPr="00736108" w:rsidRDefault="00572C5F" w:rsidP="005F0D60">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2A128EF"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7BAC0C85"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2695743"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r>
      <w:tr w:rsidR="00155B05" w:rsidRPr="00736108" w14:paraId="5B9EE39E" w14:textId="77777777" w:rsidTr="00155B05">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76F40A02"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bottom w:val="single" w:sz="4" w:space="0" w:color="5B9BD5" w:themeColor="accent1"/>
              <w:right w:val="single" w:sz="4" w:space="0" w:color="5B9BD5" w:themeColor="accent1"/>
            </w:tcBorders>
            <w:shd w:val="solid" w:color="FFFFFF" w:fill="auto"/>
          </w:tcPr>
          <w:p w14:paraId="0B30D741"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BBE9B13"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A50062A" w14:textId="77777777" w:rsidR="00572C5F" w:rsidRPr="00736108" w:rsidRDefault="00572C5F" w:rsidP="005F0D60">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B094037" w14:textId="77777777" w:rsidR="00572C5F" w:rsidRPr="00736108" w:rsidRDefault="00572C5F" w:rsidP="005F0D60">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Dont cartes interbancaires </w:t>
            </w:r>
            <w:proofErr w:type="gramStart"/>
            <w:r w:rsidRPr="00736108">
              <w:rPr>
                <w:rFonts w:cstheme="minorHAnsi"/>
                <w:color w:val="000000"/>
                <w:sz w:val="14"/>
                <w:szCs w:val="16"/>
              </w:rPr>
              <w:t>non CB</w:t>
            </w:r>
            <w:proofErr w:type="gramEnd"/>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6CF15857" w14:textId="77777777" w:rsidR="00572C5F" w:rsidRPr="00736108" w:rsidRDefault="00572C5F" w:rsidP="005F0D60">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1D7040F"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30C37011"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4AF13FE"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r>
      <w:tr w:rsidR="00155B05" w:rsidRPr="00736108" w14:paraId="51599580" w14:textId="77777777" w:rsidTr="00155B05">
        <w:trPr>
          <w:trHeight w:val="23"/>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798F1743"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bottom w:val="single" w:sz="18" w:space="0" w:color="5B9BD5" w:themeColor="accent1"/>
              <w:right w:val="single" w:sz="4" w:space="0" w:color="5B9BD5" w:themeColor="accent1"/>
            </w:tcBorders>
            <w:shd w:val="solid" w:color="FFFFFF" w:fill="auto"/>
          </w:tcPr>
          <w:p w14:paraId="017C50A4"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192E5B41"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226F7E85" w14:textId="77777777" w:rsidR="00572C5F" w:rsidRPr="00736108" w:rsidRDefault="00572C5F" w:rsidP="005F0D60">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2A55723F" w14:textId="77777777" w:rsidR="00572C5F" w:rsidRPr="00736108" w:rsidRDefault="00572C5F" w:rsidP="005F0D60">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2B0CA661" w14:textId="77777777" w:rsidR="00572C5F" w:rsidRPr="00736108" w:rsidRDefault="00572C5F" w:rsidP="005F0D60">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1F579E03"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7F558ED9"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10561468"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r>
      <w:tr w:rsidR="00E821CA" w:rsidRPr="00865F4D" w14:paraId="0F0C434B" w14:textId="232BE823"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3248F973"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49671F7"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1941" w:type="dxa"/>
            <w:gridSpan w:val="3"/>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0A9EEB9F" w14:textId="77777777" w:rsidR="00E821CA" w:rsidRPr="00736108" w:rsidRDefault="00E821CA" w:rsidP="00E821CA">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 donnant accès à des comptes de monnaie électronique</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172F488E" w14:textId="54864541" w:rsidR="00E821CA" w:rsidRPr="00736108" w:rsidRDefault="00E821CA" w:rsidP="00E821CA">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Cartes donnant accès à de la monnaie électronique stockée sur des comptes de monnaie électronique.</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3039567B"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25A093CB"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66755B62"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32C8BC9F" w14:textId="3F3FA22E" w:rsidTr="00155B05">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647E550F"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D91FEDB"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4EB12AA"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937EE4F"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7EDB798" w14:textId="23DF4FA6"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169659F"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2A748B03"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73DA7EA"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27436691" w14:textId="635F7062" w:rsidTr="00155B05">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59F8F4CE"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ED462E5"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4E2BFC8"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9E45EA2"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Dont cartes interbancaires </w:t>
            </w:r>
            <w:proofErr w:type="gramStart"/>
            <w:r w:rsidRPr="00736108">
              <w:rPr>
                <w:rFonts w:cstheme="minorHAnsi"/>
                <w:color w:val="000000"/>
                <w:sz w:val="14"/>
                <w:szCs w:val="16"/>
              </w:rPr>
              <w:t>non CB</w:t>
            </w:r>
            <w:proofErr w:type="gramEnd"/>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380DECD" w14:textId="48FF5970"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4BA2EF7"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79B2E61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F67382A"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1D19200C" w14:textId="15E297ED" w:rsidTr="00155B05">
        <w:trPr>
          <w:trHeight w:val="23"/>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5FC27E6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4377F1F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6B8A3B36"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310E8672"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49E36D42" w14:textId="0716F821"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7CF33393"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77CE240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30EB0B75"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bl>
    <w:p w14:paraId="091F28FC" w14:textId="4F9A0876" w:rsidR="007D683D" w:rsidRDefault="007D683D" w:rsidP="007D683D">
      <w:pPr>
        <w:autoSpaceDE w:val="0"/>
        <w:autoSpaceDN w:val="0"/>
        <w:adjustRightInd w:val="0"/>
        <w:spacing w:after="0" w:line="240" w:lineRule="auto"/>
        <w:jc w:val="both"/>
        <w:rPr>
          <w:rFonts w:cstheme="minorHAnsi"/>
          <w:u w:val="single"/>
        </w:rPr>
      </w:pPr>
    </w:p>
    <w:p w14:paraId="08F7B0EE" w14:textId="2C801EBE" w:rsidR="00572C5F" w:rsidRDefault="00572C5F" w:rsidP="007D683D">
      <w:pPr>
        <w:autoSpaceDE w:val="0"/>
        <w:autoSpaceDN w:val="0"/>
        <w:adjustRightInd w:val="0"/>
        <w:spacing w:after="0" w:line="240" w:lineRule="auto"/>
        <w:jc w:val="both"/>
        <w:rPr>
          <w:rFonts w:cstheme="minorHAnsi"/>
          <w:u w:val="single"/>
        </w:rPr>
      </w:pPr>
    </w:p>
    <w:p w14:paraId="67CA8568" w14:textId="77777777" w:rsidR="007112D8" w:rsidRPr="00D7057C" w:rsidRDefault="007112D8" w:rsidP="007112D8">
      <w:pPr>
        <w:spacing w:after="0" w:line="240" w:lineRule="auto"/>
        <w:jc w:val="both"/>
        <w:rPr>
          <w:rFonts w:ascii="Calibri" w:hAnsi="Calibri"/>
          <w:b/>
          <w:smallCaps/>
          <w:color w:val="2E74B5" w:themeColor="accent1" w:themeShade="BF"/>
          <w:sz w:val="24"/>
        </w:rPr>
      </w:pPr>
      <w:r w:rsidRPr="00D7057C">
        <w:rPr>
          <w:rFonts w:ascii="Calibri" w:hAnsi="Calibri"/>
          <w:b/>
          <w:smallCaps/>
          <w:color w:val="2E74B5" w:themeColor="accent1" w:themeShade="BF"/>
          <w:sz w:val="24"/>
        </w:rPr>
        <w:t>Contrôles :</w:t>
      </w:r>
    </w:p>
    <w:p w14:paraId="5F6CC8A3" w14:textId="71E75153" w:rsidR="007112D8" w:rsidRDefault="007112D8" w:rsidP="007112D8">
      <w:pPr>
        <w:spacing w:after="0" w:line="240" w:lineRule="auto"/>
        <w:jc w:val="both"/>
        <w:rPr>
          <w:rFonts w:cstheme="minorHAnsi"/>
          <w:lang w:val="en-GB"/>
        </w:rPr>
      </w:pPr>
    </w:p>
    <w:p w14:paraId="6816A5BD" w14:textId="327C5083" w:rsidR="007112D8" w:rsidRDefault="007112D8" w:rsidP="007112D8">
      <w:pPr>
        <w:spacing w:after="0" w:line="240" w:lineRule="auto"/>
        <w:jc w:val="both"/>
        <w:rPr>
          <w:rFonts w:cstheme="minorHAnsi"/>
        </w:rPr>
      </w:pPr>
      <w:r w:rsidRPr="002F77C9">
        <w:rPr>
          <w:rFonts w:cstheme="minorHAnsi"/>
        </w:rPr>
        <w:t>Les règles de contrôle suivantes doivent être appliquées</w:t>
      </w:r>
      <w:r w:rsidR="007B392C">
        <w:rPr>
          <w:rFonts w:cstheme="minorHAnsi"/>
        </w:rPr>
        <w:t>.</w:t>
      </w:r>
    </w:p>
    <w:p w14:paraId="662977CC" w14:textId="77777777" w:rsidR="007B392C" w:rsidRPr="007A4B11" w:rsidRDefault="007B392C" w:rsidP="007112D8">
      <w:pPr>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BE38D9" w:rsidRPr="00801969" w14:paraId="4FE950CC" w14:textId="77777777" w:rsidTr="00204E65">
        <w:trPr>
          <w:trHeight w:val="369"/>
        </w:trPr>
        <w:tc>
          <w:tcPr>
            <w:tcW w:w="9054" w:type="dxa"/>
          </w:tcPr>
          <w:p w14:paraId="28012B5D" w14:textId="1D8BECEC" w:rsidR="00BE38D9" w:rsidRDefault="00BE38D9" w:rsidP="00BE38D9">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total de cartes </w:t>
            </w:r>
            <w:r>
              <w:rPr>
                <w:rFonts w:cstheme="minorHAnsi"/>
                <w:sz w:val="18"/>
                <w:szCs w:val="18"/>
              </w:rPr>
              <w:t xml:space="preserve">émises </w:t>
            </w:r>
            <w:r w:rsidRPr="009405CB">
              <w:rPr>
                <w:rFonts w:cstheme="minorHAnsi"/>
                <w:sz w:val="18"/>
                <w:szCs w:val="18"/>
              </w:rPr>
              <w:t xml:space="preserve">est </w:t>
            </w:r>
            <w:r>
              <w:rPr>
                <w:rFonts w:cstheme="minorHAnsi"/>
                <w:sz w:val="18"/>
                <w:szCs w:val="18"/>
              </w:rPr>
              <w:t>&lt;</w:t>
            </w:r>
            <w:r w:rsidRPr="009405CB">
              <w:rPr>
                <w:rFonts w:cstheme="minorHAnsi"/>
                <w:sz w:val="18"/>
                <w:szCs w:val="18"/>
              </w:rPr>
              <w:t xml:space="preserve"> ou </w:t>
            </w:r>
            <w:r>
              <w:rPr>
                <w:rFonts w:cstheme="minorHAnsi"/>
                <w:sz w:val="18"/>
                <w:szCs w:val="18"/>
              </w:rPr>
              <w:t>=</w:t>
            </w:r>
            <w:r w:rsidRPr="009405CB">
              <w:rPr>
                <w:rFonts w:cstheme="minorHAnsi"/>
                <w:sz w:val="18"/>
                <w:szCs w:val="18"/>
              </w:rPr>
              <w:t xml:space="preserve"> à la somme des cartes ayant une fonction </w:t>
            </w:r>
            <w:r>
              <w:rPr>
                <w:rFonts w:cstheme="minorHAnsi"/>
                <w:sz w:val="18"/>
                <w:szCs w:val="18"/>
              </w:rPr>
              <w:t xml:space="preserve">espèces, de paiement et de </w:t>
            </w:r>
            <w:r w:rsidRPr="009405CB">
              <w:rPr>
                <w:rFonts w:cstheme="minorHAnsi"/>
                <w:sz w:val="18"/>
                <w:szCs w:val="18"/>
              </w:rPr>
              <w:t>monnaie électronique.</w:t>
            </w:r>
          </w:p>
        </w:tc>
      </w:tr>
      <w:tr w:rsidR="00BE38D9" w:rsidRPr="00801969" w14:paraId="00A7FD7D" w14:textId="77777777" w:rsidTr="00204E65">
        <w:trPr>
          <w:trHeight w:val="369"/>
        </w:trPr>
        <w:tc>
          <w:tcPr>
            <w:tcW w:w="9054" w:type="dxa"/>
          </w:tcPr>
          <w:p w14:paraId="48BFC9A8" w14:textId="0AABB3C6" w:rsidR="00BE38D9" w:rsidRDefault="00BE38D9" w:rsidP="00BE38D9">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w:t>
            </w:r>
            <w:r w:rsidR="009E34F3">
              <w:rPr>
                <w:rFonts w:cstheme="minorHAnsi"/>
                <w:sz w:val="18"/>
                <w:szCs w:val="18"/>
              </w:rPr>
              <w:t>d</w:t>
            </w:r>
            <w:r w:rsidRPr="009405CB">
              <w:rPr>
                <w:rFonts w:cstheme="minorHAnsi"/>
                <w:sz w:val="18"/>
                <w:szCs w:val="18"/>
              </w:rPr>
              <w:t xml:space="preserve">e cartes ayant une fonction combinée </w:t>
            </w:r>
            <w:r>
              <w:rPr>
                <w:rFonts w:cstheme="minorHAnsi"/>
                <w:sz w:val="18"/>
                <w:szCs w:val="18"/>
              </w:rPr>
              <w:t>(</w:t>
            </w:r>
            <w:r w:rsidRPr="009405CB">
              <w:rPr>
                <w:rFonts w:cstheme="minorHAnsi"/>
                <w:sz w:val="18"/>
                <w:szCs w:val="18"/>
              </w:rPr>
              <w:t>débit, espèces et monnaie électronique</w:t>
            </w:r>
            <w:r>
              <w:rPr>
                <w:rFonts w:cstheme="minorHAnsi"/>
                <w:sz w:val="18"/>
                <w:szCs w:val="18"/>
              </w:rPr>
              <w:t xml:space="preserve">) </w:t>
            </w:r>
            <w:r w:rsidRPr="009405CB">
              <w:rPr>
                <w:rFonts w:cstheme="minorHAnsi"/>
                <w:sz w:val="18"/>
                <w:szCs w:val="18"/>
              </w:rPr>
              <w:t xml:space="preserve">est </w:t>
            </w:r>
            <w:r>
              <w:rPr>
                <w:rFonts w:cstheme="minorHAnsi"/>
                <w:sz w:val="18"/>
                <w:szCs w:val="18"/>
              </w:rPr>
              <w:t xml:space="preserve">&lt; </w:t>
            </w:r>
            <w:r w:rsidRPr="009405CB">
              <w:rPr>
                <w:rFonts w:cstheme="minorHAnsi"/>
                <w:sz w:val="18"/>
                <w:szCs w:val="18"/>
              </w:rPr>
              <w:t xml:space="preserve">ou </w:t>
            </w:r>
            <w:r>
              <w:rPr>
                <w:rFonts w:cstheme="minorHAnsi"/>
                <w:sz w:val="18"/>
                <w:szCs w:val="18"/>
              </w:rPr>
              <w:t xml:space="preserve">= </w:t>
            </w:r>
            <w:r w:rsidRPr="009405CB">
              <w:rPr>
                <w:rFonts w:cstheme="minorHAnsi"/>
                <w:sz w:val="18"/>
                <w:szCs w:val="18"/>
              </w:rPr>
              <w:t>au nombre total de cartes</w:t>
            </w:r>
            <w:r>
              <w:rPr>
                <w:rFonts w:cstheme="minorHAnsi"/>
                <w:sz w:val="18"/>
                <w:szCs w:val="18"/>
              </w:rPr>
              <w:t xml:space="preserve"> émises</w:t>
            </w:r>
            <w:r w:rsidRPr="009405CB">
              <w:rPr>
                <w:rFonts w:cstheme="minorHAnsi"/>
                <w:sz w:val="18"/>
                <w:szCs w:val="18"/>
              </w:rPr>
              <w:t>.</w:t>
            </w:r>
          </w:p>
        </w:tc>
      </w:tr>
      <w:tr w:rsidR="00ED0C5D" w:rsidRPr="00801969" w14:paraId="2FD7D52C" w14:textId="77777777" w:rsidTr="00204E65">
        <w:trPr>
          <w:trHeight w:val="369"/>
        </w:trPr>
        <w:tc>
          <w:tcPr>
            <w:tcW w:w="9054" w:type="dxa"/>
          </w:tcPr>
          <w:p w14:paraId="2D29D82B" w14:textId="38B7A7E1" w:rsidR="00ED0C5D" w:rsidRPr="00ED0C5D" w:rsidRDefault="00ED0C5D" w:rsidP="00ED0C5D">
            <w:pPr>
              <w:autoSpaceDE w:val="0"/>
              <w:autoSpaceDN w:val="0"/>
              <w:adjustRightInd w:val="0"/>
              <w:jc w:val="both"/>
              <w:rPr>
                <w:rFonts w:cstheme="minorHAnsi"/>
                <w:sz w:val="18"/>
                <w:szCs w:val="18"/>
              </w:rPr>
            </w:pPr>
            <w:r w:rsidRPr="00ED0C5D">
              <w:rPr>
                <w:rFonts w:cstheme="minorHAnsi"/>
                <w:sz w:val="18"/>
                <w:szCs w:val="18"/>
              </w:rPr>
              <w:t>Le nombre de cartes ayant une fonction combinée (débit, espèces et mon</w:t>
            </w:r>
            <w:r>
              <w:rPr>
                <w:rFonts w:cstheme="minorHAnsi"/>
                <w:sz w:val="18"/>
                <w:szCs w:val="18"/>
              </w:rPr>
              <w:t>naie électronique) est &lt; ou = à</w:t>
            </w:r>
            <w:r w:rsidRPr="00ED0C5D">
              <w:rPr>
                <w:rFonts w:cstheme="minorHAnsi"/>
                <w:sz w:val="18"/>
                <w:szCs w:val="18"/>
              </w:rPr>
              <w:t xml:space="preserve"> la somme des cartes ayant une fonction de paiement, une fonction espèce et une fonction de monnaie électronique.</w:t>
            </w:r>
          </w:p>
          <w:p w14:paraId="4F6D5161" w14:textId="77777777" w:rsidR="00ED0C5D" w:rsidRDefault="00ED0C5D" w:rsidP="00BE38D9">
            <w:pPr>
              <w:pStyle w:val="Paragraphedeliste"/>
              <w:autoSpaceDE w:val="0"/>
              <w:autoSpaceDN w:val="0"/>
              <w:adjustRightInd w:val="0"/>
              <w:ind w:left="0"/>
              <w:jc w:val="both"/>
              <w:rPr>
                <w:rFonts w:cstheme="minorHAnsi"/>
                <w:sz w:val="18"/>
                <w:szCs w:val="18"/>
              </w:rPr>
            </w:pPr>
          </w:p>
        </w:tc>
      </w:tr>
      <w:tr w:rsidR="00D65B9B" w:rsidRPr="00801969" w14:paraId="5978CC28" w14:textId="77777777" w:rsidTr="00204E65">
        <w:trPr>
          <w:trHeight w:val="369"/>
        </w:trPr>
        <w:tc>
          <w:tcPr>
            <w:tcW w:w="9054" w:type="dxa"/>
          </w:tcPr>
          <w:p w14:paraId="11BB4CAA" w14:textId="4C6C2032" w:rsidR="00BE38D9" w:rsidRPr="00A675AF" w:rsidRDefault="00D65B9B" w:rsidP="00BE38D9">
            <w:pPr>
              <w:pStyle w:val="Paragraphedeliste"/>
              <w:autoSpaceDE w:val="0"/>
              <w:autoSpaceDN w:val="0"/>
              <w:adjustRightInd w:val="0"/>
              <w:ind w:left="0"/>
              <w:jc w:val="both"/>
              <w:rPr>
                <w:rFonts w:cstheme="minorHAnsi"/>
                <w:sz w:val="18"/>
                <w:szCs w:val="18"/>
              </w:rPr>
            </w:pPr>
            <w:r>
              <w:rPr>
                <w:rFonts w:cstheme="minorHAnsi"/>
                <w:sz w:val="18"/>
                <w:szCs w:val="18"/>
              </w:rPr>
              <w:t xml:space="preserve">Le nombre de cartes ayant une fonction espèces est </w:t>
            </w:r>
            <w:r w:rsidR="00DA7901">
              <w:rPr>
                <w:rFonts w:cstheme="minorHAnsi"/>
                <w:sz w:val="18"/>
                <w:szCs w:val="18"/>
              </w:rPr>
              <w:t>&lt;</w:t>
            </w:r>
            <w:r>
              <w:rPr>
                <w:rFonts w:cstheme="minorHAnsi"/>
                <w:sz w:val="18"/>
                <w:szCs w:val="18"/>
              </w:rPr>
              <w:t xml:space="preserve"> ou </w:t>
            </w:r>
            <w:r w:rsidR="00DA7901">
              <w:rPr>
                <w:rFonts w:cstheme="minorHAnsi"/>
                <w:sz w:val="18"/>
                <w:szCs w:val="18"/>
              </w:rPr>
              <w:t>=</w:t>
            </w:r>
            <w:r>
              <w:rPr>
                <w:rFonts w:cstheme="minorHAnsi"/>
                <w:sz w:val="18"/>
                <w:szCs w:val="18"/>
              </w:rPr>
              <w:t xml:space="preserve"> au nombre total de cartes</w:t>
            </w:r>
            <w:r w:rsidR="00F3571D">
              <w:rPr>
                <w:rFonts w:cstheme="minorHAnsi"/>
                <w:sz w:val="18"/>
                <w:szCs w:val="18"/>
              </w:rPr>
              <w:t xml:space="preserve"> émises</w:t>
            </w:r>
            <w:r>
              <w:rPr>
                <w:rFonts w:cstheme="minorHAnsi"/>
                <w:sz w:val="18"/>
                <w:szCs w:val="18"/>
              </w:rPr>
              <w:t>.</w:t>
            </w:r>
          </w:p>
        </w:tc>
      </w:tr>
      <w:tr w:rsidR="00FA2D2C" w:rsidRPr="00801969" w14:paraId="375574F6" w14:textId="77777777" w:rsidTr="00204E65">
        <w:trPr>
          <w:trHeight w:val="394"/>
        </w:trPr>
        <w:tc>
          <w:tcPr>
            <w:tcW w:w="9054" w:type="dxa"/>
          </w:tcPr>
          <w:p w14:paraId="4BAFEE4A" w14:textId="5EFE8020" w:rsidR="00FA2D2C" w:rsidRDefault="00FA2D2C" w:rsidP="00DA7901">
            <w:pPr>
              <w:pStyle w:val="Paragraphedeliste"/>
              <w:autoSpaceDE w:val="0"/>
              <w:autoSpaceDN w:val="0"/>
              <w:adjustRightInd w:val="0"/>
              <w:ind w:left="0"/>
              <w:jc w:val="both"/>
              <w:rPr>
                <w:rFonts w:cstheme="minorHAnsi"/>
                <w:sz w:val="18"/>
                <w:szCs w:val="18"/>
              </w:rPr>
            </w:pPr>
            <w:r>
              <w:rPr>
                <w:rFonts w:cstheme="minorHAnsi"/>
                <w:sz w:val="18"/>
                <w:szCs w:val="18"/>
              </w:rPr>
              <w:t xml:space="preserve">Le nombre de cartes ayant une fonction de paiement est </w:t>
            </w:r>
            <w:r w:rsidR="00DA7901">
              <w:rPr>
                <w:rFonts w:cstheme="minorHAnsi"/>
                <w:sz w:val="18"/>
                <w:szCs w:val="18"/>
              </w:rPr>
              <w:t>&lt;</w:t>
            </w:r>
            <w:r>
              <w:rPr>
                <w:rFonts w:cstheme="minorHAnsi"/>
                <w:sz w:val="18"/>
                <w:szCs w:val="18"/>
              </w:rPr>
              <w:t xml:space="preserve"> ou </w:t>
            </w:r>
            <w:r w:rsidR="00DA7901">
              <w:rPr>
                <w:rFonts w:cstheme="minorHAnsi"/>
                <w:sz w:val="18"/>
                <w:szCs w:val="18"/>
              </w:rPr>
              <w:t>=</w:t>
            </w:r>
            <w:r>
              <w:rPr>
                <w:rFonts w:cstheme="minorHAnsi"/>
                <w:sz w:val="18"/>
                <w:szCs w:val="18"/>
              </w:rPr>
              <w:t xml:space="preserve"> au nombre total de cartes</w:t>
            </w:r>
            <w:r w:rsidR="00F3571D">
              <w:rPr>
                <w:rFonts w:cstheme="minorHAnsi"/>
                <w:sz w:val="18"/>
                <w:szCs w:val="18"/>
              </w:rPr>
              <w:t xml:space="preserve"> émises</w:t>
            </w:r>
            <w:r>
              <w:rPr>
                <w:rFonts w:cstheme="minorHAnsi"/>
                <w:sz w:val="18"/>
                <w:szCs w:val="18"/>
              </w:rPr>
              <w:t>.</w:t>
            </w:r>
          </w:p>
        </w:tc>
      </w:tr>
      <w:tr w:rsidR="00BE38D9" w:rsidRPr="00801969" w14:paraId="79B19E98" w14:textId="77777777" w:rsidTr="00204E65">
        <w:trPr>
          <w:trHeight w:val="394"/>
        </w:trPr>
        <w:tc>
          <w:tcPr>
            <w:tcW w:w="9054" w:type="dxa"/>
          </w:tcPr>
          <w:p w14:paraId="43CBBA29" w14:textId="326F2820" w:rsidR="00BE38D9" w:rsidRDefault="00BE38D9" w:rsidP="00543514">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de cartes de crédit </w:t>
            </w:r>
            <w:r>
              <w:rPr>
                <w:rFonts w:cstheme="minorHAnsi"/>
                <w:sz w:val="18"/>
                <w:szCs w:val="18"/>
              </w:rPr>
              <w:t>CB</w:t>
            </w:r>
            <w:r w:rsidRPr="009405CB">
              <w:rPr>
                <w:rFonts w:cstheme="minorHAnsi"/>
                <w:sz w:val="18"/>
                <w:szCs w:val="18"/>
              </w:rPr>
              <w:t xml:space="preserve"> est </w:t>
            </w:r>
            <w:r>
              <w:rPr>
                <w:rFonts w:cstheme="minorHAnsi"/>
                <w:sz w:val="18"/>
                <w:szCs w:val="18"/>
              </w:rPr>
              <w:t>&lt; ou =</w:t>
            </w:r>
            <w:r w:rsidRPr="009405CB">
              <w:rPr>
                <w:rFonts w:cstheme="minorHAnsi"/>
                <w:sz w:val="18"/>
                <w:szCs w:val="18"/>
              </w:rPr>
              <w:t xml:space="preserve"> au nombre </w:t>
            </w:r>
            <w:r>
              <w:rPr>
                <w:rFonts w:cstheme="minorHAnsi"/>
                <w:sz w:val="18"/>
                <w:szCs w:val="18"/>
              </w:rPr>
              <w:t xml:space="preserve">total </w:t>
            </w:r>
            <w:r w:rsidRPr="009405CB">
              <w:rPr>
                <w:rFonts w:cstheme="minorHAnsi"/>
                <w:sz w:val="18"/>
                <w:szCs w:val="18"/>
              </w:rPr>
              <w:t>de cartes de crédit.</w:t>
            </w:r>
            <w:r>
              <w:rPr>
                <w:rFonts w:cstheme="minorHAnsi"/>
                <w:sz w:val="18"/>
                <w:szCs w:val="18"/>
              </w:rPr>
              <w:t xml:space="preserve"> Il en est de même pour les cartes de crédit de chaque schéma de carte.</w:t>
            </w:r>
          </w:p>
        </w:tc>
      </w:tr>
      <w:tr w:rsidR="00BE38D9" w:rsidRPr="00801969" w14:paraId="42C06424" w14:textId="77777777" w:rsidTr="00204E65">
        <w:trPr>
          <w:trHeight w:val="394"/>
        </w:trPr>
        <w:tc>
          <w:tcPr>
            <w:tcW w:w="9054" w:type="dxa"/>
          </w:tcPr>
          <w:p w14:paraId="1B345C29" w14:textId="62CF619A" w:rsidR="00BE38D9" w:rsidRDefault="00BE38D9" w:rsidP="00543514">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w:t>
            </w:r>
            <w:r>
              <w:rPr>
                <w:rFonts w:cstheme="minorHAnsi"/>
                <w:sz w:val="18"/>
                <w:szCs w:val="18"/>
              </w:rPr>
              <w:t xml:space="preserve">total </w:t>
            </w:r>
            <w:r w:rsidRPr="009405CB">
              <w:rPr>
                <w:rFonts w:cstheme="minorHAnsi"/>
                <w:sz w:val="18"/>
                <w:szCs w:val="18"/>
              </w:rPr>
              <w:t xml:space="preserve">de cartes de crédit est </w:t>
            </w:r>
            <w:r>
              <w:rPr>
                <w:rFonts w:cstheme="minorHAnsi"/>
                <w:sz w:val="18"/>
                <w:szCs w:val="18"/>
              </w:rPr>
              <w:t>&lt; ou =</w:t>
            </w:r>
            <w:r w:rsidRPr="009405CB">
              <w:rPr>
                <w:rFonts w:cstheme="minorHAnsi"/>
                <w:sz w:val="18"/>
                <w:szCs w:val="18"/>
              </w:rPr>
              <w:t xml:space="preserve"> à la somme des cartes de crédit </w:t>
            </w:r>
            <w:r>
              <w:rPr>
                <w:rFonts w:cstheme="minorHAnsi"/>
                <w:sz w:val="18"/>
                <w:szCs w:val="18"/>
              </w:rPr>
              <w:t>ventilées par schéma de carte.</w:t>
            </w:r>
          </w:p>
        </w:tc>
      </w:tr>
      <w:tr w:rsidR="00BE38D9" w:rsidRPr="00801969" w14:paraId="7AD91AA3" w14:textId="77777777" w:rsidTr="00204E65">
        <w:trPr>
          <w:trHeight w:val="394"/>
        </w:trPr>
        <w:tc>
          <w:tcPr>
            <w:tcW w:w="9054" w:type="dxa"/>
          </w:tcPr>
          <w:p w14:paraId="0C999440" w14:textId="5CBA465C" w:rsidR="00BE38D9" w:rsidRDefault="00BE38D9" w:rsidP="00543514">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de cartes de débit </w:t>
            </w:r>
            <w:r>
              <w:rPr>
                <w:rFonts w:cstheme="minorHAnsi"/>
                <w:sz w:val="18"/>
                <w:szCs w:val="18"/>
              </w:rPr>
              <w:t xml:space="preserve">CB </w:t>
            </w:r>
            <w:r w:rsidRPr="009405CB">
              <w:rPr>
                <w:rFonts w:cstheme="minorHAnsi"/>
                <w:sz w:val="18"/>
                <w:szCs w:val="18"/>
              </w:rPr>
              <w:t xml:space="preserve">est </w:t>
            </w:r>
            <w:r>
              <w:rPr>
                <w:rFonts w:cstheme="minorHAnsi"/>
                <w:sz w:val="18"/>
                <w:szCs w:val="18"/>
              </w:rPr>
              <w:t>&lt; ou =</w:t>
            </w:r>
            <w:r w:rsidRPr="009405CB">
              <w:rPr>
                <w:rFonts w:cstheme="minorHAnsi"/>
                <w:sz w:val="18"/>
                <w:szCs w:val="18"/>
              </w:rPr>
              <w:t xml:space="preserve"> au nombre</w:t>
            </w:r>
            <w:r>
              <w:rPr>
                <w:rFonts w:cstheme="minorHAnsi"/>
                <w:sz w:val="18"/>
                <w:szCs w:val="18"/>
              </w:rPr>
              <w:t xml:space="preserve"> total</w:t>
            </w:r>
            <w:r w:rsidRPr="009405CB">
              <w:rPr>
                <w:rFonts w:cstheme="minorHAnsi"/>
                <w:sz w:val="18"/>
                <w:szCs w:val="18"/>
              </w:rPr>
              <w:t xml:space="preserve"> de cartes de débit.</w:t>
            </w:r>
            <w:r>
              <w:rPr>
                <w:rFonts w:cstheme="minorHAnsi"/>
                <w:sz w:val="18"/>
                <w:szCs w:val="18"/>
              </w:rPr>
              <w:t xml:space="preserve"> Il en est de même pour les cartes de débit de chaque schéma de carte.</w:t>
            </w:r>
          </w:p>
        </w:tc>
      </w:tr>
      <w:tr w:rsidR="00BE38D9" w:rsidRPr="00801969" w14:paraId="26A2339B" w14:textId="77777777" w:rsidTr="00204E65">
        <w:trPr>
          <w:trHeight w:val="394"/>
        </w:trPr>
        <w:tc>
          <w:tcPr>
            <w:tcW w:w="9054" w:type="dxa"/>
          </w:tcPr>
          <w:p w14:paraId="75DFD2AD" w14:textId="1A6C5F9B" w:rsidR="00BE38D9" w:rsidRDefault="00BE38D9" w:rsidP="00543514">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w:t>
            </w:r>
            <w:r>
              <w:rPr>
                <w:rFonts w:cstheme="minorHAnsi"/>
                <w:sz w:val="18"/>
                <w:szCs w:val="18"/>
              </w:rPr>
              <w:t xml:space="preserve">total </w:t>
            </w:r>
            <w:r w:rsidRPr="009405CB">
              <w:rPr>
                <w:rFonts w:cstheme="minorHAnsi"/>
                <w:sz w:val="18"/>
                <w:szCs w:val="18"/>
              </w:rPr>
              <w:t xml:space="preserve">de cartes de débit est </w:t>
            </w:r>
            <w:r>
              <w:rPr>
                <w:rFonts w:cstheme="minorHAnsi"/>
                <w:sz w:val="18"/>
                <w:szCs w:val="18"/>
              </w:rPr>
              <w:t xml:space="preserve">&lt; </w:t>
            </w:r>
            <w:r w:rsidRPr="009405CB">
              <w:rPr>
                <w:rFonts w:cstheme="minorHAnsi"/>
                <w:sz w:val="18"/>
                <w:szCs w:val="18"/>
              </w:rPr>
              <w:t xml:space="preserve">ou </w:t>
            </w:r>
            <w:r>
              <w:rPr>
                <w:rFonts w:cstheme="minorHAnsi"/>
                <w:sz w:val="18"/>
                <w:szCs w:val="18"/>
              </w:rPr>
              <w:t xml:space="preserve">= </w:t>
            </w:r>
            <w:r w:rsidRPr="009405CB">
              <w:rPr>
                <w:rFonts w:cstheme="minorHAnsi"/>
                <w:sz w:val="18"/>
                <w:szCs w:val="18"/>
              </w:rPr>
              <w:t xml:space="preserve">à la somme des cartes de débit </w:t>
            </w:r>
            <w:r>
              <w:rPr>
                <w:rFonts w:cstheme="minorHAnsi"/>
                <w:sz w:val="18"/>
                <w:szCs w:val="18"/>
              </w:rPr>
              <w:t>ventilées par schéma de carte.</w:t>
            </w:r>
          </w:p>
        </w:tc>
      </w:tr>
      <w:tr w:rsidR="00BE38D9" w:rsidRPr="00801969" w14:paraId="0A0721A7" w14:textId="77777777" w:rsidTr="00204E65">
        <w:trPr>
          <w:trHeight w:val="394"/>
        </w:trPr>
        <w:tc>
          <w:tcPr>
            <w:tcW w:w="9054" w:type="dxa"/>
          </w:tcPr>
          <w:p w14:paraId="3FFDE356" w14:textId="609FCD49" w:rsidR="00BE38D9" w:rsidRDefault="00BE38D9" w:rsidP="00543514">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de cartes à débit différé </w:t>
            </w:r>
            <w:r>
              <w:rPr>
                <w:rFonts w:cstheme="minorHAnsi"/>
                <w:sz w:val="18"/>
                <w:szCs w:val="18"/>
              </w:rPr>
              <w:t>CB</w:t>
            </w:r>
            <w:r w:rsidRPr="009405CB">
              <w:rPr>
                <w:rFonts w:cstheme="minorHAnsi"/>
                <w:sz w:val="18"/>
                <w:szCs w:val="18"/>
              </w:rPr>
              <w:t xml:space="preserve"> est </w:t>
            </w:r>
            <w:r>
              <w:rPr>
                <w:rFonts w:cstheme="minorHAnsi"/>
                <w:sz w:val="18"/>
                <w:szCs w:val="18"/>
              </w:rPr>
              <w:t>&lt;</w:t>
            </w:r>
            <w:r w:rsidRPr="009405CB">
              <w:rPr>
                <w:rFonts w:cstheme="minorHAnsi"/>
                <w:sz w:val="18"/>
                <w:szCs w:val="18"/>
              </w:rPr>
              <w:t xml:space="preserve"> ou </w:t>
            </w:r>
            <w:r>
              <w:rPr>
                <w:rFonts w:cstheme="minorHAnsi"/>
                <w:sz w:val="18"/>
                <w:szCs w:val="18"/>
              </w:rPr>
              <w:t>=</w:t>
            </w:r>
            <w:r w:rsidRPr="009405CB">
              <w:rPr>
                <w:rFonts w:cstheme="minorHAnsi"/>
                <w:sz w:val="18"/>
                <w:szCs w:val="18"/>
              </w:rPr>
              <w:t xml:space="preserve"> au nombre </w:t>
            </w:r>
            <w:r>
              <w:rPr>
                <w:rFonts w:cstheme="minorHAnsi"/>
                <w:sz w:val="18"/>
                <w:szCs w:val="18"/>
              </w:rPr>
              <w:t xml:space="preserve">total </w:t>
            </w:r>
            <w:r w:rsidRPr="009405CB">
              <w:rPr>
                <w:rFonts w:cstheme="minorHAnsi"/>
                <w:sz w:val="18"/>
                <w:szCs w:val="18"/>
              </w:rPr>
              <w:t>de cartes à débit différé.</w:t>
            </w:r>
            <w:r>
              <w:rPr>
                <w:rFonts w:cstheme="minorHAnsi"/>
                <w:sz w:val="18"/>
                <w:szCs w:val="18"/>
              </w:rPr>
              <w:t xml:space="preserve"> Il en est de même pour les cartes à débit différé de chaque schéma de carte.</w:t>
            </w:r>
          </w:p>
        </w:tc>
      </w:tr>
      <w:tr w:rsidR="00BE38D9" w:rsidRPr="00801969" w14:paraId="53F13142" w14:textId="77777777" w:rsidTr="00204E65">
        <w:trPr>
          <w:trHeight w:val="394"/>
        </w:trPr>
        <w:tc>
          <w:tcPr>
            <w:tcW w:w="9054" w:type="dxa"/>
          </w:tcPr>
          <w:p w14:paraId="4EA2BB1D" w14:textId="3FEB5317" w:rsidR="00BE38D9" w:rsidRPr="000E5676" w:rsidRDefault="00BE38D9" w:rsidP="00543514">
            <w:pPr>
              <w:pStyle w:val="Paragraphedeliste"/>
              <w:autoSpaceDE w:val="0"/>
              <w:autoSpaceDN w:val="0"/>
              <w:adjustRightInd w:val="0"/>
              <w:ind w:left="0"/>
              <w:jc w:val="both"/>
              <w:rPr>
                <w:rFonts w:cstheme="minorHAnsi"/>
                <w:sz w:val="18"/>
                <w:szCs w:val="18"/>
              </w:rPr>
            </w:pPr>
            <w:r w:rsidRPr="000E5676">
              <w:rPr>
                <w:rFonts w:cstheme="minorHAnsi"/>
                <w:sz w:val="18"/>
                <w:szCs w:val="18"/>
              </w:rPr>
              <w:t>Le nombre total de cartes à débit différé est &lt; ou = à la somme des cartes à débit différé ventilées par schéma de carte.</w:t>
            </w:r>
          </w:p>
        </w:tc>
      </w:tr>
      <w:tr w:rsidR="00BE38D9" w:rsidRPr="00801969" w14:paraId="5CBB5211" w14:textId="77777777" w:rsidTr="00204E65">
        <w:trPr>
          <w:trHeight w:val="394"/>
        </w:trPr>
        <w:tc>
          <w:tcPr>
            <w:tcW w:w="9054" w:type="dxa"/>
          </w:tcPr>
          <w:p w14:paraId="66FB9621" w14:textId="1E75EBA7" w:rsidR="00BE38D9" w:rsidRPr="000E5676" w:rsidRDefault="00076BC0" w:rsidP="00B8101D">
            <w:pPr>
              <w:pStyle w:val="Paragraphedeliste"/>
              <w:autoSpaceDE w:val="0"/>
              <w:autoSpaceDN w:val="0"/>
              <w:adjustRightInd w:val="0"/>
              <w:ind w:left="0"/>
              <w:jc w:val="both"/>
              <w:rPr>
                <w:rFonts w:cstheme="minorHAnsi"/>
                <w:sz w:val="18"/>
                <w:szCs w:val="18"/>
              </w:rPr>
            </w:pPr>
            <w:r w:rsidRPr="000E5676">
              <w:rPr>
                <w:rFonts w:cstheme="minorHAnsi"/>
                <w:sz w:val="18"/>
                <w:szCs w:val="18"/>
              </w:rPr>
              <w:t>Le nombre total de cartes ayant une fonction de paiement est &gt; ou = au nombre de cartes ayant une fonction de crédit.</w:t>
            </w:r>
          </w:p>
        </w:tc>
      </w:tr>
      <w:tr w:rsidR="00BE38D9" w:rsidRPr="00801969" w14:paraId="05D0884E" w14:textId="77777777" w:rsidTr="00204E65">
        <w:trPr>
          <w:trHeight w:val="394"/>
        </w:trPr>
        <w:tc>
          <w:tcPr>
            <w:tcW w:w="9054" w:type="dxa"/>
          </w:tcPr>
          <w:p w14:paraId="19484D77" w14:textId="74FC70EC" w:rsidR="00BE38D9" w:rsidRDefault="00076BC0" w:rsidP="00B8101D">
            <w:pPr>
              <w:pStyle w:val="Paragraphedeliste"/>
              <w:autoSpaceDE w:val="0"/>
              <w:autoSpaceDN w:val="0"/>
              <w:adjustRightInd w:val="0"/>
              <w:ind w:left="0"/>
              <w:jc w:val="both"/>
              <w:rPr>
                <w:rFonts w:cstheme="minorHAnsi"/>
                <w:sz w:val="18"/>
                <w:szCs w:val="18"/>
              </w:rPr>
            </w:pPr>
            <w:r w:rsidRPr="009405CB">
              <w:rPr>
                <w:rFonts w:cstheme="minorHAnsi"/>
                <w:sz w:val="18"/>
                <w:szCs w:val="18"/>
              </w:rPr>
              <w:t>Le nombre total de cartes ayant une fonction de paiement est</w:t>
            </w:r>
            <w:r>
              <w:rPr>
                <w:rFonts w:cstheme="minorHAnsi"/>
                <w:sz w:val="18"/>
                <w:szCs w:val="18"/>
              </w:rPr>
              <w:t xml:space="preserve"> &gt; </w:t>
            </w:r>
            <w:r w:rsidRPr="009405CB">
              <w:rPr>
                <w:rFonts w:cstheme="minorHAnsi"/>
                <w:sz w:val="18"/>
                <w:szCs w:val="18"/>
              </w:rPr>
              <w:t xml:space="preserve">ou </w:t>
            </w:r>
            <w:r>
              <w:rPr>
                <w:rFonts w:cstheme="minorHAnsi"/>
                <w:sz w:val="18"/>
                <w:szCs w:val="18"/>
              </w:rPr>
              <w:t>=</w:t>
            </w:r>
            <w:r w:rsidRPr="009405CB">
              <w:rPr>
                <w:rFonts w:cstheme="minorHAnsi"/>
                <w:sz w:val="18"/>
                <w:szCs w:val="18"/>
              </w:rPr>
              <w:t xml:space="preserve"> au nombre de cartes ayant une fonction de débit.</w:t>
            </w:r>
          </w:p>
        </w:tc>
      </w:tr>
      <w:tr w:rsidR="00076BC0" w:rsidRPr="00801969" w14:paraId="35FD3B7D" w14:textId="77777777" w:rsidTr="00204E65">
        <w:trPr>
          <w:trHeight w:val="394"/>
        </w:trPr>
        <w:tc>
          <w:tcPr>
            <w:tcW w:w="9054" w:type="dxa"/>
          </w:tcPr>
          <w:p w14:paraId="6029931A" w14:textId="730D03AD" w:rsidR="00076BC0" w:rsidRDefault="00076BC0" w:rsidP="00B8101D">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total de cartes ayant une fonction de paiement est </w:t>
            </w:r>
            <w:r>
              <w:rPr>
                <w:rFonts w:cstheme="minorHAnsi"/>
                <w:sz w:val="18"/>
                <w:szCs w:val="18"/>
              </w:rPr>
              <w:t xml:space="preserve">&gt; </w:t>
            </w:r>
            <w:r w:rsidRPr="009405CB">
              <w:rPr>
                <w:rFonts w:cstheme="minorHAnsi"/>
                <w:sz w:val="18"/>
                <w:szCs w:val="18"/>
              </w:rPr>
              <w:t xml:space="preserve">ou </w:t>
            </w:r>
            <w:r>
              <w:rPr>
                <w:rFonts w:cstheme="minorHAnsi"/>
                <w:sz w:val="18"/>
                <w:szCs w:val="18"/>
              </w:rPr>
              <w:t>=</w:t>
            </w:r>
            <w:r w:rsidRPr="009405CB">
              <w:rPr>
                <w:rFonts w:cstheme="minorHAnsi"/>
                <w:sz w:val="18"/>
                <w:szCs w:val="18"/>
              </w:rPr>
              <w:t xml:space="preserve"> au nombre de cartes ayant une fonction de débit différé.</w:t>
            </w:r>
          </w:p>
        </w:tc>
      </w:tr>
      <w:tr w:rsidR="00076BC0" w:rsidRPr="00801969" w14:paraId="030375C8" w14:textId="77777777" w:rsidTr="00204E65">
        <w:trPr>
          <w:trHeight w:val="394"/>
        </w:trPr>
        <w:tc>
          <w:tcPr>
            <w:tcW w:w="9054" w:type="dxa"/>
          </w:tcPr>
          <w:p w14:paraId="4CC6D5C3" w14:textId="772D1234" w:rsidR="00076BC0" w:rsidRDefault="00076BC0" w:rsidP="00B8101D">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de cartes ayant une fonction de paiement est </w:t>
            </w:r>
            <w:r>
              <w:rPr>
                <w:rFonts w:cstheme="minorHAnsi"/>
                <w:sz w:val="18"/>
                <w:szCs w:val="18"/>
              </w:rPr>
              <w:t xml:space="preserve">&lt; </w:t>
            </w:r>
            <w:r w:rsidRPr="009405CB">
              <w:rPr>
                <w:rFonts w:cstheme="minorHAnsi"/>
                <w:sz w:val="18"/>
                <w:szCs w:val="18"/>
              </w:rPr>
              <w:t xml:space="preserve">ou </w:t>
            </w:r>
            <w:r>
              <w:rPr>
                <w:rFonts w:cstheme="minorHAnsi"/>
                <w:sz w:val="18"/>
                <w:szCs w:val="18"/>
              </w:rPr>
              <w:t xml:space="preserve">= </w:t>
            </w:r>
            <w:r w:rsidRPr="009405CB">
              <w:rPr>
                <w:rFonts w:cstheme="minorHAnsi"/>
                <w:sz w:val="18"/>
                <w:szCs w:val="18"/>
              </w:rPr>
              <w:t xml:space="preserve">à la somme des </w:t>
            </w:r>
            <w:r>
              <w:rPr>
                <w:rFonts w:cstheme="minorHAnsi"/>
                <w:sz w:val="18"/>
                <w:szCs w:val="18"/>
              </w:rPr>
              <w:t xml:space="preserve">cartes à </w:t>
            </w:r>
            <w:r w:rsidRPr="009405CB">
              <w:rPr>
                <w:rFonts w:cstheme="minorHAnsi"/>
                <w:sz w:val="18"/>
                <w:szCs w:val="18"/>
              </w:rPr>
              <w:t xml:space="preserve">débit, des </w:t>
            </w:r>
            <w:r>
              <w:rPr>
                <w:rFonts w:cstheme="minorHAnsi"/>
                <w:sz w:val="18"/>
                <w:szCs w:val="18"/>
              </w:rPr>
              <w:t xml:space="preserve">cartes à </w:t>
            </w:r>
            <w:r w:rsidRPr="009405CB">
              <w:rPr>
                <w:rFonts w:cstheme="minorHAnsi"/>
                <w:sz w:val="18"/>
                <w:szCs w:val="18"/>
              </w:rPr>
              <w:t>débit différé et des cartes de crédit.</w:t>
            </w:r>
          </w:p>
        </w:tc>
      </w:tr>
      <w:tr w:rsidR="00076BC0" w:rsidRPr="00801969" w14:paraId="04776B70" w14:textId="77777777" w:rsidTr="00204E65">
        <w:trPr>
          <w:trHeight w:val="394"/>
        </w:trPr>
        <w:tc>
          <w:tcPr>
            <w:tcW w:w="9054" w:type="dxa"/>
          </w:tcPr>
          <w:p w14:paraId="36CA2843" w14:textId="36BE4D14" w:rsidR="00076BC0" w:rsidRDefault="00B8101D" w:rsidP="00B8101D">
            <w:pPr>
              <w:pStyle w:val="Paragraphedeliste"/>
              <w:autoSpaceDE w:val="0"/>
              <w:autoSpaceDN w:val="0"/>
              <w:adjustRightInd w:val="0"/>
              <w:ind w:left="0"/>
              <w:jc w:val="both"/>
              <w:rPr>
                <w:rFonts w:cstheme="minorHAnsi"/>
                <w:sz w:val="18"/>
                <w:szCs w:val="18"/>
              </w:rPr>
            </w:pPr>
            <w:r w:rsidRPr="009405CB">
              <w:rPr>
                <w:rFonts w:cstheme="minorHAnsi"/>
                <w:sz w:val="18"/>
                <w:szCs w:val="18"/>
              </w:rPr>
              <w:lastRenderedPageBreak/>
              <w:t xml:space="preserve">Le nombre total de cartes sur lesquelles la monnaie électronique peut être stockée directement est </w:t>
            </w:r>
            <w:r>
              <w:rPr>
                <w:rFonts w:cstheme="minorHAnsi"/>
                <w:sz w:val="18"/>
                <w:szCs w:val="18"/>
              </w:rPr>
              <w:t xml:space="preserve">&gt; </w:t>
            </w:r>
            <w:r w:rsidRPr="009405CB">
              <w:rPr>
                <w:rFonts w:cstheme="minorHAnsi"/>
                <w:sz w:val="18"/>
                <w:szCs w:val="18"/>
              </w:rPr>
              <w:t xml:space="preserve">ou </w:t>
            </w:r>
            <w:r>
              <w:rPr>
                <w:rFonts w:cstheme="minorHAnsi"/>
                <w:sz w:val="18"/>
                <w:szCs w:val="18"/>
              </w:rPr>
              <w:t>=</w:t>
            </w:r>
            <w:r w:rsidRPr="009405CB">
              <w:rPr>
                <w:rFonts w:cstheme="minorHAnsi"/>
                <w:sz w:val="18"/>
                <w:szCs w:val="18"/>
              </w:rPr>
              <w:t xml:space="preserve"> au nombre de cartes dotées d'une fonction de monnaie électronique qui ont été chargées au moins une fois.</w:t>
            </w:r>
          </w:p>
        </w:tc>
      </w:tr>
      <w:tr w:rsidR="00076BC0" w:rsidRPr="00801969" w14:paraId="728EEC3F" w14:textId="77777777" w:rsidTr="00204E65">
        <w:trPr>
          <w:trHeight w:val="394"/>
        </w:trPr>
        <w:tc>
          <w:tcPr>
            <w:tcW w:w="9054" w:type="dxa"/>
          </w:tcPr>
          <w:p w14:paraId="5BE16FE8" w14:textId="6A660DD8" w:rsidR="00076BC0" w:rsidRDefault="00B8101D" w:rsidP="00B8101D">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total de cartes dotées d'une fonction de monnaie électronique est </w:t>
            </w:r>
            <w:r>
              <w:rPr>
                <w:rFonts w:cstheme="minorHAnsi"/>
                <w:sz w:val="18"/>
                <w:szCs w:val="18"/>
              </w:rPr>
              <w:t>=</w:t>
            </w:r>
            <w:r w:rsidRPr="009405CB">
              <w:rPr>
                <w:rFonts w:cstheme="minorHAnsi"/>
                <w:sz w:val="18"/>
                <w:szCs w:val="18"/>
              </w:rPr>
              <w:t xml:space="preserve"> à la somme des cartes dotées d'une fonction de monnaie électronique sur lesquelles de la monnaie électronique peut être stockée directement et de celles qui donnent accès à la monnaie électronique stockée sur des comptes de monnaie électronique.</w:t>
            </w:r>
          </w:p>
        </w:tc>
      </w:tr>
      <w:tr w:rsidR="00076BC0" w:rsidRPr="00801969" w14:paraId="5153DE65" w14:textId="77777777" w:rsidTr="00204E65">
        <w:trPr>
          <w:trHeight w:val="394"/>
        </w:trPr>
        <w:tc>
          <w:tcPr>
            <w:tcW w:w="9054" w:type="dxa"/>
          </w:tcPr>
          <w:p w14:paraId="700A2C56" w14:textId="4ABEEB3C" w:rsidR="00076BC0" w:rsidRDefault="00B8101D" w:rsidP="00B8101D">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de cartes </w:t>
            </w:r>
            <w:r>
              <w:rPr>
                <w:rFonts w:cstheme="minorHAnsi"/>
                <w:sz w:val="18"/>
                <w:szCs w:val="18"/>
              </w:rPr>
              <w:t xml:space="preserve">ayant une fonction </w:t>
            </w:r>
            <w:r w:rsidRPr="009405CB">
              <w:rPr>
                <w:rFonts w:cstheme="minorHAnsi"/>
                <w:sz w:val="18"/>
                <w:szCs w:val="18"/>
              </w:rPr>
              <w:t xml:space="preserve">de monnaie électronique est </w:t>
            </w:r>
            <w:r>
              <w:rPr>
                <w:rFonts w:cstheme="minorHAnsi"/>
                <w:sz w:val="18"/>
                <w:szCs w:val="18"/>
              </w:rPr>
              <w:t xml:space="preserve">&lt; </w:t>
            </w:r>
            <w:r w:rsidRPr="009405CB">
              <w:rPr>
                <w:rFonts w:cstheme="minorHAnsi"/>
                <w:sz w:val="18"/>
                <w:szCs w:val="18"/>
              </w:rPr>
              <w:t xml:space="preserve">ou </w:t>
            </w:r>
            <w:r>
              <w:rPr>
                <w:rFonts w:cstheme="minorHAnsi"/>
                <w:sz w:val="18"/>
                <w:szCs w:val="18"/>
              </w:rPr>
              <w:t>=</w:t>
            </w:r>
            <w:r w:rsidRPr="009405CB">
              <w:rPr>
                <w:rFonts w:cstheme="minorHAnsi"/>
                <w:sz w:val="18"/>
                <w:szCs w:val="18"/>
              </w:rPr>
              <w:t xml:space="preserve"> au nombre total de cartes</w:t>
            </w:r>
            <w:r>
              <w:rPr>
                <w:rFonts w:cstheme="minorHAnsi"/>
                <w:sz w:val="18"/>
                <w:szCs w:val="18"/>
              </w:rPr>
              <w:t xml:space="preserve"> émises.</w:t>
            </w:r>
          </w:p>
        </w:tc>
      </w:tr>
      <w:tr w:rsidR="00076BC0" w:rsidRPr="00801969" w14:paraId="04DD3CC9" w14:textId="77777777" w:rsidTr="00204E65">
        <w:trPr>
          <w:trHeight w:val="394"/>
        </w:trPr>
        <w:tc>
          <w:tcPr>
            <w:tcW w:w="9054" w:type="dxa"/>
          </w:tcPr>
          <w:p w14:paraId="1987ABF9" w14:textId="4423A677" w:rsidR="00076BC0" w:rsidRDefault="00B8101D" w:rsidP="00B8101D">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de cartes avec une fonction sans contact est </w:t>
            </w:r>
            <w:r>
              <w:rPr>
                <w:rFonts w:cstheme="minorHAnsi"/>
                <w:sz w:val="18"/>
                <w:szCs w:val="18"/>
              </w:rPr>
              <w:t>&lt; ou =</w:t>
            </w:r>
            <w:r w:rsidRPr="009405CB">
              <w:rPr>
                <w:rFonts w:cstheme="minorHAnsi"/>
                <w:sz w:val="18"/>
                <w:szCs w:val="18"/>
              </w:rPr>
              <w:t xml:space="preserve"> au nombre total de cartes</w:t>
            </w:r>
            <w:r>
              <w:rPr>
                <w:rFonts w:cstheme="minorHAnsi"/>
                <w:sz w:val="18"/>
                <w:szCs w:val="18"/>
              </w:rPr>
              <w:t xml:space="preserve"> émises</w:t>
            </w:r>
            <w:r w:rsidRPr="009405CB">
              <w:rPr>
                <w:rFonts w:cstheme="minorHAnsi"/>
                <w:sz w:val="18"/>
                <w:szCs w:val="18"/>
              </w:rPr>
              <w:t>.</w:t>
            </w:r>
          </w:p>
        </w:tc>
      </w:tr>
      <w:tr w:rsidR="00076BC0" w:rsidRPr="00801969" w14:paraId="427521CE" w14:textId="77777777" w:rsidTr="00204E65">
        <w:trPr>
          <w:trHeight w:val="394"/>
        </w:trPr>
        <w:tc>
          <w:tcPr>
            <w:tcW w:w="9054" w:type="dxa"/>
          </w:tcPr>
          <w:p w14:paraId="3671AFE1" w14:textId="3341E752" w:rsidR="00076BC0" w:rsidRDefault="00B8101D" w:rsidP="00B8101D">
            <w:pPr>
              <w:pStyle w:val="Paragraphedeliste"/>
              <w:autoSpaceDE w:val="0"/>
              <w:autoSpaceDN w:val="0"/>
              <w:adjustRightInd w:val="0"/>
              <w:ind w:left="0"/>
              <w:jc w:val="both"/>
              <w:rPr>
                <w:rFonts w:cstheme="minorHAnsi"/>
                <w:sz w:val="18"/>
                <w:szCs w:val="18"/>
              </w:rPr>
            </w:pPr>
            <w:r>
              <w:rPr>
                <w:rFonts w:cstheme="minorHAnsi"/>
                <w:sz w:val="18"/>
                <w:szCs w:val="18"/>
              </w:rPr>
              <w:t>Le nombre de cartes avec piste magnétique (uniquement) est &lt; ou = au nombre total de cartes émises.</w:t>
            </w:r>
          </w:p>
        </w:tc>
      </w:tr>
      <w:tr w:rsidR="00C0310F" w:rsidRPr="000C44A5" w14:paraId="0ADC7C7A" w14:textId="77777777" w:rsidTr="00204E65">
        <w:trPr>
          <w:trHeight w:val="375"/>
        </w:trPr>
        <w:tc>
          <w:tcPr>
            <w:tcW w:w="9054" w:type="dxa"/>
          </w:tcPr>
          <w:p w14:paraId="41418D74" w14:textId="16672F21" w:rsidR="00C0310F" w:rsidRDefault="00C0310F" w:rsidP="00ED3FF3">
            <w:pPr>
              <w:pStyle w:val="Paragraphedeliste"/>
              <w:autoSpaceDE w:val="0"/>
              <w:autoSpaceDN w:val="0"/>
              <w:adjustRightInd w:val="0"/>
              <w:ind w:left="0"/>
              <w:jc w:val="both"/>
              <w:rPr>
                <w:rFonts w:cstheme="minorHAnsi"/>
                <w:sz w:val="18"/>
                <w:szCs w:val="18"/>
              </w:rPr>
            </w:pPr>
            <w:r>
              <w:rPr>
                <w:rFonts w:cstheme="minorHAnsi"/>
                <w:sz w:val="18"/>
                <w:szCs w:val="18"/>
              </w:rPr>
              <w:t xml:space="preserve">Si le nombre de cartes </w:t>
            </w:r>
            <w:r w:rsidR="00B01A26">
              <w:rPr>
                <w:rFonts w:cstheme="minorHAnsi"/>
                <w:sz w:val="18"/>
                <w:szCs w:val="18"/>
              </w:rPr>
              <w:t xml:space="preserve">avec une fonction espèces est </w:t>
            </w:r>
            <w:r w:rsidR="00ED3FF3">
              <w:rPr>
                <w:rFonts w:cstheme="minorHAnsi"/>
                <w:sz w:val="18"/>
                <w:szCs w:val="18"/>
              </w:rPr>
              <w:t>=</w:t>
            </w:r>
            <w:r w:rsidR="00B01A26">
              <w:rPr>
                <w:rFonts w:cstheme="minorHAnsi"/>
                <w:sz w:val="18"/>
                <w:szCs w:val="18"/>
              </w:rPr>
              <w:t xml:space="preserve"> </w:t>
            </w:r>
            <w:r>
              <w:rPr>
                <w:rFonts w:cstheme="minorHAnsi"/>
                <w:sz w:val="18"/>
                <w:szCs w:val="18"/>
              </w:rPr>
              <w:t xml:space="preserve">à 0, le total des retraits d’espèces sur GAB par cartes émises par l’établissement est </w:t>
            </w:r>
            <w:r w:rsidR="00ED3FF3">
              <w:rPr>
                <w:rFonts w:cstheme="minorHAnsi"/>
                <w:sz w:val="18"/>
                <w:szCs w:val="18"/>
              </w:rPr>
              <w:t>=</w:t>
            </w:r>
            <w:r>
              <w:rPr>
                <w:rFonts w:cstheme="minorHAnsi"/>
                <w:sz w:val="18"/>
                <w:szCs w:val="18"/>
              </w:rPr>
              <w:t xml:space="preserve"> à 0 (cf. section 4.1.2.4).</w:t>
            </w:r>
          </w:p>
        </w:tc>
      </w:tr>
      <w:tr w:rsidR="00C0310F" w:rsidRPr="000C44A5" w14:paraId="2F3D234E" w14:textId="77777777" w:rsidTr="00204E65">
        <w:trPr>
          <w:trHeight w:val="375"/>
        </w:trPr>
        <w:tc>
          <w:tcPr>
            <w:tcW w:w="9054" w:type="dxa"/>
          </w:tcPr>
          <w:p w14:paraId="3EA3DC09" w14:textId="7F27EC75" w:rsidR="00C0310F" w:rsidRDefault="00B01A26" w:rsidP="00543514">
            <w:pPr>
              <w:pStyle w:val="Paragraphedeliste"/>
              <w:autoSpaceDE w:val="0"/>
              <w:autoSpaceDN w:val="0"/>
              <w:adjustRightInd w:val="0"/>
              <w:ind w:left="0"/>
              <w:jc w:val="both"/>
              <w:rPr>
                <w:rFonts w:cstheme="minorHAnsi"/>
                <w:sz w:val="18"/>
                <w:szCs w:val="18"/>
              </w:rPr>
            </w:pPr>
            <w:r>
              <w:rPr>
                <w:rFonts w:cstheme="minorHAnsi"/>
                <w:sz w:val="18"/>
                <w:szCs w:val="18"/>
              </w:rPr>
              <w:t xml:space="preserve">Si le nombre de cartes avec une fonction de paiement est </w:t>
            </w:r>
            <w:r w:rsidR="00ED3FF3">
              <w:rPr>
                <w:rFonts w:cstheme="minorHAnsi"/>
                <w:sz w:val="18"/>
                <w:szCs w:val="18"/>
              </w:rPr>
              <w:t>=</w:t>
            </w:r>
            <w:r>
              <w:rPr>
                <w:rFonts w:cstheme="minorHAnsi"/>
                <w:sz w:val="18"/>
                <w:szCs w:val="18"/>
              </w:rPr>
              <w:t xml:space="preserve"> à 0, les paiements par cartes émises par l’établissement et initiés par voie électronique est </w:t>
            </w:r>
            <w:r w:rsidR="00ED3FF3">
              <w:rPr>
                <w:rFonts w:cstheme="minorHAnsi"/>
                <w:sz w:val="18"/>
                <w:szCs w:val="18"/>
              </w:rPr>
              <w:t>=</w:t>
            </w:r>
            <w:r>
              <w:rPr>
                <w:rFonts w:cstheme="minorHAnsi"/>
                <w:sz w:val="18"/>
                <w:szCs w:val="18"/>
              </w:rPr>
              <w:t xml:space="preserve"> à 0</w:t>
            </w:r>
            <w:r w:rsidR="00675606">
              <w:rPr>
                <w:rFonts w:cstheme="minorHAnsi"/>
                <w:sz w:val="18"/>
                <w:szCs w:val="18"/>
              </w:rPr>
              <w:t xml:space="preserve"> (cf. section 4.1.2.1)</w:t>
            </w:r>
            <w:r>
              <w:rPr>
                <w:rFonts w:cstheme="minorHAnsi"/>
                <w:sz w:val="18"/>
                <w:szCs w:val="18"/>
              </w:rPr>
              <w:t xml:space="preserve">. Cette règle s’applique </w:t>
            </w:r>
            <w:r w:rsidR="00AB5993">
              <w:rPr>
                <w:rFonts w:cstheme="minorHAnsi"/>
                <w:sz w:val="18"/>
                <w:szCs w:val="18"/>
              </w:rPr>
              <w:t xml:space="preserve">également </w:t>
            </w:r>
            <w:r>
              <w:rPr>
                <w:rFonts w:cstheme="minorHAnsi"/>
                <w:sz w:val="18"/>
                <w:szCs w:val="18"/>
              </w:rPr>
              <w:t xml:space="preserve">à chaque ventilation de ces indicateurs </w:t>
            </w:r>
            <w:r w:rsidR="00730755">
              <w:rPr>
                <w:rFonts w:cstheme="minorHAnsi"/>
                <w:sz w:val="18"/>
                <w:szCs w:val="18"/>
              </w:rPr>
              <w:t xml:space="preserve">par schéma de carte et </w:t>
            </w:r>
            <w:r w:rsidR="00AB5993">
              <w:rPr>
                <w:rFonts w:cstheme="minorHAnsi"/>
                <w:sz w:val="18"/>
                <w:szCs w:val="18"/>
              </w:rPr>
              <w:t>par mode (débit, débit différé et de crédit)</w:t>
            </w:r>
            <w:r>
              <w:rPr>
                <w:rFonts w:cstheme="minorHAnsi"/>
                <w:sz w:val="18"/>
                <w:szCs w:val="18"/>
              </w:rPr>
              <w:t xml:space="preserve">. </w:t>
            </w:r>
            <w:r w:rsidR="003F7358">
              <w:rPr>
                <w:rFonts w:cstheme="minorHAnsi"/>
                <w:sz w:val="18"/>
                <w:szCs w:val="18"/>
              </w:rPr>
              <w:t xml:space="preserve">Par exemple, si l’établissement ne déclare aucune carte de paiement </w:t>
            </w:r>
            <w:r w:rsidR="00730755">
              <w:rPr>
                <w:rFonts w:cstheme="minorHAnsi"/>
                <w:sz w:val="18"/>
                <w:szCs w:val="18"/>
              </w:rPr>
              <w:t xml:space="preserve">avec une fonction de débit </w:t>
            </w:r>
            <w:r w:rsidR="003F7358">
              <w:rPr>
                <w:rFonts w:cstheme="minorHAnsi"/>
                <w:sz w:val="18"/>
                <w:szCs w:val="18"/>
              </w:rPr>
              <w:t xml:space="preserve">VISA, le total des paiements par cartes VISA </w:t>
            </w:r>
            <w:r w:rsidR="00730755">
              <w:rPr>
                <w:rFonts w:cstheme="minorHAnsi"/>
                <w:sz w:val="18"/>
                <w:szCs w:val="18"/>
              </w:rPr>
              <w:t xml:space="preserve">émises par l’établissement </w:t>
            </w:r>
            <w:r w:rsidR="00E71C1E">
              <w:rPr>
                <w:rFonts w:cstheme="minorHAnsi"/>
                <w:sz w:val="18"/>
                <w:szCs w:val="18"/>
              </w:rPr>
              <w:t xml:space="preserve">et </w:t>
            </w:r>
            <w:r w:rsidR="00730755">
              <w:rPr>
                <w:rFonts w:cstheme="minorHAnsi"/>
                <w:sz w:val="18"/>
                <w:szCs w:val="18"/>
              </w:rPr>
              <w:t>initiés par voie électronique avec une fonction de débit do</w:t>
            </w:r>
            <w:r w:rsidR="003F7358">
              <w:rPr>
                <w:rFonts w:cstheme="minorHAnsi"/>
                <w:sz w:val="18"/>
                <w:szCs w:val="18"/>
              </w:rPr>
              <w:t>it être à 0.</w:t>
            </w:r>
          </w:p>
        </w:tc>
      </w:tr>
      <w:tr w:rsidR="00B01A26" w:rsidRPr="000C44A5" w14:paraId="71E1620D" w14:textId="77777777" w:rsidTr="00204E65">
        <w:trPr>
          <w:trHeight w:val="375"/>
        </w:trPr>
        <w:tc>
          <w:tcPr>
            <w:tcW w:w="9054" w:type="dxa"/>
          </w:tcPr>
          <w:p w14:paraId="016A9BA3" w14:textId="0FD53CA8" w:rsidR="00B01A26" w:rsidRDefault="00ED3FF3" w:rsidP="00ED3FF3">
            <w:pPr>
              <w:pStyle w:val="Paragraphedeliste"/>
              <w:autoSpaceDE w:val="0"/>
              <w:autoSpaceDN w:val="0"/>
              <w:adjustRightInd w:val="0"/>
              <w:ind w:left="0"/>
              <w:jc w:val="both"/>
              <w:rPr>
                <w:rFonts w:cstheme="minorHAnsi"/>
                <w:sz w:val="18"/>
                <w:szCs w:val="18"/>
              </w:rPr>
            </w:pPr>
            <w:r>
              <w:rPr>
                <w:rFonts w:cstheme="minorHAnsi"/>
                <w:sz w:val="18"/>
                <w:szCs w:val="18"/>
              </w:rPr>
              <w:t>Si le nombre de cartes avec une fonction sans contact est = à 0, le total des paiements par cartes émises par l’établissement par voie électronique en proximité en sans contact est = à 0</w:t>
            </w:r>
            <w:r w:rsidR="00FA5557">
              <w:rPr>
                <w:rFonts w:cstheme="minorHAnsi"/>
                <w:sz w:val="18"/>
                <w:szCs w:val="18"/>
              </w:rPr>
              <w:t xml:space="preserve"> (cf. section 4.1.2.1)</w:t>
            </w:r>
            <w:r>
              <w:rPr>
                <w:rFonts w:cstheme="minorHAnsi"/>
                <w:sz w:val="18"/>
                <w:szCs w:val="18"/>
              </w:rPr>
              <w:t>.</w:t>
            </w:r>
          </w:p>
        </w:tc>
      </w:tr>
      <w:tr w:rsidR="00ED3FF3" w:rsidRPr="000C44A5" w14:paraId="463E93A4" w14:textId="77777777" w:rsidTr="00204E65">
        <w:trPr>
          <w:trHeight w:val="375"/>
        </w:trPr>
        <w:tc>
          <w:tcPr>
            <w:tcW w:w="9054" w:type="dxa"/>
          </w:tcPr>
          <w:p w14:paraId="3A9A2307" w14:textId="1DA2E0BD" w:rsidR="00ED3FF3" w:rsidRDefault="001B411B" w:rsidP="003F7358">
            <w:pPr>
              <w:pStyle w:val="Paragraphedeliste"/>
              <w:autoSpaceDE w:val="0"/>
              <w:autoSpaceDN w:val="0"/>
              <w:adjustRightInd w:val="0"/>
              <w:ind w:left="0"/>
              <w:jc w:val="both"/>
              <w:rPr>
                <w:rFonts w:cstheme="minorHAnsi"/>
                <w:sz w:val="18"/>
                <w:szCs w:val="18"/>
              </w:rPr>
            </w:pPr>
            <w:r>
              <w:rPr>
                <w:rFonts w:cstheme="minorHAnsi"/>
                <w:sz w:val="18"/>
                <w:szCs w:val="18"/>
              </w:rPr>
              <w:t>Si le nombre de cartes ayant une fonction de monnaie électronique permettant le stockage direct de la monnaie électronique et ayant été chargée au moins une fois est = à 0, le total des paiements en monnaie électronique émise par l’établissement avec des comptes de monnaie électronique accessibles par carte est = à 0</w:t>
            </w:r>
            <w:r w:rsidR="00FA5A85">
              <w:rPr>
                <w:rFonts w:cstheme="minorHAnsi"/>
                <w:sz w:val="18"/>
                <w:szCs w:val="18"/>
              </w:rPr>
              <w:t xml:space="preserve"> (cf. section 4.2.2</w:t>
            </w:r>
            <w:r w:rsidR="00E71C1E">
              <w:rPr>
                <w:rFonts w:cstheme="minorHAnsi"/>
                <w:sz w:val="18"/>
                <w:szCs w:val="18"/>
              </w:rPr>
              <w:t>.1</w:t>
            </w:r>
            <w:r w:rsidR="00FA5A85">
              <w:rPr>
                <w:rFonts w:cstheme="minorHAnsi"/>
                <w:sz w:val="18"/>
                <w:szCs w:val="18"/>
              </w:rPr>
              <w:t>)</w:t>
            </w:r>
            <w:r>
              <w:rPr>
                <w:rFonts w:cstheme="minorHAnsi"/>
                <w:sz w:val="18"/>
                <w:szCs w:val="18"/>
              </w:rPr>
              <w:t>.</w:t>
            </w:r>
          </w:p>
        </w:tc>
      </w:tr>
      <w:tr w:rsidR="001B411B" w:rsidRPr="000C44A5" w14:paraId="0A614AAD" w14:textId="77777777" w:rsidTr="00204E65">
        <w:trPr>
          <w:trHeight w:val="375"/>
        </w:trPr>
        <w:tc>
          <w:tcPr>
            <w:tcW w:w="9054" w:type="dxa"/>
          </w:tcPr>
          <w:p w14:paraId="011E81AC" w14:textId="582FD5A9" w:rsidR="001B411B" w:rsidRDefault="001B411B" w:rsidP="001B411B">
            <w:pPr>
              <w:pStyle w:val="Paragraphedeliste"/>
              <w:autoSpaceDE w:val="0"/>
              <w:autoSpaceDN w:val="0"/>
              <w:adjustRightInd w:val="0"/>
              <w:ind w:left="0"/>
              <w:jc w:val="both"/>
              <w:rPr>
                <w:rFonts w:cstheme="minorHAnsi"/>
                <w:sz w:val="18"/>
                <w:szCs w:val="18"/>
              </w:rPr>
            </w:pPr>
            <w:r>
              <w:rPr>
                <w:rFonts w:cstheme="minorHAnsi"/>
                <w:sz w:val="18"/>
                <w:szCs w:val="18"/>
              </w:rPr>
              <w:t>Si le nombre de cartes ayant une fonction de monnaie électronique permettant le stockage direct de la monnaie électronique est = à 0, le total des paiements en monnaie électronique émise par l’établissement avec des cartes permettant le stockage direct de monnaie électronique est = à 0</w:t>
            </w:r>
            <w:r w:rsidR="00FA5A85">
              <w:rPr>
                <w:rFonts w:cstheme="minorHAnsi"/>
                <w:sz w:val="18"/>
                <w:szCs w:val="18"/>
              </w:rPr>
              <w:t xml:space="preserve"> (cf. section 4.2.2</w:t>
            </w:r>
            <w:r w:rsidR="00E71C1E">
              <w:rPr>
                <w:rFonts w:cstheme="minorHAnsi"/>
                <w:sz w:val="18"/>
                <w:szCs w:val="18"/>
              </w:rPr>
              <w:t>.1</w:t>
            </w:r>
            <w:r w:rsidR="00FA5A85">
              <w:rPr>
                <w:rFonts w:cstheme="minorHAnsi"/>
                <w:sz w:val="18"/>
                <w:szCs w:val="18"/>
              </w:rPr>
              <w:t>)</w:t>
            </w:r>
            <w:r>
              <w:rPr>
                <w:rFonts w:cstheme="minorHAnsi"/>
                <w:sz w:val="18"/>
                <w:szCs w:val="18"/>
              </w:rPr>
              <w:t>.</w:t>
            </w:r>
          </w:p>
        </w:tc>
      </w:tr>
      <w:tr w:rsidR="00FA5A85" w:rsidRPr="000C44A5" w14:paraId="209E538B" w14:textId="77777777" w:rsidTr="00204E65">
        <w:trPr>
          <w:trHeight w:val="375"/>
        </w:trPr>
        <w:tc>
          <w:tcPr>
            <w:tcW w:w="9054" w:type="dxa"/>
          </w:tcPr>
          <w:p w14:paraId="0F1E8343" w14:textId="0E76BA08" w:rsidR="00FA5A85" w:rsidRDefault="00FA5A85" w:rsidP="001B411B">
            <w:pPr>
              <w:pStyle w:val="Paragraphedeliste"/>
              <w:autoSpaceDE w:val="0"/>
              <w:autoSpaceDN w:val="0"/>
              <w:adjustRightInd w:val="0"/>
              <w:ind w:left="0"/>
              <w:jc w:val="both"/>
              <w:rPr>
                <w:rFonts w:cstheme="minorHAnsi"/>
                <w:sz w:val="18"/>
                <w:szCs w:val="18"/>
              </w:rPr>
            </w:pPr>
            <w:r>
              <w:rPr>
                <w:rFonts w:cstheme="minorHAnsi"/>
                <w:sz w:val="18"/>
                <w:szCs w:val="18"/>
              </w:rPr>
              <w:t xml:space="preserve">Si le nombre de cartes ayant une fonction de monnaie électronique donnant accès à des comptes de monnaie électronique est = à 0, le total </w:t>
            </w:r>
            <w:proofErr w:type="gramStart"/>
            <w:r>
              <w:rPr>
                <w:rFonts w:cstheme="minorHAnsi"/>
                <w:sz w:val="18"/>
                <w:szCs w:val="18"/>
              </w:rPr>
              <w:t>des paiement</w:t>
            </w:r>
            <w:proofErr w:type="gramEnd"/>
            <w:r>
              <w:rPr>
                <w:rFonts w:cstheme="minorHAnsi"/>
                <w:sz w:val="18"/>
                <w:szCs w:val="18"/>
              </w:rPr>
              <w:t xml:space="preserve"> en monnaie électronique émise par l’établissement avec des comptes de monnaie électronique accessible par carte est = à 0</w:t>
            </w:r>
            <w:r w:rsidR="00DE024B">
              <w:rPr>
                <w:rFonts w:cstheme="minorHAnsi"/>
                <w:sz w:val="18"/>
                <w:szCs w:val="18"/>
              </w:rPr>
              <w:t xml:space="preserve"> (cf. section 4.2.2</w:t>
            </w:r>
            <w:r w:rsidR="00E71C1E">
              <w:rPr>
                <w:rFonts w:cstheme="minorHAnsi"/>
                <w:sz w:val="18"/>
                <w:szCs w:val="18"/>
              </w:rPr>
              <w:t>.1</w:t>
            </w:r>
            <w:r w:rsidR="00DE024B">
              <w:rPr>
                <w:rFonts w:cstheme="minorHAnsi"/>
                <w:sz w:val="18"/>
                <w:szCs w:val="18"/>
              </w:rPr>
              <w:t>)</w:t>
            </w:r>
            <w:r>
              <w:rPr>
                <w:rFonts w:cstheme="minorHAnsi"/>
                <w:sz w:val="18"/>
                <w:szCs w:val="18"/>
              </w:rPr>
              <w:t>.</w:t>
            </w:r>
          </w:p>
        </w:tc>
      </w:tr>
      <w:tr w:rsidR="00DE024B" w:rsidRPr="000C44A5" w14:paraId="7ABBC6E8" w14:textId="77777777" w:rsidTr="00204E65">
        <w:trPr>
          <w:trHeight w:val="375"/>
        </w:trPr>
        <w:tc>
          <w:tcPr>
            <w:tcW w:w="9054" w:type="dxa"/>
          </w:tcPr>
          <w:p w14:paraId="6B24B835" w14:textId="43619848" w:rsidR="00DE024B" w:rsidRPr="00D6303B" w:rsidRDefault="00DE024B" w:rsidP="00DE024B">
            <w:pPr>
              <w:pStyle w:val="Paragraphedeliste"/>
              <w:autoSpaceDE w:val="0"/>
              <w:autoSpaceDN w:val="0"/>
              <w:adjustRightInd w:val="0"/>
              <w:ind w:left="0"/>
              <w:jc w:val="both"/>
              <w:rPr>
                <w:rFonts w:cstheme="minorHAnsi"/>
                <w:sz w:val="18"/>
                <w:szCs w:val="18"/>
              </w:rPr>
            </w:pPr>
            <w:r w:rsidRPr="00D6303B">
              <w:rPr>
                <w:rFonts w:cstheme="minorHAnsi"/>
                <w:sz w:val="18"/>
                <w:szCs w:val="18"/>
              </w:rPr>
              <w:t>Si le nombre de cartes avec une fonction de paiement est = à 0, le total des opérations à un terminal point de vente (TPV)</w:t>
            </w:r>
            <w:r w:rsidR="00E71C1E" w:rsidRPr="00D6303B">
              <w:rPr>
                <w:rFonts w:cstheme="minorHAnsi"/>
                <w:sz w:val="18"/>
                <w:szCs w:val="18"/>
              </w:rPr>
              <w:t xml:space="preserve"> avec des cartes émises par l’établissement et</w:t>
            </w:r>
            <w:r w:rsidRPr="00D6303B">
              <w:rPr>
                <w:rFonts w:cstheme="minorHAnsi"/>
                <w:sz w:val="18"/>
                <w:szCs w:val="18"/>
              </w:rPr>
              <w:t xml:space="preserve"> acquises par des PSP étrangers est = à 0 (cf. section 4.1.2.3).</w:t>
            </w:r>
          </w:p>
        </w:tc>
      </w:tr>
      <w:tr w:rsidR="00DE024B" w:rsidRPr="000C44A5" w14:paraId="457EB434" w14:textId="77777777" w:rsidTr="00204E65">
        <w:trPr>
          <w:trHeight w:val="375"/>
        </w:trPr>
        <w:tc>
          <w:tcPr>
            <w:tcW w:w="9054" w:type="dxa"/>
          </w:tcPr>
          <w:p w14:paraId="742834CE" w14:textId="27E9DC8C" w:rsidR="00DE024B" w:rsidRDefault="00DE024B" w:rsidP="00E71C1E">
            <w:pPr>
              <w:pStyle w:val="Paragraphedeliste"/>
              <w:autoSpaceDE w:val="0"/>
              <w:autoSpaceDN w:val="0"/>
              <w:adjustRightInd w:val="0"/>
              <w:ind w:left="0"/>
              <w:jc w:val="both"/>
              <w:rPr>
                <w:rFonts w:cstheme="minorHAnsi"/>
                <w:sz w:val="18"/>
                <w:szCs w:val="18"/>
              </w:rPr>
            </w:pPr>
            <w:r>
              <w:rPr>
                <w:rFonts w:cstheme="minorHAnsi"/>
                <w:sz w:val="18"/>
                <w:szCs w:val="18"/>
              </w:rPr>
              <w:t xml:space="preserve">Si le nombre de cartes avec une fonction de monnaie électronique est = à 0, le total des </w:t>
            </w:r>
            <w:r w:rsidR="00E71C1E">
              <w:rPr>
                <w:rFonts w:cstheme="minorHAnsi"/>
                <w:sz w:val="18"/>
                <w:szCs w:val="18"/>
              </w:rPr>
              <w:t>opérations</w:t>
            </w:r>
            <w:r>
              <w:rPr>
                <w:rFonts w:cstheme="minorHAnsi"/>
                <w:sz w:val="18"/>
                <w:szCs w:val="18"/>
              </w:rPr>
              <w:t xml:space="preserve"> de chargement et de déchargement de cartes de monnaie électronique </w:t>
            </w:r>
            <w:r w:rsidR="00E71C1E">
              <w:rPr>
                <w:rFonts w:cstheme="minorHAnsi"/>
                <w:sz w:val="18"/>
                <w:szCs w:val="18"/>
              </w:rPr>
              <w:t xml:space="preserve">émises par l’établissement et </w:t>
            </w:r>
            <w:r>
              <w:rPr>
                <w:rFonts w:cstheme="minorHAnsi"/>
                <w:sz w:val="18"/>
                <w:szCs w:val="18"/>
              </w:rPr>
              <w:t>acquises par des PSP étrangers est = à 0 (cf. section 4.1.2.3).</w:t>
            </w:r>
          </w:p>
        </w:tc>
      </w:tr>
      <w:tr w:rsidR="00DE024B" w:rsidRPr="000C44A5" w14:paraId="36D35C29" w14:textId="77777777" w:rsidTr="00204E65">
        <w:trPr>
          <w:trHeight w:val="375"/>
        </w:trPr>
        <w:tc>
          <w:tcPr>
            <w:tcW w:w="9054" w:type="dxa"/>
          </w:tcPr>
          <w:p w14:paraId="5F7C18E1" w14:textId="5D6821C2" w:rsidR="00DE024B" w:rsidRDefault="00DE024B" w:rsidP="00004A12">
            <w:pPr>
              <w:pStyle w:val="Paragraphedeliste"/>
              <w:autoSpaceDE w:val="0"/>
              <w:autoSpaceDN w:val="0"/>
              <w:adjustRightInd w:val="0"/>
              <w:ind w:left="0"/>
              <w:jc w:val="both"/>
              <w:rPr>
                <w:rFonts w:cstheme="minorHAnsi"/>
                <w:sz w:val="18"/>
                <w:szCs w:val="18"/>
              </w:rPr>
            </w:pPr>
            <w:r>
              <w:rPr>
                <w:rFonts w:cstheme="minorHAnsi"/>
                <w:sz w:val="18"/>
                <w:szCs w:val="18"/>
              </w:rPr>
              <w:t xml:space="preserve">Si le nombre de cartes avec une fonction de monnaie électronique est = à 0, le total des paiements en monnaie électronique effectués avec des cartes ayant une fonction de monnaie électronique </w:t>
            </w:r>
            <w:r w:rsidR="00E71C1E">
              <w:rPr>
                <w:rFonts w:cstheme="minorHAnsi"/>
                <w:sz w:val="18"/>
                <w:szCs w:val="18"/>
              </w:rPr>
              <w:t xml:space="preserve">émises par l’établissement et </w:t>
            </w:r>
            <w:r>
              <w:rPr>
                <w:rFonts w:cstheme="minorHAnsi"/>
                <w:sz w:val="18"/>
                <w:szCs w:val="18"/>
              </w:rPr>
              <w:t>acquis par des PSP étrangers est = à 0 (cf. section 4.1.2.3).</w:t>
            </w:r>
          </w:p>
        </w:tc>
      </w:tr>
      <w:tr w:rsidR="00E618E8" w:rsidRPr="000C44A5" w14:paraId="03FA606D" w14:textId="77777777" w:rsidTr="004A28A6">
        <w:trPr>
          <w:trHeight w:val="375"/>
        </w:trPr>
        <w:tc>
          <w:tcPr>
            <w:tcW w:w="9054" w:type="dxa"/>
          </w:tcPr>
          <w:p w14:paraId="00A2E366" w14:textId="056B73D5" w:rsidR="00E618E8" w:rsidRPr="00D6303B" w:rsidRDefault="00E618E8" w:rsidP="003E5E4F">
            <w:pPr>
              <w:pStyle w:val="Paragraphedeliste"/>
              <w:autoSpaceDE w:val="0"/>
              <w:autoSpaceDN w:val="0"/>
              <w:adjustRightInd w:val="0"/>
              <w:ind w:left="0"/>
              <w:jc w:val="both"/>
              <w:rPr>
                <w:rFonts w:cstheme="minorHAnsi"/>
                <w:sz w:val="18"/>
                <w:szCs w:val="18"/>
              </w:rPr>
            </w:pPr>
            <w:r w:rsidRPr="00D6303B">
              <w:rPr>
                <w:rFonts w:cstheme="minorHAnsi"/>
                <w:sz w:val="18"/>
                <w:szCs w:val="18"/>
              </w:rPr>
              <w:t>Si le nombre de cartes avec une fonction de paiement est = à 0, l</w:t>
            </w:r>
            <w:r w:rsidR="003E5E4F" w:rsidRPr="00D6303B">
              <w:rPr>
                <w:rFonts w:cstheme="minorHAnsi"/>
                <w:sz w:val="18"/>
                <w:szCs w:val="18"/>
              </w:rPr>
              <w:t>e</w:t>
            </w:r>
            <w:r w:rsidRPr="00D6303B">
              <w:rPr>
                <w:rFonts w:cstheme="minorHAnsi"/>
                <w:sz w:val="18"/>
                <w:szCs w:val="18"/>
              </w:rPr>
              <w:t xml:space="preserve"> total des opérations à un terminal de point (TPV) </w:t>
            </w:r>
            <w:r w:rsidR="003E5E4F" w:rsidRPr="00D6303B">
              <w:rPr>
                <w:rFonts w:cstheme="minorHAnsi"/>
                <w:sz w:val="18"/>
                <w:szCs w:val="18"/>
              </w:rPr>
              <w:t>+ le</w:t>
            </w:r>
            <w:r w:rsidR="00D6303B" w:rsidRPr="00D6303B">
              <w:rPr>
                <w:rFonts w:cstheme="minorHAnsi"/>
                <w:sz w:val="18"/>
                <w:szCs w:val="18"/>
              </w:rPr>
              <w:t xml:space="preserve"> total des </w:t>
            </w:r>
            <w:r w:rsidRPr="00D6303B">
              <w:rPr>
                <w:rFonts w:cstheme="minorHAnsi"/>
                <w:sz w:val="18"/>
                <w:szCs w:val="18"/>
              </w:rPr>
              <w:t xml:space="preserve">autres opérations aux GAB acquises par des PSP étrangers est = à 0 (cf. section 4.1.2.3).  </w:t>
            </w:r>
          </w:p>
        </w:tc>
      </w:tr>
      <w:tr w:rsidR="00E618E8" w:rsidRPr="000C44A5" w14:paraId="68ABD455" w14:textId="77777777" w:rsidTr="00204E65">
        <w:trPr>
          <w:trHeight w:val="375"/>
        </w:trPr>
        <w:tc>
          <w:tcPr>
            <w:tcW w:w="9054" w:type="dxa"/>
          </w:tcPr>
          <w:p w14:paraId="43427C6A" w14:textId="16D239B1" w:rsidR="00E618E8" w:rsidRDefault="00E618E8" w:rsidP="003E5E4F">
            <w:pPr>
              <w:pStyle w:val="Paragraphedeliste"/>
              <w:autoSpaceDE w:val="0"/>
              <w:autoSpaceDN w:val="0"/>
              <w:adjustRightInd w:val="0"/>
              <w:ind w:left="0"/>
              <w:jc w:val="both"/>
              <w:rPr>
                <w:rFonts w:cstheme="minorHAnsi"/>
                <w:sz w:val="18"/>
                <w:szCs w:val="18"/>
              </w:rPr>
            </w:pPr>
            <w:r>
              <w:rPr>
                <w:rFonts w:cstheme="minorHAnsi"/>
                <w:sz w:val="18"/>
                <w:szCs w:val="18"/>
              </w:rPr>
              <w:t>Si l</w:t>
            </w:r>
            <w:r w:rsidR="003E5E4F">
              <w:rPr>
                <w:rFonts w:cstheme="minorHAnsi"/>
                <w:sz w:val="18"/>
                <w:szCs w:val="18"/>
              </w:rPr>
              <w:t>e</w:t>
            </w:r>
            <w:r>
              <w:rPr>
                <w:rFonts w:cstheme="minorHAnsi"/>
                <w:sz w:val="18"/>
                <w:szCs w:val="18"/>
              </w:rPr>
              <w:t xml:space="preserve"> total des cartes ayant une fonction de monnaie électronique permettant le stockage direct de monnaie électroniq</w:t>
            </w:r>
            <w:r w:rsidR="00104B66">
              <w:rPr>
                <w:rFonts w:cstheme="minorHAnsi"/>
                <w:sz w:val="18"/>
                <w:szCs w:val="18"/>
              </w:rPr>
              <w:t xml:space="preserve">ue </w:t>
            </w:r>
            <w:r w:rsidR="003E5E4F">
              <w:rPr>
                <w:rFonts w:cstheme="minorHAnsi"/>
                <w:sz w:val="18"/>
                <w:szCs w:val="18"/>
              </w:rPr>
              <w:t>+ le</w:t>
            </w:r>
            <w:r>
              <w:rPr>
                <w:rFonts w:cstheme="minorHAnsi"/>
                <w:sz w:val="18"/>
                <w:szCs w:val="18"/>
              </w:rPr>
              <w:t xml:space="preserve"> total des carte</w:t>
            </w:r>
            <w:r w:rsidR="00104B66">
              <w:rPr>
                <w:rFonts w:cstheme="minorHAnsi"/>
                <w:sz w:val="18"/>
                <w:szCs w:val="18"/>
              </w:rPr>
              <w:t>s</w:t>
            </w:r>
            <w:r>
              <w:rPr>
                <w:rFonts w:cstheme="minorHAnsi"/>
                <w:sz w:val="18"/>
                <w:szCs w:val="18"/>
              </w:rPr>
              <w:t xml:space="preserve"> ayant une fonction de monnaie électronique donnant accès à des comptes de monnaie électronique</w:t>
            </w:r>
            <w:r w:rsidR="00104B66">
              <w:rPr>
                <w:rFonts w:cstheme="minorHAnsi"/>
                <w:sz w:val="18"/>
                <w:szCs w:val="18"/>
              </w:rPr>
              <w:t xml:space="preserve"> est = à 0</w:t>
            </w:r>
            <w:r>
              <w:rPr>
                <w:rFonts w:cstheme="minorHAnsi"/>
                <w:sz w:val="18"/>
                <w:szCs w:val="18"/>
              </w:rPr>
              <w:t>, le total des transactions de chargement et déchargement de cartes de monnaie électronique acquises par des PSP étrangers est = à 0 (cf. section 4.1.2.3).</w:t>
            </w:r>
          </w:p>
        </w:tc>
      </w:tr>
      <w:tr w:rsidR="00104B66" w:rsidRPr="000C44A5" w14:paraId="3844B585" w14:textId="77777777" w:rsidTr="00204E65">
        <w:trPr>
          <w:trHeight w:val="375"/>
        </w:trPr>
        <w:tc>
          <w:tcPr>
            <w:tcW w:w="9054" w:type="dxa"/>
          </w:tcPr>
          <w:p w14:paraId="39818128" w14:textId="05951A6C" w:rsidR="00104B66" w:rsidRDefault="00104B66" w:rsidP="003E5E4F">
            <w:pPr>
              <w:pStyle w:val="Paragraphedeliste"/>
              <w:autoSpaceDE w:val="0"/>
              <w:autoSpaceDN w:val="0"/>
              <w:adjustRightInd w:val="0"/>
              <w:ind w:left="0"/>
              <w:jc w:val="both"/>
              <w:rPr>
                <w:rFonts w:cstheme="minorHAnsi"/>
                <w:sz w:val="18"/>
                <w:szCs w:val="18"/>
              </w:rPr>
            </w:pPr>
            <w:r>
              <w:rPr>
                <w:rFonts w:cstheme="minorHAnsi"/>
                <w:sz w:val="18"/>
                <w:szCs w:val="18"/>
              </w:rPr>
              <w:t>Si l</w:t>
            </w:r>
            <w:r w:rsidR="003E5E4F">
              <w:rPr>
                <w:rFonts w:cstheme="minorHAnsi"/>
                <w:sz w:val="18"/>
                <w:szCs w:val="18"/>
              </w:rPr>
              <w:t>e</w:t>
            </w:r>
            <w:r>
              <w:rPr>
                <w:rFonts w:cstheme="minorHAnsi"/>
                <w:sz w:val="18"/>
                <w:szCs w:val="18"/>
              </w:rPr>
              <w:t xml:space="preserve"> total des cartes ayant une fonction de monnaie électronique permettant le stockage direct de monnaie électronique </w:t>
            </w:r>
            <w:r w:rsidR="003E5E4F">
              <w:rPr>
                <w:rFonts w:cstheme="minorHAnsi"/>
                <w:sz w:val="18"/>
                <w:szCs w:val="18"/>
              </w:rPr>
              <w:t>+ le</w:t>
            </w:r>
            <w:r>
              <w:rPr>
                <w:rFonts w:cstheme="minorHAnsi"/>
                <w:sz w:val="18"/>
                <w:szCs w:val="18"/>
              </w:rPr>
              <w:t xml:space="preserve"> total des cartes ayant une fonction de monnaie électronique donnant accès à des comptes de monnaie électronique est = à 0, le total des paiements en monnaie électronique effectués avec des cartes ayant une fonction de monnaie électronique acquis par des PSP étrangers est = à 0 (cf. section 4.1.2.3).</w:t>
            </w:r>
          </w:p>
        </w:tc>
      </w:tr>
      <w:tr w:rsidR="00104B66" w:rsidRPr="000C44A5" w14:paraId="40AB3529" w14:textId="77777777" w:rsidTr="00204E65">
        <w:trPr>
          <w:trHeight w:val="375"/>
        </w:trPr>
        <w:tc>
          <w:tcPr>
            <w:tcW w:w="9054" w:type="dxa"/>
          </w:tcPr>
          <w:p w14:paraId="6B914FB1" w14:textId="05B1EB49" w:rsidR="00104B66" w:rsidRDefault="00A7020C" w:rsidP="00104B66">
            <w:pPr>
              <w:pStyle w:val="Paragraphedeliste"/>
              <w:autoSpaceDE w:val="0"/>
              <w:autoSpaceDN w:val="0"/>
              <w:adjustRightInd w:val="0"/>
              <w:ind w:left="0"/>
              <w:jc w:val="both"/>
              <w:rPr>
                <w:rFonts w:cstheme="minorHAnsi"/>
                <w:sz w:val="18"/>
                <w:szCs w:val="18"/>
              </w:rPr>
            </w:pPr>
            <w:r w:rsidRPr="00D6303B">
              <w:rPr>
                <w:rFonts w:cstheme="minorHAnsi"/>
                <w:sz w:val="18"/>
                <w:szCs w:val="18"/>
              </w:rPr>
              <w:t>Si le nombre total de cartes émises est = à 0, le total des opérations effectuées à des terminaux fournis par des PSP étrangers avec des cartes émises par l’établissement est = à 0 (cf. section 4.1.2.3).</w:t>
            </w:r>
          </w:p>
        </w:tc>
      </w:tr>
    </w:tbl>
    <w:p w14:paraId="4709551E" w14:textId="77777777" w:rsidR="007112D8" w:rsidRDefault="007112D8" w:rsidP="007112D8">
      <w:pPr>
        <w:autoSpaceDE w:val="0"/>
        <w:autoSpaceDN w:val="0"/>
        <w:adjustRightInd w:val="0"/>
        <w:spacing w:after="0" w:line="240" w:lineRule="auto"/>
        <w:jc w:val="both"/>
        <w:rPr>
          <w:rFonts w:cstheme="minorHAnsi"/>
          <w:b/>
          <w:smallCaps/>
          <w:sz w:val="24"/>
          <w:szCs w:val="24"/>
        </w:rPr>
      </w:pPr>
    </w:p>
    <w:p w14:paraId="2F70CF76" w14:textId="15D3C11B" w:rsidR="00184D5C" w:rsidRDefault="00184D5C" w:rsidP="0036351F">
      <w:pPr>
        <w:autoSpaceDE w:val="0"/>
        <w:autoSpaceDN w:val="0"/>
        <w:adjustRightInd w:val="0"/>
        <w:spacing w:after="0" w:line="240" w:lineRule="auto"/>
        <w:jc w:val="both"/>
        <w:rPr>
          <w:rFonts w:cstheme="minorHAnsi"/>
          <w:b/>
          <w:smallCaps/>
          <w:sz w:val="24"/>
          <w:szCs w:val="24"/>
        </w:rPr>
      </w:pPr>
    </w:p>
    <w:p w14:paraId="1FA7DAF9" w14:textId="6E1EA635" w:rsidR="0036351F" w:rsidRPr="00A675AF" w:rsidRDefault="0036351F" w:rsidP="007718A3">
      <w:pPr>
        <w:pStyle w:val="Titre4"/>
        <w:numPr>
          <w:ilvl w:val="3"/>
          <w:numId w:val="38"/>
        </w:numPr>
      </w:pPr>
      <w:bookmarkStart w:id="20" w:name="_Toc222476859"/>
      <w:r w:rsidRPr="00A675AF">
        <w:t>Dénombrement des terminaux</w:t>
      </w:r>
      <w:bookmarkEnd w:id="20"/>
    </w:p>
    <w:p w14:paraId="6E1C7FEE" w14:textId="1421F156" w:rsidR="00120D32" w:rsidRDefault="00120D32" w:rsidP="0036351F">
      <w:pPr>
        <w:autoSpaceDE w:val="0"/>
        <w:autoSpaceDN w:val="0"/>
        <w:adjustRightInd w:val="0"/>
        <w:spacing w:after="0" w:line="240" w:lineRule="auto"/>
        <w:jc w:val="both"/>
        <w:rPr>
          <w:rFonts w:cstheme="minorHAnsi"/>
          <w:b/>
          <w:color w:val="0070C0"/>
        </w:rPr>
      </w:pPr>
    </w:p>
    <w:p w14:paraId="75341ACC" w14:textId="3118B3F4" w:rsidR="00120D32" w:rsidRDefault="00120D32" w:rsidP="0036351F">
      <w:pPr>
        <w:autoSpaceDE w:val="0"/>
        <w:autoSpaceDN w:val="0"/>
        <w:adjustRightInd w:val="0"/>
        <w:spacing w:after="0" w:line="240" w:lineRule="auto"/>
        <w:jc w:val="both"/>
        <w:rPr>
          <w:rFonts w:cstheme="minorHAnsi"/>
        </w:rPr>
      </w:pPr>
      <w:r w:rsidRPr="00120D32">
        <w:rPr>
          <w:rFonts w:cstheme="minorHAnsi"/>
        </w:rPr>
        <w:t xml:space="preserve">Il </w:t>
      </w:r>
      <w:r>
        <w:rPr>
          <w:rFonts w:cstheme="minorHAnsi"/>
        </w:rPr>
        <w:t>s’agit de déclarer le</w:t>
      </w:r>
      <w:r w:rsidR="00135994">
        <w:rPr>
          <w:rFonts w:cstheme="minorHAnsi"/>
        </w:rPr>
        <w:t xml:space="preserve"> nombre de</w:t>
      </w:r>
      <w:r>
        <w:rPr>
          <w:rFonts w:cstheme="minorHAnsi"/>
        </w:rPr>
        <w:t xml:space="preserve"> terminaux </w:t>
      </w:r>
      <w:r w:rsidR="001D11C3">
        <w:rPr>
          <w:rFonts w:cstheme="minorHAnsi"/>
        </w:rPr>
        <w:t xml:space="preserve">physiques </w:t>
      </w:r>
      <w:r w:rsidR="00A01551">
        <w:rPr>
          <w:rFonts w:cstheme="minorHAnsi"/>
        </w:rPr>
        <w:t xml:space="preserve">depuis </w:t>
      </w:r>
      <w:r>
        <w:rPr>
          <w:rFonts w:cstheme="minorHAnsi"/>
        </w:rPr>
        <w:t>le</w:t>
      </w:r>
      <w:r w:rsidR="000F1CF3">
        <w:rPr>
          <w:rFonts w:cstheme="minorHAnsi"/>
        </w:rPr>
        <w:t xml:space="preserve">squels l’établissement acquiert </w:t>
      </w:r>
      <w:r>
        <w:rPr>
          <w:rFonts w:cstheme="minorHAnsi"/>
        </w:rPr>
        <w:t>les transactions pour le c</w:t>
      </w:r>
      <w:r w:rsidR="001D11C3">
        <w:rPr>
          <w:rFonts w:cstheme="minorHAnsi"/>
        </w:rPr>
        <w:t>ompte de ses clients accepteurs</w:t>
      </w:r>
      <w:r w:rsidR="00135994">
        <w:rPr>
          <w:rFonts w:cstheme="minorHAnsi"/>
        </w:rPr>
        <w:t>,</w:t>
      </w:r>
      <w:r w:rsidR="001D11C3">
        <w:rPr>
          <w:rFonts w:cstheme="minorHAnsi"/>
        </w:rPr>
        <w:t xml:space="preserve"> quel que soit le pays de localisation des terminaux</w:t>
      </w:r>
      <w:r w:rsidR="00135994">
        <w:rPr>
          <w:rFonts w:cstheme="minorHAnsi"/>
        </w:rPr>
        <w:t>, et selon la ventilation précisée ci-dessous.</w:t>
      </w:r>
    </w:p>
    <w:p w14:paraId="129AC962" w14:textId="3583FD9E" w:rsidR="00135994" w:rsidRDefault="006377B4" w:rsidP="00135994">
      <w:pPr>
        <w:autoSpaceDE w:val="0"/>
        <w:autoSpaceDN w:val="0"/>
        <w:adjustRightInd w:val="0"/>
        <w:spacing w:after="0" w:line="240" w:lineRule="auto"/>
        <w:jc w:val="center"/>
        <w:rPr>
          <w:rFonts w:cstheme="minorHAnsi"/>
        </w:rPr>
      </w:pPr>
      <w:r>
        <w:rPr>
          <w:noProof/>
          <w:lang w:eastAsia="fr-FR"/>
        </w:rPr>
        <w:lastRenderedPageBreak/>
        <mc:AlternateContent>
          <mc:Choice Requires="wps">
            <w:drawing>
              <wp:anchor distT="0" distB="0" distL="114300" distR="114300" simplePos="0" relativeHeight="251670528" behindDoc="0" locked="0" layoutInCell="1" allowOverlap="1" wp14:anchorId="23A557AA" wp14:editId="1B5A4C67">
                <wp:simplePos x="0" y="0"/>
                <wp:positionH relativeFrom="column">
                  <wp:posOffset>2966720</wp:posOffset>
                </wp:positionH>
                <wp:positionV relativeFrom="paragraph">
                  <wp:posOffset>2794000</wp:posOffset>
                </wp:positionV>
                <wp:extent cx="1724025" cy="285750"/>
                <wp:effectExtent l="0" t="0" r="0" b="0"/>
                <wp:wrapNone/>
                <wp:docPr id="12" name="Rectangle 12"/>
                <wp:cNvGraphicFramePr/>
                <a:graphic xmlns:a="http://schemas.openxmlformats.org/drawingml/2006/main">
                  <a:graphicData uri="http://schemas.microsoft.com/office/word/2010/wordprocessingShape">
                    <wps:wsp>
                      <wps:cNvSpPr/>
                      <wps:spPr>
                        <a:xfrm>
                          <a:off x="0" y="0"/>
                          <a:ext cx="1724025" cy="2857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46DE24B" w14:textId="5AEC879A" w:rsidR="00913556" w:rsidRPr="00832E88" w:rsidRDefault="00913556" w:rsidP="006377B4">
                            <w:pPr>
                              <w:jc w:val="center"/>
                              <w:rPr>
                                <w:color w:val="FF0000"/>
                                <w:sz w:val="18"/>
                                <w:szCs w:val="18"/>
                              </w:rPr>
                            </w:pPr>
                            <w:r w:rsidRPr="00832E88">
                              <w:rPr>
                                <w:color w:val="FF0000"/>
                                <w:sz w:val="18"/>
                                <w:szCs w:val="18"/>
                              </w:rPr>
                              <w:t>À déclarer aussi ici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557AA" id="Rectangle 12" o:spid="_x0000_s1028" style="position:absolute;left:0;text-align:left;margin-left:233.6pt;margin-top:220pt;width:135.7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DPvZgIAACEFAAAOAAAAZHJzL2Uyb0RvYy54bWysVEtv2zAMvg/YfxB0Xx0bSdsFdYqgRYcB&#10;RVs0HXpWZKkxJosapcTOfv0o2XEfy2nYxabEj++PurjsGsN2Cn0NtuT5yYQzZSVUtX0p+Y+nmy/n&#10;nPkgbCUMWFXyvfL8cvH500Xr5qqADZhKISMn1s9bV/JNCG6eZV5uVCP8CThlSakBGxHoiC9ZhaIl&#10;743JisnkNGsBK4cglfd0e90r+SL511rJcK+1V4GZklNuIX0xfdfxmy0uxPwFhdvUckhD/EMWjagt&#10;BR1dXYsg2Bbrv1w1tUTwoMOJhCYDrWupUg1UTT75UM1qI5xKtVBzvBvb5P+fW3m3W7kHpDa0zs89&#10;ibGKTmMT/5Qf61Kz9mOzVBeYpMv8rJhOihlnknTF+exslrqZvVo79OGbgoZFoeRIw0g9ErtbHygi&#10;QQ+QGMzCTW1MGoix7y4IGG+y1xSTFPZGRZyxj0qzuqKkihQgsUddGWQ7QXMXUiobTuOskydCRzNN&#10;0UbD/JihCflgNGCjmUqsGg0nxwzfRxwtUlSwYTRuagt4zEH1c4zc4w/V9zXH8kO37qjoWPMwvTVU&#10;+wdkCD3LvZM3NXX+VvjwIJBoTQtAqxru6aMNtCWHQeJsA/j72H3EE9tIy1lLa1Jy/2srUHFmvlvi&#10;4dd8Oo17lQ7T2VlBB3yrWb/V2G1zBTSRnB4FJ5MY8cEcRI3QPNNGL2NUUgkrKXbJZcDD4Sr060tv&#10;glTLZYLRLjkRbu3Kyeg89jky66l7FugG+gUi7h0cVkrMP7Cwx0ZLC8ttAF0nisZO930dJkB7mGg0&#10;vBlx0d+eE+r1ZVv8AQAA//8DAFBLAwQUAAYACAAAACEAnN1Igd8AAAALAQAADwAAAGRycy9kb3du&#10;cmV2LnhtbEyPzU7DMBCE70i8g7VI3KhNKU0U4lSAhBDqoaLA3bHdJCJeR7bz07dnOcFtd2c0+025&#10;W1zPJhti51HC7UoAs6i96bCR8PnxcpMDi0mhUb1HK+FsI+yqy4tSFcbP+G6nY2oYhWAslIQ2paHg&#10;POrWOhVXfrBI2skHpxKtoeEmqJnCXc/XQmy5Ux3Sh1YN9rm1+vs4Oglf/vQ0O13j23Q+dOPrPmid&#10;76W8vloeH4Alu6Q/M/ziEzpUxFT7EU1kvYTNNluTlYaNoFLkyO7yDFhNl/xeAK9K/r9D9QMAAP//&#10;AwBQSwECLQAUAAYACAAAACEAtoM4kv4AAADhAQAAEwAAAAAAAAAAAAAAAAAAAAAAW0NvbnRlbnRf&#10;VHlwZXNdLnhtbFBLAQItABQABgAIAAAAIQA4/SH/1gAAAJQBAAALAAAAAAAAAAAAAAAAAC8BAABf&#10;cmVscy8ucmVsc1BLAQItABQABgAIAAAAIQC7IDPvZgIAACEFAAAOAAAAAAAAAAAAAAAAAC4CAABk&#10;cnMvZTJvRG9jLnhtbFBLAQItABQABgAIAAAAIQCc3UiB3wAAAAsBAAAPAAAAAAAAAAAAAAAAAMAE&#10;AABkcnMvZG93bnJldi54bWxQSwUGAAAAAAQABADzAAAAzAUAAAAA&#10;" filled="f" stroked="f" strokeweight="1pt">
                <v:textbox>
                  <w:txbxContent>
                    <w:p w14:paraId="146DE24B" w14:textId="5AEC879A" w:rsidR="00913556" w:rsidRPr="00832E88" w:rsidRDefault="00913556" w:rsidP="006377B4">
                      <w:pPr>
                        <w:jc w:val="center"/>
                        <w:rPr>
                          <w:color w:val="FF0000"/>
                          <w:sz w:val="18"/>
                          <w:szCs w:val="18"/>
                        </w:rPr>
                      </w:pPr>
                      <w:r w:rsidRPr="00832E88">
                        <w:rPr>
                          <w:color w:val="FF0000"/>
                          <w:sz w:val="18"/>
                          <w:szCs w:val="18"/>
                        </w:rPr>
                        <w:t>À déclarer aussi ici</w:t>
                      </w:r>
                    </w:p>
                  </w:txbxContent>
                </v:textbox>
              </v:rect>
            </w:pict>
          </mc:Fallback>
        </mc:AlternateContent>
      </w:r>
      <w:r>
        <w:rPr>
          <w:noProof/>
          <w:lang w:eastAsia="fr-FR"/>
        </w:rPr>
        <mc:AlternateContent>
          <mc:Choice Requires="wps">
            <w:drawing>
              <wp:anchor distT="0" distB="0" distL="114300" distR="114300" simplePos="0" relativeHeight="251669504" behindDoc="0" locked="0" layoutInCell="1" allowOverlap="1" wp14:anchorId="2E959EE1" wp14:editId="3C50CDBC">
                <wp:simplePos x="0" y="0"/>
                <wp:positionH relativeFrom="column">
                  <wp:posOffset>4440122</wp:posOffset>
                </wp:positionH>
                <wp:positionV relativeFrom="paragraph">
                  <wp:posOffset>2750345</wp:posOffset>
                </wp:positionV>
                <wp:extent cx="0" cy="90436"/>
                <wp:effectExtent l="76200" t="38100" r="57150" b="24130"/>
                <wp:wrapNone/>
                <wp:docPr id="11" name="Connecteur droit avec flèche 11"/>
                <wp:cNvGraphicFramePr/>
                <a:graphic xmlns:a="http://schemas.openxmlformats.org/drawingml/2006/main">
                  <a:graphicData uri="http://schemas.microsoft.com/office/word/2010/wordprocessingShape">
                    <wps:wsp>
                      <wps:cNvCnPr/>
                      <wps:spPr>
                        <a:xfrm flipV="1">
                          <a:off x="0" y="0"/>
                          <a:ext cx="0" cy="90436"/>
                        </a:xfrm>
                        <a:prstGeom prst="straightConnector1">
                          <a:avLst/>
                        </a:prstGeom>
                        <a:ln w="1270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94F0DBA" id="_x0000_t32" coordsize="21600,21600" o:spt="32" o:oned="t" path="m,l21600,21600e" filled="f">
                <v:path arrowok="t" fillok="f" o:connecttype="none"/>
                <o:lock v:ext="edit" shapetype="t"/>
              </v:shapetype>
              <v:shape id="Connecteur droit avec flèche 11" o:spid="_x0000_s1026" type="#_x0000_t32" style="position:absolute;margin-left:349.6pt;margin-top:216.55pt;width:0;height:7.1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1i6EQIAAHAEAAAOAAAAZHJzL2Uyb0RvYy54bWyslMmS0zAQhu9U8Q4q34mdAAOk4swhw3Bh&#10;SQ3LXZFbtqq0VUvZ3oj34MVoSY6HwAmKHFSW1P/f3Z+krG5PRrMDYFDOttV81lQMrHCdsn1bff1y&#10;/+x1xULktuPaWWirM4Tqdv30yerol7Bwg9MdICMTG5ZH31ZDjH5Z10EMYHiYOQ+WNqVDwyNNsa87&#10;5EdyN7peNM1NfXTYeXQCQqDVu7JZrbO/lCDiJykDRKbbimqLecQ87tJYr1d82SP3gxJjGfwfqjBc&#10;WUo6Wd3xyNke1R9WRgl0wck4E87UTkolIPdA3cyb37r5PHAPuReCE/yEKfw/W/HxsEWmOjq7ecUs&#10;N3RGG2ctgYM9sg6diowfQDCpf3ynU2EUR9COPixJu7FbHGfBbzEROEk0FKz8N/LMTKhLdsrIzxNy&#10;OEUmyqKg1TfNi+c3ybcuBsnIY4jvwBmWPtoqROSqH+JYncNizg/vQyzCiyCJtWVHyr941TS5huC0&#10;6u6V1mkz3y7YaGQHTvdi1xcrvTcfXFfWXjb0GwuawnN5V06RK/3WdiyePYGLqLjtNYw6bUmQQBU0&#10;+SueNZT6HkASd0JQkk9JSn4uBNiYURMSbSk6ySR1MAnHztJTeWzmWjjGJynk1/A34kmRMzsbJ7FR&#10;1mHhep09ni4lyxJ/IVD6Tgh2rjvnS5PR0LXOVMcnmN7Nr/Msf/yjWP8EAAD//wMAUEsDBBQABgAI&#10;AAAAIQBAG0vC3gAAAAsBAAAPAAAAZHJzL2Rvd25yZXYueG1sTI/BTsMwDIbvSLxDZCRuLN06xlaa&#10;TtVgFy5oYw/gNqapaJLSZGt5e4w4wNG/P/3+nG8n24kLDaH1TsF8loAgV3vdukbB6W1/twYRIjqN&#10;nXek4IsCbIvrqxwz7Ud3oMsxNoJLXMhQgYmxz6QMtSGLYeZ7crx794PFyOPQSD3gyOW2k4skWUmL&#10;reMLBnvaGao/jmer4LVMO/Myfu7L+7p6tk/jwexwUur2ZiofQUSa4h8MP/qsDgU7Vf7sdBCdgtVm&#10;s2BUwTJN5yCY+E0qTpYPKcgil/9/KL4BAAD//wMAUEsBAi0AFAAGAAgAAAAhALaDOJL+AAAA4QEA&#10;ABMAAAAAAAAAAAAAAAAAAAAAAFtDb250ZW50X1R5cGVzXS54bWxQSwECLQAUAAYACAAAACEAOP0h&#10;/9YAAACUAQAACwAAAAAAAAAAAAAAAAAvAQAAX3JlbHMvLnJlbHNQSwECLQAUAAYACAAAACEAufdY&#10;uhECAABwBAAADgAAAAAAAAAAAAAAAAAuAgAAZHJzL2Uyb0RvYy54bWxQSwECLQAUAAYACAAAACEA&#10;QBtLwt4AAAALAQAADwAAAAAAAAAAAAAAAABrBAAAZHJzL2Rvd25yZXYueG1sUEsFBgAAAAAEAAQA&#10;8wAAAHYFAAAAAA==&#10;" strokecolor="#7f7f7f [1612]" strokeweight="1pt">
                <v:stroke endarrow="block" joinstyle="miter"/>
              </v:shape>
            </w:pict>
          </mc:Fallback>
        </mc:AlternateContent>
      </w:r>
      <w:r>
        <w:rPr>
          <w:noProof/>
          <w:lang w:eastAsia="fr-FR"/>
        </w:rPr>
        <mc:AlternateContent>
          <mc:Choice Requires="wps">
            <w:drawing>
              <wp:anchor distT="0" distB="0" distL="114300" distR="114300" simplePos="0" relativeHeight="251668480" behindDoc="0" locked="0" layoutInCell="1" allowOverlap="1" wp14:anchorId="5B98CE71" wp14:editId="6D0C944C">
                <wp:simplePos x="0" y="0"/>
                <wp:positionH relativeFrom="column">
                  <wp:posOffset>3139007</wp:posOffset>
                </wp:positionH>
                <wp:positionV relativeFrom="paragraph">
                  <wp:posOffset>2839245</wp:posOffset>
                </wp:positionV>
                <wp:extent cx="1301262" cy="0"/>
                <wp:effectExtent l="0" t="0" r="32385" b="19050"/>
                <wp:wrapNone/>
                <wp:docPr id="8" name="Connecteur droit 8"/>
                <wp:cNvGraphicFramePr/>
                <a:graphic xmlns:a="http://schemas.openxmlformats.org/drawingml/2006/main">
                  <a:graphicData uri="http://schemas.microsoft.com/office/word/2010/wordprocessingShape">
                    <wps:wsp>
                      <wps:cNvCnPr/>
                      <wps:spPr>
                        <a:xfrm>
                          <a:off x="0" y="0"/>
                          <a:ext cx="1301262"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B4B4E1" id="Connecteur droit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47.15pt,223.55pt" to="349.6pt,2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25wEAAC8EAAAOAAAAZHJzL2Uyb0RvYy54bWysU9uO2yAQfa/Uf0C8N7az6nZlxdmHrLYv&#10;vUS9fADBQ4IEDAISJ3/fATtO1VaVWq0fMMzMmZlzGFaPZ2vYCULU6DreLGrOwEnstdt3/Pu35zcP&#10;nMUkXC8MOuj4BSJ/XL9+tRp8C0s8oOkhMEriYjv4jh9S8m1VRXkAK+ICPThyKgxWJDqGfdUHMVB2&#10;a6plXd9XA4beB5QQI1mfRidfl/xKgUyflYqQmOk49ZbKGsq6y2u1Xol2H4Q/aDm1If6jCyu0o6Jz&#10;qieRBDsG/Vsqq2XAiCotJNoKldISCgdi09S/sPl6EB4KFxIn+lmm+HJp5afTNjDdd5wuyglLV7RB&#10;50g3OAbWB9SJPWSVBh9bCt64bZhO0W9DpnxWweY/kWHnouxlVhbOiUkyNnd1s7xfciavvuoG9CGm&#10;94CW5U3HjXaZtGjF6UNMVIxCryHZbBwbKOPyXV2XsIhG98/amOwsgwMbE9hJ0JXv9k2JMUf7EfvR&#10;9ramL1OivHP4eLplIp9xZMy0R6Jlly4Gxh6+gCLZMrWxiTywt7pCSnCpmaoYR9EZpqjLGTh1/zfg&#10;FJ+hUIb5X8AzolRGl2aw1Q7Dn9pO52vLaoy/KjDyzhLssL+UESjS0FQW5aYXlMf+53OB3975+gcA&#10;AAD//wMAUEsDBBQABgAIAAAAIQDwTb394AAAAAsBAAAPAAAAZHJzL2Rvd25yZXYueG1sTI/PSsNA&#10;EIfvgu+wjOBF7KY1tE3MprSCQg8ebHyAbXZMgruzMbtt0rd3BEFv8+fjN98Um8lZccYhdJ4UzGcJ&#10;CKTam44aBe/V8/0aRIiajLaeUMEFA2zK66tC58aP9IbnQ2wEh1DItYI2xj6XMtQtOh1mvkfi3Ycf&#10;nI7cDo00gx453Fm5SJKldLojvtDqHp9arD8PJ6cgqXevL7ZKL9X6K+xWd+N+O7q9Urc30/YRRMQp&#10;/sHwo8/qULLT0Z/IBGEVpFn6wCgX6WoOgollli1AHH8nsizk/x/KbwAAAP//AwBQSwECLQAUAAYA&#10;CAAAACEAtoM4kv4AAADhAQAAEwAAAAAAAAAAAAAAAAAAAAAAW0NvbnRlbnRfVHlwZXNdLnhtbFBL&#10;AQItABQABgAIAAAAIQA4/SH/1gAAAJQBAAALAAAAAAAAAAAAAAAAAC8BAABfcmVscy8ucmVsc1BL&#10;AQItABQABgAIAAAAIQA/prN25wEAAC8EAAAOAAAAAAAAAAAAAAAAAC4CAABkcnMvZTJvRG9jLnht&#10;bFBLAQItABQABgAIAAAAIQDwTb394AAAAAsBAAAPAAAAAAAAAAAAAAAAAEEEAABkcnMvZG93bnJl&#10;di54bWxQSwUGAAAAAAQABADzAAAATgUAAAAA&#10;" strokecolor="#7f7f7f [1612]" strokeweight="1pt">
                <v:stroke joinstyle="miter"/>
              </v:line>
            </w:pict>
          </mc:Fallback>
        </mc:AlternateContent>
      </w:r>
      <w:r>
        <w:rPr>
          <w:noProof/>
          <w:lang w:eastAsia="fr-FR"/>
        </w:rPr>
        <mc:AlternateContent>
          <mc:Choice Requires="wps">
            <w:drawing>
              <wp:anchor distT="0" distB="0" distL="114300" distR="114300" simplePos="0" relativeHeight="251667456" behindDoc="0" locked="0" layoutInCell="1" allowOverlap="1" wp14:anchorId="29A4330C" wp14:editId="2A998A78">
                <wp:simplePos x="0" y="0"/>
                <wp:positionH relativeFrom="column">
                  <wp:posOffset>3138170</wp:posOffset>
                </wp:positionH>
                <wp:positionV relativeFrom="paragraph">
                  <wp:posOffset>2752090</wp:posOffset>
                </wp:positionV>
                <wp:extent cx="0" cy="88900"/>
                <wp:effectExtent l="0" t="0" r="19050" b="25400"/>
                <wp:wrapNone/>
                <wp:docPr id="7" name="Connecteur droit 7"/>
                <wp:cNvGraphicFramePr/>
                <a:graphic xmlns:a="http://schemas.openxmlformats.org/drawingml/2006/main">
                  <a:graphicData uri="http://schemas.microsoft.com/office/word/2010/wordprocessingShape">
                    <wps:wsp>
                      <wps:cNvCnPr/>
                      <wps:spPr>
                        <a:xfrm>
                          <a:off x="0" y="0"/>
                          <a:ext cx="0" cy="8890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291620" id="Connecteur droit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47.1pt,216.7pt" to="247.1pt,2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F46AEAAC0EAAAOAAAAZHJzL2Uyb0RvYy54bWysU8uu2yAQ3VfqPyD2jZ1IbVIrzl3k6nbT&#10;R9THBxAMMRIwCEjs/H0HcJymXbVqFsQzzDkz53i8fRqNJhfhgwLb0uWipkRYDp2yp5b++P7yZkNJ&#10;iMx2TIMVLb2KQJ92r19tB9eIFfSgO+EJktjQDK6lfYyuqarAe2FYWIATFi8leMMihv5UdZ4NyG50&#10;tarrd9UAvnMeuAgBs8/lku4yv5SCxy9SBhGJbinOFvPp83lMZ7XbsubkmesVn8Zg/zCFYcpi05nq&#10;mUVGzl79QWUU9xBAxgUHU4GUiousAdUs69/UfOuZE1kLmhPcbFP4f7T88+XgiepauqbEMoOvaA/W&#10;om/i7EnnQUWyTi4NLjRYvLcHP0XBHXySPEpv0j+KIWN29jo7K8ZIeElyzG427+vseXWHOR/iBwGG&#10;pIeWamWTZNawy8cQsRWW3kpSWlsy4KKt1kiU4gBadS9K6xyktRF77cmF4Qs/npa5Rp/NJ+hK7m2N&#10;vyQIefOWpfIS3ZnwTltMJtFFZn6KVy3KDF+FRNNQWGkwE5UejHNh43Lqoi1WJ5jEKWfgNP3jwI/A&#10;qT5BRV7lvwHPiNwZbJzBRlnwxbvH7nG8jSxL/c2BojtZcITumhcgW4M7mZ2bvp+09L/GGX7/ync/&#10;AQAA//8DAFBLAwQUAAYACAAAACEA2XxZvN8AAAALAQAADwAAAGRycy9kb3ducmV2LnhtbEyPwU7D&#10;MBBE70j8g7VIXBB1aC1aQpyqRQKpBw40fIAbL0mEvQ6x26R/zyIOcJvdGc2+LdaTd+KEQ+wCabib&#10;ZSCQ6mA7ajS8V8+3KxAxGbLGBUINZ4ywLi8vCpPbMNIbnvapEVxCMTca2pT6XMpYt+hNnIUeib2P&#10;MHiTeBwaaQczcrl3cp5l99KbjvhCa3p8arH+3B+9hqzevr64Sp2r1VfcLm/G3Wb0O62vr6bNI4iE&#10;U/oLww8+o0PJTIdwJBuF06Ae1JyjLBYLBYITv5sDC7VUIMtC/v+h/AYAAP//AwBQSwECLQAUAAYA&#10;CAAAACEAtoM4kv4AAADhAQAAEwAAAAAAAAAAAAAAAAAAAAAAW0NvbnRlbnRfVHlwZXNdLnhtbFBL&#10;AQItABQABgAIAAAAIQA4/SH/1gAAAJQBAAALAAAAAAAAAAAAAAAAAC8BAABfcmVscy8ucmVsc1BL&#10;AQItABQABgAIAAAAIQAaVXF46AEAAC0EAAAOAAAAAAAAAAAAAAAAAC4CAABkcnMvZTJvRG9jLnht&#10;bFBLAQItABQABgAIAAAAIQDZfFm83wAAAAsBAAAPAAAAAAAAAAAAAAAAAEIEAABkcnMvZG93bnJl&#10;di54bWxQSwUGAAAAAAQABADzAAAATgUAAAAA&#10;" strokecolor="#7f7f7f [1612]" strokeweight="1pt">
                <v:stroke joinstyle="miter"/>
              </v:line>
            </w:pict>
          </mc:Fallback>
        </mc:AlternateContent>
      </w:r>
      <w:r w:rsidR="00135994">
        <w:rPr>
          <w:noProof/>
          <w:lang w:eastAsia="fr-FR"/>
        </w:rPr>
        <w:drawing>
          <wp:inline distT="0" distB="0" distL="0" distR="0" wp14:anchorId="7D8EA4E1" wp14:editId="44BDFB09">
            <wp:extent cx="4538134" cy="3505200"/>
            <wp:effectExtent l="0" t="0" r="0" b="1905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7C6071F2" w14:textId="77777777" w:rsidR="00135994" w:rsidRDefault="00135994" w:rsidP="0036351F">
      <w:pPr>
        <w:autoSpaceDE w:val="0"/>
        <w:autoSpaceDN w:val="0"/>
        <w:adjustRightInd w:val="0"/>
        <w:spacing w:after="0" w:line="240" w:lineRule="auto"/>
        <w:jc w:val="both"/>
        <w:rPr>
          <w:rFonts w:cstheme="minorHAnsi"/>
        </w:rPr>
      </w:pPr>
    </w:p>
    <w:p w14:paraId="55D78001" w14:textId="3E7AD9B1" w:rsidR="00535572" w:rsidRPr="00F95DC9" w:rsidRDefault="00FF6952" w:rsidP="0036351F">
      <w:pPr>
        <w:autoSpaceDE w:val="0"/>
        <w:autoSpaceDN w:val="0"/>
        <w:adjustRightInd w:val="0"/>
        <w:spacing w:after="0" w:line="240" w:lineRule="auto"/>
        <w:jc w:val="both"/>
        <w:rPr>
          <w:rFonts w:cstheme="minorHAnsi"/>
          <w:b/>
          <w:color w:val="0070C0"/>
        </w:rPr>
      </w:pPr>
      <w:r>
        <w:rPr>
          <w:rFonts w:cstheme="minorHAnsi"/>
        </w:rPr>
        <w:t>Sont également à déclarer</w:t>
      </w:r>
      <w:r w:rsidR="009B66C2">
        <w:rPr>
          <w:rFonts w:cstheme="minorHAnsi"/>
        </w:rPr>
        <w:t xml:space="preserve"> dans cette section</w:t>
      </w:r>
      <w:r>
        <w:rPr>
          <w:rFonts w:cstheme="minorHAnsi"/>
        </w:rPr>
        <w:t xml:space="preserve"> les contrats </w:t>
      </w:r>
      <w:r w:rsidR="006E4D70">
        <w:rPr>
          <w:rFonts w:cstheme="minorHAnsi"/>
        </w:rPr>
        <w:t>d</w:t>
      </w:r>
      <w:r>
        <w:rPr>
          <w:rFonts w:cstheme="minorHAnsi"/>
        </w:rPr>
        <w:t>’acceptation cartes</w:t>
      </w:r>
      <w:r w:rsidR="00A01551">
        <w:rPr>
          <w:rFonts w:cstheme="minorHAnsi"/>
        </w:rPr>
        <w:t xml:space="preserve"> conclus par l’établissement </w:t>
      </w:r>
      <w:r w:rsidR="00235532">
        <w:rPr>
          <w:rFonts w:cstheme="minorHAnsi"/>
        </w:rPr>
        <w:t xml:space="preserve">(acquéreur) </w:t>
      </w:r>
      <w:r w:rsidR="00A01551">
        <w:rPr>
          <w:rFonts w:cstheme="minorHAnsi"/>
        </w:rPr>
        <w:t xml:space="preserve">avec ses clients </w:t>
      </w:r>
      <w:r w:rsidR="00235532">
        <w:rPr>
          <w:rFonts w:cstheme="minorHAnsi"/>
        </w:rPr>
        <w:t>(</w:t>
      </w:r>
      <w:r w:rsidR="00A01551">
        <w:rPr>
          <w:rFonts w:cstheme="minorHAnsi"/>
        </w:rPr>
        <w:t>accepteurs</w:t>
      </w:r>
      <w:r w:rsidR="00235532">
        <w:rPr>
          <w:rFonts w:cstheme="minorHAnsi"/>
        </w:rPr>
        <w:t>)</w:t>
      </w:r>
      <w:r>
        <w:rPr>
          <w:rFonts w:cstheme="minorHAnsi"/>
        </w:rPr>
        <w:t>.</w:t>
      </w:r>
    </w:p>
    <w:p w14:paraId="47568393" w14:textId="6380571D" w:rsidR="009D7A99" w:rsidRDefault="009D7A99" w:rsidP="00777E5C">
      <w:pPr>
        <w:autoSpaceDE w:val="0"/>
        <w:autoSpaceDN w:val="0"/>
        <w:adjustRightInd w:val="0"/>
        <w:spacing w:after="0" w:line="240" w:lineRule="auto"/>
        <w:jc w:val="both"/>
        <w:rPr>
          <w:rFonts w:cstheme="minorHAnsi"/>
          <w:b/>
        </w:rPr>
      </w:pPr>
    </w:p>
    <w:p w14:paraId="6548E2B9" w14:textId="77777777" w:rsidR="00184D5C" w:rsidRDefault="00184D5C" w:rsidP="00777E5C">
      <w:pPr>
        <w:autoSpaceDE w:val="0"/>
        <w:autoSpaceDN w:val="0"/>
        <w:adjustRightInd w:val="0"/>
        <w:spacing w:after="0" w:line="240" w:lineRule="auto"/>
        <w:jc w:val="both"/>
        <w:rPr>
          <w:rFonts w:cstheme="minorHAnsi"/>
          <w:b/>
        </w:rPr>
      </w:pPr>
    </w:p>
    <w:p w14:paraId="5D0276BE" w14:textId="4353B03E" w:rsidR="00F95DC9" w:rsidRPr="00B3120D" w:rsidRDefault="00F95DC9" w:rsidP="007718A3">
      <w:pPr>
        <w:pStyle w:val="Titre5"/>
        <w:numPr>
          <w:ilvl w:val="4"/>
          <w:numId w:val="38"/>
        </w:numPr>
      </w:pPr>
      <w:r w:rsidRPr="00B3120D">
        <w:t>Guichets Automatique</w:t>
      </w:r>
      <w:r w:rsidR="00205B00" w:rsidRPr="00B3120D">
        <w:t>s</w:t>
      </w:r>
      <w:r w:rsidRPr="00B3120D">
        <w:t xml:space="preserve"> de Banque (GAB)</w:t>
      </w:r>
    </w:p>
    <w:p w14:paraId="0B73EFAA" w14:textId="77777777" w:rsidR="00EB2F5C" w:rsidRPr="0016297D" w:rsidRDefault="00EB2F5C" w:rsidP="0016297D">
      <w:pPr>
        <w:pStyle w:val="Paragraphedeliste"/>
        <w:autoSpaceDE w:val="0"/>
        <w:autoSpaceDN w:val="0"/>
        <w:adjustRightInd w:val="0"/>
        <w:spacing w:after="0" w:line="240" w:lineRule="auto"/>
        <w:ind w:left="1080"/>
        <w:jc w:val="both"/>
        <w:rPr>
          <w:rFonts w:cstheme="minorHAnsi"/>
          <w:b/>
          <w:smallCaps/>
          <w:sz w:val="28"/>
          <w:szCs w:val="28"/>
        </w:rPr>
      </w:pPr>
    </w:p>
    <w:p w14:paraId="429236C8" w14:textId="2F96D739" w:rsidR="000E661B" w:rsidRPr="00FA6CC4" w:rsidRDefault="0036351F" w:rsidP="000E661B">
      <w:pPr>
        <w:jc w:val="both"/>
        <w:rPr>
          <w:rFonts w:cstheme="minorHAnsi"/>
        </w:rPr>
      </w:pPr>
      <w:r w:rsidRPr="00FA6CC4">
        <w:rPr>
          <w:rFonts w:cstheme="minorHAnsi"/>
        </w:rPr>
        <w:t>Il s’agit de dénombrer les GAB déployés par</w:t>
      </w:r>
      <w:r w:rsidR="000E661B">
        <w:rPr>
          <w:rFonts w:cstheme="minorHAnsi"/>
        </w:rPr>
        <w:t xml:space="preserve"> l’</w:t>
      </w:r>
      <w:r w:rsidRPr="00FA6CC4">
        <w:rPr>
          <w:rFonts w:cstheme="minorHAnsi"/>
        </w:rPr>
        <w:t>établissement qui acceptent des cartes</w:t>
      </w:r>
      <w:r w:rsidR="00DC27EA">
        <w:rPr>
          <w:rFonts w:cstheme="minorHAnsi"/>
        </w:rPr>
        <w:t>,</w:t>
      </w:r>
      <w:r w:rsidRPr="00FA6CC4">
        <w:rPr>
          <w:rFonts w:cstheme="minorHAnsi"/>
        </w:rPr>
        <w:t xml:space="preserve"> interbancaires CB et/ou interbancaires </w:t>
      </w:r>
      <w:proofErr w:type="gramStart"/>
      <w:r w:rsidRPr="00FA6CC4">
        <w:rPr>
          <w:rFonts w:cstheme="minorHAnsi"/>
        </w:rPr>
        <w:t>non CB</w:t>
      </w:r>
      <w:proofErr w:type="gramEnd"/>
      <w:r w:rsidRPr="00FA6CC4">
        <w:rPr>
          <w:rFonts w:cstheme="minorHAnsi"/>
        </w:rPr>
        <w:t xml:space="preserve"> et/ou privatives et/ou de retrait propriétair</w:t>
      </w:r>
      <w:r w:rsidR="000E661B">
        <w:rPr>
          <w:rFonts w:cstheme="minorHAnsi"/>
        </w:rPr>
        <w:t>es, qu’elles soient émises par l’</w:t>
      </w:r>
      <w:r w:rsidRPr="00FA6CC4">
        <w:rPr>
          <w:rFonts w:cstheme="minorHAnsi"/>
        </w:rPr>
        <w:t xml:space="preserve">établissement ou </w:t>
      </w:r>
      <w:r w:rsidR="006E4D70">
        <w:rPr>
          <w:rFonts w:cstheme="minorHAnsi"/>
        </w:rPr>
        <w:t>non</w:t>
      </w:r>
      <w:r w:rsidR="000E661B">
        <w:rPr>
          <w:rFonts w:cstheme="minorHAnsi"/>
        </w:rPr>
        <w:t>.</w:t>
      </w:r>
    </w:p>
    <w:p w14:paraId="7E4C75BD" w14:textId="25A3394A" w:rsidR="00DE21E4" w:rsidRPr="002970C0" w:rsidRDefault="007429D5" w:rsidP="00DE21E4">
      <w:pPr>
        <w:autoSpaceDE w:val="0"/>
        <w:autoSpaceDN w:val="0"/>
        <w:adjustRightInd w:val="0"/>
        <w:spacing w:after="0" w:line="240" w:lineRule="auto"/>
        <w:jc w:val="both"/>
        <w:rPr>
          <w:rFonts w:cstheme="minorHAnsi"/>
        </w:rPr>
      </w:pPr>
      <w:r w:rsidRPr="002970C0">
        <w:rPr>
          <w:rFonts w:cstheme="minorHAnsi"/>
          <w:u w:val="single"/>
        </w:rPr>
        <w:t>Remarques</w:t>
      </w:r>
      <w:r>
        <w:rPr>
          <w:rFonts w:cstheme="minorHAnsi"/>
        </w:rPr>
        <w:t> </w:t>
      </w:r>
      <w:r w:rsidR="00DE21E4" w:rsidRPr="002970C0">
        <w:rPr>
          <w:rFonts w:cstheme="minorHAnsi"/>
        </w:rPr>
        <w:t>:</w:t>
      </w:r>
    </w:p>
    <w:p w14:paraId="564DC0C1" w14:textId="7EAEE3A6" w:rsidR="00DA2715" w:rsidRPr="00C806A1" w:rsidRDefault="00DE21E4" w:rsidP="00594FDC">
      <w:pPr>
        <w:pStyle w:val="Paragraphedeliste"/>
        <w:numPr>
          <w:ilvl w:val="0"/>
          <w:numId w:val="3"/>
        </w:numPr>
        <w:autoSpaceDE w:val="0"/>
        <w:autoSpaceDN w:val="0"/>
        <w:adjustRightInd w:val="0"/>
        <w:spacing w:after="0" w:line="240" w:lineRule="auto"/>
        <w:jc w:val="both"/>
        <w:rPr>
          <w:rFonts w:cstheme="minorHAnsi"/>
        </w:rPr>
      </w:pPr>
      <w:r>
        <w:rPr>
          <w:rFonts w:cstheme="minorHAnsi"/>
        </w:rPr>
        <w:t xml:space="preserve">Si un </w:t>
      </w:r>
      <w:r w:rsidR="009B66C2">
        <w:rPr>
          <w:rFonts w:cstheme="minorHAnsi"/>
        </w:rPr>
        <w:t xml:space="preserve">GAB </w:t>
      </w:r>
      <w:r>
        <w:rPr>
          <w:rFonts w:cstheme="minorHAnsi"/>
        </w:rPr>
        <w:t xml:space="preserve">offre plusieurs fonctions, il doit être recensé </w:t>
      </w:r>
      <w:r w:rsidRPr="00C806A1">
        <w:rPr>
          <w:rFonts w:cstheme="minorHAnsi"/>
        </w:rPr>
        <w:t>dans le cadre de chacune des décompositions ci-</w:t>
      </w:r>
      <w:r w:rsidR="009B66C2">
        <w:rPr>
          <w:rFonts w:cstheme="minorHAnsi"/>
        </w:rPr>
        <w:t>dessous</w:t>
      </w:r>
      <w:r>
        <w:rPr>
          <w:rFonts w:cstheme="minorHAnsi"/>
        </w:rPr>
        <w:t xml:space="preserve">. Par conséquent, le </w:t>
      </w:r>
      <w:r w:rsidR="00DA2715">
        <w:rPr>
          <w:rFonts w:cstheme="minorHAnsi"/>
        </w:rPr>
        <w:t>« </w:t>
      </w:r>
      <w:r w:rsidR="006E4D70">
        <w:rPr>
          <w:rFonts w:cstheme="minorHAnsi"/>
        </w:rPr>
        <w:t>N</w:t>
      </w:r>
      <w:r w:rsidR="00DA2715">
        <w:rPr>
          <w:rFonts w:cstheme="minorHAnsi"/>
        </w:rPr>
        <w:t>ombre total de</w:t>
      </w:r>
      <w:r w:rsidR="009B66C2">
        <w:rPr>
          <w:rFonts w:cstheme="minorHAnsi"/>
        </w:rPr>
        <w:t xml:space="preserve"> GAB</w:t>
      </w:r>
      <w:r w:rsidR="00BF0D73">
        <w:rPr>
          <w:rFonts w:cstheme="minorHAnsi"/>
        </w:rPr>
        <w:t> »</w:t>
      </w:r>
      <w:r w:rsidR="00DA2715">
        <w:rPr>
          <w:rFonts w:cstheme="minorHAnsi"/>
        </w:rPr>
        <w:t xml:space="preserve"> peut être inférieur à la somme des sous-catégories </w:t>
      </w:r>
      <w:r w:rsidR="00DA2715" w:rsidRPr="00C806A1">
        <w:rPr>
          <w:rFonts w:cstheme="minorHAnsi"/>
        </w:rPr>
        <w:t>et, afin d’éviter un double comptage, les sous-catégories ne doivent pas être additionnées.</w:t>
      </w:r>
    </w:p>
    <w:p w14:paraId="7FE897EE" w14:textId="642FF1D3" w:rsidR="0036351F" w:rsidRDefault="00136834" w:rsidP="00594FDC">
      <w:pPr>
        <w:pStyle w:val="Paragraphedeliste"/>
        <w:numPr>
          <w:ilvl w:val="0"/>
          <w:numId w:val="3"/>
        </w:numPr>
        <w:spacing w:before="120"/>
        <w:jc w:val="both"/>
        <w:rPr>
          <w:rFonts w:cstheme="minorHAnsi"/>
        </w:rPr>
      </w:pPr>
      <w:r w:rsidRPr="00DE21E4">
        <w:rPr>
          <w:rFonts w:cstheme="minorHAnsi"/>
        </w:rPr>
        <w:t xml:space="preserve">Sont exclus </w:t>
      </w:r>
      <w:r w:rsidR="0036351F" w:rsidRPr="00DE21E4">
        <w:rPr>
          <w:rFonts w:cstheme="minorHAnsi"/>
        </w:rPr>
        <w:t xml:space="preserve">les GAB </w:t>
      </w:r>
      <w:r w:rsidR="009E3B79">
        <w:rPr>
          <w:rFonts w:cstheme="minorHAnsi"/>
        </w:rPr>
        <w:t xml:space="preserve">pour lesquels les opérations sont acquises par </w:t>
      </w:r>
      <w:r w:rsidR="0036351F" w:rsidRPr="00DE21E4">
        <w:rPr>
          <w:rFonts w:cstheme="minorHAnsi"/>
        </w:rPr>
        <w:t xml:space="preserve">des succursales </w:t>
      </w:r>
      <w:r w:rsidRPr="00DE21E4">
        <w:rPr>
          <w:rFonts w:cstheme="minorHAnsi"/>
        </w:rPr>
        <w:t>et/ou des filiales à l’étranger</w:t>
      </w:r>
      <w:r w:rsidR="0036351F" w:rsidRPr="00DE21E4">
        <w:rPr>
          <w:rFonts w:cstheme="minorHAnsi"/>
        </w:rPr>
        <w:t>.</w:t>
      </w:r>
    </w:p>
    <w:p w14:paraId="26E1519F" w14:textId="336E9BFE" w:rsidR="007A153B" w:rsidRDefault="007A153B" w:rsidP="0001666E">
      <w:pPr>
        <w:pStyle w:val="Paragraphedeliste"/>
        <w:spacing w:before="120"/>
        <w:jc w:val="both"/>
        <w:rPr>
          <w:rFonts w:cstheme="minorHAnsi"/>
        </w:rPr>
      </w:pPr>
    </w:p>
    <w:p w14:paraId="79BE155C" w14:textId="05C85EB1" w:rsidR="007578FE" w:rsidRDefault="007578FE" w:rsidP="007578FE">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72E56F22" w14:textId="77777777" w:rsidR="003538A2" w:rsidRDefault="003538A2" w:rsidP="007578FE">
      <w:pPr>
        <w:spacing w:after="0" w:line="240" w:lineRule="auto"/>
        <w:jc w:val="both"/>
        <w:rPr>
          <w:rFonts w:ascii="Calibri" w:eastAsia="Times New Roman" w:hAnsi="Calibri" w:cs="Calibri"/>
          <w:b/>
          <w:smallCaps/>
          <w:color w:val="2E74B5" w:themeColor="accent1" w:themeShade="BF"/>
          <w:sz w:val="24"/>
          <w:szCs w:val="24"/>
          <w:lang w:eastAsia="fr-FR"/>
        </w:rPr>
      </w:pPr>
    </w:p>
    <w:tbl>
      <w:tblPr>
        <w:tblW w:w="9110" w:type="dxa"/>
        <w:tblInd w:w="-38" w:type="dxa"/>
        <w:tblLayout w:type="fixed"/>
        <w:tblCellMar>
          <w:left w:w="30" w:type="dxa"/>
          <w:right w:w="30" w:type="dxa"/>
        </w:tblCellMar>
        <w:tblLook w:val="0000" w:firstRow="0" w:lastRow="0" w:firstColumn="0" w:lastColumn="0" w:noHBand="0" w:noVBand="0"/>
      </w:tblPr>
      <w:tblGrid>
        <w:gridCol w:w="132"/>
        <w:gridCol w:w="2450"/>
        <w:gridCol w:w="2985"/>
        <w:gridCol w:w="1417"/>
        <w:gridCol w:w="1134"/>
        <w:gridCol w:w="992"/>
      </w:tblGrid>
      <w:tr w:rsidR="0001666E" w:rsidRPr="003538A2" w14:paraId="24A9DFFC" w14:textId="426DF4DE" w:rsidTr="00FD00A0">
        <w:trPr>
          <w:trHeight w:val="483"/>
        </w:trPr>
        <w:tc>
          <w:tcPr>
            <w:tcW w:w="5567" w:type="dxa"/>
            <w:gridSpan w:val="3"/>
            <w:tcBorders>
              <w:top w:val="single" w:sz="18" w:space="0" w:color="5B9BD5" w:themeColor="accent1"/>
              <w:bottom w:val="single" w:sz="18" w:space="0" w:color="5B9BD5" w:themeColor="accent1"/>
              <w:right w:val="single" w:sz="6" w:space="0" w:color="3366FF"/>
            </w:tcBorders>
            <w:shd w:val="solid" w:color="FFFFFF" w:fill="000000"/>
          </w:tcPr>
          <w:p w14:paraId="464A1F91" w14:textId="77777777" w:rsidR="0001666E" w:rsidRPr="00C95149" w:rsidRDefault="0001666E" w:rsidP="007A153B">
            <w:pPr>
              <w:jc w:val="both"/>
              <w:rPr>
                <w:sz w:val="12"/>
              </w:rPr>
            </w:pPr>
          </w:p>
        </w:tc>
        <w:tc>
          <w:tcPr>
            <w:tcW w:w="1417"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4DFC43A" w14:textId="18F90234" w:rsidR="0001666E" w:rsidRPr="00C95149" w:rsidRDefault="00352030" w:rsidP="0001666E">
            <w:pPr>
              <w:jc w:val="center"/>
              <w:rPr>
                <w:sz w:val="12"/>
              </w:rPr>
            </w:pPr>
            <w:r>
              <w:rPr>
                <w:rFonts w:cstheme="minorHAnsi"/>
                <w:b/>
                <w:bCs/>
                <w:sz w:val="14"/>
                <w:szCs w:val="18"/>
              </w:rPr>
              <w:t>Pays de localisation du terminal</w:t>
            </w: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21A512A" w14:textId="45EC5E94" w:rsidR="0001666E" w:rsidRPr="00C95149" w:rsidRDefault="0001666E" w:rsidP="0001666E">
            <w:pPr>
              <w:jc w:val="center"/>
              <w:rPr>
                <w:sz w:val="12"/>
              </w:rPr>
            </w:pPr>
            <w:r>
              <w:rPr>
                <w:rFonts w:cstheme="minorHAnsi"/>
                <w:b/>
                <w:bCs/>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17F52FB5" w14:textId="16A73443" w:rsidR="0001666E" w:rsidRDefault="0001666E" w:rsidP="0001666E">
            <w:pPr>
              <w:autoSpaceDE w:val="0"/>
              <w:autoSpaceDN w:val="0"/>
              <w:adjustRightInd w:val="0"/>
              <w:spacing w:after="0" w:line="240" w:lineRule="auto"/>
              <w:jc w:val="center"/>
              <w:rPr>
                <w:rFonts w:cstheme="minorHAnsi"/>
                <w:b/>
                <w:bCs/>
                <w:sz w:val="14"/>
                <w:szCs w:val="18"/>
              </w:rPr>
            </w:pPr>
            <w:r>
              <w:rPr>
                <w:rFonts w:cstheme="minorHAnsi"/>
                <w:b/>
                <w:bCs/>
                <w:sz w:val="14"/>
                <w:szCs w:val="18"/>
              </w:rPr>
              <w:t>Valeur en</w:t>
            </w:r>
          </w:p>
          <w:p w14:paraId="0F57B7B3" w14:textId="3433E15C" w:rsidR="0001666E" w:rsidRPr="00C95149" w:rsidRDefault="0001666E" w:rsidP="0001666E">
            <w:pPr>
              <w:jc w:val="center"/>
              <w:rPr>
                <w:sz w:val="12"/>
              </w:rPr>
            </w:pPr>
            <w:proofErr w:type="gramStart"/>
            <w:r>
              <w:rPr>
                <w:rFonts w:cstheme="minorHAnsi"/>
                <w:b/>
                <w:bCs/>
                <w:sz w:val="14"/>
                <w:szCs w:val="18"/>
              </w:rPr>
              <w:t>euros</w:t>
            </w:r>
            <w:proofErr w:type="gramEnd"/>
          </w:p>
        </w:tc>
      </w:tr>
      <w:tr w:rsidR="00FD00A0" w:rsidRPr="003538A2" w14:paraId="5AE383E7" w14:textId="332F19B5" w:rsidTr="00A54E21">
        <w:trPr>
          <w:trHeight w:val="1580"/>
        </w:trPr>
        <w:tc>
          <w:tcPr>
            <w:tcW w:w="2582" w:type="dxa"/>
            <w:gridSpan w:val="2"/>
            <w:tcBorders>
              <w:top w:val="single" w:sz="18" w:space="0" w:color="5B9BD5" w:themeColor="accent1"/>
              <w:bottom w:val="single" w:sz="2" w:space="0" w:color="5B9BD5" w:themeColor="accent1"/>
              <w:right w:val="single" w:sz="2" w:space="0" w:color="5B9BD5" w:themeColor="accent1"/>
            </w:tcBorders>
            <w:shd w:val="solid" w:color="FFFFFF" w:fill="000000"/>
          </w:tcPr>
          <w:p w14:paraId="1CDA9574" w14:textId="77777777" w:rsidR="00FD00A0" w:rsidRPr="00C95149" w:rsidRDefault="00FD00A0" w:rsidP="00C95149">
            <w:pPr>
              <w:autoSpaceDE w:val="0"/>
              <w:autoSpaceDN w:val="0"/>
              <w:adjustRightInd w:val="0"/>
              <w:spacing w:after="0" w:line="240" w:lineRule="auto"/>
              <w:rPr>
                <w:rFonts w:cstheme="minorHAnsi"/>
                <w:b/>
                <w:bCs/>
                <w:sz w:val="14"/>
                <w:szCs w:val="18"/>
              </w:rPr>
            </w:pPr>
            <w:r w:rsidRPr="00C95149">
              <w:rPr>
                <w:rFonts w:cstheme="minorHAnsi"/>
                <w:b/>
                <w:bCs/>
                <w:sz w:val="14"/>
                <w:szCs w:val="18"/>
              </w:rPr>
              <w:t>Nombre total de GAB</w:t>
            </w:r>
          </w:p>
        </w:tc>
        <w:tc>
          <w:tcPr>
            <w:tcW w:w="2985"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3DA5E4A1" w14:textId="77777777" w:rsidR="00FD00A0" w:rsidRPr="00D6303B" w:rsidRDefault="00FD00A0" w:rsidP="00C95149">
            <w:pPr>
              <w:jc w:val="both"/>
              <w:rPr>
                <w:sz w:val="12"/>
              </w:rPr>
            </w:pPr>
            <w:bookmarkStart w:id="21" w:name="_Toc401303751"/>
            <w:r w:rsidRPr="00D6303B">
              <w:rPr>
                <w:sz w:val="12"/>
              </w:rPr>
              <w:t>Dispositif permettant, généralement à partir de cartes physiques, de retirer et/ou de déposer des espèces et/ou d’accéder à d’autres services, comme par exemple, de consulter les soldes des comptes du porteur, ou encore de transférer des fonds.</w:t>
            </w:r>
            <w:bookmarkStart w:id="22" w:name="_Toc401303752"/>
            <w:bookmarkEnd w:id="21"/>
          </w:p>
          <w:p w14:paraId="5E9F159D" w14:textId="04514A8E" w:rsidR="00FD00A0" w:rsidRPr="00D6303B" w:rsidRDefault="00FD00A0" w:rsidP="00C95149">
            <w:pPr>
              <w:jc w:val="both"/>
              <w:rPr>
                <w:sz w:val="12"/>
              </w:rPr>
            </w:pPr>
            <w:r w:rsidRPr="00D6303B">
              <w:rPr>
                <w:rFonts w:cstheme="minorHAnsi"/>
                <w:sz w:val="12"/>
                <w:szCs w:val="18"/>
                <w:u w:val="single"/>
              </w:rPr>
              <w:t>Exclus</w:t>
            </w:r>
            <w:r w:rsidRPr="00D6303B">
              <w:rPr>
                <w:sz w:val="12"/>
              </w:rPr>
              <w:t> :</w:t>
            </w:r>
          </w:p>
          <w:p w14:paraId="5792E659" w14:textId="728D4D0B" w:rsidR="00FD00A0" w:rsidRPr="00D6303B" w:rsidRDefault="00FD00A0" w:rsidP="00C95149">
            <w:pPr>
              <w:jc w:val="both"/>
              <w:rPr>
                <w:sz w:val="12"/>
              </w:rPr>
            </w:pPr>
            <w:r w:rsidRPr="00D6303B">
              <w:rPr>
                <w:sz w:val="12"/>
              </w:rPr>
              <w:t>-Les dispositifs permettant uniquement la consultation de solde.</w:t>
            </w:r>
            <w:bookmarkEnd w:id="22"/>
          </w:p>
          <w:p w14:paraId="31D188F2" w14:textId="46E85AC4" w:rsidR="004E4913" w:rsidRPr="00D6303B" w:rsidRDefault="004E4913" w:rsidP="00C95149">
            <w:pPr>
              <w:jc w:val="both"/>
              <w:rPr>
                <w:sz w:val="12"/>
              </w:rPr>
            </w:pPr>
            <w:r w:rsidRPr="00D6303B">
              <w:rPr>
                <w:sz w:val="12"/>
              </w:rPr>
              <w:lastRenderedPageBreak/>
              <w:t xml:space="preserve">- Les dispositifs </w:t>
            </w:r>
            <w:r w:rsidR="00D6303B">
              <w:rPr>
                <w:sz w:val="12"/>
              </w:rPr>
              <w:t>permettant uniquement</w:t>
            </w:r>
            <w:r w:rsidRPr="00D6303B">
              <w:rPr>
                <w:sz w:val="12"/>
              </w:rPr>
              <w:t xml:space="preserve"> les remises de chèques</w:t>
            </w:r>
          </w:p>
          <w:p w14:paraId="7A7C4ED1" w14:textId="77777777" w:rsidR="00FD00A0" w:rsidRPr="004E4913" w:rsidRDefault="00FD00A0" w:rsidP="00C95149">
            <w:pPr>
              <w:jc w:val="both"/>
              <w:rPr>
                <w:rFonts w:ascii="Calibri" w:hAnsi="Calibri" w:cs="Calibri"/>
                <w:bCs/>
                <w:color w:val="000000"/>
                <w:sz w:val="12"/>
                <w:szCs w:val="24"/>
                <w:highlight w:val="yellow"/>
              </w:rPr>
            </w:pPr>
            <w:r w:rsidRPr="00D6303B">
              <w:rPr>
                <w:rFonts w:cstheme="minorHAnsi"/>
                <w:sz w:val="12"/>
                <w:szCs w:val="18"/>
              </w:rPr>
              <w:t>Les ventilations géographiques, qui suivent, sont basées sur le lieu où est situé le GAB.</w:t>
            </w:r>
          </w:p>
        </w:tc>
        <w:tc>
          <w:tcPr>
            <w:tcW w:w="1417" w:type="dxa"/>
            <w:vMerge w:val="restart"/>
            <w:tcBorders>
              <w:top w:val="single" w:sz="18" w:space="0" w:color="5B9BD5" w:themeColor="accent1"/>
              <w:left w:val="single" w:sz="2" w:space="0" w:color="5B9BD5" w:themeColor="accent1"/>
              <w:right w:val="single" w:sz="2" w:space="0" w:color="5B9BD5" w:themeColor="accent1"/>
            </w:tcBorders>
            <w:shd w:val="solid" w:color="FFFFFF" w:fill="000000"/>
          </w:tcPr>
          <w:p w14:paraId="5ADAA03F" w14:textId="7F50AC89" w:rsidR="007D353E" w:rsidRPr="002F4AD9" w:rsidRDefault="00CF54A9" w:rsidP="00A54E21">
            <w:pPr>
              <w:jc w:val="center"/>
              <w:rPr>
                <w:b/>
                <w:sz w:val="12"/>
              </w:rPr>
            </w:pPr>
            <w:r w:rsidRPr="002F4AD9">
              <w:rPr>
                <w:b/>
                <w:sz w:val="12"/>
              </w:rPr>
              <w:lastRenderedPageBreak/>
              <w:t>Selon v</w:t>
            </w:r>
            <w:r w:rsidR="007D353E" w:rsidRPr="002F4AD9">
              <w:rPr>
                <w:b/>
                <w:sz w:val="12"/>
              </w:rPr>
              <w:t xml:space="preserve">entilation géographique </w:t>
            </w:r>
            <w:proofErr w:type="gramStart"/>
            <w:r w:rsidR="007D353E" w:rsidRPr="002F4AD9">
              <w:rPr>
                <w:b/>
                <w:sz w:val="12"/>
              </w:rPr>
              <w:t>en  section</w:t>
            </w:r>
            <w:proofErr w:type="gramEnd"/>
            <w:r w:rsidR="007D353E" w:rsidRPr="002F4AD9">
              <w:rPr>
                <w:b/>
                <w:sz w:val="12"/>
              </w:rPr>
              <w:t xml:space="preserve"> 5</w:t>
            </w:r>
            <w:r w:rsidR="002F4AD9" w:rsidRPr="002F4AD9">
              <w:rPr>
                <w:b/>
                <w:sz w:val="12"/>
              </w:rPr>
              <w:t>.1</w:t>
            </w:r>
          </w:p>
        </w:tc>
        <w:tc>
          <w:tcPr>
            <w:tcW w:w="113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2C55969E" w14:textId="77777777" w:rsidR="00FD00A0" w:rsidRPr="00C95149" w:rsidRDefault="00FD00A0" w:rsidP="00C95149">
            <w:pPr>
              <w:jc w:val="both"/>
              <w:rPr>
                <w:sz w:val="12"/>
              </w:rPr>
            </w:pPr>
          </w:p>
        </w:tc>
        <w:tc>
          <w:tcPr>
            <w:tcW w:w="992" w:type="dxa"/>
            <w:tcBorders>
              <w:top w:val="single" w:sz="18" w:space="0" w:color="5B9BD5" w:themeColor="accent1"/>
              <w:left w:val="single" w:sz="2" w:space="0" w:color="5B9BD5" w:themeColor="accent1"/>
              <w:bottom w:val="single" w:sz="2" w:space="0" w:color="5B9BD5" w:themeColor="accent1"/>
            </w:tcBorders>
            <w:shd w:val="clear" w:color="auto" w:fill="A6A6A6" w:themeFill="background1" w:themeFillShade="A6"/>
          </w:tcPr>
          <w:p w14:paraId="30F9F9C4" w14:textId="77777777" w:rsidR="00FD00A0" w:rsidRPr="00C95149" w:rsidRDefault="00FD00A0" w:rsidP="00C95149">
            <w:pPr>
              <w:jc w:val="both"/>
              <w:rPr>
                <w:sz w:val="12"/>
              </w:rPr>
            </w:pPr>
          </w:p>
        </w:tc>
      </w:tr>
      <w:tr w:rsidR="00FD00A0" w:rsidRPr="003538A2" w14:paraId="58FA2D7C" w14:textId="5099A13C" w:rsidTr="00FD00A0">
        <w:trPr>
          <w:trHeight w:val="178"/>
        </w:trPr>
        <w:tc>
          <w:tcPr>
            <w:tcW w:w="132" w:type="dxa"/>
            <w:tcBorders>
              <w:top w:val="single" w:sz="18" w:space="0" w:color="5B9BD5" w:themeColor="accent1"/>
              <w:bottom w:val="single" w:sz="2" w:space="0" w:color="5B9BD5" w:themeColor="accent1"/>
              <w:right w:val="single" w:sz="2" w:space="0" w:color="5B9BD5" w:themeColor="accent1"/>
            </w:tcBorders>
            <w:shd w:val="solid" w:color="FFFFFF" w:fill="auto"/>
          </w:tcPr>
          <w:p w14:paraId="0C957105" w14:textId="77777777" w:rsidR="00FD00A0" w:rsidRPr="00736108" w:rsidRDefault="00FD00A0" w:rsidP="00204E65">
            <w:pPr>
              <w:autoSpaceDE w:val="0"/>
              <w:autoSpaceDN w:val="0"/>
              <w:adjustRightInd w:val="0"/>
              <w:spacing w:after="0" w:line="240" w:lineRule="auto"/>
              <w:rPr>
                <w:rFonts w:cstheme="minorHAnsi"/>
                <w:bCs/>
                <w:sz w:val="14"/>
                <w:szCs w:val="18"/>
              </w:rPr>
            </w:pPr>
          </w:p>
        </w:tc>
        <w:tc>
          <w:tcPr>
            <w:tcW w:w="2450"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5C1D8756" w14:textId="77777777" w:rsidR="00FD00A0" w:rsidRPr="00C95149" w:rsidRDefault="00FD00A0" w:rsidP="00204E65">
            <w:pPr>
              <w:autoSpaceDE w:val="0"/>
              <w:autoSpaceDN w:val="0"/>
              <w:adjustRightInd w:val="0"/>
              <w:spacing w:after="0" w:line="240" w:lineRule="auto"/>
              <w:rPr>
                <w:rFonts w:cstheme="minorHAnsi"/>
                <w:b/>
                <w:bCs/>
                <w:sz w:val="14"/>
                <w:szCs w:val="18"/>
              </w:rPr>
            </w:pPr>
            <w:r w:rsidRPr="00C95149">
              <w:rPr>
                <w:rFonts w:cstheme="minorHAnsi"/>
                <w:b/>
                <w:bCs/>
                <w:sz w:val="14"/>
                <w:szCs w:val="18"/>
              </w:rPr>
              <w:t>Dont GAB avec une fonction de retrait d'espèces</w:t>
            </w:r>
          </w:p>
        </w:tc>
        <w:tc>
          <w:tcPr>
            <w:tcW w:w="2985"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10BD4CC0" w14:textId="13212D73" w:rsidR="00FD00A0" w:rsidRPr="00C95149" w:rsidRDefault="00FD00A0" w:rsidP="00204E65">
            <w:pPr>
              <w:autoSpaceDE w:val="0"/>
              <w:autoSpaceDN w:val="0"/>
              <w:adjustRightInd w:val="0"/>
              <w:spacing w:after="0" w:line="240" w:lineRule="auto"/>
              <w:rPr>
                <w:rFonts w:ascii="Calibri" w:hAnsi="Calibri" w:cs="Calibri"/>
                <w:bCs/>
                <w:color w:val="000000"/>
                <w:sz w:val="14"/>
                <w:szCs w:val="24"/>
              </w:rPr>
            </w:pPr>
            <w:bookmarkStart w:id="23" w:name="_Toc401303755"/>
            <w:r w:rsidRPr="00C95149">
              <w:rPr>
                <w:rFonts w:cstheme="minorHAnsi"/>
                <w:sz w:val="14"/>
                <w:szCs w:val="18"/>
              </w:rPr>
              <w:t>GAB permettant de retirer des espèces d’un compte à partir d’une carte ayant une fonction espèces.</w:t>
            </w:r>
            <w:bookmarkEnd w:id="23"/>
          </w:p>
        </w:tc>
        <w:tc>
          <w:tcPr>
            <w:tcW w:w="1417" w:type="dxa"/>
            <w:vMerge/>
            <w:tcBorders>
              <w:left w:val="single" w:sz="2" w:space="0" w:color="5B9BD5" w:themeColor="accent1"/>
              <w:right w:val="single" w:sz="2" w:space="0" w:color="5B9BD5" w:themeColor="accent1"/>
            </w:tcBorders>
            <w:shd w:val="solid" w:color="FFFFFF" w:fill="000000"/>
          </w:tcPr>
          <w:p w14:paraId="5808A7FF" w14:textId="507D2D16" w:rsidR="00FD00A0" w:rsidRPr="00C95149" w:rsidRDefault="00FD00A0" w:rsidP="00204E65">
            <w:pPr>
              <w:autoSpaceDE w:val="0"/>
              <w:autoSpaceDN w:val="0"/>
              <w:adjustRightInd w:val="0"/>
              <w:spacing w:after="0" w:line="240" w:lineRule="auto"/>
              <w:rPr>
                <w:rFonts w:cstheme="minorHAnsi"/>
                <w:sz w:val="14"/>
                <w:szCs w:val="18"/>
              </w:rPr>
            </w:pPr>
          </w:p>
        </w:tc>
        <w:tc>
          <w:tcPr>
            <w:tcW w:w="113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592BA5A0" w14:textId="77777777" w:rsidR="00FD00A0" w:rsidRPr="00C95149" w:rsidRDefault="00FD00A0" w:rsidP="00204E65">
            <w:pPr>
              <w:autoSpaceDE w:val="0"/>
              <w:autoSpaceDN w:val="0"/>
              <w:adjustRightInd w:val="0"/>
              <w:spacing w:after="0" w:line="240" w:lineRule="auto"/>
              <w:rPr>
                <w:rFonts w:cstheme="minorHAnsi"/>
                <w:sz w:val="14"/>
                <w:szCs w:val="18"/>
              </w:rPr>
            </w:pPr>
          </w:p>
        </w:tc>
        <w:tc>
          <w:tcPr>
            <w:tcW w:w="992" w:type="dxa"/>
            <w:tcBorders>
              <w:top w:val="single" w:sz="18" w:space="0" w:color="5B9BD5" w:themeColor="accent1"/>
              <w:left w:val="single" w:sz="2" w:space="0" w:color="5B9BD5" w:themeColor="accent1"/>
              <w:bottom w:val="single" w:sz="2" w:space="0" w:color="5B9BD5" w:themeColor="accent1"/>
            </w:tcBorders>
            <w:shd w:val="clear" w:color="auto" w:fill="A6A6A6" w:themeFill="background1" w:themeFillShade="A6"/>
          </w:tcPr>
          <w:p w14:paraId="30CB60A0" w14:textId="77777777" w:rsidR="00FD00A0" w:rsidRPr="00C95149" w:rsidRDefault="00FD00A0" w:rsidP="00204E65">
            <w:pPr>
              <w:autoSpaceDE w:val="0"/>
              <w:autoSpaceDN w:val="0"/>
              <w:adjustRightInd w:val="0"/>
              <w:spacing w:after="0" w:line="240" w:lineRule="auto"/>
              <w:rPr>
                <w:rFonts w:cstheme="minorHAnsi"/>
                <w:sz w:val="14"/>
                <w:szCs w:val="18"/>
              </w:rPr>
            </w:pPr>
          </w:p>
        </w:tc>
      </w:tr>
      <w:tr w:rsidR="00FD00A0" w:rsidRPr="003538A2" w14:paraId="2F59D5C7" w14:textId="6197AE5F" w:rsidTr="00FD00A0">
        <w:trPr>
          <w:trHeight w:val="178"/>
        </w:trPr>
        <w:tc>
          <w:tcPr>
            <w:tcW w:w="132" w:type="dxa"/>
            <w:tcBorders>
              <w:top w:val="single" w:sz="18" w:space="0" w:color="5B9BD5" w:themeColor="accent1"/>
              <w:bottom w:val="single" w:sz="2" w:space="0" w:color="5B9BD5" w:themeColor="accent1"/>
              <w:right w:val="single" w:sz="2" w:space="0" w:color="5B9BD5" w:themeColor="accent1"/>
            </w:tcBorders>
            <w:shd w:val="solid" w:color="FFFFFF" w:fill="auto"/>
          </w:tcPr>
          <w:p w14:paraId="10396DCF" w14:textId="77777777" w:rsidR="00FD00A0" w:rsidRPr="00736108" w:rsidRDefault="00FD00A0" w:rsidP="00204E65">
            <w:pPr>
              <w:autoSpaceDE w:val="0"/>
              <w:autoSpaceDN w:val="0"/>
              <w:adjustRightInd w:val="0"/>
              <w:spacing w:after="0" w:line="240" w:lineRule="auto"/>
              <w:rPr>
                <w:rFonts w:cstheme="minorHAnsi"/>
                <w:bCs/>
                <w:sz w:val="14"/>
                <w:szCs w:val="18"/>
              </w:rPr>
            </w:pPr>
          </w:p>
        </w:tc>
        <w:tc>
          <w:tcPr>
            <w:tcW w:w="2450"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06365B6B" w14:textId="77777777" w:rsidR="00FD00A0" w:rsidRPr="00C95149" w:rsidRDefault="00FD00A0" w:rsidP="00204E65">
            <w:pPr>
              <w:autoSpaceDE w:val="0"/>
              <w:autoSpaceDN w:val="0"/>
              <w:adjustRightInd w:val="0"/>
              <w:spacing w:after="0" w:line="240" w:lineRule="auto"/>
              <w:rPr>
                <w:rFonts w:cstheme="minorHAnsi"/>
                <w:b/>
                <w:bCs/>
                <w:sz w:val="14"/>
                <w:szCs w:val="18"/>
              </w:rPr>
            </w:pPr>
            <w:r w:rsidRPr="00C95149">
              <w:rPr>
                <w:rFonts w:cstheme="minorHAnsi"/>
                <w:b/>
                <w:bCs/>
                <w:sz w:val="14"/>
                <w:szCs w:val="18"/>
              </w:rPr>
              <w:t>Dont GAB avec fonction de virement</w:t>
            </w:r>
          </w:p>
        </w:tc>
        <w:tc>
          <w:tcPr>
            <w:tcW w:w="2985"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3B2B664B" w14:textId="379C6E99" w:rsidR="00FD00A0" w:rsidRPr="00C95149" w:rsidRDefault="00FD00A0" w:rsidP="00204E65">
            <w:pPr>
              <w:autoSpaceDE w:val="0"/>
              <w:autoSpaceDN w:val="0"/>
              <w:adjustRightInd w:val="0"/>
              <w:spacing w:after="0" w:line="240" w:lineRule="auto"/>
              <w:rPr>
                <w:rFonts w:ascii="Calibri" w:hAnsi="Calibri" w:cs="Calibri"/>
                <w:b/>
                <w:bCs/>
                <w:color w:val="000000"/>
                <w:sz w:val="14"/>
                <w:szCs w:val="24"/>
              </w:rPr>
            </w:pPr>
            <w:bookmarkStart w:id="24" w:name="_Toc401303757"/>
            <w:r w:rsidRPr="00C95149">
              <w:rPr>
                <w:rFonts w:cstheme="minorHAnsi"/>
                <w:sz w:val="14"/>
                <w:szCs w:val="18"/>
              </w:rPr>
              <w:t>GAB permettant d’effectuer des virements à partir d’une carte de paiement.</w:t>
            </w:r>
            <w:bookmarkEnd w:id="24"/>
          </w:p>
        </w:tc>
        <w:tc>
          <w:tcPr>
            <w:tcW w:w="1417" w:type="dxa"/>
            <w:vMerge/>
            <w:tcBorders>
              <w:left w:val="single" w:sz="2" w:space="0" w:color="5B9BD5" w:themeColor="accent1"/>
              <w:right w:val="single" w:sz="2" w:space="0" w:color="5B9BD5" w:themeColor="accent1"/>
            </w:tcBorders>
            <w:shd w:val="solid" w:color="FFFFFF" w:fill="000000"/>
          </w:tcPr>
          <w:p w14:paraId="0ADECF3C" w14:textId="7CB90963" w:rsidR="00FD00A0" w:rsidRPr="00C95149" w:rsidRDefault="00FD00A0" w:rsidP="00204E65">
            <w:pPr>
              <w:autoSpaceDE w:val="0"/>
              <w:autoSpaceDN w:val="0"/>
              <w:adjustRightInd w:val="0"/>
              <w:spacing w:after="0" w:line="240" w:lineRule="auto"/>
              <w:rPr>
                <w:rFonts w:cstheme="minorHAnsi"/>
                <w:sz w:val="14"/>
                <w:szCs w:val="18"/>
              </w:rPr>
            </w:pPr>
          </w:p>
        </w:tc>
        <w:tc>
          <w:tcPr>
            <w:tcW w:w="113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2C28DE58" w14:textId="77777777" w:rsidR="00FD00A0" w:rsidRPr="00C95149" w:rsidRDefault="00FD00A0" w:rsidP="00204E65">
            <w:pPr>
              <w:autoSpaceDE w:val="0"/>
              <w:autoSpaceDN w:val="0"/>
              <w:adjustRightInd w:val="0"/>
              <w:spacing w:after="0" w:line="240" w:lineRule="auto"/>
              <w:rPr>
                <w:rFonts w:cstheme="minorHAnsi"/>
                <w:sz w:val="14"/>
                <w:szCs w:val="18"/>
              </w:rPr>
            </w:pPr>
          </w:p>
        </w:tc>
        <w:tc>
          <w:tcPr>
            <w:tcW w:w="992" w:type="dxa"/>
            <w:tcBorders>
              <w:top w:val="single" w:sz="18" w:space="0" w:color="5B9BD5" w:themeColor="accent1"/>
              <w:left w:val="single" w:sz="2" w:space="0" w:color="5B9BD5" w:themeColor="accent1"/>
              <w:bottom w:val="single" w:sz="2" w:space="0" w:color="5B9BD5" w:themeColor="accent1"/>
            </w:tcBorders>
            <w:shd w:val="clear" w:color="auto" w:fill="A6A6A6" w:themeFill="background1" w:themeFillShade="A6"/>
          </w:tcPr>
          <w:p w14:paraId="13094FA7" w14:textId="77777777" w:rsidR="00FD00A0" w:rsidRPr="00C95149" w:rsidRDefault="00FD00A0" w:rsidP="00204E65">
            <w:pPr>
              <w:autoSpaceDE w:val="0"/>
              <w:autoSpaceDN w:val="0"/>
              <w:adjustRightInd w:val="0"/>
              <w:spacing w:after="0" w:line="240" w:lineRule="auto"/>
              <w:rPr>
                <w:rFonts w:cstheme="minorHAnsi"/>
                <w:sz w:val="14"/>
                <w:szCs w:val="18"/>
              </w:rPr>
            </w:pPr>
          </w:p>
        </w:tc>
      </w:tr>
      <w:tr w:rsidR="00FD00A0" w:rsidRPr="003538A2" w14:paraId="0E33D822" w14:textId="52601610" w:rsidTr="009E3B79">
        <w:trPr>
          <w:trHeight w:val="168"/>
        </w:trPr>
        <w:tc>
          <w:tcPr>
            <w:tcW w:w="132" w:type="dxa"/>
            <w:tcBorders>
              <w:top w:val="single" w:sz="18" w:space="0" w:color="5B9BD5" w:themeColor="accent1"/>
              <w:bottom w:val="single" w:sz="18" w:space="0" w:color="5B9BD5" w:themeColor="accent1"/>
              <w:right w:val="single" w:sz="2" w:space="0" w:color="5B9BD5" w:themeColor="accent1"/>
            </w:tcBorders>
            <w:shd w:val="solid" w:color="FFFFFF" w:fill="auto"/>
          </w:tcPr>
          <w:p w14:paraId="0C8F6A90" w14:textId="77777777" w:rsidR="00FD00A0" w:rsidRPr="00736108" w:rsidRDefault="00FD00A0" w:rsidP="00204E65">
            <w:pPr>
              <w:autoSpaceDE w:val="0"/>
              <w:autoSpaceDN w:val="0"/>
              <w:adjustRightInd w:val="0"/>
              <w:spacing w:after="0" w:line="240" w:lineRule="auto"/>
              <w:rPr>
                <w:rFonts w:cstheme="minorHAnsi"/>
                <w:bCs/>
                <w:sz w:val="14"/>
                <w:szCs w:val="18"/>
              </w:rPr>
            </w:pPr>
          </w:p>
        </w:tc>
        <w:tc>
          <w:tcPr>
            <w:tcW w:w="2450"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auto"/>
          </w:tcPr>
          <w:p w14:paraId="74F7BBD9" w14:textId="77777777" w:rsidR="00FD00A0" w:rsidRPr="00C95149" w:rsidRDefault="00FD00A0" w:rsidP="00204E65">
            <w:pPr>
              <w:autoSpaceDE w:val="0"/>
              <w:autoSpaceDN w:val="0"/>
              <w:adjustRightInd w:val="0"/>
              <w:spacing w:after="0" w:line="240" w:lineRule="auto"/>
              <w:rPr>
                <w:rFonts w:cstheme="minorHAnsi"/>
                <w:b/>
                <w:sz w:val="14"/>
                <w:szCs w:val="18"/>
              </w:rPr>
            </w:pPr>
            <w:r w:rsidRPr="00C95149">
              <w:rPr>
                <w:rFonts w:cstheme="minorHAnsi"/>
                <w:b/>
                <w:sz w:val="14"/>
                <w:szCs w:val="18"/>
              </w:rPr>
              <w:t>Dont GAB acceptant les opérations sans contact</w:t>
            </w:r>
          </w:p>
        </w:tc>
        <w:tc>
          <w:tcPr>
            <w:tcW w:w="2985"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auto"/>
          </w:tcPr>
          <w:p w14:paraId="785C0628" w14:textId="6AB7EB4E" w:rsidR="00FD00A0" w:rsidRPr="00325501" w:rsidRDefault="00325501" w:rsidP="00204E65">
            <w:pPr>
              <w:autoSpaceDE w:val="0"/>
              <w:autoSpaceDN w:val="0"/>
              <w:adjustRightInd w:val="0"/>
              <w:spacing w:after="0" w:line="240" w:lineRule="auto"/>
              <w:rPr>
                <w:rFonts w:cstheme="minorHAnsi"/>
                <w:sz w:val="14"/>
                <w:szCs w:val="18"/>
              </w:rPr>
            </w:pPr>
            <w:r w:rsidRPr="00325501">
              <w:rPr>
                <w:rFonts w:cstheme="minorHAnsi"/>
                <w:sz w:val="14"/>
                <w:szCs w:val="18"/>
              </w:rPr>
              <w:t xml:space="preserve">GAB </w:t>
            </w:r>
            <w:r>
              <w:rPr>
                <w:rFonts w:cstheme="minorHAnsi"/>
                <w:sz w:val="14"/>
                <w:szCs w:val="18"/>
              </w:rPr>
              <w:t>permettant d’effectuer des opérations à partir d’une carte ou d’un appareil portable et en utilisant une technologie sans contact.</w:t>
            </w:r>
          </w:p>
        </w:tc>
        <w:tc>
          <w:tcPr>
            <w:tcW w:w="1417" w:type="dxa"/>
            <w:vMerge/>
            <w:tcBorders>
              <w:left w:val="single" w:sz="2" w:space="0" w:color="5B9BD5" w:themeColor="accent1"/>
              <w:bottom w:val="single" w:sz="18" w:space="0" w:color="5B9BD5" w:themeColor="accent1"/>
              <w:right w:val="single" w:sz="2" w:space="0" w:color="5B9BD5" w:themeColor="accent1"/>
            </w:tcBorders>
            <w:shd w:val="solid" w:color="FFFFFF" w:fill="auto"/>
          </w:tcPr>
          <w:p w14:paraId="72D6BBDC" w14:textId="2E83EE3C" w:rsidR="00FD00A0" w:rsidRPr="003538A2" w:rsidRDefault="00FD00A0" w:rsidP="00204E65">
            <w:pPr>
              <w:autoSpaceDE w:val="0"/>
              <w:autoSpaceDN w:val="0"/>
              <w:adjustRightInd w:val="0"/>
              <w:spacing w:after="0" w:line="240" w:lineRule="auto"/>
              <w:rPr>
                <w:rFonts w:ascii="Calibri" w:hAnsi="Calibri" w:cs="Calibri"/>
                <w:color w:val="008000"/>
                <w:sz w:val="20"/>
                <w:szCs w:val="20"/>
              </w:rPr>
            </w:pP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auto"/>
          </w:tcPr>
          <w:p w14:paraId="3BD78510" w14:textId="77777777" w:rsidR="00FD00A0" w:rsidRPr="003538A2" w:rsidRDefault="00FD00A0" w:rsidP="00204E65">
            <w:pPr>
              <w:autoSpaceDE w:val="0"/>
              <w:autoSpaceDN w:val="0"/>
              <w:adjustRightInd w:val="0"/>
              <w:spacing w:after="0" w:line="240" w:lineRule="auto"/>
              <w:rPr>
                <w:rFonts w:ascii="Calibri" w:hAnsi="Calibri" w:cs="Calibri"/>
                <w:color w:val="008000"/>
                <w:sz w:val="20"/>
                <w:szCs w:val="20"/>
              </w:rPr>
            </w:pPr>
          </w:p>
        </w:tc>
        <w:tc>
          <w:tcPr>
            <w:tcW w:w="992" w:type="dxa"/>
            <w:tcBorders>
              <w:top w:val="single" w:sz="18" w:space="0" w:color="5B9BD5" w:themeColor="accent1"/>
              <w:left w:val="single" w:sz="2" w:space="0" w:color="5B9BD5" w:themeColor="accent1"/>
              <w:bottom w:val="single" w:sz="18" w:space="0" w:color="5B9BD5" w:themeColor="accent1"/>
            </w:tcBorders>
            <w:shd w:val="clear" w:color="auto" w:fill="A6A6A6" w:themeFill="background1" w:themeFillShade="A6"/>
          </w:tcPr>
          <w:p w14:paraId="4B3B3F00" w14:textId="77777777" w:rsidR="00FD00A0" w:rsidRPr="003538A2" w:rsidRDefault="00FD00A0" w:rsidP="00204E65">
            <w:pPr>
              <w:autoSpaceDE w:val="0"/>
              <w:autoSpaceDN w:val="0"/>
              <w:adjustRightInd w:val="0"/>
              <w:spacing w:after="0" w:line="240" w:lineRule="auto"/>
              <w:rPr>
                <w:rFonts w:ascii="Calibri" w:hAnsi="Calibri" w:cs="Calibri"/>
                <w:color w:val="008000"/>
                <w:sz w:val="20"/>
                <w:szCs w:val="20"/>
              </w:rPr>
            </w:pPr>
          </w:p>
        </w:tc>
      </w:tr>
    </w:tbl>
    <w:p w14:paraId="33CE0AAB" w14:textId="052D96AA" w:rsidR="007A738F" w:rsidRDefault="007A738F" w:rsidP="00E32537">
      <w:pPr>
        <w:pStyle w:val="Paragraphedeliste"/>
        <w:autoSpaceDE w:val="0"/>
        <w:autoSpaceDN w:val="0"/>
        <w:adjustRightInd w:val="0"/>
        <w:spacing w:after="0" w:line="240" w:lineRule="auto"/>
        <w:jc w:val="both"/>
        <w:rPr>
          <w:rFonts w:cstheme="minorHAnsi"/>
        </w:rPr>
      </w:pPr>
    </w:p>
    <w:p w14:paraId="6DD76D14" w14:textId="77777777" w:rsidR="007B392C" w:rsidRPr="00D7057C" w:rsidRDefault="007B392C" w:rsidP="007B392C">
      <w:pPr>
        <w:spacing w:after="0" w:line="240" w:lineRule="auto"/>
        <w:jc w:val="both"/>
        <w:rPr>
          <w:rFonts w:ascii="Calibri" w:hAnsi="Calibri"/>
          <w:b/>
          <w:smallCaps/>
          <w:color w:val="2E74B5" w:themeColor="accent1" w:themeShade="BF"/>
          <w:sz w:val="24"/>
        </w:rPr>
      </w:pPr>
      <w:r w:rsidRPr="00D7057C">
        <w:rPr>
          <w:rFonts w:ascii="Calibri" w:hAnsi="Calibri"/>
          <w:b/>
          <w:smallCaps/>
          <w:color w:val="2E74B5" w:themeColor="accent1" w:themeShade="BF"/>
          <w:sz w:val="24"/>
        </w:rPr>
        <w:t>Contrôles :</w:t>
      </w:r>
    </w:p>
    <w:p w14:paraId="7C80874E" w14:textId="77777777" w:rsidR="007B392C" w:rsidRPr="007B392C" w:rsidRDefault="007B392C" w:rsidP="007B392C">
      <w:pPr>
        <w:spacing w:after="0" w:line="240" w:lineRule="auto"/>
        <w:jc w:val="both"/>
        <w:rPr>
          <w:rFonts w:cstheme="minorHAnsi"/>
        </w:rPr>
      </w:pPr>
    </w:p>
    <w:p w14:paraId="69D3C307" w14:textId="77777777" w:rsidR="007B392C" w:rsidRDefault="007B392C" w:rsidP="007B392C">
      <w:pPr>
        <w:spacing w:after="0" w:line="240" w:lineRule="auto"/>
        <w:jc w:val="both"/>
        <w:rPr>
          <w:rFonts w:cstheme="minorHAnsi"/>
        </w:rPr>
      </w:pPr>
      <w:r w:rsidRPr="002F77C9">
        <w:rPr>
          <w:rFonts w:cstheme="minorHAnsi"/>
        </w:rPr>
        <w:t>Les règles de contrôle suivantes doivent être appliquées</w:t>
      </w:r>
      <w:r>
        <w:rPr>
          <w:rFonts w:cstheme="minorHAnsi"/>
        </w:rPr>
        <w:t>.</w:t>
      </w:r>
    </w:p>
    <w:p w14:paraId="40F9ABD5" w14:textId="4CC5E474" w:rsidR="007B392C" w:rsidRDefault="007B392C" w:rsidP="007C77D6">
      <w:pPr>
        <w:pStyle w:val="Paragraphedeliste"/>
        <w:autoSpaceDE w:val="0"/>
        <w:autoSpaceDN w:val="0"/>
        <w:adjustRightInd w:val="0"/>
        <w:spacing w:after="0" w:line="240" w:lineRule="auto"/>
        <w:ind w:left="142" w:firstLine="578"/>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7B392C" w:rsidRPr="00D822D3" w14:paraId="06D8AD98" w14:textId="77777777" w:rsidTr="00204E65">
        <w:tc>
          <w:tcPr>
            <w:tcW w:w="9054" w:type="dxa"/>
          </w:tcPr>
          <w:p w14:paraId="4C2FF2A1" w14:textId="485B42CC" w:rsidR="007B392C" w:rsidRPr="00A675AF" w:rsidRDefault="007B392C" w:rsidP="008954CE">
            <w:pPr>
              <w:pStyle w:val="Paragraphedeliste"/>
              <w:autoSpaceDE w:val="0"/>
              <w:autoSpaceDN w:val="0"/>
              <w:adjustRightInd w:val="0"/>
              <w:ind w:left="0"/>
              <w:jc w:val="both"/>
              <w:rPr>
                <w:rFonts w:cstheme="minorHAnsi"/>
                <w:sz w:val="18"/>
                <w:szCs w:val="18"/>
              </w:rPr>
            </w:pPr>
            <w:r w:rsidRPr="00A675AF">
              <w:rPr>
                <w:rFonts w:cstheme="minorHAnsi"/>
                <w:sz w:val="18"/>
                <w:szCs w:val="18"/>
              </w:rPr>
              <w:t xml:space="preserve">Le </w:t>
            </w:r>
            <w:r w:rsidR="008954CE">
              <w:rPr>
                <w:rFonts w:cstheme="minorHAnsi"/>
                <w:sz w:val="18"/>
                <w:szCs w:val="18"/>
              </w:rPr>
              <w:t xml:space="preserve">total de chaque indicateur est </w:t>
            </w:r>
            <w:r w:rsidR="006C3A8B">
              <w:rPr>
                <w:rFonts w:cstheme="minorHAnsi"/>
                <w:sz w:val="18"/>
                <w:szCs w:val="18"/>
              </w:rPr>
              <w:t>=</w:t>
            </w:r>
            <w:r w:rsidRPr="00A675AF">
              <w:rPr>
                <w:rFonts w:cstheme="minorHAnsi"/>
                <w:sz w:val="18"/>
                <w:szCs w:val="18"/>
              </w:rPr>
              <w:t xml:space="preserve"> à la somme des </w:t>
            </w:r>
            <w:r w:rsidR="008954CE">
              <w:rPr>
                <w:rFonts w:cstheme="minorHAnsi"/>
                <w:sz w:val="18"/>
                <w:szCs w:val="18"/>
              </w:rPr>
              <w:t xml:space="preserve">trois sous ventilations géographiques associées (France, au </w:t>
            </w:r>
            <w:r>
              <w:rPr>
                <w:rFonts w:cstheme="minorHAnsi"/>
                <w:sz w:val="18"/>
                <w:szCs w:val="18"/>
              </w:rPr>
              <w:t xml:space="preserve">sein de l’EEE et hors </w:t>
            </w:r>
            <w:r w:rsidR="008954CE">
              <w:rPr>
                <w:rFonts w:cstheme="minorHAnsi"/>
                <w:sz w:val="18"/>
                <w:szCs w:val="18"/>
              </w:rPr>
              <w:t>de l’EEE)</w:t>
            </w:r>
            <w:r w:rsidRPr="00A675AF">
              <w:rPr>
                <w:rFonts w:cstheme="minorHAnsi"/>
                <w:sz w:val="18"/>
                <w:szCs w:val="18"/>
              </w:rPr>
              <w:t>.</w:t>
            </w:r>
          </w:p>
        </w:tc>
      </w:tr>
      <w:tr w:rsidR="006C3A8B" w:rsidRPr="00D822D3" w14:paraId="0757D56B" w14:textId="77777777" w:rsidTr="00204E65">
        <w:tc>
          <w:tcPr>
            <w:tcW w:w="9054" w:type="dxa"/>
          </w:tcPr>
          <w:p w14:paraId="03985DEC" w14:textId="63AD94C9" w:rsidR="006C3A8B" w:rsidRPr="007C75F3" w:rsidRDefault="006C3A8B" w:rsidP="008954CE">
            <w:pPr>
              <w:pStyle w:val="Paragraphedeliste"/>
              <w:autoSpaceDE w:val="0"/>
              <w:autoSpaceDN w:val="0"/>
              <w:adjustRightInd w:val="0"/>
              <w:ind w:left="0"/>
              <w:jc w:val="both"/>
              <w:rPr>
                <w:rFonts w:cstheme="minorHAnsi"/>
                <w:sz w:val="18"/>
                <w:szCs w:val="18"/>
              </w:rPr>
            </w:pPr>
            <w:r w:rsidRPr="007C75F3">
              <w:rPr>
                <w:rFonts w:cstheme="minorHAnsi"/>
                <w:sz w:val="18"/>
                <w:szCs w:val="18"/>
              </w:rPr>
              <w:t xml:space="preserve">Le </w:t>
            </w:r>
            <w:r w:rsidR="008954CE">
              <w:rPr>
                <w:rFonts w:cstheme="minorHAnsi"/>
                <w:sz w:val="18"/>
                <w:szCs w:val="18"/>
              </w:rPr>
              <w:t xml:space="preserve">total « au </w:t>
            </w:r>
            <w:r>
              <w:rPr>
                <w:rFonts w:cstheme="minorHAnsi"/>
                <w:sz w:val="18"/>
                <w:szCs w:val="18"/>
              </w:rPr>
              <w:t>sein de l’EEE</w:t>
            </w:r>
            <w:r w:rsidR="008954CE">
              <w:rPr>
                <w:rFonts w:cstheme="minorHAnsi"/>
                <w:sz w:val="18"/>
                <w:szCs w:val="18"/>
              </w:rPr>
              <w:t xml:space="preserve"> » de chaque indicateur est = </w:t>
            </w:r>
            <w:r w:rsidRPr="00A675AF">
              <w:rPr>
                <w:rFonts w:cstheme="minorHAnsi"/>
                <w:sz w:val="18"/>
                <w:szCs w:val="18"/>
              </w:rPr>
              <w:t>à</w:t>
            </w:r>
            <w:r>
              <w:rPr>
                <w:rFonts w:cstheme="minorHAnsi"/>
                <w:sz w:val="18"/>
                <w:szCs w:val="18"/>
              </w:rPr>
              <w:t xml:space="preserve"> la somme de</w:t>
            </w:r>
            <w:r w:rsidRPr="00A675AF">
              <w:rPr>
                <w:rFonts w:cstheme="minorHAnsi"/>
                <w:sz w:val="18"/>
                <w:szCs w:val="18"/>
              </w:rPr>
              <w:t xml:space="preserve"> </w:t>
            </w:r>
            <w:r w:rsidR="008954CE">
              <w:rPr>
                <w:rFonts w:cstheme="minorHAnsi"/>
                <w:sz w:val="18"/>
                <w:szCs w:val="18"/>
              </w:rPr>
              <w:t xml:space="preserve">la ventilation </w:t>
            </w:r>
            <w:r w:rsidRPr="00A675AF">
              <w:rPr>
                <w:rFonts w:cstheme="minorHAnsi"/>
                <w:sz w:val="18"/>
                <w:szCs w:val="18"/>
              </w:rPr>
              <w:t>par pays</w:t>
            </w:r>
            <w:r w:rsidR="00A23AD7">
              <w:rPr>
                <w:rFonts w:cstheme="minorHAnsi"/>
                <w:sz w:val="18"/>
                <w:szCs w:val="18"/>
              </w:rPr>
              <w:t xml:space="preserve"> de l’EEE</w:t>
            </w:r>
            <w:r>
              <w:rPr>
                <w:rFonts w:cstheme="minorHAnsi"/>
                <w:sz w:val="18"/>
                <w:szCs w:val="18"/>
              </w:rPr>
              <w:t>.</w:t>
            </w:r>
          </w:p>
        </w:tc>
      </w:tr>
      <w:tr w:rsidR="001967F8" w:rsidRPr="00D822D3" w14:paraId="7CA66616" w14:textId="77777777" w:rsidTr="00204E65">
        <w:tc>
          <w:tcPr>
            <w:tcW w:w="9054" w:type="dxa"/>
          </w:tcPr>
          <w:p w14:paraId="40C91138" w14:textId="76597CF9" w:rsidR="001967F8" w:rsidRPr="00A675AF" w:rsidRDefault="001967F8" w:rsidP="00033475">
            <w:pPr>
              <w:pStyle w:val="Paragraphedeliste"/>
              <w:autoSpaceDE w:val="0"/>
              <w:autoSpaceDN w:val="0"/>
              <w:adjustRightInd w:val="0"/>
              <w:ind w:left="0"/>
              <w:jc w:val="both"/>
              <w:rPr>
                <w:rFonts w:cstheme="minorHAnsi"/>
                <w:sz w:val="18"/>
                <w:szCs w:val="18"/>
              </w:rPr>
            </w:pPr>
            <w:r>
              <w:rPr>
                <w:rFonts w:cstheme="minorHAnsi"/>
                <w:sz w:val="18"/>
                <w:szCs w:val="18"/>
              </w:rPr>
              <w:t xml:space="preserve">Le nombre </w:t>
            </w:r>
            <w:r w:rsidR="0096268D">
              <w:rPr>
                <w:rFonts w:cstheme="minorHAnsi"/>
                <w:sz w:val="18"/>
                <w:szCs w:val="18"/>
              </w:rPr>
              <w:t xml:space="preserve">total </w:t>
            </w:r>
            <w:r>
              <w:rPr>
                <w:rFonts w:cstheme="minorHAnsi"/>
                <w:sz w:val="18"/>
                <w:szCs w:val="18"/>
              </w:rPr>
              <w:t xml:space="preserve">de GAB avec une fonction de retrait d’espèces est &lt; ou = au nombre </w:t>
            </w:r>
            <w:r w:rsidR="009C7E9C">
              <w:rPr>
                <w:rFonts w:cstheme="minorHAnsi"/>
                <w:sz w:val="18"/>
                <w:szCs w:val="18"/>
              </w:rPr>
              <w:t xml:space="preserve">total </w:t>
            </w:r>
            <w:r>
              <w:rPr>
                <w:rFonts w:cstheme="minorHAnsi"/>
                <w:sz w:val="18"/>
                <w:szCs w:val="18"/>
              </w:rPr>
              <w:t>de GAB.</w:t>
            </w:r>
          </w:p>
        </w:tc>
      </w:tr>
      <w:tr w:rsidR="001967F8" w:rsidRPr="00D822D3" w14:paraId="12A49B07" w14:textId="77777777" w:rsidTr="00204E65">
        <w:tc>
          <w:tcPr>
            <w:tcW w:w="9054" w:type="dxa"/>
          </w:tcPr>
          <w:p w14:paraId="74739EEB" w14:textId="1A81B58D" w:rsidR="001967F8" w:rsidRPr="00A675AF" w:rsidRDefault="001967F8" w:rsidP="001967F8">
            <w:pPr>
              <w:pStyle w:val="Paragraphedeliste"/>
              <w:autoSpaceDE w:val="0"/>
              <w:autoSpaceDN w:val="0"/>
              <w:adjustRightInd w:val="0"/>
              <w:ind w:left="0"/>
              <w:jc w:val="both"/>
              <w:rPr>
                <w:rFonts w:cstheme="minorHAnsi"/>
                <w:sz w:val="18"/>
                <w:szCs w:val="18"/>
              </w:rPr>
            </w:pPr>
            <w:r w:rsidRPr="000844B3">
              <w:rPr>
                <w:rFonts w:cstheme="minorHAnsi"/>
                <w:sz w:val="18"/>
                <w:szCs w:val="18"/>
              </w:rPr>
              <w:t xml:space="preserve">Le nombre </w:t>
            </w:r>
            <w:r w:rsidR="0096268D">
              <w:rPr>
                <w:rFonts w:cstheme="minorHAnsi"/>
                <w:sz w:val="18"/>
                <w:szCs w:val="18"/>
              </w:rPr>
              <w:t xml:space="preserve">total </w:t>
            </w:r>
            <w:r w:rsidRPr="000844B3">
              <w:rPr>
                <w:rFonts w:cstheme="minorHAnsi"/>
                <w:sz w:val="18"/>
                <w:szCs w:val="18"/>
              </w:rPr>
              <w:t xml:space="preserve">de GAB avec une fonction de </w:t>
            </w:r>
            <w:r>
              <w:rPr>
                <w:rFonts w:cstheme="minorHAnsi"/>
                <w:sz w:val="18"/>
                <w:szCs w:val="18"/>
              </w:rPr>
              <w:t>virement</w:t>
            </w:r>
            <w:r w:rsidRPr="000844B3">
              <w:rPr>
                <w:rFonts w:cstheme="minorHAnsi"/>
                <w:sz w:val="18"/>
                <w:szCs w:val="18"/>
              </w:rPr>
              <w:t xml:space="preserve"> est &lt; ou = au nombre </w:t>
            </w:r>
            <w:r w:rsidR="009C7E9C">
              <w:rPr>
                <w:rFonts w:cstheme="minorHAnsi"/>
                <w:sz w:val="18"/>
                <w:szCs w:val="18"/>
              </w:rPr>
              <w:t xml:space="preserve">total </w:t>
            </w:r>
            <w:r w:rsidRPr="000844B3">
              <w:rPr>
                <w:rFonts w:cstheme="minorHAnsi"/>
                <w:sz w:val="18"/>
                <w:szCs w:val="18"/>
              </w:rPr>
              <w:t>de GAB.</w:t>
            </w:r>
          </w:p>
        </w:tc>
      </w:tr>
      <w:tr w:rsidR="001967F8" w:rsidRPr="00D822D3" w14:paraId="564DB60D" w14:textId="77777777" w:rsidTr="00204E65">
        <w:tc>
          <w:tcPr>
            <w:tcW w:w="9054" w:type="dxa"/>
          </w:tcPr>
          <w:p w14:paraId="1769F0F5" w14:textId="191E283F" w:rsidR="001967F8" w:rsidRPr="00A675AF" w:rsidRDefault="001967F8" w:rsidP="001967F8">
            <w:pPr>
              <w:pStyle w:val="Paragraphedeliste"/>
              <w:autoSpaceDE w:val="0"/>
              <w:autoSpaceDN w:val="0"/>
              <w:adjustRightInd w:val="0"/>
              <w:ind w:left="0"/>
              <w:jc w:val="both"/>
              <w:rPr>
                <w:rFonts w:cstheme="minorHAnsi"/>
                <w:sz w:val="18"/>
                <w:szCs w:val="18"/>
              </w:rPr>
            </w:pPr>
            <w:r w:rsidRPr="000844B3">
              <w:rPr>
                <w:rFonts w:cstheme="minorHAnsi"/>
                <w:sz w:val="18"/>
                <w:szCs w:val="18"/>
              </w:rPr>
              <w:t xml:space="preserve">Le nombre </w:t>
            </w:r>
            <w:r w:rsidR="0096268D">
              <w:rPr>
                <w:rFonts w:cstheme="minorHAnsi"/>
                <w:sz w:val="18"/>
                <w:szCs w:val="18"/>
              </w:rPr>
              <w:t xml:space="preserve">total </w:t>
            </w:r>
            <w:r w:rsidRPr="000844B3">
              <w:rPr>
                <w:rFonts w:cstheme="minorHAnsi"/>
                <w:sz w:val="18"/>
                <w:szCs w:val="18"/>
              </w:rPr>
              <w:t xml:space="preserve">de GAB </w:t>
            </w:r>
            <w:r>
              <w:rPr>
                <w:rFonts w:cstheme="minorHAnsi"/>
                <w:sz w:val="18"/>
                <w:szCs w:val="18"/>
              </w:rPr>
              <w:t>acceptant les opérations sans contact e</w:t>
            </w:r>
            <w:r w:rsidRPr="000844B3">
              <w:rPr>
                <w:rFonts w:cstheme="minorHAnsi"/>
                <w:sz w:val="18"/>
                <w:szCs w:val="18"/>
              </w:rPr>
              <w:t xml:space="preserve">st &lt; ou = au nombre </w:t>
            </w:r>
            <w:r w:rsidR="009C7E9C">
              <w:rPr>
                <w:rFonts w:cstheme="minorHAnsi"/>
                <w:sz w:val="18"/>
                <w:szCs w:val="18"/>
              </w:rPr>
              <w:t xml:space="preserve">total </w:t>
            </w:r>
            <w:r w:rsidRPr="000844B3">
              <w:rPr>
                <w:rFonts w:cstheme="minorHAnsi"/>
                <w:sz w:val="18"/>
                <w:szCs w:val="18"/>
              </w:rPr>
              <w:t>de GAB.</w:t>
            </w:r>
          </w:p>
        </w:tc>
      </w:tr>
      <w:tr w:rsidR="001348F1" w:rsidRPr="00D822D3" w14:paraId="4A03E5E3" w14:textId="77777777" w:rsidTr="00204E65">
        <w:tc>
          <w:tcPr>
            <w:tcW w:w="9054" w:type="dxa"/>
          </w:tcPr>
          <w:p w14:paraId="5F7C98EF" w14:textId="7AF3AD7C" w:rsidR="001348F1" w:rsidRPr="000844B3" w:rsidRDefault="001348F1" w:rsidP="001967F8">
            <w:pPr>
              <w:pStyle w:val="Paragraphedeliste"/>
              <w:autoSpaceDE w:val="0"/>
              <w:autoSpaceDN w:val="0"/>
              <w:adjustRightInd w:val="0"/>
              <w:ind w:left="0"/>
              <w:jc w:val="both"/>
              <w:rPr>
                <w:rFonts w:cstheme="minorHAnsi"/>
                <w:sz w:val="18"/>
                <w:szCs w:val="18"/>
              </w:rPr>
            </w:pPr>
            <w:r>
              <w:rPr>
                <w:rFonts w:cstheme="minorHAnsi"/>
                <w:sz w:val="18"/>
                <w:szCs w:val="18"/>
              </w:rPr>
              <w:t xml:space="preserve">Si le nombre </w:t>
            </w:r>
            <w:r w:rsidR="0096268D">
              <w:rPr>
                <w:rFonts w:cstheme="minorHAnsi"/>
                <w:sz w:val="18"/>
                <w:szCs w:val="18"/>
              </w:rPr>
              <w:t xml:space="preserve">total </w:t>
            </w:r>
            <w:r>
              <w:rPr>
                <w:rFonts w:cstheme="minorHAnsi"/>
                <w:sz w:val="18"/>
                <w:szCs w:val="18"/>
              </w:rPr>
              <w:t>de GAB est = à 0, les opérations de paiement acquises par l’établissement initiées par voie électronique en proximité depuis un GAB est = à 0 (cf. section 4.1.3.1).</w:t>
            </w:r>
          </w:p>
        </w:tc>
      </w:tr>
      <w:tr w:rsidR="000106B6" w:rsidRPr="00D822D3" w14:paraId="0378C01A" w14:textId="77777777" w:rsidTr="00204E65">
        <w:tc>
          <w:tcPr>
            <w:tcW w:w="9054" w:type="dxa"/>
          </w:tcPr>
          <w:p w14:paraId="0514A132" w14:textId="755652FF" w:rsidR="000106B6" w:rsidRDefault="000106B6" w:rsidP="006E2AD1">
            <w:pPr>
              <w:pStyle w:val="Paragraphedeliste"/>
              <w:autoSpaceDE w:val="0"/>
              <w:autoSpaceDN w:val="0"/>
              <w:adjustRightInd w:val="0"/>
              <w:ind w:left="0"/>
              <w:jc w:val="both"/>
              <w:rPr>
                <w:rFonts w:cstheme="minorHAnsi"/>
                <w:sz w:val="18"/>
                <w:szCs w:val="18"/>
              </w:rPr>
            </w:pPr>
            <w:r>
              <w:rPr>
                <w:rFonts w:cstheme="minorHAnsi"/>
                <w:sz w:val="18"/>
                <w:szCs w:val="18"/>
              </w:rPr>
              <w:t xml:space="preserve">Si le nombre </w:t>
            </w:r>
            <w:r w:rsidR="0096268D">
              <w:rPr>
                <w:rFonts w:cstheme="minorHAnsi"/>
                <w:sz w:val="18"/>
                <w:szCs w:val="18"/>
              </w:rPr>
              <w:t xml:space="preserve">total </w:t>
            </w:r>
            <w:r>
              <w:rPr>
                <w:rFonts w:cstheme="minorHAnsi"/>
                <w:sz w:val="18"/>
                <w:szCs w:val="18"/>
              </w:rPr>
              <w:t>de GAB est = à 0, le</w:t>
            </w:r>
            <w:r w:rsidR="003E5E4F">
              <w:rPr>
                <w:rFonts w:cstheme="minorHAnsi"/>
                <w:sz w:val="18"/>
                <w:szCs w:val="18"/>
              </w:rPr>
              <w:t xml:space="preserve"> total de</w:t>
            </w:r>
            <w:r>
              <w:rPr>
                <w:rFonts w:cstheme="minorHAnsi"/>
                <w:sz w:val="18"/>
                <w:szCs w:val="18"/>
              </w:rPr>
              <w:t xml:space="preserve">s retraits aux GAB </w:t>
            </w:r>
            <w:r w:rsidR="006E2AD1">
              <w:rPr>
                <w:rFonts w:cstheme="minorHAnsi"/>
                <w:sz w:val="18"/>
                <w:szCs w:val="18"/>
              </w:rPr>
              <w:t xml:space="preserve">par cartes émises par des PSP français </w:t>
            </w:r>
            <w:r>
              <w:rPr>
                <w:rFonts w:cstheme="minorHAnsi"/>
                <w:sz w:val="18"/>
                <w:szCs w:val="18"/>
              </w:rPr>
              <w:t xml:space="preserve">acquis par l’établissement </w:t>
            </w:r>
            <w:r w:rsidR="006E2AD1">
              <w:rPr>
                <w:rFonts w:cstheme="minorHAnsi"/>
                <w:sz w:val="18"/>
                <w:szCs w:val="18"/>
              </w:rPr>
              <w:t>(cf. section 4.1.3.2) + le</w:t>
            </w:r>
            <w:r w:rsidR="003E5E4F">
              <w:rPr>
                <w:rFonts w:cstheme="minorHAnsi"/>
                <w:sz w:val="18"/>
                <w:szCs w:val="18"/>
              </w:rPr>
              <w:t xml:space="preserve"> total de</w:t>
            </w:r>
            <w:r w:rsidR="006E2AD1">
              <w:rPr>
                <w:rFonts w:cstheme="minorHAnsi"/>
                <w:sz w:val="18"/>
                <w:szCs w:val="18"/>
              </w:rPr>
              <w:t xml:space="preserve">s dépôts d’espèces par cartes émises par des PSP français acquis par l’établissement (cf. section 4.1.3.2) </w:t>
            </w:r>
            <w:r w:rsidR="00804634">
              <w:rPr>
                <w:rFonts w:cstheme="minorHAnsi"/>
                <w:sz w:val="18"/>
                <w:szCs w:val="18"/>
              </w:rPr>
              <w:t xml:space="preserve">+ le total des autres opérations aux GAB par cartes émises par des PSP français est acquis par l’établissement (cf. section 4.1.3.2) </w:t>
            </w:r>
            <w:r w:rsidR="006E2AD1">
              <w:rPr>
                <w:rFonts w:cstheme="minorHAnsi"/>
                <w:sz w:val="18"/>
                <w:szCs w:val="18"/>
              </w:rPr>
              <w:t>+ le</w:t>
            </w:r>
            <w:r w:rsidR="003E5E4F">
              <w:rPr>
                <w:rFonts w:cstheme="minorHAnsi"/>
                <w:sz w:val="18"/>
                <w:szCs w:val="18"/>
              </w:rPr>
              <w:t xml:space="preserve"> total de</w:t>
            </w:r>
            <w:r w:rsidR="006E2AD1">
              <w:rPr>
                <w:rFonts w:cstheme="minorHAnsi"/>
                <w:sz w:val="18"/>
                <w:szCs w:val="18"/>
              </w:rPr>
              <w:t>s retraits aux GAB par cartes émises par des PSP étrangers acquis par l’établissement (cf. section 4.1.3.3) + le</w:t>
            </w:r>
            <w:r w:rsidR="003E5E4F">
              <w:rPr>
                <w:rFonts w:cstheme="minorHAnsi"/>
                <w:sz w:val="18"/>
                <w:szCs w:val="18"/>
              </w:rPr>
              <w:t xml:space="preserve"> total de</w:t>
            </w:r>
            <w:r w:rsidR="006E2AD1">
              <w:rPr>
                <w:rFonts w:cstheme="minorHAnsi"/>
                <w:sz w:val="18"/>
                <w:szCs w:val="18"/>
              </w:rPr>
              <w:t xml:space="preserve">s dépôts d’espèces par cartes émises par des PSP étrangers acquis par l’établissement (cf. section 4.1.3.3) </w:t>
            </w:r>
            <w:r w:rsidR="00804634">
              <w:rPr>
                <w:rFonts w:cstheme="minorHAnsi"/>
                <w:sz w:val="18"/>
                <w:szCs w:val="18"/>
              </w:rPr>
              <w:t xml:space="preserve">+ le total des autres opérations aux GAB par cartes émises par des PSP étrangers acquis par l’établissement </w:t>
            </w:r>
            <w:r w:rsidR="006E2AD1">
              <w:rPr>
                <w:rFonts w:cstheme="minorHAnsi"/>
                <w:sz w:val="18"/>
                <w:szCs w:val="18"/>
              </w:rPr>
              <w:t>est = à 0.</w:t>
            </w:r>
          </w:p>
        </w:tc>
      </w:tr>
      <w:tr w:rsidR="003826F6" w:rsidRPr="00D822D3" w14:paraId="5F15C783" w14:textId="77777777" w:rsidTr="00204E65">
        <w:tc>
          <w:tcPr>
            <w:tcW w:w="9054" w:type="dxa"/>
          </w:tcPr>
          <w:p w14:paraId="282CF092" w14:textId="4DEC12C5" w:rsidR="003826F6" w:rsidRDefault="003826F6" w:rsidP="00804634">
            <w:pPr>
              <w:pStyle w:val="Paragraphedeliste"/>
              <w:autoSpaceDE w:val="0"/>
              <w:autoSpaceDN w:val="0"/>
              <w:adjustRightInd w:val="0"/>
              <w:ind w:left="0"/>
              <w:jc w:val="both"/>
              <w:rPr>
                <w:rFonts w:cstheme="minorHAnsi"/>
                <w:sz w:val="18"/>
                <w:szCs w:val="18"/>
              </w:rPr>
            </w:pPr>
            <w:r>
              <w:rPr>
                <w:rFonts w:cstheme="minorHAnsi"/>
                <w:sz w:val="18"/>
                <w:szCs w:val="18"/>
              </w:rPr>
              <w:t xml:space="preserve">Si le nombre </w:t>
            </w:r>
            <w:r w:rsidR="0096268D">
              <w:rPr>
                <w:rFonts w:cstheme="minorHAnsi"/>
                <w:sz w:val="18"/>
                <w:szCs w:val="18"/>
              </w:rPr>
              <w:t xml:space="preserve">total </w:t>
            </w:r>
            <w:r>
              <w:rPr>
                <w:rFonts w:cstheme="minorHAnsi"/>
                <w:sz w:val="18"/>
                <w:szCs w:val="18"/>
              </w:rPr>
              <w:t xml:space="preserve">de GAB avec une fonction de retrait d’espèces est = à 0, </w:t>
            </w:r>
            <w:r w:rsidR="007957E4">
              <w:rPr>
                <w:rFonts w:cstheme="minorHAnsi"/>
                <w:sz w:val="18"/>
                <w:szCs w:val="18"/>
              </w:rPr>
              <w:t>le</w:t>
            </w:r>
            <w:r w:rsidR="003E5E4F">
              <w:rPr>
                <w:rFonts w:cstheme="minorHAnsi"/>
                <w:sz w:val="18"/>
                <w:szCs w:val="18"/>
              </w:rPr>
              <w:t xml:space="preserve"> total de</w:t>
            </w:r>
            <w:r w:rsidR="007957E4">
              <w:rPr>
                <w:rFonts w:cstheme="minorHAnsi"/>
                <w:sz w:val="18"/>
                <w:szCs w:val="18"/>
              </w:rPr>
              <w:t>s retraits d’espèces aux GAB par cartes émises par des PSP français</w:t>
            </w:r>
            <w:r w:rsidR="00804634">
              <w:rPr>
                <w:rFonts w:cstheme="minorHAnsi"/>
                <w:sz w:val="18"/>
                <w:szCs w:val="18"/>
              </w:rPr>
              <w:t xml:space="preserve"> (cf. section 4.1.3.2) + le total des retraits d’espèces aux GAB par cartes émises par des PSP étrangers</w:t>
            </w:r>
            <w:r w:rsidR="007957E4">
              <w:rPr>
                <w:rFonts w:cstheme="minorHAnsi"/>
                <w:sz w:val="18"/>
                <w:szCs w:val="18"/>
              </w:rPr>
              <w:t xml:space="preserve"> (cf. section 4.1.3.</w:t>
            </w:r>
            <w:r w:rsidR="00804634">
              <w:rPr>
                <w:rFonts w:cstheme="minorHAnsi"/>
                <w:sz w:val="18"/>
                <w:szCs w:val="18"/>
              </w:rPr>
              <w:t>3</w:t>
            </w:r>
            <w:r w:rsidR="007957E4">
              <w:rPr>
                <w:rFonts w:cstheme="minorHAnsi"/>
                <w:sz w:val="18"/>
                <w:szCs w:val="18"/>
              </w:rPr>
              <w:t>) est = à 0.</w:t>
            </w:r>
          </w:p>
        </w:tc>
      </w:tr>
      <w:tr w:rsidR="006405FC" w:rsidRPr="00D822D3" w14:paraId="116B65E0" w14:textId="77777777" w:rsidTr="00204E65">
        <w:tc>
          <w:tcPr>
            <w:tcW w:w="9054" w:type="dxa"/>
          </w:tcPr>
          <w:p w14:paraId="6C6FA074" w14:textId="63A9721D" w:rsidR="006405FC" w:rsidRDefault="006405FC" w:rsidP="006405FC">
            <w:pPr>
              <w:pStyle w:val="Paragraphedeliste"/>
              <w:autoSpaceDE w:val="0"/>
              <w:autoSpaceDN w:val="0"/>
              <w:adjustRightInd w:val="0"/>
              <w:ind w:left="0"/>
              <w:jc w:val="both"/>
              <w:rPr>
                <w:rFonts w:cstheme="minorHAnsi"/>
                <w:sz w:val="18"/>
                <w:szCs w:val="18"/>
              </w:rPr>
            </w:pPr>
            <w:r>
              <w:rPr>
                <w:rFonts w:cstheme="minorHAnsi"/>
                <w:sz w:val="18"/>
                <w:szCs w:val="18"/>
              </w:rPr>
              <w:t>Si le nombre de GAB est = à 0, le</w:t>
            </w:r>
            <w:r w:rsidR="003E5E4F">
              <w:rPr>
                <w:rFonts w:cstheme="minorHAnsi"/>
                <w:sz w:val="18"/>
                <w:szCs w:val="18"/>
              </w:rPr>
              <w:t xml:space="preserve"> total de</w:t>
            </w:r>
            <w:r>
              <w:rPr>
                <w:rFonts w:cstheme="minorHAnsi"/>
                <w:sz w:val="18"/>
                <w:szCs w:val="18"/>
              </w:rPr>
              <w:t>s autres transactions aux GAB par cartes émises par des PSP français (cf. section 4.1.3.2) + le</w:t>
            </w:r>
            <w:r w:rsidR="003E5E4F">
              <w:rPr>
                <w:rFonts w:cstheme="minorHAnsi"/>
                <w:sz w:val="18"/>
                <w:szCs w:val="18"/>
              </w:rPr>
              <w:t xml:space="preserve"> total de</w:t>
            </w:r>
            <w:r>
              <w:rPr>
                <w:rFonts w:cstheme="minorHAnsi"/>
                <w:sz w:val="18"/>
                <w:szCs w:val="18"/>
              </w:rPr>
              <w:t>s autres transactions aux GAB par cartes émises par des PSP étrangers</w:t>
            </w:r>
            <w:r w:rsidR="00D13EBE">
              <w:rPr>
                <w:rFonts w:cstheme="minorHAnsi"/>
                <w:sz w:val="18"/>
                <w:szCs w:val="18"/>
              </w:rPr>
              <w:t xml:space="preserve"> (cf. section 4.1.3.3)</w:t>
            </w:r>
            <w:r>
              <w:rPr>
                <w:rFonts w:cstheme="minorHAnsi"/>
                <w:sz w:val="18"/>
                <w:szCs w:val="18"/>
              </w:rPr>
              <w:t xml:space="preserve"> est = à 0.</w:t>
            </w:r>
          </w:p>
        </w:tc>
      </w:tr>
      <w:tr w:rsidR="0096268D" w:rsidRPr="00D822D3" w14:paraId="301EFCBA" w14:textId="77777777" w:rsidTr="00204E65">
        <w:tc>
          <w:tcPr>
            <w:tcW w:w="9054" w:type="dxa"/>
          </w:tcPr>
          <w:p w14:paraId="545A87F7" w14:textId="6E2F641A" w:rsidR="0096268D" w:rsidRDefault="0096268D" w:rsidP="006405FC">
            <w:pPr>
              <w:pStyle w:val="Paragraphedeliste"/>
              <w:autoSpaceDE w:val="0"/>
              <w:autoSpaceDN w:val="0"/>
              <w:adjustRightInd w:val="0"/>
              <w:ind w:left="0"/>
              <w:jc w:val="both"/>
              <w:rPr>
                <w:rFonts w:cstheme="minorHAnsi"/>
                <w:sz w:val="18"/>
                <w:szCs w:val="18"/>
              </w:rPr>
            </w:pPr>
            <w:r>
              <w:rPr>
                <w:rFonts w:cstheme="minorHAnsi"/>
                <w:sz w:val="18"/>
                <w:szCs w:val="18"/>
              </w:rPr>
              <w:t>Si le n</w:t>
            </w:r>
            <w:r w:rsidR="0032342F">
              <w:rPr>
                <w:rFonts w:cstheme="minorHAnsi"/>
                <w:sz w:val="18"/>
                <w:szCs w:val="18"/>
              </w:rPr>
              <w:t>o</w:t>
            </w:r>
            <w:r>
              <w:rPr>
                <w:rFonts w:cstheme="minorHAnsi"/>
                <w:sz w:val="18"/>
                <w:szCs w:val="18"/>
              </w:rPr>
              <w:t>mbre</w:t>
            </w:r>
            <w:r w:rsidR="0032342F">
              <w:rPr>
                <w:rFonts w:cstheme="minorHAnsi"/>
                <w:sz w:val="18"/>
                <w:szCs w:val="18"/>
              </w:rPr>
              <w:t xml:space="preserve"> total</w:t>
            </w:r>
            <w:r>
              <w:rPr>
                <w:rFonts w:cstheme="minorHAnsi"/>
                <w:sz w:val="18"/>
                <w:szCs w:val="18"/>
              </w:rPr>
              <w:t xml:space="preserve"> de </w:t>
            </w:r>
            <w:r w:rsidR="0032342F">
              <w:rPr>
                <w:rFonts w:cstheme="minorHAnsi"/>
                <w:sz w:val="18"/>
                <w:szCs w:val="18"/>
              </w:rPr>
              <w:t>GAB + le nombre total de TPV (cf. section 4.1.1.2.3) + le nombre total de TCME (cf. section 4.1.1.2.4) est = à 0, le total des opération</w:t>
            </w:r>
            <w:r w:rsidR="009D051F">
              <w:rPr>
                <w:rFonts w:cstheme="minorHAnsi"/>
                <w:sz w:val="18"/>
                <w:szCs w:val="18"/>
              </w:rPr>
              <w:t>s</w:t>
            </w:r>
            <w:r w:rsidR="0032342F">
              <w:rPr>
                <w:rFonts w:cstheme="minorHAnsi"/>
                <w:sz w:val="18"/>
                <w:szCs w:val="18"/>
              </w:rPr>
              <w:t xml:space="preserve"> effectuées aux terminaux et GAB fournis par l’établissement avec des cartes émises par des PSP français (cf. section 4.1.3.2) + le total des opération effectuées aux terminaux et GAB fournis par l’établissement avec des cartes émises par des PSP étrangers (cf. section 4.1.3.3) est = à 0.</w:t>
            </w:r>
          </w:p>
        </w:tc>
      </w:tr>
    </w:tbl>
    <w:p w14:paraId="5EDA1779" w14:textId="040EC9EF" w:rsidR="007B392C" w:rsidRPr="007B392C" w:rsidRDefault="007B392C" w:rsidP="007B392C">
      <w:pPr>
        <w:autoSpaceDE w:val="0"/>
        <w:autoSpaceDN w:val="0"/>
        <w:adjustRightInd w:val="0"/>
        <w:spacing w:after="0" w:line="240" w:lineRule="auto"/>
        <w:jc w:val="both"/>
        <w:rPr>
          <w:rFonts w:cstheme="minorHAnsi"/>
        </w:rPr>
      </w:pPr>
    </w:p>
    <w:p w14:paraId="46658B53" w14:textId="77777777" w:rsidR="007B392C" w:rsidRPr="00B0579E" w:rsidRDefault="007B392C" w:rsidP="00E32537">
      <w:pPr>
        <w:pStyle w:val="Paragraphedeliste"/>
        <w:autoSpaceDE w:val="0"/>
        <w:autoSpaceDN w:val="0"/>
        <w:adjustRightInd w:val="0"/>
        <w:spacing w:after="0" w:line="240" w:lineRule="auto"/>
        <w:jc w:val="both"/>
        <w:rPr>
          <w:rFonts w:cstheme="minorHAnsi"/>
        </w:rPr>
      </w:pPr>
    </w:p>
    <w:p w14:paraId="2E26D186" w14:textId="466BF16A" w:rsidR="006F34CE" w:rsidRPr="00A675AF" w:rsidRDefault="005D5605" w:rsidP="007718A3">
      <w:pPr>
        <w:pStyle w:val="Titre5"/>
        <w:numPr>
          <w:ilvl w:val="4"/>
          <w:numId w:val="38"/>
        </w:numPr>
      </w:pPr>
      <w:r w:rsidRPr="00A675AF">
        <w:t>C</w:t>
      </w:r>
      <w:r w:rsidR="006F34CE" w:rsidRPr="00A675AF">
        <w:t>ontrats commerçants d’acceptation cartes</w:t>
      </w:r>
    </w:p>
    <w:p w14:paraId="2240C8CA" w14:textId="1D1E6D29" w:rsidR="008E7DD9" w:rsidRDefault="008E7DD9" w:rsidP="006F34CE">
      <w:pPr>
        <w:spacing w:before="120"/>
        <w:jc w:val="both"/>
        <w:rPr>
          <w:rFonts w:cstheme="minorHAnsi"/>
        </w:rPr>
      </w:pPr>
      <w:r w:rsidRPr="008E7DD9">
        <w:rPr>
          <w:rFonts w:cstheme="minorHAnsi"/>
        </w:rPr>
        <w:t xml:space="preserve">Il </w:t>
      </w:r>
      <w:r>
        <w:rPr>
          <w:rFonts w:cstheme="minorHAnsi"/>
        </w:rPr>
        <w:t xml:space="preserve">s’agit de dénombrer les contrats </w:t>
      </w:r>
      <w:r w:rsidR="005D5605">
        <w:rPr>
          <w:rFonts w:cstheme="minorHAnsi"/>
        </w:rPr>
        <w:t>signés par l’</w:t>
      </w:r>
      <w:r>
        <w:rPr>
          <w:rFonts w:cstheme="minorHAnsi"/>
        </w:rPr>
        <w:t>établissement</w:t>
      </w:r>
      <w:r w:rsidR="005D5605">
        <w:rPr>
          <w:rFonts w:cstheme="minorHAnsi"/>
        </w:rPr>
        <w:t xml:space="preserve"> en qualité d’acquéreur </w:t>
      </w:r>
      <w:r>
        <w:rPr>
          <w:rFonts w:cstheme="minorHAnsi"/>
        </w:rPr>
        <w:t>avec un accepteur (commerçant, prestataire de service, toute personne exerçant une profession libérale ou professionnelle).</w:t>
      </w:r>
    </w:p>
    <w:p w14:paraId="2A63AF52" w14:textId="3F697F5C" w:rsidR="008E7DD9" w:rsidRPr="00A675AF" w:rsidRDefault="007429D5" w:rsidP="008E7DD9">
      <w:pPr>
        <w:autoSpaceDE w:val="0"/>
        <w:autoSpaceDN w:val="0"/>
        <w:adjustRightInd w:val="0"/>
        <w:spacing w:after="0" w:line="240" w:lineRule="auto"/>
        <w:jc w:val="both"/>
        <w:rPr>
          <w:rFonts w:cstheme="minorHAnsi"/>
          <w:u w:val="single"/>
        </w:rPr>
      </w:pPr>
      <w:r w:rsidRPr="00A675AF">
        <w:rPr>
          <w:rFonts w:cstheme="minorHAnsi"/>
          <w:u w:val="single"/>
        </w:rPr>
        <w:t>Remarques</w:t>
      </w:r>
      <w:r w:rsidRPr="00A675AF">
        <w:rPr>
          <w:rFonts w:cstheme="minorHAnsi"/>
        </w:rPr>
        <w:t> </w:t>
      </w:r>
      <w:r w:rsidR="008E7DD9" w:rsidRPr="00A675AF">
        <w:rPr>
          <w:rFonts w:cstheme="minorHAnsi"/>
        </w:rPr>
        <w:t>:</w:t>
      </w:r>
    </w:p>
    <w:p w14:paraId="1F0A1A82" w14:textId="77777777" w:rsidR="00C06666" w:rsidRDefault="00C06666" w:rsidP="00594FDC">
      <w:pPr>
        <w:pStyle w:val="Paragraphedeliste"/>
        <w:numPr>
          <w:ilvl w:val="0"/>
          <w:numId w:val="3"/>
        </w:numPr>
        <w:spacing w:before="120"/>
        <w:jc w:val="both"/>
        <w:rPr>
          <w:rFonts w:cstheme="minorHAnsi"/>
        </w:rPr>
      </w:pPr>
      <w:r>
        <w:rPr>
          <w:rFonts w:cstheme="minorHAnsi"/>
        </w:rPr>
        <w:t>Un contrat qui recouvre plusieurs fonctions (ex : « vente à distance et « paiement de proximité ») doit être recensé dans chacune des décompositions correspondantes.</w:t>
      </w:r>
    </w:p>
    <w:p w14:paraId="6BEF4E3D" w14:textId="501D69E7" w:rsidR="007429D5" w:rsidRPr="00D801DF" w:rsidRDefault="007429D5" w:rsidP="00594FDC">
      <w:pPr>
        <w:pStyle w:val="Paragraphedeliste"/>
        <w:numPr>
          <w:ilvl w:val="0"/>
          <w:numId w:val="3"/>
        </w:numPr>
        <w:spacing w:before="120"/>
        <w:jc w:val="both"/>
        <w:rPr>
          <w:rFonts w:cstheme="minorHAnsi"/>
        </w:rPr>
      </w:pPr>
      <w:r>
        <w:rPr>
          <w:rFonts w:cstheme="minorHAnsi"/>
        </w:rPr>
        <w:t xml:space="preserve">Un contrat couvrant plusieurs réseaux d’acceptation (Cartes Bancaires, Visa, MasterCard, American Express, </w:t>
      </w:r>
      <w:proofErr w:type="spellStart"/>
      <w:r>
        <w:rPr>
          <w:rFonts w:cstheme="minorHAnsi"/>
        </w:rPr>
        <w:t>UnionPay</w:t>
      </w:r>
      <w:proofErr w:type="spellEnd"/>
      <w:r>
        <w:rPr>
          <w:rFonts w:cstheme="minorHAnsi"/>
        </w:rPr>
        <w:t xml:space="preserve"> International, JCB</w:t>
      </w:r>
      <w:r w:rsidR="00FC6447">
        <w:rPr>
          <w:rFonts w:cstheme="minorHAnsi"/>
        </w:rPr>
        <w:t>, …</w:t>
      </w:r>
      <w:r>
        <w:rPr>
          <w:rFonts w:cstheme="minorHAnsi"/>
        </w:rPr>
        <w:t>) ne doit être dénombré qu’une seule fois.</w:t>
      </w:r>
    </w:p>
    <w:p w14:paraId="3FDBF02B" w14:textId="77777777" w:rsidR="007578FE" w:rsidRDefault="007578FE" w:rsidP="007578FE">
      <w:pPr>
        <w:pStyle w:val="Paragraphedeliste"/>
        <w:spacing w:after="0" w:line="240" w:lineRule="auto"/>
        <w:jc w:val="both"/>
        <w:rPr>
          <w:rFonts w:ascii="Calibri" w:eastAsia="Times New Roman" w:hAnsi="Calibri" w:cs="Calibri"/>
          <w:b/>
          <w:smallCaps/>
          <w:color w:val="2E74B5" w:themeColor="accent1" w:themeShade="BF"/>
          <w:sz w:val="24"/>
          <w:szCs w:val="24"/>
          <w:lang w:eastAsia="fr-FR"/>
        </w:rPr>
      </w:pPr>
    </w:p>
    <w:p w14:paraId="739979A9" w14:textId="77777777" w:rsidR="007578FE" w:rsidRDefault="007578FE" w:rsidP="007578FE">
      <w:pPr>
        <w:spacing w:after="0" w:line="240" w:lineRule="auto"/>
        <w:jc w:val="both"/>
        <w:rPr>
          <w:rFonts w:ascii="Calibri" w:eastAsia="Times New Roman" w:hAnsi="Calibri" w:cs="Calibri"/>
          <w:b/>
          <w:smallCaps/>
          <w:color w:val="2E74B5" w:themeColor="accent1" w:themeShade="BF"/>
          <w:sz w:val="24"/>
          <w:szCs w:val="24"/>
          <w:lang w:eastAsia="fr-FR"/>
        </w:rPr>
      </w:pPr>
      <w:r>
        <w:rPr>
          <w:rFonts w:ascii="Calibri" w:eastAsia="Times New Roman" w:hAnsi="Calibri" w:cs="Calibri"/>
          <w:b/>
          <w:smallCaps/>
          <w:color w:val="2E74B5" w:themeColor="accent1" w:themeShade="BF"/>
          <w:sz w:val="24"/>
          <w:szCs w:val="24"/>
          <w:lang w:eastAsia="fr-FR"/>
        </w:rPr>
        <w:t>D</w:t>
      </w:r>
      <w:r w:rsidRPr="007578FE">
        <w:rPr>
          <w:rFonts w:ascii="Calibri" w:eastAsia="Times New Roman" w:hAnsi="Calibri" w:cs="Calibri"/>
          <w:b/>
          <w:smallCaps/>
          <w:color w:val="2E74B5" w:themeColor="accent1" w:themeShade="BF"/>
          <w:sz w:val="24"/>
          <w:szCs w:val="24"/>
          <w:lang w:eastAsia="fr-FR"/>
        </w:rPr>
        <w:t>onnées à déclarer :</w:t>
      </w:r>
    </w:p>
    <w:p w14:paraId="61A7B707" w14:textId="77777777" w:rsidR="00FF6952" w:rsidRPr="00A675AF" w:rsidRDefault="00FF6952" w:rsidP="00A675AF">
      <w:pPr>
        <w:spacing w:after="0" w:line="240" w:lineRule="auto"/>
        <w:jc w:val="both"/>
        <w:rPr>
          <w:rFonts w:ascii="Calibri" w:hAnsi="Calibri"/>
          <w:b/>
          <w:smallCaps/>
          <w:color w:val="2E74B5" w:themeColor="accent1" w:themeShade="BF"/>
          <w:sz w:val="24"/>
        </w:rPr>
      </w:pPr>
    </w:p>
    <w:tbl>
      <w:tblPr>
        <w:tblStyle w:val="Tableausimple2"/>
        <w:tblW w:w="9072" w:type="dxa"/>
        <w:tblBorders>
          <w:top w:val="single" w:sz="18" w:space="0" w:color="5B9BD5" w:themeColor="accent1"/>
          <w:bottom w:val="single" w:sz="2" w:space="0" w:color="5B9BD5" w:themeColor="accent1"/>
          <w:insideH w:val="single" w:sz="2" w:space="0" w:color="5B9BD5" w:themeColor="accent1"/>
          <w:insideV w:val="single" w:sz="2" w:space="0" w:color="5B9BD5" w:themeColor="accent1"/>
        </w:tblBorders>
        <w:tblLook w:val="04A0" w:firstRow="1" w:lastRow="0" w:firstColumn="1" w:lastColumn="0" w:noHBand="0" w:noVBand="1"/>
      </w:tblPr>
      <w:tblGrid>
        <w:gridCol w:w="334"/>
        <w:gridCol w:w="5053"/>
        <w:gridCol w:w="1559"/>
        <w:gridCol w:w="992"/>
        <w:gridCol w:w="1134"/>
      </w:tblGrid>
      <w:tr w:rsidR="00204E65" w:rsidRPr="008E7DD9" w14:paraId="12963991" w14:textId="6802F6BF" w:rsidTr="00CF54A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387" w:type="dxa"/>
            <w:gridSpan w:val="2"/>
            <w:tcBorders>
              <w:top w:val="single" w:sz="18" w:space="0" w:color="5B9BD5" w:themeColor="accent1"/>
              <w:bottom w:val="single" w:sz="18" w:space="0" w:color="5B9BD5" w:themeColor="accent1"/>
            </w:tcBorders>
            <w:noWrap/>
          </w:tcPr>
          <w:p w14:paraId="2A8DFE42" w14:textId="77777777" w:rsidR="00204E65" w:rsidRPr="00914CBF" w:rsidRDefault="00204E65" w:rsidP="00204E65">
            <w:pPr>
              <w:rPr>
                <w:rFonts w:ascii="Calibri" w:eastAsia="Times New Roman" w:hAnsi="Calibri" w:cs="Calibri"/>
                <w:sz w:val="18"/>
                <w:szCs w:val="18"/>
                <w:lang w:eastAsia="fr-FR"/>
              </w:rPr>
            </w:pPr>
          </w:p>
        </w:tc>
        <w:tc>
          <w:tcPr>
            <w:tcW w:w="155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clear" w:color="auto" w:fill="A6A6A6" w:themeFill="background1" w:themeFillShade="A6"/>
            <w:noWrap/>
          </w:tcPr>
          <w:p w14:paraId="2460046B" w14:textId="51A08B47" w:rsidR="00204E65" w:rsidRPr="00204E65" w:rsidRDefault="00204E65" w:rsidP="00204E6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4E36E10" w14:textId="2B346BA2" w:rsidR="00204E65" w:rsidRPr="00204E65" w:rsidRDefault="00204E65" w:rsidP="00204E6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204E65">
              <w:rPr>
                <w:rFonts w:cstheme="minorHAnsi"/>
                <w:bCs w:val="0"/>
                <w:sz w:val="14"/>
                <w:szCs w:val="18"/>
              </w:rPr>
              <w:t>Volume en unités</w:t>
            </w:r>
          </w:p>
        </w:tc>
        <w:tc>
          <w:tcPr>
            <w:tcW w:w="113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1511E83E" w14:textId="77777777" w:rsidR="00204E65" w:rsidRPr="00204E65" w:rsidRDefault="00204E65" w:rsidP="00204E6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204E65">
              <w:rPr>
                <w:rFonts w:cstheme="minorHAnsi"/>
                <w:bCs w:val="0"/>
                <w:sz w:val="14"/>
                <w:szCs w:val="18"/>
              </w:rPr>
              <w:t>Valeur en</w:t>
            </w:r>
          </w:p>
          <w:p w14:paraId="54C0EB9B" w14:textId="6B074373" w:rsidR="00204E65" w:rsidRPr="00204E65" w:rsidRDefault="00204E65" w:rsidP="00204E6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roofErr w:type="gramStart"/>
            <w:r w:rsidRPr="00204E65">
              <w:rPr>
                <w:rFonts w:cstheme="minorHAnsi"/>
                <w:bCs w:val="0"/>
                <w:sz w:val="14"/>
                <w:szCs w:val="18"/>
              </w:rPr>
              <w:t>euros</w:t>
            </w:r>
            <w:proofErr w:type="gramEnd"/>
          </w:p>
        </w:tc>
      </w:tr>
      <w:tr w:rsidR="00FD00A0" w:rsidRPr="008E7DD9" w14:paraId="5394817B" w14:textId="081B7A92" w:rsidTr="00204E65">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387" w:type="dxa"/>
            <w:gridSpan w:val="2"/>
            <w:tcBorders>
              <w:top w:val="single" w:sz="18" w:space="0" w:color="5B9BD5" w:themeColor="accent1"/>
            </w:tcBorders>
            <w:noWrap/>
            <w:hideMark/>
          </w:tcPr>
          <w:p w14:paraId="7A258485" w14:textId="77777777" w:rsidR="00FD00A0" w:rsidRPr="00914CBF" w:rsidRDefault="00FD00A0" w:rsidP="00102A2C">
            <w:pPr>
              <w:rPr>
                <w:rFonts w:ascii="Calibri" w:eastAsia="Times New Roman" w:hAnsi="Calibri" w:cs="Calibri"/>
                <w:sz w:val="18"/>
                <w:szCs w:val="18"/>
                <w:lang w:eastAsia="fr-FR"/>
              </w:rPr>
            </w:pPr>
            <w:r w:rsidRPr="00914CBF">
              <w:rPr>
                <w:rFonts w:ascii="Calibri" w:eastAsia="Times New Roman" w:hAnsi="Calibri" w:cs="Calibri"/>
                <w:sz w:val="18"/>
                <w:szCs w:val="18"/>
                <w:lang w:eastAsia="fr-FR"/>
              </w:rPr>
              <w:t>Nombre total de contrats commerçants d’acceptation cartes</w:t>
            </w:r>
          </w:p>
        </w:tc>
        <w:tc>
          <w:tcPr>
            <w:tcW w:w="1559" w:type="dxa"/>
            <w:vMerge w:val="restart"/>
            <w:tcBorders>
              <w:top w:val="single" w:sz="18" w:space="0" w:color="5B9BD5" w:themeColor="accent1"/>
            </w:tcBorders>
            <w:shd w:val="clear" w:color="auto" w:fill="A6A6A6" w:themeFill="background1" w:themeFillShade="A6"/>
            <w:noWrap/>
            <w:hideMark/>
          </w:tcPr>
          <w:p w14:paraId="0C59E1A0" w14:textId="78A0FA95" w:rsidR="00FD00A0" w:rsidRPr="00914CBF" w:rsidRDefault="00FD00A0" w:rsidP="00E556E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tcBorders>
          </w:tcPr>
          <w:p w14:paraId="79B355A5" w14:textId="77777777" w:rsidR="00FD00A0" w:rsidRPr="00914CBF" w:rsidRDefault="00FD00A0" w:rsidP="00E556E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18" w:space="0" w:color="5B9BD5" w:themeColor="accent1"/>
            </w:tcBorders>
            <w:shd w:val="clear" w:color="auto" w:fill="A6A6A6" w:themeFill="background1" w:themeFillShade="A6"/>
          </w:tcPr>
          <w:p w14:paraId="2139DDAD" w14:textId="77777777" w:rsidR="00FD00A0" w:rsidRPr="00914CBF" w:rsidRDefault="00FD00A0" w:rsidP="00E556E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FD00A0" w:rsidRPr="006F22AF" w14:paraId="30C3996E" w14:textId="43F9F6E3" w:rsidTr="00204E65">
        <w:trPr>
          <w:trHeight w:val="300"/>
        </w:trPr>
        <w:tc>
          <w:tcPr>
            <w:cnfStyle w:val="001000000000" w:firstRow="0" w:lastRow="0" w:firstColumn="1" w:lastColumn="0" w:oddVBand="0" w:evenVBand="0" w:oddHBand="0" w:evenHBand="0" w:firstRowFirstColumn="0" w:firstRowLastColumn="0" w:lastRowFirstColumn="0" w:lastRowLastColumn="0"/>
            <w:tcW w:w="334" w:type="dxa"/>
            <w:noWrap/>
            <w:hideMark/>
          </w:tcPr>
          <w:p w14:paraId="033837CF" w14:textId="0E960DF2" w:rsidR="00FD00A0" w:rsidRPr="00914CBF" w:rsidRDefault="00FD00A0" w:rsidP="00E556EF">
            <w:pPr>
              <w:rPr>
                <w:rFonts w:ascii="Calibri" w:eastAsia="Times New Roman" w:hAnsi="Calibri" w:cs="Calibri"/>
                <w:i/>
                <w:sz w:val="18"/>
                <w:szCs w:val="18"/>
                <w:lang w:eastAsia="fr-FR"/>
              </w:rPr>
            </w:pPr>
          </w:p>
        </w:tc>
        <w:tc>
          <w:tcPr>
            <w:tcW w:w="5053" w:type="dxa"/>
            <w:noWrap/>
            <w:hideMark/>
          </w:tcPr>
          <w:p w14:paraId="1EC1B7CC" w14:textId="77777777" w:rsidR="00FD00A0" w:rsidRPr="00914CBF" w:rsidRDefault="00FD00A0" w:rsidP="003D455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914CBF">
              <w:rPr>
                <w:rFonts w:ascii="Calibri" w:eastAsia="Times New Roman" w:hAnsi="Calibri" w:cs="Calibri"/>
                <w:i/>
                <w:sz w:val="18"/>
                <w:szCs w:val="18"/>
                <w:lang w:eastAsia="fr-FR"/>
              </w:rPr>
              <w:t>Dont contrats pour la « vente à distance »</w:t>
            </w:r>
          </w:p>
        </w:tc>
        <w:tc>
          <w:tcPr>
            <w:tcW w:w="1559" w:type="dxa"/>
            <w:vMerge/>
            <w:shd w:val="clear" w:color="auto" w:fill="A6A6A6" w:themeFill="background1" w:themeFillShade="A6"/>
            <w:noWrap/>
          </w:tcPr>
          <w:p w14:paraId="08B4DE6A" w14:textId="77777777" w:rsidR="00FD00A0" w:rsidRPr="00A675AF" w:rsidRDefault="00FD00A0" w:rsidP="00A675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Pr>
          <w:p w14:paraId="6F425426" w14:textId="77777777" w:rsidR="00FD00A0" w:rsidRPr="00A675AF" w:rsidRDefault="00FD00A0" w:rsidP="00A675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shd w:val="clear" w:color="auto" w:fill="A6A6A6" w:themeFill="background1" w:themeFillShade="A6"/>
          </w:tcPr>
          <w:p w14:paraId="67812F6A" w14:textId="77777777" w:rsidR="00FD00A0" w:rsidRPr="00A675AF" w:rsidRDefault="00FD00A0" w:rsidP="00A675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FD00A0" w:rsidRPr="006F22AF" w14:paraId="75738A85" w14:textId="6204E440" w:rsidTr="00204E65">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334" w:type="dxa"/>
            <w:noWrap/>
            <w:hideMark/>
          </w:tcPr>
          <w:p w14:paraId="5AE1DBAA" w14:textId="2DA1AED1" w:rsidR="00FD00A0" w:rsidRPr="00914CBF" w:rsidRDefault="00FD00A0" w:rsidP="00E556EF">
            <w:pPr>
              <w:rPr>
                <w:rFonts w:ascii="Calibri" w:eastAsia="Times New Roman" w:hAnsi="Calibri" w:cs="Calibri"/>
                <w:i/>
                <w:sz w:val="18"/>
                <w:szCs w:val="18"/>
                <w:lang w:eastAsia="fr-FR"/>
              </w:rPr>
            </w:pPr>
          </w:p>
        </w:tc>
        <w:tc>
          <w:tcPr>
            <w:tcW w:w="5053" w:type="dxa"/>
            <w:noWrap/>
            <w:hideMark/>
          </w:tcPr>
          <w:p w14:paraId="25B4E645" w14:textId="77777777" w:rsidR="00FD00A0" w:rsidRPr="00914CBF" w:rsidRDefault="00FD00A0" w:rsidP="003D455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914CBF">
              <w:rPr>
                <w:rFonts w:ascii="Calibri" w:eastAsia="Times New Roman" w:hAnsi="Calibri" w:cs="Calibri"/>
                <w:i/>
                <w:sz w:val="18"/>
                <w:szCs w:val="18"/>
                <w:lang w:eastAsia="fr-FR"/>
              </w:rPr>
              <w:t>Dont contrats pour le « paiement de proximité »</w:t>
            </w:r>
          </w:p>
        </w:tc>
        <w:tc>
          <w:tcPr>
            <w:tcW w:w="1559" w:type="dxa"/>
            <w:vMerge/>
            <w:shd w:val="clear" w:color="auto" w:fill="A6A6A6" w:themeFill="background1" w:themeFillShade="A6"/>
            <w:noWrap/>
          </w:tcPr>
          <w:p w14:paraId="27F2B2EB" w14:textId="77777777" w:rsidR="00FD00A0" w:rsidRPr="00A675AF" w:rsidRDefault="00FD00A0" w:rsidP="00A675A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Pr>
          <w:p w14:paraId="35D1C2AF" w14:textId="77777777" w:rsidR="00FD00A0" w:rsidRPr="00A675AF" w:rsidRDefault="00FD00A0" w:rsidP="00A675A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shd w:val="clear" w:color="auto" w:fill="A6A6A6" w:themeFill="background1" w:themeFillShade="A6"/>
          </w:tcPr>
          <w:p w14:paraId="70B556EB" w14:textId="77777777" w:rsidR="00FD00A0" w:rsidRPr="00A675AF" w:rsidRDefault="00FD00A0" w:rsidP="00A675A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FD00A0" w:rsidRPr="006F22AF" w14:paraId="2A3DC4A2" w14:textId="77D4763F" w:rsidTr="00204E65">
        <w:trPr>
          <w:trHeight w:val="213"/>
        </w:trPr>
        <w:tc>
          <w:tcPr>
            <w:cnfStyle w:val="001000000000" w:firstRow="0" w:lastRow="0" w:firstColumn="1" w:lastColumn="0" w:oddVBand="0" w:evenVBand="0" w:oddHBand="0" w:evenHBand="0" w:firstRowFirstColumn="0" w:firstRowLastColumn="0" w:lastRowFirstColumn="0" w:lastRowLastColumn="0"/>
            <w:tcW w:w="334" w:type="dxa"/>
            <w:noWrap/>
          </w:tcPr>
          <w:p w14:paraId="6C9615B0" w14:textId="77777777" w:rsidR="00FD00A0" w:rsidRPr="00914CBF" w:rsidRDefault="00FD00A0" w:rsidP="00E556EF">
            <w:pPr>
              <w:rPr>
                <w:rFonts w:ascii="Calibri" w:eastAsia="Times New Roman" w:hAnsi="Calibri" w:cs="Calibri"/>
                <w:i/>
                <w:sz w:val="18"/>
                <w:szCs w:val="18"/>
                <w:lang w:eastAsia="fr-FR"/>
              </w:rPr>
            </w:pPr>
          </w:p>
        </w:tc>
        <w:tc>
          <w:tcPr>
            <w:tcW w:w="5053" w:type="dxa"/>
            <w:noWrap/>
          </w:tcPr>
          <w:p w14:paraId="54CAE710" w14:textId="77777777" w:rsidR="00FD00A0" w:rsidRPr="00914CBF" w:rsidRDefault="00FD00A0" w:rsidP="003D455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914CBF">
              <w:rPr>
                <w:rFonts w:ascii="Calibri" w:eastAsia="Times New Roman" w:hAnsi="Calibri" w:cs="Calibri"/>
                <w:i/>
                <w:sz w:val="18"/>
                <w:szCs w:val="18"/>
                <w:lang w:eastAsia="fr-FR"/>
              </w:rPr>
              <w:t>Dont contrats pour le « paiement sur automate »</w:t>
            </w:r>
          </w:p>
        </w:tc>
        <w:tc>
          <w:tcPr>
            <w:tcW w:w="1559" w:type="dxa"/>
            <w:vMerge/>
            <w:shd w:val="clear" w:color="auto" w:fill="A6A6A6" w:themeFill="background1" w:themeFillShade="A6"/>
            <w:noWrap/>
          </w:tcPr>
          <w:p w14:paraId="070F40D6" w14:textId="77777777" w:rsidR="00FD00A0" w:rsidRPr="00A675AF" w:rsidRDefault="00FD00A0" w:rsidP="00A675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Pr>
          <w:p w14:paraId="1D2C39CD" w14:textId="77777777" w:rsidR="00FD00A0" w:rsidRPr="00A675AF" w:rsidRDefault="00FD00A0" w:rsidP="00A675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shd w:val="clear" w:color="auto" w:fill="A6A6A6" w:themeFill="background1" w:themeFillShade="A6"/>
          </w:tcPr>
          <w:p w14:paraId="2CC938E9" w14:textId="77777777" w:rsidR="00FD00A0" w:rsidRPr="00A675AF" w:rsidRDefault="00FD00A0" w:rsidP="00A675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7E361BCE" w14:textId="219E2187" w:rsidR="009E141A" w:rsidRDefault="009E141A" w:rsidP="009E141A">
      <w:pPr>
        <w:pStyle w:val="Paragraphedeliste"/>
        <w:autoSpaceDE w:val="0"/>
        <w:autoSpaceDN w:val="0"/>
        <w:adjustRightInd w:val="0"/>
        <w:spacing w:after="0" w:line="240" w:lineRule="auto"/>
        <w:jc w:val="both"/>
        <w:rPr>
          <w:rFonts w:cstheme="minorHAnsi"/>
        </w:rPr>
      </w:pPr>
    </w:p>
    <w:p w14:paraId="4A790B96" w14:textId="77777777" w:rsidR="003C024D" w:rsidRDefault="003C024D" w:rsidP="009E141A">
      <w:pPr>
        <w:pStyle w:val="Paragraphedeliste"/>
        <w:autoSpaceDE w:val="0"/>
        <w:autoSpaceDN w:val="0"/>
        <w:adjustRightInd w:val="0"/>
        <w:spacing w:after="0" w:line="240" w:lineRule="auto"/>
        <w:jc w:val="both"/>
        <w:rPr>
          <w:rFonts w:cstheme="minorHAnsi"/>
        </w:rPr>
      </w:pPr>
    </w:p>
    <w:p w14:paraId="21B21BDE" w14:textId="77777777" w:rsidR="005F7658" w:rsidRPr="00A675AF" w:rsidRDefault="005F7658" w:rsidP="005F7658">
      <w:pPr>
        <w:spacing w:after="0" w:line="240" w:lineRule="auto"/>
        <w:jc w:val="both"/>
        <w:rPr>
          <w:rFonts w:ascii="Calibri" w:hAnsi="Calibri"/>
          <w:b/>
          <w:smallCaps/>
          <w:color w:val="2E74B5" w:themeColor="accent1" w:themeShade="BF"/>
          <w:sz w:val="24"/>
        </w:rPr>
      </w:pPr>
      <w:r w:rsidRPr="00A675AF">
        <w:rPr>
          <w:rFonts w:ascii="Calibri" w:hAnsi="Calibri"/>
          <w:b/>
          <w:smallCaps/>
          <w:color w:val="2E74B5" w:themeColor="accent1" w:themeShade="BF"/>
          <w:sz w:val="24"/>
        </w:rPr>
        <w:t>Contrôles :</w:t>
      </w:r>
    </w:p>
    <w:p w14:paraId="48E3E459" w14:textId="77777777" w:rsidR="005F7658" w:rsidRDefault="005F7658" w:rsidP="005F7658">
      <w:pPr>
        <w:pStyle w:val="Paragraphedeliste"/>
        <w:autoSpaceDE w:val="0"/>
        <w:autoSpaceDN w:val="0"/>
        <w:adjustRightInd w:val="0"/>
        <w:spacing w:after="0" w:line="240" w:lineRule="auto"/>
        <w:jc w:val="both"/>
        <w:rPr>
          <w:rFonts w:cstheme="minorHAnsi"/>
        </w:rPr>
      </w:pPr>
    </w:p>
    <w:p w14:paraId="69BBF5DC" w14:textId="77777777" w:rsidR="005F7658" w:rsidRPr="002F77C9" w:rsidRDefault="005F7658" w:rsidP="005F7658">
      <w:pPr>
        <w:autoSpaceDE w:val="0"/>
        <w:autoSpaceDN w:val="0"/>
        <w:adjustRightInd w:val="0"/>
        <w:spacing w:after="0" w:line="240" w:lineRule="auto"/>
        <w:jc w:val="both"/>
        <w:rPr>
          <w:rFonts w:cstheme="minorHAnsi"/>
        </w:rPr>
      </w:pPr>
      <w:r w:rsidRPr="002F77C9">
        <w:rPr>
          <w:rFonts w:cstheme="minorHAnsi"/>
        </w:rPr>
        <w:t>Les règles de contrôle suivantes doivent être appliquées</w:t>
      </w:r>
      <w:r>
        <w:rPr>
          <w:rFonts w:cstheme="minorHAnsi"/>
        </w:rPr>
        <w:t>.</w:t>
      </w:r>
    </w:p>
    <w:p w14:paraId="6AD3D65B" w14:textId="77777777" w:rsidR="005F7658" w:rsidRPr="00822840" w:rsidRDefault="005F7658" w:rsidP="005F7658">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5F7658" w:rsidRPr="00B0579E" w14:paraId="62067AE2" w14:textId="77777777" w:rsidTr="00204E65">
        <w:tc>
          <w:tcPr>
            <w:tcW w:w="9054" w:type="dxa"/>
          </w:tcPr>
          <w:p w14:paraId="25BD0101" w14:textId="136F5441" w:rsidR="005F7658" w:rsidRDefault="005F7658" w:rsidP="007A1DA8">
            <w:pPr>
              <w:pStyle w:val="Paragraphedeliste"/>
              <w:autoSpaceDE w:val="0"/>
              <w:autoSpaceDN w:val="0"/>
              <w:adjustRightInd w:val="0"/>
              <w:ind w:left="0"/>
              <w:jc w:val="both"/>
              <w:rPr>
                <w:rFonts w:cstheme="minorHAnsi"/>
                <w:sz w:val="18"/>
                <w:szCs w:val="18"/>
              </w:rPr>
            </w:pPr>
            <w:r w:rsidRPr="00823312">
              <w:rPr>
                <w:rFonts w:cstheme="minorHAnsi"/>
                <w:sz w:val="18"/>
                <w:szCs w:val="18"/>
              </w:rPr>
              <w:t xml:space="preserve">Le nombre </w:t>
            </w:r>
            <w:r w:rsidR="00A95F57">
              <w:rPr>
                <w:rFonts w:cstheme="minorHAnsi"/>
                <w:sz w:val="18"/>
                <w:szCs w:val="18"/>
              </w:rPr>
              <w:t xml:space="preserve">total </w:t>
            </w:r>
            <w:r w:rsidRPr="00823312">
              <w:rPr>
                <w:rFonts w:cstheme="minorHAnsi"/>
                <w:sz w:val="18"/>
                <w:szCs w:val="18"/>
              </w:rPr>
              <w:t xml:space="preserve">de contrat est </w:t>
            </w:r>
            <w:r w:rsidR="00F65F02">
              <w:rPr>
                <w:rFonts w:cstheme="minorHAnsi"/>
                <w:sz w:val="18"/>
                <w:szCs w:val="18"/>
              </w:rPr>
              <w:t>&lt;</w:t>
            </w:r>
            <w:r w:rsidR="00A95F57">
              <w:rPr>
                <w:rFonts w:cstheme="minorHAnsi"/>
                <w:sz w:val="18"/>
                <w:szCs w:val="18"/>
              </w:rPr>
              <w:t xml:space="preserve"> ou =</w:t>
            </w:r>
            <w:r w:rsidRPr="00823312">
              <w:rPr>
                <w:rFonts w:cstheme="minorHAnsi"/>
                <w:sz w:val="18"/>
                <w:szCs w:val="18"/>
              </w:rPr>
              <w:t xml:space="preserve"> </w:t>
            </w:r>
            <w:r w:rsidR="008C0888">
              <w:rPr>
                <w:rFonts w:cstheme="minorHAnsi"/>
                <w:sz w:val="18"/>
                <w:szCs w:val="18"/>
              </w:rPr>
              <w:t>à la somme</w:t>
            </w:r>
            <w:r w:rsidRPr="00823312">
              <w:rPr>
                <w:rFonts w:cstheme="minorHAnsi"/>
                <w:sz w:val="18"/>
                <w:szCs w:val="18"/>
              </w:rPr>
              <w:t xml:space="preserve"> de</w:t>
            </w:r>
            <w:r w:rsidR="008C0888">
              <w:rPr>
                <w:rFonts w:cstheme="minorHAnsi"/>
                <w:sz w:val="18"/>
                <w:szCs w:val="18"/>
              </w:rPr>
              <w:t>s</w:t>
            </w:r>
            <w:r w:rsidRPr="00823312">
              <w:rPr>
                <w:rFonts w:cstheme="minorHAnsi"/>
                <w:sz w:val="18"/>
                <w:szCs w:val="18"/>
              </w:rPr>
              <w:t xml:space="preserve"> </w:t>
            </w:r>
            <w:r w:rsidR="008C0888">
              <w:rPr>
                <w:rFonts w:cstheme="minorHAnsi"/>
                <w:sz w:val="18"/>
                <w:szCs w:val="18"/>
              </w:rPr>
              <w:t>trois fonctions</w:t>
            </w:r>
            <w:r w:rsidRPr="00823312">
              <w:rPr>
                <w:rFonts w:cstheme="minorHAnsi"/>
                <w:sz w:val="18"/>
                <w:szCs w:val="18"/>
              </w:rPr>
              <w:t>.</w:t>
            </w:r>
          </w:p>
          <w:p w14:paraId="5BD34E4D" w14:textId="6CB98F57" w:rsidR="005F7658" w:rsidRPr="00823312" w:rsidRDefault="005F7658" w:rsidP="007A1DA8">
            <w:pPr>
              <w:pStyle w:val="Paragraphedeliste"/>
              <w:autoSpaceDE w:val="0"/>
              <w:autoSpaceDN w:val="0"/>
              <w:adjustRightInd w:val="0"/>
              <w:ind w:left="0"/>
              <w:jc w:val="both"/>
              <w:rPr>
                <w:rFonts w:cstheme="minorHAnsi"/>
                <w:sz w:val="18"/>
                <w:szCs w:val="18"/>
              </w:rPr>
            </w:pPr>
          </w:p>
        </w:tc>
      </w:tr>
    </w:tbl>
    <w:p w14:paraId="5F804936" w14:textId="018D45F4" w:rsidR="009E141A" w:rsidRDefault="009E141A" w:rsidP="009E141A">
      <w:pPr>
        <w:pStyle w:val="Paragraphedeliste"/>
        <w:autoSpaceDE w:val="0"/>
        <w:autoSpaceDN w:val="0"/>
        <w:adjustRightInd w:val="0"/>
        <w:spacing w:after="0" w:line="240" w:lineRule="auto"/>
        <w:jc w:val="both"/>
        <w:rPr>
          <w:rFonts w:cstheme="minorHAnsi"/>
        </w:rPr>
      </w:pPr>
    </w:p>
    <w:p w14:paraId="00857D9C" w14:textId="77777777" w:rsidR="00823312" w:rsidRPr="00B0579E" w:rsidRDefault="00823312" w:rsidP="009E141A">
      <w:pPr>
        <w:pStyle w:val="Paragraphedeliste"/>
        <w:autoSpaceDE w:val="0"/>
        <w:autoSpaceDN w:val="0"/>
        <w:adjustRightInd w:val="0"/>
        <w:spacing w:after="0" w:line="240" w:lineRule="auto"/>
        <w:jc w:val="both"/>
        <w:rPr>
          <w:rFonts w:cstheme="minorHAnsi"/>
        </w:rPr>
      </w:pPr>
    </w:p>
    <w:p w14:paraId="783B3721" w14:textId="7884DA77" w:rsidR="00C06666" w:rsidRPr="00106248" w:rsidRDefault="00C06666" w:rsidP="007718A3">
      <w:pPr>
        <w:pStyle w:val="Titre5"/>
        <w:numPr>
          <w:ilvl w:val="4"/>
          <w:numId w:val="38"/>
        </w:numPr>
      </w:pPr>
      <w:r w:rsidRPr="00A675AF">
        <w:t>Terminaux de Point de Vente (TPV)</w:t>
      </w:r>
    </w:p>
    <w:p w14:paraId="3678C18C" w14:textId="77777777" w:rsidR="002117C5" w:rsidRDefault="00FB74DA" w:rsidP="00C06666">
      <w:pPr>
        <w:spacing w:before="120"/>
        <w:jc w:val="both"/>
        <w:rPr>
          <w:rFonts w:cstheme="minorHAnsi"/>
        </w:rPr>
      </w:pPr>
      <w:r w:rsidRPr="00FA6CC4">
        <w:rPr>
          <w:rFonts w:cstheme="minorHAnsi"/>
        </w:rPr>
        <w:t>Il s’agit de dénombrer</w:t>
      </w:r>
      <w:r>
        <w:rPr>
          <w:rFonts w:cstheme="minorHAnsi"/>
        </w:rPr>
        <w:t xml:space="preserve"> les terminaux</w:t>
      </w:r>
      <w:r w:rsidR="00D16531">
        <w:rPr>
          <w:rFonts w:cstheme="minorHAnsi"/>
        </w:rPr>
        <w:t xml:space="preserve"> (physiques)</w:t>
      </w:r>
      <w:r>
        <w:rPr>
          <w:rFonts w:cstheme="minorHAnsi"/>
        </w:rPr>
        <w:t xml:space="preserve"> de point de vente, qu’ils soient fournis par l’établissement (par exemple en location) </w:t>
      </w:r>
      <w:r w:rsidR="003F3567">
        <w:rPr>
          <w:rFonts w:cstheme="minorHAnsi"/>
        </w:rPr>
        <w:t>ou par</w:t>
      </w:r>
      <w:r>
        <w:rPr>
          <w:rFonts w:cstheme="minorHAnsi"/>
        </w:rPr>
        <w:t xml:space="preserve"> le commerçant </w:t>
      </w:r>
      <w:r w:rsidR="00834F31">
        <w:rPr>
          <w:rFonts w:cstheme="minorHAnsi"/>
        </w:rPr>
        <w:t>(par exemple, fourni</w:t>
      </w:r>
      <w:r w:rsidR="003F3567">
        <w:rPr>
          <w:rFonts w:cstheme="minorHAnsi"/>
        </w:rPr>
        <w:t>s</w:t>
      </w:r>
      <w:r w:rsidR="00834F31">
        <w:rPr>
          <w:rFonts w:cstheme="minorHAnsi"/>
        </w:rPr>
        <w:t xml:space="preserve"> par un prestataire du commerçant).</w:t>
      </w:r>
      <w:r w:rsidR="003B4895">
        <w:rPr>
          <w:rFonts w:cstheme="minorHAnsi"/>
        </w:rPr>
        <w:t xml:space="preserve"> </w:t>
      </w:r>
      <w:r w:rsidR="002117C5">
        <w:rPr>
          <w:rFonts w:cstheme="minorHAnsi"/>
        </w:rPr>
        <w:t>Les terminaux doivent être dénombrés individuellement, par conséquent les terminaux passifs reliés à un serveur maître doivent également être pris en compte.</w:t>
      </w:r>
    </w:p>
    <w:p w14:paraId="12BEDBCF" w14:textId="014CABB9" w:rsidR="00FB74DA" w:rsidRDefault="003B4895" w:rsidP="00C06666">
      <w:pPr>
        <w:spacing w:before="120"/>
        <w:jc w:val="both"/>
        <w:rPr>
          <w:rFonts w:cstheme="minorHAnsi"/>
        </w:rPr>
      </w:pPr>
      <w:r>
        <w:rPr>
          <w:rFonts w:cstheme="minorHAnsi"/>
        </w:rPr>
        <w:t>La distinction doit être faite entre les terminaux de transfert électronique de fonds (TTEF</w:t>
      </w:r>
      <w:r w:rsidR="009C08FA">
        <w:rPr>
          <w:rFonts w:cstheme="minorHAnsi"/>
        </w:rPr>
        <w:t xml:space="preserve"> ou TPE</w:t>
      </w:r>
      <w:r>
        <w:rPr>
          <w:rFonts w:cstheme="minorHAnsi"/>
        </w:rPr>
        <w:t>) et les terminaux de carte de monnaie électronique.</w:t>
      </w:r>
    </w:p>
    <w:p w14:paraId="3F03608D" w14:textId="0BD72FB0" w:rsidR="00FF6952" w:rsidRPr="00292F65" w:rsidRDefault="007429D5" w:rsidP="00FF6952">
      <w:pPr>
        <w:autoSpaceDE w:val="0"/>
        <w:autoSpaceDN w:val="0"/>
        <w:adjustRightInd w:val="0"/>
        <w:spacing w:after="0" w:line="240" w:lineRule="auto"/>
        <w:jc w:val="both"/>
        <w:rPr>
          <w:rFonts w:cstheme="minorHAnsi"/>
        </w:rPr>
      </w:pPr>
      <w:r w:rsidRPr="00292F65">
        <w:rPr>
          <w:rFonts w:cstheme="minorHAnsi"/>
          <w:u w:val="single"/>
        </w:rPr>
        <w:t>Remarques</w:t>
      </w:r>
      <w:r>
        <w:rPr>
          <w:rFonts w:cstheme="minorHAnsi"/>
        </w:rPr>
        <w:t> </w:t>
      </w:r>
      <w:r w:rsidR="00FF6952" w:rsidRPr="00292F65">
        <w:rPr>
          <w:rFonts w:cstheme="minorHAnsi"/>
        </w:rPr>
        <w:t>:</w:t>
      </w:r>
    </w:p>
    <w:p w14:paraId="7F9BDE94" w14:textId="594D394B" w:rsidR="00834F31" w:rsidRDefault="00834F31" w:rsidP="00594FDC">
      <w:pPr>
        <w:pStyle w:val="Paragraphedeliste"/>
        <w:numPr>
          <w:ilvl w:val="0"/>
          <w:numId w:val="3"/>
        </w:numPr>
        <w:jc w:val="both"/>
        <w:rPr>
          <w:rFonts w:cstheme="minorHAnsi"/>
        </w:rPr>
      </w:pPr>
      <w:r w:rsidRPr="00FF6952">
        <w:rPr>
          <w:rFonts w:cstheme="minorHAnsi"/>
        </w:rPr>
        <w:t>Le dénombrement des TPV physiques peut-être fait sur la base des données (code banque acquéreur, numéro de SIRET, numéro de contrat, terminal d’acceptation et l’Identifiant du Terminal de Paiement) pouvant être mises à disposition du déclarant par le GCB (Groupement des Cartes Bancaires).</w:t>
      </w:r>
    </w:p>
    <w:p w14:paraId="44E530DF" w14:textId="77C1BD93" w:rsidR="007C41AD" w:rsidRDefault="007C41AD" w:rsidP="00594FDC">
      <w:pPr>
        <w:pStyle w:val="Paragraphedeliste"/>
        <w:numPr>
          <w:ilvl w:val="0"/>
          <w:numId w:val="3"/>
        </w:numPr>
        <w:spacing w:before="120"/>
        <w:jc w:val="both"/>
        <w:rPr>
          <w:rFonts w:cstheme="minorHAnsi"/>
        </w:rPr>
      </w:pPr>
      <w:r w:rsidRPr="00DE21E4">
        <w:rPr>
          <w:rFonts w:cstheme="minorHAnsi"/>
        </w:rPr>
        <w:t xml:space="preserve">Sont exclus, les </w:t>
      </w:r>
      <w:r>
        <w:rPr>
          <w:rFonts w:cstheme="minorHAnsi"/>
        </w:rPr>
        <w:t>terminaux</w:t>
      </w:r>
      <w:r w:rsidRPr="00DE21E4">
        <w:rPr>
          <w:rFonts w:cstheme="minorHAnsi"/>
        </w:rPr>
        <w:t xml:space="preserve"> </w:t>
      </w:r>
      <w:r w:rsidR="00325501">
        <w:rPr>
          <w:rFonts w:cstheme="minorHAnsi"/>
        </w:rPr>
        <w:t xml:space="preserve">pour lesquels les opérations sont acquises par </w:t>
      </w:r>
      <w:r w:rsidRPr="00DE21E4">
        <w:rPr>
          <w:rFonts w:cstheme="minorHAnsi"/>
        </w:rPr>
        <w:t>des succursales et/ou des filiales à l’étranger.</w:t>
      </w:r>
    </w:p>
    <w:p w14:paraId="23F384C4" w14:textId="77777777" w:rsidR="008C717A" w:rsidRPr="008C717A" w:rsidRDefault="008C717A" w:rsidP="00594FDC">
      <w:pPr>
        <w:pStyle w:val="Paragraphedeliste"/>
        <w:numPr>
          <w:ilvl w:val="0"/>
          <w:numId w:val="3"/>
        </w:numPr>
        <w:spacing w:before="120"/>
        <w:jc w:val="both"/>
        <w:rPr>
          <w:rFonts w:cstheme="minorHAnsi"/>
        </w:rPr>
      </w:pPr>
      <w:r w:rsidRPr="008C717A">
        <w:rPr>
          <w:rFonts w:cstheme="minorHAnsi"/>
        </w:rPr>
        <w:t>Les dispositifs permettant l’acceptation sur mobile sont considérés comme des TPV.</w:t>
      </w:r>
    </w:p>
    <w:p w14:paraId="503906FA" w14:textId="4F57198A" w:rsidR="008C717A" w:rsidRPr="008C717A" w:rsidRDefault="008C717A" w:rsidP="00594FDC">
      <w:pPr>
        <w:pStyle w:val="Paragraphedeliste"/>
        <w:numPr>
          <w:ilvl w:val="0"/>
          <w:numId w:val="3"/>
        </w:numPr>
        <w:spacing w:before="120"/>
        <w:jc w:val="both"/>
        <w:rPr>
          <w:rFonts w:cstheme="minorHAnsi"/>
        </w:rPr>
      </w:pPr>
      <w:r w:rsidRPr="008C717A">
        <w:rPr>
          <w:rFonts w:cstheme="minorHAnsi"/>
        </w:rPr>
        <w:t>En France, les «</w:t>
      </w:r>
      <w:r>
        <w:rPr>
          <w:rFonts w:cstheme="minorHAnsi"/>
        </w:rPr>
        <w:t> </w:t>
      </w:r>
      <w:r w:rsidRPr="008C717A">
        <w:rPr>
          <w:rFonts w:cstheme="minorHAnsi"/>
        </w:rPr>
        <w:t>Terminaux de Transfert Électronique de fonds (TTEF)</w:t>
      </w:r>
      <w:r>
        <w:rPr>
          <w:rFonts w:cstheme="minorHAnsi"/>
        </w:rPr>
        <w:t> </w:t>
      </w:r>
      <w:r w:rsidRPr="008C717A">
        <w:rPr>
          <w:rFonts w:cstheme="minorHAnsi"/>
        </w:rPr>
        <w:t>» sont plus communément appelés «</w:t>
      </w:r>
      <w:r>
        <w:rPr>
          <w:rFonts w:cstheme="minorHAnsi"/>
        </w:rPr>
        <w:t> </w:t>
      </w:r>
      <w:r w:rsidRPr="008C717A">
        <w:rPr>
          <w:rFonts w:cstheme="minorHAnsi"/>
        </w:rPr>
        <w:t>Terminaux de Paiement Électronique (TPE)</w:t>
      </w:r>
      <w:r>
        <w:rPr>
          <w:rFonts w:cstheme="minorHAnsi"/>
        </w:rPr>
        <w:t> </w:t>
      </w:r>
      <w:r w:rsidRPr="008C717A">
        <w:rPr>
          <w:rFonts w:cstheme="minorHAnsi"/>
        </w:rPr>
        <w:t>».</w:t>
      </w:r>
    </w:p>
    <w:p w14:paraId="63E40910" w14:textId="1374A2C1" w:rsidR="008C717A" w:rsidRDefault="008C717A" w:rsidP="00594FDC">
      <w:pPr>
        <w:pStyle w:val="Paragraphedeliste"/>
        <w:numPr>
          <w:ilvl w:val="0"/>
          <w:numId w:val="3"/>
        </w:numPr>
        <w:spacing w:before="120"/>
        <w:jc w:val="both"/>
        <w:rPr>
          <w:rFonts w:cstheme="minorHAnsi"/>
        </w:rPr>
      </w:pPr>
      <w:r w:rsidRPr="008C717A">
        <w:rPr>
          <w:rFonts w:cstheme="minorHAnsi"/>
        </w:rPr>
        <w:t>De même, du fait de la disparition en France des dispositifs anciens (de type «</w:t>
      </w:r>
      <w:r>
        <w:rPr>
          <w:rFonts w:cstheme="minorHAnsi"/>
        </w:rPr>
        <w:t> </w:t>
      </w:r>
      <w:r w:rsidRPr="008C717A">
        <w:rPr>
          <w:rFonts w:cstheme="minorHAnsi"/>
        </w:rPr>
        <w:t>Fer à repasser</w:t>
      </w:r>
      <w:r>
        <w:rPr>
          <w:rFonts w:cstheme="minorHAnsi"/>
        </w:rPr>
        <w:t> </w:t>
      </w:r>
      <w:r w:rsidRPr="008C717A">
        <w:rPr>
          <w:rFonts w:cstheme="minorHAnsi"/>
        </w:rPr>
        <w:t>») basés sur l’enregistrement manuel sur bons papier des informations relatives au paiement, TPV et TTEF regroupent les mêmes terminaux</w:t>
      </w:r>
      <w:r>
        <w:rPr>
          <w:rFonts w:cstheme="minorHAnsi"/>
        </w:rPr>
        <w:t xml:space="preserve"> (Cf. règles de contrôle ci-dessous)</w:t>
      </w:r>
      <w:r w:rsidRPr="008C717A">
        <w:rPr>
          <w:rFonts w:cstheme="minorHAnsi"/>
        </w:rPr>
        <w:t>.</w:t>
      </w:r>
    </w:p>
    <w:p w14:paraId="455E9E36" w14:textId="77777777" w:rsidR="008514A0" w:rsidRDefault="008514A0" w:rsidP="007578FE">
      <w:pPr>
        <w:spacing w:after="0" w:line="240" w:lineRule="auto"/>
        <w:jc w:val="both"/>
        <w:rPr>
          <w:rFonts w:ascii="Calibri" w:eastAsia="Times New Roman" w:hAnsi="Calibri" w:cs="Calibri"/>
          <w:b/>
          <w:smallCaps/>
          <w:color w:val="2E74B5" w:themeColor="accent1" w:themeShade="BF"/>
          <w:sz w:val="24"/>
          <w:szCs w:val="24"/>
          <w:lang w:eastAsia="fr-FR"/>
        </w:rPr>
      </w:pPr>
    </w:p>
    <w:p w14:paraId="3887371C" w14:textId="397FB424" w:rsidR="007578FE" w:rsidRDefault="007578FE" w:rsidP="007578FE">
      <w:pPr>
        <w:spacing w:after="0" w:line="240" w:lineRule="auto"/>
        <w:jc w:val="both"/>
        <w:rPr>
          <w:rFonts w:ascii="Calibri" w:eastAsia="Times New Roman" w:hAnsi="Calibri" w:cs="Calibri"/>
          <w:b/>
          <w:smallCaps/>
          <w:color w:val="2E74B5" w:themeColor="accent1" w:themeShade="BF"/>
          <w:sz w:val="24"/>
          <w:szCs w:val="24"/>
          <w:lang w:eastAsia="fr-FR"/>
        </w:rPr>
      </w:pPr>
      <w:r>
        <w:rPr>
          <w:rFonts w:ascii="Calibri" w:eastAsia="Times New Roman" w:hAnsi="Calibri" w:cs="Calibri"/>
          <w:b/>
          <w:smallCaps/>
          <w:color w:val="2E74B5" w:themeColor="accent1" w:themeShade="BF"/>
          <w:sz w:val="24"/>
          <w:szCs w:val="24"/>
          <w:lang w:eastAsia="fr-FR"/>
        </w:rPr>
        <w:t>D</w:t>
      </w:r>
      <w:r w:rsidRPr="007578FE">
        <w:rPr>
          <w:rFonts w:ascii="Calibri" w:eastAsia="Times New Roman" w:hAnsi="Calibri" w:cs="Calibri"/>
          <w:b/>
          <w:smallCaps/>
          <w:color w:val="2E74B5" w:themeColor="accent1" w:themeShade="BF"/>
          <w:sz w:val="24"/>
          <w:szCs w:val="24"/>
          <w:lang w:eastAsia="fr-FR"/>
        </w:rPr>
        <w:t>onnées à déclarer :</w:t>
      </w:r>
    </w:p>
    <w:p w14:paraId="4A6FD089" w14:textId="5B93FEAB" w:rsidR="00914CBF" w:rsidRDefault="00914CBF" w:rsidP="00A675AF">
      <w:pPr>
        <w:spacing w:after="0" w:line="240" w:lineRule="auto"/>
        <w:jc w:val="both"/>
        <w:rPr>
          <w:rFonts w:ascii="Calibri" w:hAnsi="Calibri"/>
          <w:b/>
          <w:smallCaps/>
          <w:color w:val="2E74B5" w:themeColor="accent1" w:themeShade="BF"/>
          <w:sz w:val="24"/>
        </w:rPr>
      </w:pPr>
    </w:p>
    <w:tbl>
      <w:tblPr>
        <w:tblW w:w="9110" w:type="dxa"/>
        <w:tblInd w:w="-38" w:type="dxa"/>
        <w:tblLayout w:type="fixed"/>
        <w:tblCellMar>
          <w:left w:w="30" w:type="dxa"/>
          <w:right w:w="30" w:type="dxa"/>
        </w:tblCellMar>
        <w:tblLook w:val="0000" w:firstRow="0" w:lastRow="0" w:firstColumn="0" w:lastColumn="0" w:noHBand="0" w:noVBand="0"/>
      </w:tblPr>
      <w:tblGrid>
        <w:gridCol w:w="132"/>
        <w:gridCol w:w="233"/>
        <w:gridCol w:w="2508"/>
        <w:gridCol w:w="3119"/>
        <w:gridCol w:w="1134"/>
        <w:gridCol w:w="992"/>
        <w:gridCol w:w="992"/>
      </w:tblGrid>
      <w:tr w:rsidR="007A1DA8" w:rsidRPr="003538A2" w14:paraId="04581C00" w14:textId="24E79D66" w:rsidTr="00204E65">
        <w:trPr>
          <w:trHeight w:val="594"/>
        </w:trPr>
        <w:tc>
          <w:tcPr>
            <w:tcW w:w="5992" w:type="dxa"/>
            <w:gridSpan w:val="4"/>
            <w:tcBorders>
              <w:top w:val="single" w:sz="18" w:space="0" w:color="5B9BD5" w:themeColor="accent1"/>
              <w:bottom w:val="single" w:sz="18" w:space="0" w:color="5B9BD5" w:themeColor="accent1"/>
              <w:right w:val="single" w:sz="2" w:space="0" w:color="5B9BD5" w:themeColor="accent1"/>
            </w:tcBorders>
            <w:shd w:val="solid" w:color="FFFFFF" w:fill="000000"/>
          </w:tcPr>
          <w:p w14:paraId="367DBEEC" w14:textId="77777777" w:rsidR="007A1DA8" w:rsidRPr="00095DC9" w:rsidRDefault="007A1DA8" w:rsidP="00095DC9">
            <w:pPr>
              <w:autoSpaceDE w:val="0"/>
              <w:autoSpaceDN w:val="0"/>
              <w:adjustRightInd w:val="0"/>
              <w:spacing w:after="0" w:line="240" w:lineRule="auto"/>
              <w:rPr>
                <w:rFonts w:cstheme="minorHAnsi"/>
                <w:b/>
                <w:bCs/>
                <w:sz w:val="14"/>
                <w:szCs w:val="18"/>
              </w:rPr>
            </w:pP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11124119" w14:textId="544C355E" w:rsidR="007A1DA8" w:rsidRDefault="00CF54A9" w:rsidP="007A1DA8">
            <w:pPr>
              <w:autoSpaceDE w:val="0"/>
              <w:autoSpaceDN w:val="0"/>
              <w:adjustRightInd w:val="0"/>
              <w:spacing w:after="0" w:line="240" w:lineRule="auto"/>
              <w:jc w:val="center"/>
              <w:rPr>
                <w:rFonts w:cstheme="minorHAnsi"/>
                <w:b/>
                <w:bCs/>
                <w:sz w:val="14"/>
                <w:szCs w:val="18"/>
              </w:rPr>
            </w:pPr>
            <w:r>
              <w:rPr>
                <w:rFonts w:cstheme="minorHAnsi"/>
                <w:b/>
                <w:bCs/>
                <w:sz w:val="14"/>
                <w:szCs w:val="18"/>
              </w:rPr>
              <w:t>Pays de localisation du terminal</w:t>
            </w:r>
          </w:p>
        </w:tc>
        <w:tc>
          <w:tcPr>
            <w:tcW w:w="992"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439425AD" w14:textId="73F566A5" w:rsidR="007A1DA8" w:rsidRDefault="007A1DA8" w:rsidP="007A1DA8">
            <w:pPr>
              <w:autoSpaceDE w:val="0"/>
              <w:autoSpaceDN w:val="0"/>
              <w:adjustRightInd w:val="0"/>
              <w:spacing w:after="0" w:line="240" w:lineRule="auto"/>
              <w:jc w:val="center"/>
              <w:rPr>
                <w:rFonts w:cstheme="minorHAnsi"/>
                <w:b/>
                <w:bCs/>
                <w:sz w:val="14"/>
                <w:szCs w:val="18"/>
              </w:rPr>
            </w:pPr>
            <w:r>
              <w:rPr>
                <w:rFonts w:cstheme="minorHAnsi"/>
                <w:b/>
                <w:bCs/>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638D63F0" w14:textId="77777777" w:rsidR="007A1DA8" w:rsidRDefault="007A1DA8" w:rsidP="007A1DA8">
            <w:pPr>
              <w:autoSpaceDE w:val="0"/>
              <w:autoSpaceDN w:val="0"/>
              <w:adjustRightInd w:val="0"/>
              <w:spacing w:after="0" w:line="240" w:lineRule="auto"/>
              <w:jc w:val="center"/>
              <w:rPr>
                <w:rFonts w:cstheme="minorHAnsi"/>
                <w:b/>
                <w:bCs/>
                <w:sz w:val="14"/>
                <w:szCs w:val="18"/>
              </w:rPr>
            </w:pPr>
            <w:r>
              <w:rPr>
                <w:rFonts w:cstheme="minorHAnsi"/>
                <w:b/>
                <w:bCs/>
                <w:sz w:val="14"/>
                <w:szCs w:val="18"/>
              </w:rPr>
              <w:t xml:space="preserve">Valeur en </w:t>
            </w:r>
          </w:p>
          <w:p w14:paraId="648E11BE" w14:textId="65ED817C" w:rsidR="007A1DA8" w:rsidRDefault="007A1DA8" w:rsidP="007A1DA8">
            <w:pPr>
              <w:autoSpaceDE w:val="0"/>
              <w:autoSpaceDN w:val="0"/>
              <w:adjustRightInd w:val="0"/>
              <w:spacing w:after="0" w:line="240" w:lineRule="auto"/>
              <w:jc w:val="center"/>
              <w:rPr>
                <w:rFonts w:cstheme="minorHAnsi"/>
                <w:b/>
                <w:bCs/>
                <w:sz w:val="14"/>
                <w:szCs w:val="18"/>
              </w:rPr>
            </w:pPr>
            <w:proofErr w:type="gramStart"/>
            <w:r>
              <w:rPr>
                <w:rFonts w:cstheme="minorHAnsi"/>
                <w:b/>
                <w:bCs/>
                <w:sz w:val="14"/>
                <w:szCs w:val="18"/>
              </w:rPr>
              <w:t>euros</w:t>
            </w:r>
            <w:proofErr w:type="gramEnd"/>
          </w:p>
        </w:tc>
      </w:tr>
      <w:tr w:rsidR="00204E65" w:rsidRPr="003538A2" w14:paraId="0CA5F57F" w14:textId="394B8F00" w:rsidTr="00A54E21">
        <w:trPr>
          <w:trHeight w:val="560"/>
        </w:trPr>
        <w:tc>
          <w:tcPr>
            <w:tcW w:w="2873" w:type="dxa"/>
            <w:gridSpan w:val="3"/>
            <w:tcBorders>
              <w:top w:val="single" w:sz="18" w:space="0" w:color="5B9BD5" w:themeColor="accent1"/>
              <w:bottom w:val="single" w:sz="2" w:space="0" w:color="5B9BD5" w:themeColor="accent1"/>
              <w:right w:val="single" w:sz="2" w:space="0" w:color="5B9BD5" w:themeColor="accent1"/>
            </w:tcBorders>
            <w:shd w:val="solid" w:color="FFFFFF" w:fill="000000"/>
          </w:tcPr>
          <w:p w14:paraId="1A6910B1" w14:textId="77777777" w:rsidR="00204E65" w:rsidRPr="00095DC9" w:rsidRDefault="00204E65" w:rsidP="007112D8">
            <w:pPr>
              <w:autoSpaceDE w:val="0"/>
              <w:autoSpaceDN w:val="0"/>
              <w:adjustRightInd w:val="0"/>
              <w:spacing w:after="0" w:line="240" w:lineRule="auto"/>
              <w:rPr>
                <w:rFonts w:cstheme="minorHAnsi"/>
                <w:b/>
                <w:bCs/>
                <w:sz w:val="14"/>
                <w:szCs w:val="18"/>
              </w:rPr>
            </w:pPr>
            <w:r w:rsidRPr="00095DC9">
              <w:rPr>
                <w:rFonts w:cstheme="minorHAnsi"/>
                <w:b/>
                <w:bCs/>
                <w:sz w:val="14"/>
                <w:szCs w:val="18"/>
              </w:rPr>
              <w:t>Nombre total de terminaux de point de vente (TPV)</w:t>
            </w:r>
          </w:p>
        </w:tc>
        <w:tc>
          <w:tcPr>
            <w:tcW w:w="3119"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0A55454B" w14:textId="77777777" w:rsidR="00204E65" w:rsidRPr="00095DC9" w:rsidRDefault="00204E65" w:rsidP="00095DC9">
            <w:pPr>
              <w:autoSpaceDE w:val="0"/>
              <w:autoSpaceDN w:val="0"/>
              <w:adjustRightInd w:val="0"/>
              <w:spacing w:after="0" w:line="240" w:lineRule="auto"/>
              <w:rPr>
                <w:rFonts w:cstheme="minorHAnsi"/>
                <w:b/>
                <w:bCs/>
                <w:sz w:val="14"/>
                <w:szCs w:val="18"/>
              </w:rPr>
            </w:pPr>
            <w:r w:rsidRPr="00095DC9">
              <w:rPr>
                <w:rFonts w:cstheme="minorHAnsi"/>
                <w:b/>
                <w:bCs/>
                <w:sz w:val="14"/>
                <w:szCs w:val="18"/>
              </w:rPr>
              <w:t>Dispositif permettant l’utilisation de cartes de paiement à un point de vente physique (non virtuel).</w:t>
            </w:r>
          </w:p>
          <w:p w14:paraId="4BB22799" w14:textId="3DC5AB7B" w:rsidR="00204E65" w:rsidRPr="00095DC9" w:rsidRDefault="00204E65" w:rsidP="00095DC9">
            <w:pPr>
              <w:autoSpaceDE w:val="0"/>
              <w:autoSpaceDN w:val="0"/>
              <w:adjustRightInd w:val="0"/>
              <w:spacing w:after="0" w:line="240" w:lineRule="auto"/>
              <w:rPr>
                <w:rFonts w:ascii="Calibri" w:hAnsi="Calibri" w:cs="Calibri"/>
                <w:bCs/>
                <w:color w:val="000000"/>
                <w:sz w:val="24"/>
                <w:szCs w:val="24"/>
              </w:rPr>
            </w:pPr>
          </w:p>
        </w:tc>
        <w:tc>
          <w:tcPr>
            <w:tcW w:w="1134" w:type="dxa"/>
            <w:vMerge w:val="restart"/>
            <w:tcBorders>
              <w:top w:val="single" w:sz="18" w:space="0" w:color="5B9BD5" w:themeColor="accent1"/>
              <w:left w:val="single" w:sz="2" w:space="0" w:color="5B9BD5" w:themeColor="accent1"/>
              <w:right w:val="single" w:sz="2" w:space="0" w:color="5B9BD5" w:themeColor="accent1"/>
            </w:tcBorders>
            <w:shd w:val="solid" w:color="FFFFFF" w:fill="000000"/>
          </w:tcPr>
          <w:p w14:paraId="34A8776B" w14:textId="1C68C364" w:rsidR="00CF54A9" w:rsidRPr="002F4AD9" w:rsidRDefault="00CF54A9" w:rsidP="00A54E21">
            <w:pPr>
              <w:autoSpaceDE w:val="0"/>
              <w:autoSpaceDN w:val="0"/>
              <w:adjustRightInd w:val="0"/>
              <w:spacing w:after="0" w:line="240" w:lineRule="auto"/>
              <w:jc w:val="center"/>
              <w:rPr>
                <w:rFonts w:cstheme="minorHAnsi"/>
                <w:b/>
                <w:bCs/>
                <w:sz w:val="14"/>
                <w:szCs w:val="14"/>
              </w:rPr>
            </w:pPr>
            <w:r w:rsidRPr="002F4AD9">
              <w:rPr>
                <w:b/>
                <w:sz w:val="12"/>
              </w:rPr>
              <w:t xml:space="preserve">Selon ventilation géographique </w:t>
            </w:r>
            <w:proofErr w:type="gramStart"/>
            <w:r w:rsidRPr="002F4AD9">
              <w:rPr>
                <w:b/>
                <w:sz w:val="12"/>
              </w:rPr>
              <w:t>en  section</w:t>
            </w:r>
            <w:proofErr w:type="gramEnd"/>
            <w:r w:rsidRPr="002F4AD9">
              <w:rPr>
                <w:b/>
                <w:sz w:val="12"/>
              </w:rPr>
              <w:t xml:space="preserve"> 5</w:t>
            </w:r>
            <w:r w:rsidR="002F4AD9" w:rsidRPr="002F4AD9">
              <w:rPr>
                <w:b/>
                <w:sz w:val="12"/>
              </w:rPr>
              <w:t>.1</w:t>
            </w:r>
          </w:p>
        </w:tc>
        <w:tc>
          <w:tcPr>
            <w:tcW w:w="99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4406A3D1" w14:textId="77777777" w:rsidR="00204E65" w:rsidRDefault="00204E65" w:rsidP="00095DC9">
            <w:pPr>
              <w:autoSpaceDE w:val="0"/>
              <w:autoSpaceDN w:val="0"/>
              <w:adjustRightInd w:val="0"/>
              <w:spacing w:after="0" w:line="240" w:lineRule="auto"/>
              <w:rPr>
                <w:rFonts w:cstheme="minorHAnsi"/>
                <w:b/>
                <w:bCs/>
                <w:sz w:val="14"/>
                <w:szCs w:val="18"/>
              </w:rPr>
            </w:pPr>
          </w:p>
        </w:tc>
        <w:tc>
          <w:tcPr>
            <w:tcW w:w="992" w:type="dxa"/>
            <w:tcBorders>
              <w:top w:val="single" w:sz="18" w:space="0" w:color="5B9BD5" w:themeColor="accent1"/>
              <w:left w:val="single" w:sz="2" w:space="0" w:color="5B9BD5" w:themeColor="accent1"/>
              <w:bottom w:val="single" w:sz="2" w:space="0" w:color="5B9BD5" w:themeColor="accent1"/>
            </w:tcBorders>
            <w:shd w:val="clear" w:color="auto" w:fill="A6A6A6" w:themeFill="background1" w:themeFillShade="A6"/>
          </w:tcPr>
          <w:p w14:paraId="22B9B8D6" w14:textId="77777777" w:rsidR="00204E65" w:rsidRDefault="00204E65" w:rsidP="00095DC9">
            <w:pPr>
              <w:autoSpaceDE w:val="0"/>
              <w:autoSpaceDN w:val="0"/>
              <w:adjustRightInd w:val="0"/>
              <w:spacing w:after="0" w:line="240" w:lineRule="auto"/>
              <w:rPr>
                <w:rFonts w:cstheme="minorHAnsi"/>
                <w:b/>
                <w:bCs/>
                <w:sz w:val="14"/>
                <w:szCs w:val="18"/>
              </w:rPr>
            </w:pPr>
          </w:p>
        </w:tc>
      </w:tr>
      <w:tr w:rsidR="00204E65" w:rsidRPr="003538A2" w14:paraId="4C115F37" w14:textId="0C35D183" w:rsidTr="00204E65">
        <w:trPr>
          <w:trHeight w:val="178"/>
        </w:trPr>
        <w:tc>
          <w:tcPr>
            <w:tcW w:w="132" w:type="dxa"/>
            <w:tcBorders>
              <w:top w:val="single" w:sz="18" w:space="0" w:color="5B9BD5" w:themeColor="accent1"/>
              <w:bottom w:val="single" w:sz="2" w:space="0" w:color="5B9BD5" w:themeColor="accent1"/>
              <w:right w:val="single" w:sz="2" w:space="0" w:color="5B9BD5" w:themeColor="accent1"/>
            </w:tcBorders>
            <w:shd w:val="solid" w:color="FFFFFF" w:fill="auto"/>
          </w:tcPr>
          <w:p w14:paraId="3096DDB0" w14:textId="77777777" w:rsidR="00204E65" w:rsidRPr="00736108" w:rsidRDefault="00204E65" w:rsidP="007112D8">
            <w:pPr>
              <w:autoSpaceDE w:val="0"/>
              <w:autoSpaceDN w:val="0"/>
              <w:adjustRightInd w:val="0"/>
              <w:spacing w:after="0" w:line="240" w:lineRule="auto"/>
              <w:jc w:val="right"/>
              <w:rPr>
                <w:rFonts w:cstheme="minorHAnsi"/>
                <w:bCs/>
                <w:sz w:val="14"/>
                <w:szCs w:val="18"/>
              </w:rPr>
            </w:pPr>
          </w:p>
        </w:tc>
        <w:tc>
          <w:tcPr>
            <w:tcW w:w="2741" w:type="dxa"/>
            <w:gridSpan w:val="2"/>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26C36ABA" w14:textId="77777777" w:rsidR="00204E65" w:rsidRPr="00095DC9" w:rsidRDefault="00204E65" w:rsidP="007112D8">
            <w:pPr>
              <w:autoSpaceDE w:val="0"/>
              <w:autoSpaceDN w:val="0"/>
              <w:adjustRightInd w:val="0"/>
              <w:spacing w:after="0" w:line="240" w:lineRule="auto"/>
              <w:rPr>
                <w:rFonts w:cstheme="minorHAnsi"/>
                <w:b/>
                <w:bCs/>
                <w:sz w:val="14"/>
                <w:szCs w:val="18"/>
              </w:rPr>
            </w:pPr>
            <w:r w:rsidRPr="00095DC9">
              <w:rPr>
                <w:rFonts w:cstheme="minorHAnsi"/>
                <w:b/>
                <w:bCs/>
                <w:sz w:val="14"/>
                <w:szCs w:val="18"/>
              </w:rPr>
              <w:t>Dont Terminaux de transfert Électronique de Fonds (TTEF) situés à un point de vente</w:t>
            </w:r>
          </w:p>
        </w:tc>
        <w:tc>
          <w:tcPr>
            <w:tcW w:w="3119"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3D767D27" w14:textId="77777777" w:rsidR="00204E65" w:rsidRDefault="00204E65" w:rsidP="007C27A1">
            <w:pPr>
              <w:jc w:val="both"/>
              <w:rPr>
                <w:rFonts w:cstheme="minorHAnsi"/>
                <w:sz w:val="14"/>
                <w:szCs w:val="18"/>
              </w:rPr>
            </w:pPr>
            <w:bookmarkStart w:id="25" w:name="_Toc401303762"/>
            <w:r w:rsidRPr="00095DC9">
              <w:rPr>
                <w:rFonts w:cstheme="minorHAnsi"/>
                <w:sz w:val="14"/>
                <w:szCs w:val="18"/>
              </w:rPr>
              <w:t>Terminaux situés à un point de vente qui enregistrent les informations concernant le paiement par voie électronique et qui sont destinés, dans certains cas, à la transmission de ces informations soit en ligne, avec une demande d’autorisation en temps réel, soit hors ligne. Les terminaux manipulés par l’utilisateur lui-même sont inclus</w:t>
            </w:r>
            <w:bookmarkEnd w:id="25"/>
            <w:r w:rsidRPr="00095DC9">
              <w:rPr>
                <w:rFonts w:cstheme="minorHAnsi"/>
                <w:sz w:val="14"/>
                <w:szCs w:val="18"/>
              </w:rPr>
              <w:t>.</w:t>
            </w:r>
          </w:p>
          <w:p w14:paraId="31E2277B" w14:textId="59661D14" w:rsidR="00204E65" w:rsidRPr="00095DC9" w:rsidRDefault="00204E65" w:rsidP="007C27A1">
            <w:pPr>
              <w:jc w:val="both"/>
              <w:rPr>
                <w:rFonts w:ascii="Calibri" w:hAnsi="Calibri" w:cs="Calibri"/>
                <w:b/>
                <w:bCs/>
                <w:color w:val="000000"/>
                <w:sz w:val="14"/>
                <w:szCs w:val="24"/>
              </w:rPr>
            </w:pPr>
            <w:r w:rsidRPr="00095DC9">
              <w:rPr>
                <w:rFonts w:cstheme="minorHAnsi"/>
                <w:b/>
                <w:sz w:val="14"/>
                <w:szCs w:val="18"/>
              </w:rPr>
              <w:t>En France, les TTEF sont plus communément appelés « Terminaux de Paiement Électronique (TPE).</w:t>
            </w:r>
          </w:p>
        </w:tc>
        <w:tc>
          <w:tcPr>
            <w:tcW w:w="1134" w:type="dxa"/>
            <w:vMerge/>
            <w:tcBorders>
              <w:left w:val="single" w:sz="2" w:space="0" w:color="5B9BD5" w:themeColor="accent1"/>
              <w:right w:val="single" w:sz="2" w:space="0" w:color="5B9BD5" w:themeColor="accent1"/>
            </w:tcBorders>
            <w:shd w:val="solid" w:color="FFFFFF" w:fill="000000"/>
          </w:tcPr>
          <w:p w14:paraId="7CF6A37C" w14:textId="08DB4FE8" w:rsidR="00204E65" w:rsidRPr="00095DC9" w:rsidRDefault="00204E65" w:rsidP="00095DC9">
            <w:pPr>
              <w:jc w:val="both"/>
              <w:rPr>
                <w:rFonts w:cstheme="minorHAnsi"/>
                <w:sz w:val="14"/>
                <w:szCs w:val="18"/>
              </w:rPr>
            </w:pPr>
          </w:p>
        </w:tc>
        <w:tc>
          <w:tcPr>
            <w:tcW w:w="99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2FC5D33E" w14:textId="77777777" w:rsidR="00204E65" w:rsidRPr="00095DC9" w:rsidRDefault="00204E65" w:rsidP="00095DC9">
            <w:pPr>
              <w:jc w:val="both"/>
              <w:rPr>
                <w:rFonts w:cstheme="minorHAnsi"/>
                <w:sz w:val="14"/>
                <w:szCs w:val="18"/>
              </w:rPr>
            </w:pPr>
          </w:p>
        </w:tc>
        <w:tc>
          <w:tcPr>
            <w:tcW w:w="992" w:type="dxa"/>
            <w:tcBorders>
              <w:top w:val="single" w:sz="18" w:space="0" w:color="5B9BD5" w:themeColor="accent1"/>
              <w:left w:val="single" w:sz="2" w:space="0" w:color="5B9BD5" w:themeColor="accent1"/>
              <w:bottom w:val="single" w:sz="2" w:space="0" w:color="5B9BD5" w:themeColor="accent1"/>
            </w:tcBorders>
            <w:shd w:val="clear" w:color="auto" w:fill="A6A6A6" w:themeFill="background1" w:themeFillShade="A6"/>
          </w:tcPr>
          <w:p w14:paraId="07B34358" w14:textId="77777777" w:rsidR="00204E65" w:rsidRPr="00095DC9" w:rsidRDefault="00204E65" w:rsidP="00095DC9">
            <w:pPr>
              <w:jc w:val="both"/>
              <w:rPr>
                <w:rFonts w:cstheme="minorHAnsi"/>
                <w:sz w:val="14"/>
                <w:szCs w:val="18"/>
              </w:rPr>
            </w:pPr>
          </w:p>
        </w:tc>
      </w:tr>
      <w:tr w:rsidR="00204E65" w:rsidRPr="003538A2" w14:paraId="0B0E592A" w14:textId="31487869" w:rsidTr="00204E65">
        <w:trPr>
          <w:trHeight w:val="178"/>
        </w:trPr>
        <w:tc>
          <w:tcPr>
            <w:tcW w:w="132" w:type="dxa"/>
            <w:tcBorders>
              <w:top w:val="single" w:sz="18" w:space="0" w:color="5B9BD5" w:themeColor="accent1"/>
              <w:bottom w:val="single" w:sz="2" w:space="0" w:color="5B9BD5" w:themeColor="accent1"/>
              <w:right w:val="single" w:sz="2" w:space="0" w:color="5B9BD5" w:themeColor="accent1"/>
            </w:tcBorders>
            <w:shd w:val="solid" w:color="FFFFFF" w:fill="auto"/>
          </w:tcPr>
          <w:p w14:paraId="2BD1AC8A" w14:textId="77777777" w:rsidR="00204E65" w:rsidRPr="00736108" w:rsidRDefault="00204E65" w:rsidP="00095DC9">
            <w:pPr>
              <w:autoSpaceDE w:val="0"/>
              <w:autoSpaceDN w:val="0"/>
              <w:adjustRightInd w:val="0"/>
              <w:spacing w:after="0" w:line="240" w:lineRule="auto"/>
              <w:jc w:val="right"/>
              <w:rPr>
                <w:rFonts w:cstheme="minorHAnsi"/>
                <w:bCs/>
                <w:sz w:val="14"/>
                <w:szCs w:val="18"/>
              </w:rPr>
            </w:pPr>
          </w:p>
        </w:tc>
        <w:tc>
          <w:tcPr>
            <w:tcW w:w="233"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25D50493" w14:textId="77777777" w:rsidR="00204E65" w:rsidRPr="00736108" w:rsidRDefault="00204E65" w:rsidP="00095DC9">
            <w:pPr>
              <w:autoSpaceDE w:val="0"/>
              <w:autoSpaceDN w:val="0"/>
              <w:adjustRightInd w:val="0"/>
              <w:spacing w:after="0" w:line="240" w:lineRule="auto"/>
              <w:jc w:val="right"/>
              <w:rPr>
                <w:rFonts w:cstheme="minorHAnsi"/>
                <w:sz w:val="14"/>
                <w:szCs w:val="18"/>
              </w:rPr>
            </w:pPr>
          </w:p>
        </w:tc>
        <w:tc>
          <w:tcPr>
            <w:tcW w:w="250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781D3817" w14:textId="77777777" w:rsidR="00204E65" w:rsidRPr="00095DC9" w:rsidRDefault="00204E65" w:rsidP="00095DC9">
            <w:pPr>
              <w:autoSpaceDE w:val="0"/>
              <w:autoSpaceDN w:val="0"/>
              <w:adjustRightInd w:val="0"/>
              <w:spacing w:after="0" w:line="240" w:lineRule="auto"/>
              <w:rPr>
                <w:rFonts w:cstheme="minorHAnsi"/>
                <w:b/>
                <w:bCs/>
                <w:sz w:val="14"/>
                <w:szCs w:val="18"/>
              </w:rPr>
            </w:pPr>
            <w:r w:rsidRPr="00095DC9">
              <w:rPr>
                <w:rFonts w:cstheme="minorHAnsi"/>
                <w:b/>
                <w:bCs/>
                <w:sz w:val="14"/>
                <w:szCs w:val="18"/>
              </w:rPr>
              <w:t>Dont terminaux acceptant des cartes de monnaie électronique</w:t>
            </w:r>
          </w:p>
        </w:tc>
        <w:tc>
          <w:tcPr>
            <w:tcW w:w="3119"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13FDCF82" w14:textId="1E2D9BFA" w:rsidR="00204E65" w:rsidRPr="00095DC9" w:rsidRDefault="00204E65" w:rsidP="00095DC9">
            <w:pPr>
              <w:autoSpaceDE w:val="0"/>
              <w:autoSpaceDN w:val="0"/>
              <w:adjustRightInd w:val="0"/>
              <w:spacing w:after="0" w:line="240" w:lineRule="auto"/>
              <w:rPr>
                <w:rFonts w:ascii="Calibri" w:hAnsi="Calibri" w:cs="Calibri"/>
                <w:b/>
                <w:bCs/>
                <w:color w:val="000000"/>
                <w:sz w:val="14"/>
                <w:szCs w:val="24"/>
              </w:rPr>
            </w:pPr>
            <w:bookmarkStart w:id="26" w:name="_Toc401303764"/>
            <w:r w:rsidRPr="00095DC9">
              <w:rPr>
                <w:rFonts w:cstheme="minorHAnsi"/>
                <w:sz w:val="14"/>
                <w:szCs w:val="18"/>
              </w:rPr>
              <w:t>Terminal permettant le transfert d’une valeur électronique, soit depuis un émetteur de monnaie électronique vers une carte ayant une fonction monnaie électronique, et vice versa, soit depuis le solde de la carte vers le solde du payé.</w:t>
            </w:r>
            <w:bookmarkEnd w:id="26"/>
            <w:r w:rsidR="009131A5">
              <w:rPr>
                <w:rFonts w:cstheme="minorHAnsi"/>
                <w:sz w:val="14"/>
                <w:szCs w:val="18"/>
              </w:rPr>
              <w:t xml:space="preserve"> </w:t>
            </w:r>
            <w:r w:rsidR="009131A5" w:rsidRPr="001070E0">
              <w:rPr>
                <w:rFonts w:cstheme="minorHAnsi"/>
                <w:b/>
                <w:sz w:val="14"/>
                <w:szCs w:val="18"/>
              </w:rPr>
              <w:t>Les TTEF situés à un point de vente acceptant des cartes de monnaie électronique doivent être également déclarés dans la catégorie des terminaux de cartes de monnaie électronique (TCME) acceptant les cartes de monnaie électronique</w:t>
            </w:r>
            <w:r w:rsidR="005654FF" w:rsidRPr="00283A0C">
              <w:rPr>
                <w:rFonts w:cstheme="minorHAnsi"/>
                <w:sz w:val="14"/>
                <w:szCs w:val="18"/>
              </w:rPr>
              <w:t>.</w:t>
            </w:r>
          </w:p>
        </w:tc>
        <w:tc>
          <w:tcPr>
            <w:tcW w:w="1134" w:type="dxa"/>
            <w:vMerge/>
            <w:tcBorders>
              <w:left w:val="single" w:sz="2" w:space="0" w:color="5B9BD5" w:themeColor="accent1"/>
              <w:right w:val="single" w:sz="2" w:space="0" w:color="5B9BD5" w:themeColor="accent1"/>
            </w:tcBorders>
            <w:shd w:val="solid" w:color="FFFFFF" w:fill="000000"/>
          </w:tcPr>
          <w:p w14:paraId="3DB3F571" w14:textId="60951B2C" w:rsidR="00204E65" w:rsidRPr="00095DC9" w:rsidRDefault="00204E65" w:rsidP="00095DC9">
            <w:pPr>
              <w:autoSpaceDE w:val="0"/>
              <w:autoSpaceDN w:val="0"/>
              <w:adjustRightInd w:val="0"/>
              <w:spacing w:after="0" w:line="240" w:lineRule="auto"/>
              <w:rPr>
                <w:rFonts w:cstheme="minorHAnsi"/>
                <w:sz w:val="14"/>
                <w:szCs w:val="18"/>
              </w:rPr>
            </w:pPr>
          </w:p>
        </w:tc>
        <w:tc>
          <w:tcPr>
            <w:tcW w:w="99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775EA07C" w14:textId="77777777" w:rsidR="00204E65" w:rsidRPr="00095DC9" w:rsidRDefault="00204E65" w:rsidP="00095DC9">
            <w:pPr>
              <w:autoSpaceDE w:val="0"/>
              <w:autoSpaceDN w:val="0"/>
              <w:adjustRightInd w:val="0"/>
              <w:spacing w:after="0" w:line="240" w:lineRule="auto"/>
              <w:rPr>
                <w:rFonts w:cstheme="minorHAnsi"/>
                <w:sz w:val="14"/>
                <w:szCs w:val="18"/>
              </w:rPr>
            </w:pPr>
          </w:p>
        </w:tc>
        <w:tc>
          <w:tcPr>
            <w:tcW w:w="992" w:type="dxa"/>
            <w:tcBorders>
              <w:top w:val="single" w:sz="18" w:space="0" w:color="5B9BD5" w:themeColor="accent1"/>
              <w:left w:val="single" w:sz="2" w:space="0" w:color="5B9BD5" w:themeColor="accent1"/>
              <w:bottom w:val="single" w:sz="2" w:space="0" w:color="5B9BD5" w:themeColor="accent1"/>
            </w:tcBorders>
            <w:shd w:val="clear" w:color="auto" w:fill="A6A6A6" w:themeFill="background1" w:themeFillShade="A6"/>
          </w:tcPr>
          <w:p w14:paraId="44401662" w14:textId="77777777" w:rsidR="00204E65" w:rsidRPr="00095DC9" w:rsidRDefault="00204E65" w:rsidP="00095DC9">
            <w:pPr>
              <w:autoSpaceDE w:val="0"/>
              <w:autoSpaceDN w:val="0"/>
              <w:adjustRightInd w:val="0"/>
              <w:spacing w:after="0" w:line="240" w:lineRule="auto"/>
              <w:rPr>
                <w:rFonts w:cstheme="minorHAnsi"/>
                <w:sz w:val="14"/>
                <w:szCs w:val="18"/>
              </w:rPr>
            </w:pPr>
          </w:p>
        </w:tc>
      </w:tr>
      <w:tr w:rsidR="00204E65" w:rsidRPr="003538A2" w14:paraId="2B832B72" w14:textId="722E226B" w:rsidTr="002F4AD9">
        <w:trPr>
          <w:trHeight w:val="178"/>
        </w:trPr>
        <w:tc>
          <w:tcPr>
            <w:tcW w:w="132" w:type="dxa"/>
            <w:tcBorders>
              <w:top w:val="single" w:sz="18" w:space="0" w:color="5B9BD5" w:themeColor="accent1"/>
              <w:bottom w:val="single" w:sz="18" w:space="0" w:color="5B9BD5" w:themeColor="accent1"/>
              <w:right w:val="single" w:sz="2" w:space="0" w:color="5B9BD5" w:themeColor="accent1"/>
            </w:tcBorders>
            <w:shd w:val="solid" w:color="FFFFFF" w:fill="auto"/>
          </w:tcPr>
          <w:p w14:paraId="56A65D35" w14:textId="77777777" w:rsidR="00204E65" w:rsidRPr="00736108" w:rsidRDefault="00204E65" w:rsidP="00095DC9">
            <w:pPr>
              <w:autoSpaceDE w:val="0"/>
              <w:autoSpaceDN w:val="0"/>
              <w:adjustRightInd w:val="0"/>
              <w:spacing w:after="0" w:line="240" w:lineRule="auto"/>
              <w:jc w:val="right"/>
              <w:rPr>
                <w:rFonts w:cstheme="minorHAnsi"/>
                <w:sz w:val="14"/>
                <w:szCs w:val="18"/>
              </w:rPr>
            </w:pPr>
          </w:p>
        </w:tc>
        <w:tc>
          <w:tcPr>
            <w:tcW w:w="233"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tcPr>
          <w:p w14:paraId="47529E35" w14:textId="77777777" w:rsidR="00204E65" w:rsidRPr="00736108" w:rsidRDefault="00204E65" w:rsidP="00095DC9">
            <w:pPr>
              <w:autoSpaceDE w:val="0"/>
              <w:autoSpaceDN w:val="0"/>
              <w:adjustRightInd w:val="0"/>
              <w:spacing w:after="0" w:line="240" w:lineRule="auto"/>
              <w:jc w:val="right"/>
              <w:rPr>
                <w:rFonts w:cstheme="minorHAnsi"/>
                <w:sz w:val="14"/>
                <w:szCs w:val="18"/>
              </w:rPr>
            </w:pPr>
          </w:p>
        </w:tc>
        <w:tc>
          <w:tcPr>
            <w:tcW w:w="2508"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auto"/>
          </w:tcPr>
          <w:p w14:paraId="478C3CEE" w14:textId="77777777" w:rsidR="00204E65" w:rsidRPr="00246AD0" w:rsidRDefault="00204E65" w:rsidP="00095DC9">
            <w:pPr>
              <w:autoSpaceDE w:val="0"/>
              <w:autoSpaceDN w:val="0"/>
              <w:adjustRightInd w:val="0"/>
              <w:spacing w:after="0" w:line="240" w:lineRule="auto"/>
              <w:rPr>
                <w:rFonts w:cstheme="minorHAnsi"/>
                <w:b/>
                <w:bCs/>
                <w:sz w:val="14"/>
                <w:szCs w:val="18"/>
              </w:rPr>
            </w:pPr>
            <w:r w:rsidRPr="00246AD0">
              <w:rPr>
                <w:rFonts w:cstheme="minorHAnsi"/>
                <w:b/>
                <w:bCs/>
                <w:sz w:val="14"/>
                <w:szCs w:val="18"/>
              </w:rPr>
              <w:t>Dont terminaux acceptant les opérations sans contact</w:t>
            </w:r>
          </w:p>
        </w:tc>
        <w:tc>
          <w:tcPr>
            <w:tcW w:w="311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auto"/>
          </w:tcPr>
          <w:p w14:paraId="6A0A62F4" w14:textId="130395C1" w:rsidR="00204E65" w:rsidRPr="003538A2" w:rsidRDefault="00325501" w:rsidP="00325501">
            <w:pPr>
              <w:autoSpaceDE w:val="0"/>
              <w:autoSpaceDN w:val="0"/>
              <w:adjustRightInd w:val="0"/>
              <w:spacing w:after="0" w:line="240" w:lineRule="auto"/>
              <w:rPr>
                <w:rFonts w:ascii="Calibri" w:hAnsi="Calibri" w:cs="Calibri"/>
                <w:b/>
                <w:bCs/>
                <w:color w:val="008000"/>
                <w:sz w:val="24"/>
                <w:szCs w:val="24"/>
              </w:rPr>
            </w:pPr>
            <w:r>
              <w:rPr>
                <w:rFonts w:cstheme="minorHAnsi"/>
                <w:sz w:val="14"/>
                <w:szCs w:val="18"/>
              </w:rPr>
              <w:t>Terminal permettant d’effectuer des opérations à partir d’une carte ou d’un appareil portable et en utilisant une technologie sans contact.</w:t>
            </w:r>
          </w:p>
        </w:tc>
        <w:tc>
          <w:tcPr>
            <w:tcW w:w="1134" w:type="dxa"/>
            <w:vMerge/>
            <w:tcBorders>
              <w:left w:val="single" w:sz="2" w:space="0" w:color="5B9BD5" w:themeColor="accent1"/>
              <w:bottom w:val="single" w:sz="18" w:space="0" w:color="5B9BD5" w:themeColor="accent1"/>
              <w:right w:val="single" w:sz="2" w:space="0" w:color="5B9BD5" w:themeColor="accent1"/>
            </w:tcBorders>
            <w:shd w:val="solid" w:color="FFFFFF" w:fill="auto"/>
          </w:tcPr>
          <w:p w14:paraId="7C110279" w14:textId="5340410C" w:rsidR="00204E65" w:rsidRPr="003538A2" w:rsidRDefault="00204E65" w:rsidP="00095DC9">
            <w:pPr>
              <w:autoSpaceDE w:val="0"/>
              <w:autoSpaceDN w:val="0"/>
              <w:adjustRightInd w:val="0"/>
              <w:spacing w:after="0" w:line="240" w:lineRule="auto"/>
              <w:rPr>
                <w:rFonts w:ascii="Calibri" w:hAnsi="Calibri" w:cs="Calibri"/>
                <w:b/>
                <w:bCs/>
                <w:color w:val="008000"/>
                <w:sz w:val="24"/>
                <w:szCs w:val="24"/>
              </w:rPr>
            </w:pPr>
          </w:p>
        </w:tc>
        <w:tc>
          <w:tcPr>
            <w:tcW w:w="992"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auto"/>
          </w:tcPr>
          <w:p w14:paraId="62A85DBF" w14:textId="77777777" w:rsidR="00204E65" w:rsidRPr="003538A2" w:rsidRDefault="00204E65" w:rsidP="00095DC9">
            <w:pPr>
              <w:autoSpaceDE w:val="0"/>
              <w:autoSpaceDN w:val="0"/>
              <w:adjustRightInd w:val="0"/>
              <w:spacing w:after="0" w:line="240" w:lineRule="auto"/>
              <w:rPr>
                <w:rFonts w:ascii="Calibri" w:hAnsi="Calibri" w:cs="Calibri"/>
                <w:b/>
                <w:bCs/>
                <w:color w:val="008000"/>
                <w:sz w:val="24"/>
                <w:szCs w:val="24"/>
              </w:rPr>
            </w:pPr>
          </w:p>
        </w:tc>
        <w:tc>
          <w:tcPr>
            <w:tcW w:w="992" w:type="dxa"/>
            <w:tcBorders>
              <w:top w:val="single" w:sz="18" w:space="0" w:color="5B9BD5" w:themeColor="accent1"/>
              <w:left w:val="single" w:sz="2" w:space="0" w:color="5B9BD5" w:themeColor="accent1"/>
              <w:bottom w:val="single" w:sz="18" w:space="0" w:color="5B9BD5" w:themeColor="accent1"/>
            </w:tcBorders>
            <w:shd w:val="clear" w:color="auto" w:fill="A6A6A6" w:themeFill="background1" w:themeFillShade="A6"/>
          </w:tcPr>
          <w:p w14:paraId="6EEB597B" w14:textId="77777777" w:rsidR="00204E65" w:rsidRPr="003538A2" w:rsidRDefault="00204E65" w:rsidP="00095DC9">
            <w:pPr>
              <w:autoSpaceDE w:val="0"/>
              <w:autoSpaceDN w:val="0"/>
              <w:adjustRightInd w:val="0"/>
              <w:spacing w:after="0" w:line="240" w:lineRule="auto"/>
              <w:rPr>
                <w:rFonts w:ascii="Calibri" w:hAnsi="Calibri" w:cs="Calibri"/>
                <w:b/>
                <w:bCs/>
                <w:color w:val="008000"/>
                <w:sz w:val="24"/>
                <w:szCs w:val="24"/>
              </w:rPr>
            </w:pPr>
          </w:p>
        </w:tc>
      </w:tr>
    </w:tbl>
    <w:p w14:paraId="579DC701" w14:textId="1FD7CFFC" w:rsidR="00095DC9" w:rsidRDefault="00095DC9" w:rsidP="00A675AF">
      <w:pPr>
        <w:spacing w:after="0" w:line="240" w:lineRule="auto"/>
        <w:jc w:val="both"/>
        <w:rPr>
          <w:rFonts w:ascii="Calibri" w:hAnsi="Calibri"/>
          <w:b/>
          <w:smallCaps/>
          <w:color w:val="2E74B5" w:themeColor="accent1" w:themeShade="BF"/>
          <w:sz w:val="24"/>
        </w:rPr>
      </w:pPr>
    </w:p>
    <w:p w14:paraId="24533DF3" w14:textId="77777777" w:rsidR="005F7658" w:rsidRDefault="005F7658" w:rsidP="005F7658">
      <w:pPr>
        <w:autoSpaceDE w:val="0"/>
        <w:autoSpaceDN w:val="0"/>
        <w:adjustRightInd w:val="0"/>
        <w:spacing w:after="0" w:line="240" w:lineRule="auto"/>
        <w:jc w:val="both"/>
        <w:rPr>
          <w:rFonts w:cstheme="minorHAnsi"/>
        </w:rPr>
      </w:pPr>
      <w:r w:rsidRPr="002F77C9">
        <w:rPr>
          <w:rFonts w:cstheme="minorHAnsi"/>
        </w:rPr>
        <w:t>Les règles de contrôle suivantes doivent être appliquées</w:t>
      </w:r>
      <w:r>
        <w:rPr>
          <w:rFonts w:cstheme="minorHAnsi"/>
        </w:rPr>
        <w:t>.</w:t>
      </w:r>
    </w:p>
    <w:p w14:paraId="287C657A" w14:textId="77777777" w:rsidR="005F7658" w:rsidRPr="002F77C9" w:rsidRDefault="005F7658" w:rsidP="005F7658">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7D485E" w:rsidRPr="005F7658" w14:paraId="5B0A2EB1" w14:textId="77777777" w:rsidTr="00204E65">
        <w:trPr>
          <w:trHeight w:val="339"/>
        </w:trPr>
        <w:tc>
          <w:tcPr>
            <w:tcW w:w="9054" w:type="dxa"/>
          </w:tcPr>
          <w:p w14:paraId="6601019D" w14:textId="1683D204" w:rsidR="007D485E" w:rsidRPr="007C75F3" w:rsidRDefault="007D485E" w:rsidP="007D485E">
            <w:pPr>
              <w:pStyle w:val="Paragraphedeliste"/>
              <w:autoSpaceDE w:val="0"/>
              <w:autoSpaceDN w:val="0"/>
              <w:adjustRightInd w:val="0"/>
              <w:ind w:left="0"/>
              <w:jc w:val="both"/>
              <w:rPr>
                <w:rFonts w:cstheme="minorHAnsi"/>
                <w:sz w:val="18"/>
                <w:szCs w:val="18"/>
              </w:rPr>
            </w:pPr>
            <w:r w:rsidRPr="00A675AF">
              <w:rPr>
                <w:rFonts w:cstheme="minorHAnsi"/>
                <w:sz w:val="18"/>
                <w:szCs w:val="18"/>
              </w:rPr>
              <w:t xml:space="preserve">Le </w:t>
            </w:r>
            <w:r>
              <w:rPr>
                <w:rFonts w:cstheme="minorHAnsi"/>
                <w:sz w:val="18"/>
                <w:szCs w:val="18"/>
              </w:rPr>
              <w:t>total de chaque indicateur est =</w:t>
            </w:r>
            <w:r w:rsidRPr="00A675AF">
              <w:rPr>
                <w:rFonts w:cstheme="minorHAnsi"/>
                <w:sz w:val="18"/>
                <w:szCs w:val="18"/>
              </w:rPr>
              <w:t xml:space="preserve"> à la somme des </w:t>
            </w:r>
            <w:r>
              <w:rPr>
                <w:rFonts w:cstheme="minorHAnsi"/>
                <w:sz w:val="18"/>
                <w:szCs w:val="18"/>
              </w:rPr>
              <w:t>trois sous ventilations géographiques associées (France, au sein de l’EEE et hors de l’EEE)</w:t>
            </w:r>
            <w:r w:rsidRPr="00A675AF">
              <w:rPr>
                <w:rFonts w:cstheme="minorHAnsi"/>
                <w:sz w:val="18"/>
                <w:szCs w:val="18"/>
              </w:rPr>
              <w:t>.</w:t>
            </w:r>
          </w:p>
        </w:tc>
      </w:tr>
      <w:tr w:rsidR="007D485E" w:rsidRPr="005F7658" w14:paraId="685553BE" w14:textId="77777777" w:rsidTr="00204E65">
        <w:trPr>
          <w:trHeight w:val="303"/>
        </w:trPr>
        <w:tc>
          <w:tcPr>
            <w:tcW w:w="9054" w:type="dxa"/>
          </w:tcPr>
          <w:p w14:paraId="30AE129F" w14:textId="1613576B" w:rsidR="007D485E" w:rsidRPr="007C75F3" w:rsidRDefault="007D485E" w:rsidP="007D485E">
            <w:pPr>
              <w:pStyle w:val="Paragraphedeliste"/>
              <w:autoSpaceDE w:val="0"/>
              <w:autoSpaceDN w:val="0"/>
              <w:adjustRightInd w:val="0"/>
              <w:ind w:left="0"/>
              <w:jc w:val="both"/>
              <w:rPr>
                <w:rFonts w:cstheme="minorHAnsi"/>
                <w:sz w:val="18"/>
                <w:szCs w:val="18"/>
              </w:rPr>
            </w:pPr>
            <w:r w:rsidRPr="007C75F3">
              <w:rPr>
                <w:rFonts w:cstheme="minorHAnsi"/>
                <w:sz w:val="18"/>
                <w:szCs w:val="18"/>
              </w:rPr>
              <w:t xml:space="preserve">Le </w:t>
            </w:r>
            <w:r>
              <w:rPr>
                <w:rFonts w:cstheme="minorHAnsi"/>
                <w:sz w:val="18"/>
                <w:szCs w:val="18"/>
              </w:rPr>
              <w:t xml:space="preserve">total « au sein de l’EEE » de chaque indicateur est = </w:t>
            </w:r>
            <w:r w:rsidRPr="00A675AF">
              <w:rPr>
                <w:rFonts w:cstheme="minorHAnsi"/>
                <w:sz w:val="18"/>
                <w:szCs w:val="18"/>
              </w:rPr>
              <w:t>à</w:t>
            </w:r>
            <w:r>
              <w:rPr>
                <w:rFonts w:cstheme="minorHAnsi"/>
                <w:sz w:val="18"/>
                <w:szCs w:val="18"/>
              </w:rPr>
              <w:t xml:space="preserve"> la somme de</w:t>
            </w:r>
            <w:r w:rsidRPr="00A675AF">
              <w:rPr>
                <w:rFonts w:cstheme="minorHAnsi"/>
                <w:sz w:val="18"/>
                <w:szCs w:val="18"/>
              </w:rPr>
              <w:t xml:space="preserve"> </w:t>
            </w:r>
            <w:r>
              <w:rPr>
                <w:rFonts w:cstheme="minorHAnsi"/>
                <w:sz w:val="18"/>
                <w:szCs w:val="18"/>
              </w:rPr>
              <w:t xml:space="preserve">la ventilation </w:t>
            </w:r>
            <w:r w:rsidRPr="00A675AF">
              <w:rPr>
                <w:rFonts w:cstheme="minorHAnsi"/>
                <w:sz w:val="18"/>
                <w:szCs w:val="18"/>
              </w:rPr>
              <w:t>par pays</w:t>
            </w:r>
            <w:r>
              <w:rPr>
                <w:rFonts w:cstheme="minorHAnsi"/>
                <w:sz w:val="18"/>
                <w:szCs w:val="18"/>
              </w:rPr>
              <w:t xml:space="preserve"> de l’EEE.</w:t>
            </w:r>
          </w:p>
        </w:tc>
      </w:tr>
      <w:tr w:rsidR="00354E08" w:rsidRPr="005771F5" w14:paraId="4D528793" w14:textId="77777777" w:rsidTr="00204E65">
        <w:trPr>
          <w:trHeight w:val="452"/>
        </w:trPr>
        <w:tc>
          <w:tcPr>
            <w:tcW w:w="9054" w:type="dxa"/>
          </w:tcPr>
          <w:p w14:paraId="58C77131" w14:textId="02E7CC3E" w:rsidR="00354E08" w:rsidRPr="007D485E" w:rsidRDefault="00354E08" w:rsidP="00354E08">
            <w:pPr>
              <w:pStyle w:val="Paragraphedeliste"/>
              <w:autoSpaceDE w:val="0"/>
              <w:autoSpaceDN w:val="0"/>
              <w:adjustRightInd w:val="0"/>
              <w:ind w:left="0"/>
              <w:jc w:val="both"/>
              <w:rPr>
                <w:rFonts w:cstheme="minorHAnsi"/>
                <w:sz w:val="18"/>
                <w:szCs w:val="18"/>
              </w:rPr>
            </w:pPr>
            <w:r w:rsidRPr="007D485E">
              <w:rPr>
                <w:rFonts w:cstheme="minorHAnsi"/>
                <w:sz w:val="18"/>
                <w:szCs w:val="18"/>
              </w:rPr>
              <w:t>Le nombre de T</w:t>
            </w:r>
            <w:r w:rsidR="00F02017">
              <w:rPr>
                <w:rFonts w:cstheme="minorHAnsi"/>
                <w:sz w:val="18"/>
                <w:szCs w:val="18"/>
              </w:rPr>
              <w:t xml:space="preserve">PV </w:t>
            </w:r>
            <w:r w:rsidRPr="007D485E">
              <w:rPr>
                <w:rFonts w:cstheme="minorHAnsi"/>
                <w:sz w:val="18"/>
                <w:szCs w:val="18"/>
              </w:rPr>
              <w:t>est</w:t>
            </w:r>
            <w:r w:rsidR="00F02017">
              <w:rPr>
                <w:rFonts w:cstheme="minorHAnsi"/>
                <w:sz w:val="18"/>
                <w:szCs w:val="18"/>
              </w:rPr>
              <w:t xml:space="preserve"> &gt;</w:t>
            </w:r>
            <w:r w:rsidRPr="007D485E">
              <w:rPr>
                <w:rFonts w:cstheme="minorHAnsi"/>
                <w:sz w:val="18"/>
                <w:szCs w:val="18"/>
              </w:rPr>
              <w:t xml:space="preserve"> ou = au nombre de </w:t>
            </w:r>
            <w:r w:rsidR="00F02017">
              <w:rPr>
                <w:rFonts w:cstheme="minorHAnsi"/>
                <w:sz w:val="18"/>
                <w:szCs w:val="18"/>
              </w:rPr>
              <w:t>TTEF</w:t>
            </w:r>
            <w:r w:rsidRPr="007D485E">
              <w:rPr>
                <w:rFonts w:cstheme="minorHAnsi"/>
                <w:sz w:val="18"/>
                <w:szCs w:val="18"/>
              </w:rPr>
              <w:t>.</w:t>
            </w:r>
          </w:p>
          <w:p w14:paraId="5D77F42F" w14:textId="77777777" w:rsidR="007D485E" w:rsidRPr="007D485E" w:rsidRDefault="007D485E" w:rsidP="007D485E">
            <w:pPr>
              <w:pStyle w:val="Paragraphedeliste"/>
              <w:autoSpaceDE w:val="0"/>
              <w:autoSpaceDN w:val="0"/>
              <w:adjustRightInd w:val="0"/>
              <w:ind w:left="0"/>
              <w:jc w:val="both"/>
              <w:rPr>
                <w:rFonts w:cstheme="minorHAnsi"/>
                <w:sz w:val="18"/>
                <w:szCs w:val="18"/>
              </w:rPr>
            </w:pPr>
            <w:r w:rsidRPr="007D485E">
              <w:rPr>
                <w:rFonts w:cstheme="minorHAnsi"/>
                <w:sz w:val="18"/>
                <w:szCs w:val="18"/>
                <w:u w:val="single"/>
              </w:rPr>
              <w:t>Précision</w:t>
            </w:r>
            <w:r w:rsidRPr="007D485E">
              <w:rPr>
                <w:rFonts w:cstheme="minorHAnsi"/>
                <w:sz w:val="18"/>
                <w:szCs w:val="18"/>
              </w:rPr>
              <w:t> :</w:t>
            </w:r>
          </w:p>
          <w:p w14:paraId="4504342D" w14:textId="3B8E42F1" w:rsidR="007D485E" w:rsidRPr="007D485E" w:rsidRDefault="007D485E" w:rsidP="007D485E">
            <w:pPr>
              <w:pStyle w:val="Paragraphedeliste"/>
              <w:autoSpaceDE w:val="0"/>
              <w:autoSpaceDN w:val="0"/>
              <w:adjustRightInd w:val="0"/>
              <w:ind w:left="0"/>
              <w:jc w:val="both"/>
              <w:rPr>
                <w:rFonts w:cstheme="minorHAnsi"/>
                <w:sz w:val="18"/>
                <w:szCs w:val="18"/>
              </w:rPr>
            </w:pPr>
            <w:r w:rsidRPr="007D485E">
              <w:rPr>
                <w:rFonts w:cstheme="minorHAnsi"/>
                <w:sz w:val="18"/>
                <w:szCs w:val="18"/>
              </w:rPr>
              <w:t>Du fait de la disparition en France des dispositifs anciens (de type « Fer à repasser ») basés sur l’enregistrement manuel sur bons papier des informations relatives au paiement, TPV et TTEF regroupent les mêmes terminaux</w:t>
            </w:r>
            <w:r>
              <w:rPr>
                <w:rFonts w:cstheme="minorHAnsi"/>
                <w:sz w:val="18"/>
                <w:szCs w:val="18"/>
              </w:rPr>
              <w:t>.</w:t>
            </w:r>
          </w:p>
        </w:tc>
      </w:tr>
      <w:tr w:rsidR="00354E08" w:rsidRPr="005771F5" w14:paraId="557AE72D" w14:textId="77777777" w:rsidTr="00204E65">
        <w:trPr>
          <w:trHeight w:val="452"/>
        </w:trPr>
        <w:tc>
          <w:tcPr>
            <w:tcW w:w="9054" w:type="dxa"/>
          </w:tcPr>
          <w:p w14:paraId="53433CA8" w14:textId="5EF4CF52" w:rsidR="00354E08" w:rsidRDefault="00354E08" w:rsidP="00732830">
            <w:pPr>
              <w:pStyle w:val="Paragraphedeliste"/>
              <w:autoSpaceDE w:val="0"/>
              <w:autoSpaceDN w:val="0"/>
              <w:adjustRightInd w:val="0"/>
              <w:ind w:left="0"/>
              <w:jc w:val="both"/>
              <w:rPr>
                <w:rFonts w:cstheme="minorHAnsi"/>
                <w:sz w:val="18"/>
                <w:szCs w:val="18"/>
              </w:rPr>
            </w:pPr>
            <w:r>
              <w:rPr>
                <w:rFonts w:cstheme="minorHAnsi"/>
                <w:sz w:val="18"/>
                <w:szCs w:val="18"/>
              </w:rPr>
              <w:t>Le nombre de TTEF acceptant des cartes de monnaie électronique est &lt; ou = au nombre de T</w:t>
            </w:r>
            <w:r w:rsidR="00732830">
              <w:rPr>
                <w:rFonts w:cstheme="minorHAnsi"/>
                <w:sz w:val="18"/>
                <w:szCs w:val="18"/>
              </w:rPr>
              <w:t>TEF</w:t>
            </w:r>
            <w:r>
              <w:rPr>
                <w:rFonts w:cstheme="minorHAnsi"/>
                <w:sz w:val="18"/>
                <w:szCs w:val="18"/>
              </w:rPr>
              <w:t>.</w:t>
            </w:r>
          </w:p>
        </w:tc>
      </w:tr>
      <w:tr w:rsidR="00354E08" w:rsidRPr="005771F5" w14:paraId="5AD5611C" w14:textId="77777777" w:rsidTr="00204E65">
        <w:trPr>
          <w:trHeight w:val="452"/>
        </w:trPr>
        <w:tc>
          <w:tcPr>
            <w:tcW w:w="9054" w:type="dxa"/>
          </w:tcPr>
          <w:p w14:paraId="15723E86" w14:textId="5BBDD7BB" w:rsidR="00354E08" w:rsidRDefault="00217EF2" w:rsidP="00354E08">
            <w:pPr>
              <w:pStyle w:val="Paragraphedeliste"/>
              <w:autoSpaceDE w:val="0"/>
              <w:autoSpaceDN w:val="0"/>
              <w:adjustRightInd w:val="0"/>
              <w:ind w:left="0"/>
              <w:jc w:val="both"/>
              <w:rPr>
                <w:rFonts w:cstheme="minorHAnsi"/>
                <w:sz w:val="18"/>
                <w:szCs w:val="18"/>
              </w:rPr>
            </w:pPr>
            <w:r>
              <w:rPr>
                <w:rFonts w:cstheme="minorHAnsi"/>
                <w:sz w:val="18"/>
                <w:szCs w:val="18"/>
              </w:rPr>
              <w:t>Le nombre de TTEF acceptant des opérations sans contact est &lt; ou = au nombre de TTEF.</w:t>
            </w:r>
          </w:p>
        </w:tc>
      </w:tr>
      <w:tr w:rsidR="00A7020C" w:rsidRPr="005771F5" w14:paraId="04034A91" w14:textId="77777777" w:rsidTr="00204E65">
        <w:trPr>
          <w:trHeight w:val="452"/>
        </w:trPr>
        <w:tc>
          <w:tcPr>
            <w:tcW w:w="9054" w:type="dxa"/>
          </w:tcPr>
          <w:p w14:paraId="2E5167AE" w14:textId="64C40B25" w:rsidR="00A7020C" w:rsidRDefault="00A7020C" w:rsidP="00A7020C">
            <w:pPr>
              <w:pStyle w:val="Paragraphedeliste"/>
              <w:autoSpaceDE w:val="0"/>
              <w:autoSpaceDN w:val="0"/>
              <w:adjustRightInd w:val="0"/>
              <w:ind w:left="0"/>
              <w:jc w:val="both"/>
              <w:rPr>
                <w:rFonts w:cstheme="minorHAnsi"/>
                <w:sz w:val="18"/>
                <w:szCs w:val="18"/>
              </w:rPr>
            </w:pPr>
            <w:r>
              <w:rPr>
                <w:rFonts w:cstheme="minorHAnsi"/>
                <w:sz w:val="18"/>
                <w:szCs w:val="18"/>
              </w:rPr>
              <w:t>Si le nombre de TTEF</w:t>
            </w:r>
            <w:r w:rsidRPr="00A7020C">
              <w:rPr>
                <w:rFonts w:cstheme="minorHAnsi"/>
                <w:sz w:val="18"/>
                <w:szCs w:val="18"/>
              </w:rPr>
              <w:t xml:space="preserve"> situés à un point de vente</w:t>
            </w:r>
            <w:r>
              <w:rPr>
                <w:rFonts w:cstheme="minorHAnsi"/>
                <w:sz w:val="18"/>
                <w:szCs w:val="18"/>
              </w:rPr>
              <w:t xml:space="preserve"> est = à 0, les paiements par carte acquis par l’établissement et initiés par voie électronique en proximité depuis un TPE est = à 0</w:t>
            </w:r>
            <w:r w:rsidR="001348F1">
              <w:rPr>
                <w:rFonts w:cstheme="minorHAnsi"/>
                <w:sz w:val="18"/>
                <w:szCs w:val="18"/>
              </w:rPr>
              <w:t xml:space="preserve"> (cf. section 4.1.3.1).</w:t>
            </w:r>
          </w:p>
        </w:tc>
      </w:tr>
      <w:tr w:rsidR="00CD7D35" w:rsidRPr="005771F5" w14:paraId="17DE1A82" w14:textId="77777777" w:rsidTr="00204E65">
        <w:trPr>
          <w:trHeight w:val="452"/>
        </w:trPr>
        <w:tc>
          <w:tcPr>
            <w:tcW w:w="9054" w:type="dxa"/>
          </w:tcPr>
          <w:p w14:paraId="6515FED5" w14:textId="4DD0EC89" w:rsidR="00CD7D35" w:rsidRDefault="00CD7D35" w:rsidP="00CD7D35">
            <w:pPr>
              <w:pStyle w:val="Paragraphedeliste"/>
              <w:autoSpaceDE w:val="0"/>
              <w:autoSpaceDN w:val="0"/>
              <w:adjustRightInd w:val="0"/>
              <w:ind w:left="0"/>
              <w:jc w:val="both"/>
              <w:rPr>
                <w:rFonts w:cstheme="minorHAnsi"/>
                <w:sz w:val="18"/>
                <w:szCs w:val="18"/>
              </w:rPr>
            </w:pPr>
            <w:r>
              <w:rPr>
                <w:rFonts w:cstheme="minorHAnsi"/>
                <w:sz w:val="18"/>
                <w:szCs w:val="18"/>
              </w:rPr>
              <w:t>Si le nombre de TPV est</w:t>
            </w:r>
            <w:r w:rsidR="009D6A97">
              <w:rPr>
                <w:rFonts w:cstheme="minorHAnsi"/>
                <w:sz w:val="18"/>
                <w:szCs w:val="18"/>
              </w:rPr>
              <w:t xml:space="preserve"> =</w:t>
            </w:r>
            <w:r>
              <w:rPr>
                <w:rFonts w:cstheme="minorHAnsi"/>
                <w:sz w:val="18"/>
                <w:szCs w:val="18"/>
              </w:rPr>
              <w:t xml:space="preserve"> à 0, le total des opérations à un point de vente par cartes émises par des PSP français (cf. section 4.1.3.2) + le total des opérations à un point de vente par cartes émises par des PSP étrangers (cf. section 4.1.3.2) est = à 0.</w:t>
            </w:r>
          </w:p>
        </w:tc>
      </w:tr>
      <w:tr w:rsidR="001070E0" w:rsidRPr="005771F5" w14:paraId="0CA609E9" w14:textId="77777777" w:rsidTr="00204E65">
        <w:trPr>
          <w:trHeight w:val="452"/>
        </w:trPr>
        <w:tc>
          <w:tcPr>
            <w:tcW w:w="9054" w:type="dxa"/>
          </w:tcPr>
          <w:p w14:paraId="48C36FD5" w14:textId="3276C0EF" w:rsidR="001070E0" w:rsidRDefault="001070E0" w:rsidP="001070E0">
            <w:pPr>
              <w:pStyle w:val="Paragraphedeliste"/>
              <w:autoSpaceDE w:val="0"/>
              <w:autoSpaceDN w:val="0"/>
              <w:adjustRightInd w:val="0"/>
              <w:ind w:left="0"/>
              <w:jc w:val="both"/>
              <w:rPr>
                <w:rFonts w:cstheme="minorHAnsi"/>
                <w:sz w:val="18"/>
                <w:szCs w:val="18"/>
              </w:rPr>
            </w:pPr>
            <w:r w:rsidRPr="003B40E1">
              <w:rPr>
                <w:rFonts w:cstheme="minorHAnsi"/>
                <w:sz w:val="18"/>
                <w:szCs w:val="18"/>
              </w:rPr>
              <w:t xml:space="preserve">Le nombre de terminaux de transfert électronique de </w:t>
            </w:r>
            <w:proofErr w:type="gramStart"/>
            <w:r w:rsidRPr="003B40E1">
              <w:rPr>
                <w:rFonts w:cstheme="minorHAnsi"/>
                <w:sz w:val="18"/>
                <w:szCs w:val="18"/>
              </w:rPr>
              <w:t>fonds  (</w:t>
            </w:r>
            <w:proofErr w:type="gramEnd"/>
            <w:r w:rsidRPr="003B40E1">
              <w:rPr>
                <w:rFonts w:cstheme="minorHAnsi"/>
                <w:sz w:val="18"/>
                <w:szCs w:val="18"/>
              </w:rPr>
              <w:t>TTEF) situés à un point de vente et acceptant des cartes de monnaie électronique  est &lt;= au nombre de terminaux de cartes de monnaie électronique (TCME) acceptant les cartes de monnaie électronique.</w:t>
            </w:r>
          </w:p>
        </w:tc>
      </w:tr>
    </w:tbl>
    <w:p w14:paraId="3552A920" w14:textId="77777777" w:rsidR="005F7658" w:rsidRDefault="005F7658" w:rsidP="00A675AF">
      <w:pPr>
        <w:spacing w:after="0" w:line="240" w:lineRule="auto"/>
        <w:jc w:val="both"/>
        <w:rPr>
          <w:rFonts w:ascii="Calibri" w:hAnsi="Calibri"/>
          <w:b/>
          <w:smallCaps/>
          <w:color w:val="2E74B5" w:themeColor="accent1" w:themeShade="BF"/>
          <w:sz w:val="24"/>
        </w:rPr>
      </w:pPr>
    </w:p>
    <w:p w14:paraId="365A03B7" w14:textId="77777777" w:rsidR="00224C9D" w:rsidRDefault="00224C9D">
      <w:pPr>
        <w:pStyle w:val="Paragraphedeliste"/>
        <w:autoSpaceDE w:val="0"/>
        <w:autoSpaceDN w:val="0"/>
        <w:adjustRightInd w:val="0"/>
        <w:spacing w:after="0" w:line="240" w:lineRule="auto"/>
        <w:jc w:val="both"/>
        <w:rPr>
          <w:rFonts w:cstheme="minorHAnsi"/>
        </w:rPr>
      </w:pPr>
    </w:p>
    <w:p w14:paraId="4C59D215" w14:textId="77777777" w:rsidR="00EA17E0" w:rsidRPr="00106248" w:rsidRDefault="00EA17E0" w:rsidP="007718A3">
      <w:pPr>
        <w:pStyle w:val="Titre5"/>
        <w:numPr>
          <w:ilvl w:val="4"/>
          <w:numId w:val="38"/>
        </w:numPr>
      </w:pPr>
      <w:r w:rsidRPr="00A675AF">
        <w:t>Terminaux de cartes de monnaie électronique</w:t>
      </w:r>
    </w:p>
    <w:p w14:paraId="2CDD4101" w14:textId="039CF721" w:rsidR="00834F31" w:rsidRDefault="00834F31" w:rsidP="00EA17E0">
      <w:pPr>
        <w:spacing w:before="120"/>
        <w:jc w:val="both"/>
        <w:rPr>
          <w:rFonts w:cstheme="minorHAnsi"/>
        </w:rPr>
      </w:pPr>
      <w:r w:rsidRPr="00834F31">
        <w:rPr>
          <w:rFonts w:cstheme="minorHAnsi"/>
        </w:rPr>
        <w:t xml:space="preserve">Il </w:t>
      </w:r>
      <w:r>
        <w:rPr>
          <w:rFonts w:cstheme="minorHAnsi"/>
        </w:rPr>
        <w:t xml:space="preserve">s’agit de dénombrer les </w:t>
      </w:r>
      <w:r w:rsidR="00FF6952">
        <w:rPr>
          <w:rFonts w:cstheme="minorHAnsi"/>
        </w:rPr>
        <w:t>terminaux de carte</w:t>
      </w:r>
      <w:r w:rsidR="007C41AD">
        <w:rPr>
          <w:rFonts w:cstheme="minorHAnsi"/>
        </w:rPr>
        <w:t>s</w:t>
      </w:r>
      <w:r w:rsidR="00FF6952">
        <w:rPr>
          <w:rFonts w:cstheme="minorHAnsi"/>
        </w:rPr>
        <w:t xml:space="preserve"> de monnaie électronique</w:t>
      </w:r>
      <w:r w:rsidR="009C08FA">
        <w:rPr>
          <w:rFonts w:cstheme="minorHAnsi"/>
        </w:rPr>
        <w:t xml:space="preserve"> </w:t>
      </w:r>
      <w:r w:rsidR="00FF6952">
        <w:rPr>
          <w:rFonts w:cstheme="minorHAnsi"/>
        </w:rPr>
        <w:t>fournis par l’</w:t>
      </w:r>
      <w:r w:rsidR="003B4895">
        <w:rPr>
          <w:rFonts w:cstheme="minorHAnsi"/>
        </w:rPr>
        <w:t xml:space="preserve">établissement </w:t>
      </w:r>
      <w:r w:rsidR="00D16531">
        <w:rPr>
          <w:rFonts w:cstheme="minorHAnsi"/>
        </w:rPr>
        <w:t>(par exemple en location) ou par le commerçant (par exemple fournis par un prestataire du commerçant)</w:t>
      </w:r>
      <w:r w:rsidR="003B4895">
        <w:rPr>
          <w:rFonts w:cstheme="minorHAnsi"/>
        </w:rPr>
        <w:t xml:space="preserve"> a</w:t>
      </w:r>
      <w:r w:rsidR="007C41AD">
        <w:rPr>
          <w:rFonts w:cstheme="minorHAnsi"/>
        </w:rPr>
        <w:t>vec une ventilation par fonction</w:t>
      </w:r>
      <w:r w:rsidR="009C08FA">
        <w:rPr>
          <w:rFonts w:cstheme="minorHAnsi"/>
        </w:rPr>
        <w:t xml:space="preserve"> offerte par les terminaux</w:t>
      </w:r>
      <w:r w:rsidR="007C41AD">
        <w:rPr>
          <w:rFonts w:cstheme="minorHAnsi"/>
        </w:rPr>
        <w:t>.</w:t>
      </w:r>
      <w:r w:rsidR="003B4895">
        <w:rPr>
          <w:rFonts w:cstheme="minorHAnsi"/>
        </w:rPr>
        <w:t xml:space="preserve"> </w:t>
      </w:r>
    </w:p>
    <w:p w14:paraId="1153FDFB" w14:textId="77777777" w:rsidR="007C41AD" w:rsidRPr="00292F65" w:rsidRDefault="007C41AD" w:rsidP="007C41AD">
      <w:pPr>
        <w:autoSpaceDE w:val="0"/>
        <w:autoSpaceDN w:val="0"/>
        <w:adjustRightInd w:val="0"/>
        <w:spacing w:after="0" w:line="240" w:lineRule="auto"/>
        <w:jc w:val="both"/>
        <w:rPr>
          <w:rFonts w:cstheme="minorHAnsi"/>
        </w:rPr>
      </w:pPr>
      <w:r w:rsidRPr="00292F65">
        <w:rPr>
          <w:rFonts w:cstheme="minorHAnsi"/>
          <w:u w:val="single"/>
        </w:rPr>
        <w:t>Remarques</w:t>
      </w:r>
      <w:r w:rsidRPr="00292F65">
        <w:rPr>
          <w:rFonts w:cstheme="minorHAnsi"/>
        </w:rPr>
        <w:t xml:space="preserve"> :</w:t>
      </w:r>
    </w:p>
    <w:p w14:paraId="0A010C45" w14:textId="29251F3F" w:rsidR="007C41AD" w:rsidRPr="00C806A1" w:rsidRDefault="007C41AD" w:rsidP="00594FDC">
      <w:pPr>
        <w:pStyle w:val="Paragraphedeliste"/>
        <w:numPr>
          <w:ilvl w:val="0"/>
          <w:numId w:val="3"/>
        </w:numPr>
        <w:autoSpaceDE w:val="0"/>
        <w:autoSpaceDN w:val="0"/>
        <w:adjustRightInd w:val="0"/>
        <w:spacing w:after="0" w:line="240" w:lineRule="auto"/>
        <w:jc w:val="both"/>
        <w:rPr>
          <w:rFonts w:cstheme="minorHAnsi"/>
        </w:rPr>
      </w:pPr>
      <w:r>
        <w:rPr>
          <w:rFonts w:cstheme="minorHAnsi"/>
        </w:rPr>
        <w:t xml:space="preserve">Si un terminal offre plusieurs fonctions, il doit être recensé </w:t>
      </w:r>
      <w:r w:rsidRPr="00C806A1">
        <w:rPr>
          <w:rFonts w:cstheme="minorHAnsi"/>
        </w:rPr>
        <w:t xml:space="preserve">dans </w:t>
      </w:r>
      <w:r>
        <w:rPr>
          <w:rFonts w:cstheme="minorHAnsi"/>
        </w:rPr>
        <w:t>chaque sous-catégorie applicable. Par conséquent, le « </w:t>
      </w:r>
      <w:r w:rsidR="003A043B">
        <w:rPr>
          <w:rFonts w:cstheme="minorHAnsi"/>
        </w:rPr>
        <w:t>N</w:t>
      </w:r>
      <w:r>
        <w:rPr>
          <w:rFonts w:cstheme="minorHAnsi"/>
        </w:rPr>
        <w:t xml:space="preserve">ombre total de terminal » peut être inférieur à la somme des sous-catégories </w:t>
      </w:r>
      <w:r w:rsidRPr="00C806A1">
        <w:rPr>
          <w:rFonts w:cstheme="minorHAnsi"/>
        </w:rPr>
        <w:t>et, afin d’éviter un double comptage, les sous-catégories ne doivent pas être additionnées.</w:t>
      </w:r>
    </w:p>
    <w:p w14:paraId="65406BDC" w14:textId="6FBC6EE7" w:rsidR="007C41AD" w:rsidRDefault="007C41AD" w:rsidP="00594FDC">
      <w:pPr>
        <w:pStyle w:val="Paragraphedeliste"/>
        <w:numPr>
          <w:ilvl w:val="0"/>
          <w:numId w:val="3"/>
        </w:numPr>
        <w:spacing w:before="120"/>
        <w:jc w:val="both"/>
        <w:rPr>
          <w:rFonts w:cstheme="minorHAnsi"/>
        </w:rPr>
      </w:pPr>
      <w:r w:rsidRPr="00DE21E4">
        <w:rPr>
          <w:rFonts w:cstheme="minorHAnsi"/>
        </w:rPr>
        <w:t xml:space="preserve">Sont exclus, les </w:t>
      </w:r>
      <w:r>
        <w:rPr>
          <w:rFonts w:cstheme="minorHAnsi"/>
        </w:rPr>
        <w:t>terminaux</w:t>
      </w:r>
      <w:r w:rsidRPr="00DE21E4">
        <w:rPr>
          <w:rFonts w:cstheme="minorHAnsi"/>
        </w:rPr>
        <w:t xml:space="preserve"> </w:t>
      </w:r>
      <w:r w:rsidR="00325501">
        <w:rPr>
          <w:rFonts w:cstheme="minorHAnsi"/>
        </w:rPr>
        <w:t xml:space="preserve">pour lesquels les opérations sont acquises par </w:t>
      </w:r>
      <w:r w:rsidRPr="00DE21E4">
        <w:rPr>
          <w:rFonts w:cstheme="minorHAnsi"/>
        </w:rPr>
        <w:t>des succursales et/ou des filiales à l’étranger.</w:t>
      </w:r>
    </w:p>
    <w:p w14:paraId="4FD4120A" w14:textId="7EA44190" w:rsidR="007578FE" w:rsidRDefault="007578FE" w:rsidP="007578FE">
      <w:pPr>
        <w:spacing w:after="0" w:line="240" w:lineRule="auto"/>
        <w:jc w:val="both"/>
        <w:rPr>
          <w:rFonts w:ascii="Calibri" w:eastAsia="Times New Roman" w:hAnsi="Calibri" w:cs="Calibri"/>
          <w:b/>
          <w:smallCaps/>
          <w:color w:val="2E74B5" w:themeColor="accent1" w:themeShade="BF"/>
          <w:sz w:val="24"/>
          <w:szCs w:val="24"/>
          <w:lang w:eastAsia="fr-FR"/>
        </w:rPr>
      </w:pPr>
      <w:r>
        <w:rPr>
          <w:rFonts w:ascii="Calibri" w:eastAsia="Times New Roman" w:hAnsi="Calibri" w:cs="Calibri"/>
          <w:b/>
          <w:smallCaps/>
          <w:color w:val="2E74B5" w:themeColor="accent1" w:themeShade="BF"/>
          <w:sz w:val="24"/>
          <w:szCs w:val="24"/>
          <w:lang w:eastAsia="fr-FR"/>
        </w:rPr>
        <w:lastRenderedPageBreak/>
        <w:t>D</w:t>
      </w:r>
      <w:r w:rsidRPr="007578FE">
        <w:rPr>
          <w:rFonts w:ascii="Calibri" w:eastAsia="Times New Roman" w:hAnsi="Calibri" w:cs="Calibri"/>
          <w:b/>
          <w:smallCaps/>
          <w:color w:val="2E74B5" w:themeColor="accent1" w:themeShade="BF"/>
          <w:sz w:val="24"/>
          <w:szCs w:val="24"/>
          <w:lang w:eastAsia="fr-FR"/>
        </w:rPr>
        <w:t>onnées à déclarer :</w:t>
      </w:r>
    </w:p>
    <w:p w14:paraId="7E742E37" w14:textId="77777777" w:rsidR="00095DC9" w:rsidRDefault="00095DC9" w:rsidP="007578FE">
      <w:pPr>
        <w:spacing w:after="0" w:line="240" w:lineRule="auto"/>
        <w:jc w:val="both"/>
        <w:rPr>
          <w:rFonts w:ascii="Calibri" w:eastAsia="Times New Roman" w:hAnsi="Calibri" w:cs="Calibri"/>
          <w:b/>
          <w:smallCaps/>
          <w:color w:val="2E74B5" w:themeColor="accent1" w:themeShade="BF"/>
          <w:sz w:val="24"/>
          <w:szCs w:val="24"/>
          <w:lang w:eastAsia="fr-FR"/>
        </w:rPr>
      </w:pPr>
    </w:p>
    <w:tbl>
      <w:tblPr>
        <w:tblW w:w="9110" w:type="dxa"/>
        <w:tblInd w:w="-38" w:type="dxa"/>
        <w:tblLayout w:type="fixed"/>
        <w:tblCellMar>
          <w:left w:w="30" w:type="dxa"/>
          <w:right w:w="30" w:type="dxa"/>
        </w:tblCellMar>
        <w:tblLook w:val="0000" w:firstRow="0" w:lastRow="0" w:firstColumn="0" w:lastColumn="0" w:noHBand="0" w:noVBand="0"/>
      </w:tblPr>
      <w:tblGrid>
        <w:gridCol w:w="132"/>
        <w:gridCol w:w="2592"/>
        <w:gridCol w:w="2701"/>
        <w:gridCol w:w="1417"/>
        <w:gridCol w:w="993"/>
        <w:gridCol w:w="1275"/>
      </w:tblGrid>
      <w:tr w:rsidR="003B6438" w:rsidRPr="003538A2" w14:paraId="172538FF" w14:textId="77777777" w:rsidTr="00F229F1">
        <w:trPr>
          <w:trHeight w:val="178"/>
        </w:trPr>
        <w:tc>
          <w:tcPr>
            <w:tcW w:w="5425" w:type="dxa"/>
            <w:gridSpan w:val="3"/>
            <w:tcBorders>
              <w:top w:val="single" w:sz="18" w:space="0" w:color="5B9BD5" w:themeColor="accent1"/>
              <w:bottom w:val="single" w:sz="18" w:space="0" w:color="5B9BD5" w:themeColor="accent1"/>
              <w:right w:val="single" w:sz="6" w:space="0" w:color="3366FF"/>
            </w:tcBorders>
            <w:shd w:val="solid" w:color="FFFFFF" w:fill="000000"/>
          </w:tcPr>
          <w:p w14:paraId="404E3980" w14:textId="77777777" w:rsidR="003B6438" w:rsidRPr="00095DC9" w:rsidRDefault="003B6438" w:rsidP="003B6438">
            <w:pPr>
              <w:jc w:val="both"/>
              <w:rPr>
                <w:rFonts w:ascii="Calibri" w:hAnsi="Calibri"/>
                <w:b/>
                <w:sz w:val="14"/>
              </w:rPr>
            </w:pPr>
          </w:p>
        </w:tc>
        <w:tc>
          <w:tcPr>
            <w:tcW w:w="1417"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1400B866" w14:textId="6CF94405" w:rsidR="003B6438" w:rsidRPr="00095DC9" w:rsidRDefault="00CF54A9" w:rsidP="00C47A8B">
            <w:pPr>
              <w:jc w:val="center"/>
              <w:rPr>
                <w:rFonts w:ascii="Calibri" w:hAnsi="Calibri"/>
                <w:b/>
                <w:sz w:val="14"/>
              </w:rPr>
            </w:pPr>
            <w:r>
              <w:rPr>
                <w:rFonts w:cstheme="minorHAnsi"/>
                <w:b/>
                <w:bCs/>
                <w:sz w:val="14"/>
                <w:szCs w:val="18"/>
              </w:rPr>
              <w:t>Pays de localisation du terminal</w:t>
            </w:r>
          </w:p>
        </w:tc>
        <w:tc>
          <w:tcPr>
            <w:tcW w:w="993"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AAECCCF" w14:textId="684A8EE2" w:rsidR="003B6438" w:rsidRPr="00095DC9" w:rsidRDefault="003B6438" w:rsidP="00C47A8B">
            <w:pPr>
              <w:jc w:val="center"/>
              <w:rPr>
                <w:rFonts w:ascii="Calibri" w:hAnsi="Calibri"/>
                <w:b/>
                <w:sz w:val="14"/>
              </w:rPr>
            </w:pPr>
            <w:r>
              <w:rPr>
                <w:rFonts w:cstheme="minorHAnsi"/>
                <w:b/>
                <w:bCs/>
                <w:sz w:val="14"/>
                <w:szCs w:val="18"/>
              </w:rPr>
              <w:t>Volume en unités</w:t>
            </w:r>
          </w:p>
        </w:tc>
        <w:tc>
          <w:tcPr>
            <w:tcW w:w="1275" w:type="dxa"/>
            <w:tcBorders>
              <w:top w:val="single" w:sz="18" w:space="0" w:color="5B9BD5" w:themeColor="accent1"/>
              <w:left w:val="single" w:sz="2" w:space="0" w:color="5B9BD5" w:themeColor="accent1"/>
              <w:bottom w:val="single" w:sz="18" w:space="0" w:color="5B9BD5" w:themeColor="accent1"/>
            </w:tcBorders>
            <w:shd w:val="solid" w:color="FFFFFF" w:fill="000000"/>
          </w:tcPr>
          <w:p w14:paraId="0F58755B" w14:textId="1F51D7E0" w:rsidR="003B6438" w:rsidRDefault="003B6438" w:rsidP="00C47A8B">
            <w:pPr>
              <w:autoSpaceDE w:val="0"/>
              <w:autoSpaceDN w:val="0"/>
              <w:adjustRightInd w:val="0"/>
              <w:spacing w:after="0" w:line="240" w:lineRule="auto"/>
              <w:jc w:val="center"/>
              <w:rPr>
                <w:rFonts w:cstheme="minorHAnsi"/>
                <w:b/>
                <w:bCs/>
                <w:sz w:val="14"/>
                <w:szCs w:val="18"/>
              </w:rPr>
            </w:pPr>
            <w:r>
              <w:rPr>
                <w:rFonts w:cstheme="minorHAnsi"/>
                <w:b/>
                <w:bCs/>
                <w:sz w:val="14"/>
                <w:szCs w:val="18"/>
              </w:rPr>
              <w:t>Valeur en</w:t>
            </w:r>
          </w:p>
          <w:p w14:paraId="1EF42467" w14:textId="4F9AE432" w:rsidR="003B6438" w:rsidRPr="00095DC9" w:rsidRDefault="003B6438" w:rsidP="00C47A8B">
            <w:pPr>
              <w:jc w:val="center"/>
              <w:rPr>
                <w:rFonts w:ascii="Calibri" w:hAnsi="Calibri"/>
                <w:b/>
                <w:sz w:val="14"/>
              </w:rPr>
            </w:pPr>
            <w:proofErr w:type="gramStart"/>
            <w:r>
              <w:rPr>
                <w:rFonts w:cstheme="minorHAnsi"/>
                <w:b/>
                <w:bCs/>
                <w:sz w:val="14"/>
                <w:szCs w:val="18"/>
              </w:rPr>
              <w:t>euros</w:t>
            </w:r>
            <w:proofErr w:type="gramEnd"/>
          </w:p>
        </w:tc>
      </w:tr>
      <w:tr w:rsidR="000D7950" w:rsidRPr="003538A2" w14:paraId="37FDA493" w14:textId="39608437" w:rsidTr="00A54E21">
        <w:trPr>
          <w:trHeight w:val="178"/>
        </w:trPr>
        <w:tc>
          <w:tcPr>
            <w:tcW w:w="2724" w:type="dxa"/>
            <w:gridSpan w:val="2"/>
            <w:tcBorders>
              <w:top w:val="single" w:sz="18" w:space="0" w:color="5B9BD5" w:themeColor="accent1"/>
              <w:bottom w:val="single" w:sz="6" w:space="0" w:color="5B9BD5" w:themeColor="accent1"/>
              <w:right w:val="single" w:sz="6" w:space="0" w:color="5B9BD5" w:themeColor="accent1"/>
            </w:tcBorders>
            <w:shd w:val="solid" w:color="FFFFFF" w:fill="000000"/>
          </w:tcPr>
          <w:p w14:paraId="6CD80562" w14:textId="77777777" w:rsidR="000D7950" w:rsidRPr="00095DC9" w:rsidRDefault="000D7950" w:rsidP="007112D8">
            <w:pPr>
              <w:autoSpaceDE w:val="0"/>
              <w:autoSpaceDN w:val="0"/>
              <w:adjustRightInd w:val="0"/>
              <w:spacing w:after="0" w:line="240" w:lineRule="auto"/>
              <w:rPr>
                <w:rFonts w:cstheme="minorHAnsi"/>
                <w:b/>
                <w:bCs/>
                <w:sz w:val="14"/>
                <w:szCs w:val="18"/>
              </w:rPr>
            </w:pPr>
            <w:r w:rsidRPr="00095DC9">
              <w:rPr>
                <w:rFonts w:cstheme="minorHAnsi"/>
                <w:b/>
                <w:bCs/>
                <w:sz w:val="14"/>
                <w:szCs w:val="18"/>
              </w:rPr>
              <w:t>Nombre total de terminaux de cartes de monnaie électronique (TCME)</w:t>
            </w:r>
          </w:p>
        </w:tc>
        <w:tc>
          <w:tcPr>
            <w:tcW w:w="2701"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shd w:val="solid" w:color="FFFFFF" w:fill="000000"/>
          </w:tcPr>
          <w:p w14:paraId="365362AF" w14:textId="634C45D0" w:rsidR="000D7950" w:rsidRPr="003538A2" w:rsidRDefault="000D7950" w:rsidP="00C47A8B">
            <w:pPr>
              <w:jc w:val="both"/>
              <w:rPr>
                <w:rFonts w:ascii="Calibri" w:hAnsi="Calibri" w:cs="Calibri"/>
                <w:b/>
                <w:bCs/>
                <w:color w:val="000000"/>
                <w:sz w:val="24"/>
                <w:szCs w:val="24"/>
              </w:rPr>
            </w:pPr>
            <w:r w:rsidRPr="00095DC9">
              <w:rPr>
                <w:rFonts w:ascii="Calibri" w:hAnsi="Calibri"/>
                <w:b/>
                <w:sz w:val="14"/>
              </w:rPr>
              <w:t>Terminal permettant le transfert d’une valeur électronique, soit depuis un émetteur de monnaie électronique vers une carte ayant une fonction monnaie électronique, et vice et versa, soit depuis le solde de la carte vers le solde du payé.</w:t>
            </w:r>
          </w:p>
        </w:tc>
        <w:tc>
          <w:tcPr>
            <w:tcW w:w="1417" w:type="dxa"/>
            <w:vMerge w:val="restart"/>
            <w:tcBorders>
              <w:top w:val="single" w:sz="6" w:space="0" w:color="3366FF"/>
              <w:left w:val="single" w:sz="6" w:space="0" w:color="5B9BD5" w:themeColor="accent1"/>
              <w:right w:val="single" w:sz="6" w:space="0" w:color="5B9BD5" w:themeColor="accent1"/>
            </w:tcBorders>
            <w:shd w:val="solid" w:color="FFFFFF" w:fill="000000"/>
          </w:tcPr>
          <w:p w14:paraId="04458254" w14:textId="60B62DB2" w:rsidR="000D7950" w:rsidRPr="002F4AD9" w:rsidRDefault="00CF54A9" w:rsidP="00A54E21">
            <w:pPr>
              <w:jc w:val="center"/>
              <w:rPr>
                <w:rFonts w:ascii="Calibri" w:hAnsi="Calibri"/>
                <w:b/>
                <w:sz w:val="14"/>
              </w:rPr>
            </w:pPr>
            <w:r w:rsidRPr="002F4AD9">
              <w:rPr>
                <w:b/>
                <w:sz w:val="12"/>
              </w:rPr>
              <w:t xml:space="preserve">Selon ventilation géographique </w:t>
            </w:r>
            <w:proofErr w:type="gramStart"/>
            <w:r w:rsidRPr="002F4AD9">
              <w:rPr>
                <w:b/>
                <w:sz w:val="12"/>
              </w:rPr>
              <w:t>en  section</w:t>
            </w:r>
            <w:proofErr w:type="gramEnd"/>
            <w:r w:rsidRPr="002F4AD9">
              <w:rPr>
                <w:b/>
                <w:sz w:val="12"/>
              </w:rPr>
              <w:t xml:space="preserve"> 5</w:t>
            </w:r>
            <w:r w:rsidR="002F4AD9" w:rsidRPr="002F4AD9">
              <w:rPr>
                <w:b/>
                <w:sz w:val="12"/>
              </w:rPr>
              <w:t>.1</w:t>
            </w:r>
          </w:p>
        </w:tc>
        <w:tc>
          <w:tcPr>
            <w:tcW w:w="993" w:type="dxa"/>
            <w:tcBorders>
              <w:top w:val="single" w:sz="6" w:space="0" w:color="3366FF"/>
              <w:left w:val="single" w:sz="6" w:space="0" w:color="5B9BD5" w:themeColor="accent1"/>
              <w:bottom w:val="single" w:sz="6" w:space="0" w:color="5B9BD5" w:themeColor="accent1"/>
              <w:right w:val="single" w:sz="6" w:space="0" w:color="5B9BD5" w:themeColor="accent1"/>
            </w:tcBorders>
            <w:shd w:val="solid" w:color="FFFFFF" w:fill="000000"/>
          </w:tcPr>
          <w:p w14:paraId="39A04B02" w14:textId="77777777" w:rsidR="000D7950" w:rsidRPr="00095DC9" w:rsidRDefault="000D7950" w:rsidP="00095DC9">
            <w:pPr>
              <w:jc w:val="both"/>
              <w:rPr>
                <w:rFonts w:ascii="Calibri" w:hAnsi="Calibri"/>
                <w:b/>
                <w:sz w:val="14"/>
              </w:rPr>
            </w:pPr>
          </w:p>
        </w:tc>
        <w:tc>
          <w:tcPr>
            <w:tcW w:w="1275" w:type="dxa"/>
            <w:tcBorders>
              <w:top w:val="single" w:sz="6" w:space="0" w:color="3366FF"/>
              <w:left w:val="single" w:sz="6" w:space="0" w:color="5B9BD5" w:themeColor="accent1"/>
              <w:bottom w:val="single" w:sz="6" w:space="0" w:color="5B9BD5" w:themeColor="accent1"/>
            </w:tcBorders>
            <w:shd w:val="clear" w:color="auto" w:fill="A6A6A6" w:themeFill="background1" w:themeFillShade="A6"/>
          </w:tcPr>
          <w:p w14:paraId="46BCF232" w14:textId="1F1311D8" w:rsidR="000D7950" w:rsidRPr="00095DC9" w:rsidRDefault="000D7950" w:rsidP="00095DC9">
            <w:pPr>
              <w:jc w:val="both"/>
              <w:rPr>
                <w:rFonts w:ascii="Calibri" w:hAnsi="Calibri"/>
                <w:b/>
                <w:sz w:val="14"/>
              </w:rPr>
            </w:pPr>
          </w:p>
        </w:tc>
      </w:tr>
      <w:tr w:rsidR="000D7950" w:rsidRPr="003538A2" w14:paraId="547F8423" w14:textId="4FC16521" w:rsidTr="00F229F1">
        <w:trPr>
          <w:trHeight w:val="178"/>
        </w:trPr>
        <w:tc>
          <w:tcPr>
            <w:tcW w:w="132" w:type="dxa"/>
            <w:tcBorders>
              <w:top w:val="single" w:sz="18" w:space="0" w:color="5B9BD5" w:themeColor="accent1"/>
              <w:bottom w:val="single" w:sz="6" w:space="0" w:color="5B9BD5" w:themeColor="accent1"/>
              <w:right w:val="single" w:sz="6" w:space="0" w:color="5B9BD5" w:themeColor="accent1"/>
            </w:tcBorders>
            <w:shd w:val="solid" w:color="FFFFFF" w:fill="auto"/>
          </w:tcPr>
          <w:p w14:paraId="531B7261" w14:textId="77777777" w:rsidR="000D7950" w:rsidRPr="00736108" w:rsidRDefault="000D7950" w:rsidP="007112D8">
            <w:pPr>
              <w:autoSpaceDE w:val="0"/>
              <w:autoSpaceDN w:val="0"/>
              <w:adjustRightInd w:val="0"/>
              <w:spacing w:after="0" w:line="240" w:lineRule="auto"/>
              <w:jc w:val="right"/>
              <w:rPr>
                <w:rFonts w:cstheme="minorHAnsi"/>
                <w:sz w:val="14"/>
                <w:szCs w:val="18"/>
              </w:rPr>
            </w:pPr>
          </w:p>
        </w:tc>
        <w:tc>
          <w:tcPr>
            <w:tcW w:w="2592"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shd w:val="solid" w:color="FFFFFF" w:fill="000000"/>
          </w:tcPr>
          <w:p w14:paraId="5EFFC894" w14:textId="77777777" w:rsidR="000D7950" w:rsidRPr="00095DC9" w:rsidRDefault="000D7950" w:rsidP="007112D8">
            <w:pPr>
              <w:autoSpaceDE w:val="0"/>
              <w:autoSpaceDN w:val="0"/>
              <w:adjustRightInd w:val="0"/>
              <w:spacing w:after="0" w:line="240" w:lineRule="auto"/>
              <w:rPr>
                <w:rFonts w:cstheme="minorHAnsi"/>
                <w:b/>
                <w:bCs/>
                <w:sz w:val="14"/>
                <w:szCs w:val="18"/>
              </w:rPr>
            </w:pPr>
            <w:r w:rsidRPr="00095DC9">
              <w:rPr>
                <w:rFonts w:cstheme="minorHAnsi"/>
                <w:b/>
                <w:bCs/>
                <w:sz w:val="14"/>
                <w:szCs w:val="18"/>
              </w:rPr>
              <w:t>Dont terminaux de chargement / déchargement de monnaie électronique</w:t>
            </w:r>
          </w:p>
        </w:tc>
        <w:tc>
          <w:tcPr>
            <w:tcW w:w="2701"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shd w:val="solid" w:color="FFFFFF" w:fill="000000"/>
          </w:tcPr>
          <w:p w14:paraId="15BED1B3" w14:textId="492EC1A2" w:rsidR="000D7950" w:rsidRPr="00095DC9" w:rsidRDefault="000D7950" w:rsidP="00CD590A">
            <w:pPr>
              <w:autoSpaceDE w:val="0"/>
              <w:autoSpaceDN w:val="0"/>
              <w:adjustRightInd w:val="0"/>
              <w:spacing w:after="0" w:line="240" w:lineRule="auto"/>
              <w:jc w:val="both"/>
              <w:rPr>
                <w:rFonts w:ascii="Calibri" w:hAnsi="Calibri" w:cs="Calibri"/>
                <w:b/>
                <w:bCs/>
                <w:color w:val="000000"/>
                <w:sz w:val="14"/>
                <w:szCs w:val="24"/>
              </w:rPr>
            </w:pPr>
            <w:bookmarkStart w:id="27" w:name="_Toc401303766"/>
            <w:r w:rsidRPr="00095DC9">
              <w:rPr>
                <w:rFonts w:cstheme="minorHAnsi"/>
                <w:sz w:val="14"/>
                <w:szCs w:val="18"/>
              </w:rPr>
              <w:t>Terminal permettant le transfert d’une valeur électronique depuis un émetteur de monnaie électronique vers le porteur d’une carte ayant une fonction monnaie électronique et vice versa, c’est-à-dire chargement et déchargement.</w:t>
            </w:r>
            <w:bookmarkEnd w:id="27"/>
          </w:p>
        </w:tc>
        <w:tc>
          <w:tcPr>
            <w:tcW w:w="1417" w:type="dxa"/>
            <w:vMerge/>
            <w:tcBorders>
              <w:left w:val="single" w:sz="6" w:space="0" w:color="5B9BD5" w:themeColor="accent1"/>
              <w:right w:val="single" w:sz="6" w:space="0" w:color="5B9BD5" w:themeColor="accent1"/>
            </w:tcBorders>
            <w:shd w:val="solid" w:color="FFFFFF" w:fill="000000"/>
          </w:tcPr>
          <w:p w14:paraId="0B050F9C" w14:textId="3E218250" w:rsidR="000D7950" w:rsidRPr="00095DC9" w:rsidRDefault="000D7950" w:rsidP="007112D8">
            <w:pPr>
              <w:autoSpaceDE w:val="0"/>
              <w:autoSpaceDN w:val="0"/>
              <w:adjustRightInd w:val="0"/>
              <w:spacing w:after="0" w:line="240" w:lineRule="auto"/>
              <w:rPr>
                <w:rFonts w:cstheme="minorHAnsi"/>
                <w:sz w:val="14"/>
                <w:szCs w:val="18"/>
              </w:rPr>
            </w:pPr>
          </w:p>
        </w:tc>
        <w:tc>
          <w:tcPr>
            <w:tcW w:w="993"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shd w:val="solid" w:color="FFFFFF" w:fill="000000"/>
          </w:tcPr>
          <w:p w14:paraId="2CEC57B0" w14:textId="77777777" w:rsidR="000D7950" w:rsidRPr="00095DC9" w:rsidRDefault="000D7950" w:rsidP="007112D8">
            <w:pPr>
              <w:autoSpaceDE w:val="0"/>
              <w:autoSpaceDN w:val="0"/>
              <w:adjustRightInd w:val="0"/>
              <w:spacing w:after="0" w:line="240" w:lineRule="auto"/>
              <w:rPr>
                <w:rFonts w:cstheme="minorHAnsi"/>
                <w:sz w:val="14"/>
                <w:szCs w:val="18"/>
              </w:rPr>
            </w:pPr>
          </w:p>
        </w:tc>
        <w:tc>
          <w:tcPr>
            <w:tcW w:w="1275" w:type="dxa"/>
            <w:tcBorders>
              <w:top w:val="single" w:sz="18" w:space="0" w:color="5B9BD5" w:themeColor="accent1"/>
              <w:left w:val="single" w:sz="6" w:space="0" w:color="5B9BD5" w:themeColor="accent1"/>
              <w:bottom w:val="single" w:sz="6" w:space="0" w:color="5B9BD5" w:themeColor="accent1"/>
            </w:tcBorders>
            <w:shd w:val="clear" w:color="auto" w:fill="A6A6A6" w:themeFill="background1" w:themeFillShade="A6"/>
          </w:tcPr>
          <w:p w14:paraId="49517EA0" w14:textId="697AF3EA" w:rsidR="000D7950" w:rsidRPr="00095DC9" w:rsidRDefault="000D7950" w:rsidP="007112D8">
            <w:pPr>
              <w:autoSpaceDE w:val="0"/>
              <w:autoSpaceDN w:val="0"/>
              <w:adjustRightInd w:val="0"/>
              <w:spacing w:after="0" w:line="240" w:lineRule="auto"/>
              <w:rPr>
                <w:rFonts w:cstheme="minorHAnsi"/>
                <w:sz w:val="14"/>
                <w:szCs w:val="18"/>
              </w:rPr>
            </w:pPr>
          </w:p>
        </w:tc>
      </w:tr>
      <w:tr w:rsidR="000D7950" w:rsidRPr="003538A2" w14:paraId="5600AD39" w14:textId="7A1EACF7" w:rsidTr="002F4AD9">
        <w:trPr>
          <w:trHeight w:val="252"/>
        </w:trPr>
        <w:tc>
          <w:tcPr>
            <w:tcW w:w="132" w:type="dxa"/>
            <w:tcBorders>
              <w:top w:val="single" w:sz="18" w:space="0" w:color="5B9BD5" w:themeColor="accent1"/>
              <w:bottom w:val="single" w:sz="18" w:space="0" w:color="5B9BD5" w:themeColor="accent1"/>
              <w:right w:val="single" w:sz="6" w:space="0" w:color="5B9BD5" w:themeColor="accent1"/>
            </w:tcBorders>
            <w:shd w:val="solid" w:color="FFFFFF" w:fill="auto"/>
          </w:tcPr>
          <w:p w14:paraId="1718FF14" w14:textId="77777777" w:rsidR="000D7950" w:rsidRPr="00736108" w:rsidRDefault="000D7950" w:rsidP="00095DC9">
            <w:pPr>
              <w:autoSpaceDE w:val="0"/>
              <w:autoSpaceDN w:val="0"/>
              <w:adjustRightInd w:val="0"/>
              <w:spacing w:after="0" w:line="240" w:lineRule="auto"/>
              <w:jc w:val="right"/>
              <w:rPr>
                <w:rFonts w:cstheme="minorHAnsi"/>
                <w:sz w:val="14"/>
                <w:szCs w:val="18"/>
              </w:rPr>
            </w:pPr>
          </w:p>
        </w:tc>
        <w:tc>
          <w:tcPr>
            <w:tcW w:w="2592" w:type="dxa"/>
            <w:tcBorders>
              <w:top w:val="single" w:sz="18" w:space="0" w:color="5B9BD5" w:themeColor="accent1"/>
              <w:left w:val="single" w:sz="6" w:space="0" w:color="5B9BD5" w:themeColor="accent1"/>
              <w:bottom w:val="single" w:sz="18" w:space="0" w:color="5B9BD5" w:themeColor="accent1"/>
              <w:right w:val="single" w:sz="6" w:space="0" w:color="5B9BD5" w:themeColor="accent1"/>
            </w:tcBorders>
            <w:shd w:val="solid" w:color="FFFFFF" w:fill="000000"/>
          </w:tcPr>
          <w:p w14:paraId="34FE4EC6" w14:textId="77777777" w:rsidR="000D7950" w:rsidRPr="00095DC9" w:rsidRDefault="000D7950" w:rsidP="00095DC9">
            <w:pPr>
              <w:autoSpaceDE w:val="0"/>
              <w:autoSpaceDN w:val="0"/>
              <w:adjustRightInd w:val="0"/>
              <w:spacing w:after="0" w:line="240" w:lineRule="auto"/>
              <w:rPr>
                <w:rFonts w:cstheme="minorHAnsi"/>
                <w:b/>
                <w:bCs/>
                <w:sz w:val="14"/>
                <w:szCs w:val="18"/>
              </w:rPr>
            </w:pPr>
            <w:r w:rsidRPr="00095DC9">
              <w:rPr>
                <w:rFonts w:cstheme="minorHAnsi"/>
                <w:b/>
                <w:bCs/>
                <w:sz w:val="14"/>
                <w:szCs w:val="18"/>
              </w:rPr>
              <w:t>Dont terminaux acceptant les cartes de monnaie électronique</w:t>
            </w:r>
          </w:p>
        </w:tc>
        <w:tc>
          <w:tcPr>
            <w:tcW w:w="2701" w:type="dxa"/>
            <w:tcBorders>
              <w:top w:val="single" w:sz="18" w:space="0" w:color="5B9BD5" w:themeColor="accent1"/>
              <w:left w:val="single" w:sz="6" w:space="0" w:color="5B9BD5" w:themeColor="accent1"/>
              <w:bottom w:val="single" w:sz="18" w:space="0" w:color="5B9BD5" w:themeColor="accent1"/>
              <w:right w:val="single" w:sz="6" w:space="0" w:color="5B9BD5" w:themeColor="accent1"/>
            </w:tcBorders>
            <w:shd w:val="solid" w:color="FFFFFF" w:fill="000000"/>
          </w:tcPr>
          <w:p w14:paraId="1B20D7BA" w14:textId="55EA30D4" w:rsidR="00363506" w:rsidRPr="00A1668D" w:rsidRDefault="000D7950" w:rsidP="00A1668D">
            <w:pPr>
              <w:autoSpaceDE w:val="0"/>
              <w:autoSpaceDN w:val="0"/>
              <w:adjustRightInd w:val="0"/>
              <w:spacing w:after="0" w:line="240" w:lineRule="auto"/>
              <w:jc w:val="both"/>
              <w:rPr>
                <w:rFonts w:cstheme="minorHAnsi"/>
                <w:sz w:val="14"/>
                <w:szCs w:val="18"/>
              </w:rPr>
            </w:pPr>
            <w:bookmarkStart w:id="28" w:name="_Toc401303768"/>
            <w:r w:rsidRPr="00095DC9">
              <w:rPr>
                <w:rFonts w:cstheme="minorHAnsi"/>
                <w:sz w:val="14"/>
                <w:szCs w:val="18"/>
              </w:rPr>
              <w:t>Terminal permettant aux détenteurs de monnaie électronique sur une carte ayant une fonction monnaie électronique de transférer une valeur de monnaie électronique depuis leur solde vers le solde du commerçant ou d’un autre payé.</w:t>
            </w:r>
            <w:bookmarkEnd w:id="28"/>
            <w:r w:rsidR="00363506">
              <w:rPr>
                <w:rFonts w:cstheme="minorHAnsi"/>
                <w:sz w:val="14"/>
                <w:szCs w:val="18"/>
              </w:rPr>
              <w:t> </w:t>
            </w:r>
            <w:r w:rsidR="00363506" w:rsidRPr="00363506">
              <w:rPr>
                <w:rFonts w:ascii="Calibri" w:hAnsi="Calibri" w:cs="Calibri"/>
                <w:bCs/>
                <w:color w:val="000000"/>
                <w:sz w:val="14"/>
                <w:szCs w:val="24"/>
              </w:rPr>
              <w:t xml:space="preserve">Les terminaux </w:t>
            </w:r>
            <w:r w:rsidR="00A1668D">
              <w:rPr>
                <w:rFonts w:ascii="Calibri" w:hAnsi="Calibri" w:cs="Calibri"/>
                <w:bCs/>
                <w:color w:val="000000"/>
                <w:sz w:val="14"/>
                <w:szCs w:val="24"/>
              </w:rPr>
              <w:t xml:space="preserve">de point de vente (TPV) </w:t>
            </w:r>
            <w:r w:rsidR="00363506" w:rsidRPr="00363506">
              <w:rPr>
                <w:rFonts w:ascii="Calibri" w:hAnsi="Calibri" w:cs="Calibri"/>
                <w:bCs/>
                <w:color w:val="000000"/>
                <w:sz w:val="14"/>
                <w:szCs w:val="24"/>
              </w:rPr>
              <w:t>acceptant des cartes de monnaie électronique doivent être également reportés ici.</w:t>
            </w:r>
          </w:p>
        </w:tc>
        <w:tc>
          <w:tcPr>
            <w:tcW w:w="1417" w:type="dxa"/>
            <w:vMerge/>
            <w:tcBorders>
              <w:left w:val="single" w:sz="6" w:space="0" w:color="5B9BD5" w:themeColor="accent1"/>
              <w:bottom w:val="single" w:sz="18" w:space="0" w:color="5B9BD5" w:themeColor="accent1"/>
              <w:right w:val="single" w:sz="6" w:space="0" w:color="5B9BD5" w:themeColor="accent1"/>
            </w:tcBorders>
            <w:shd w:val="solid" w:color="FFFFFF" w:fill="000000"/>
          </w:tcPr>
          <w:p w14:paraId="15D5B887" w14:textId="26910BA9" w:rsidR="000D7950" w:rsidRPr="00095DC9" w:rsidRDefault="000D7950" w:rsidP="00095DC9">
            <w:pPr>
              <w:autoSpaceDE w:val="0"/>
              <w:autoSpaceDN w:val="0"/>
              <w:adjustRightInd w:val="0"/>
              <w:spacing w:after="0" w:line="240" w:lineRule="auto"/>
              <w:rPr>
                <w:rFonts w:cstheme="minorHAnsi"/>
                <w:sz w:val="14"/>
                <w:szCs w:val="18"/>
              </w:rPr>
            </w:pPr>
          </w:p>
        </w:tc>
        <w:tc>
          <w:tcPr>
            <w:tcW w:w="993" w:type="dxa"/>
            <w:tcBorders>
              <w:top w:val="single" w:sz="18" w:space="0" w:color="5B9BD5" w:themeColor="accent1"/>
              <w:left w:val="single" w:sz="6" w:space="0" w:color="5B9BD5" w:themeColor="accent1"/>
              <w:bottom w:val="single" w:sz="18" w:space="0" w:color="5B9BD5" w:themeColor="accent1"/>
              <w:right w:val="single" w:sz="6" w:space="0" w:color="5B9BD5" w:themeColor="accent1"/>
            </w:tcBorders>
            <w:shd w:val="solid" w:color="FFFFFF" w:fill="000000"/>
          </w:tcPr>
          <w:p w14:paraId="79119CDF" w14:textId="77777777" w:rsidR="000D7950" w:rsidRPr="00095DC9" w:rsidRDefault="000D7950" w:rsidP="00095DC9">
            <w:pPr>
              <w:autoSpaceDE w:val="0"/>
              <w:autoSpaceDN w:val="0"/>
              <w:adjustRightInd w:val="0"/>
              <w:spacing w:after="0" w:line="240" w:lineRule="auto"/>
              <w:rPr>
                <w:rFonts w:cstheme="minorHAnsi"/>
                <w:sz w:val="14"/>
                <w:szCs w:val="18"/>
              </w:rPr>
            </w:pPr>
          </w:p>
        </w:tc>
        <w:tc>
          <w:tcPr>
            <w:tcW w:w="1275" w:type="dxa"/>
            <w:tcBorders>
              <w:top w:val="single" w:sz="18" w:space="0" w:color="5B9BD5" w:themeColor="accent1"/>
              <w:left w:val="single" w:sz="6" w:space="0" w:color="5B9BD5" w:themeColor="accent1"/>
              <w:bottom w:val="single" w:sz="18" w:space="0" w:color="5B9BD5" w:themeColor="accent1"/>
            </w:tcBorders>
            <w:shd w:val="clear" w:color="auto" w:fill="A6A6A6" w:themeFill="background1" w:themeFillShade="A6"/>
          </w:tcPr>
          <w:p w14:paraId="05DE82A2" w14:textId="6B355BDA" w:rsidR="000D7950" w:rsidRPr="00095DC9" w:rsidRDefault="000D7950" w:rsidP="00095DC9">
            <w:pPr>
              <w:autoSpaceDE w:val="0"/>
              <w:autoSpaceDN w:val="0"/>
              <w:adjustRightInd w:val="0"/>
              <w:spacing w:after="0" w:line="240" w:lineRule="auto"/>
              <w:rPr>
                <w:rFonts w:cstheme="minorHAnsi"/>
                <w:sz w:val="14"/>
                <w:szCs w:val="18"/>
              </w:rPr>
            </w:pPr>
          </w:p>
        </w:tc>
      </w:tr>
    </w:tbl>
    <w:p w14:paraId="6186C359" w14:textId="6390DC76" w:rsidR="007C41AD" w:rsidRDefault="007C41AD" w:rsidP="00A675AF">
      <w:pPr>
        <w:spacing w:after="0" w:line="240" w:lineRule="auto"/>
        <w:jc w:val="both"/>
        <w:rPr>
          <w:rFonts w:ascii="Calibri" w:hAnsi="Calibri"/>
          <w:b/>
          <w:smallCaps/>
          <w:color w:val="2E74B5" w:themeColor="accent1" w:themeShade="BF"/>
          <w:sz w:val="24"/>
        </w:rPr>
      </w:pPr>
    </w:p>
    <w:p w14:paraId="7A7116BD" w14:textId="77777777" w:rsidR="005942F9" w:rsidRPr="00A675AF" w:rsidRDefault="005942F9" w:rsidP="005942F9">
      <w:pPr>
        <w:spacing w:after="0" w:line="240" w:lineRule="auto"/>
        <w:jc w:val="both"/>
        <w:rPr>
          <w:rFonts w:ascii="Calibri" w:hAnsi="Calibri"/>
          <w:b/>
          <w:smallCaps/>
          <w:color w:val="2E74B5" w:themeColor="accent1" w:themeShade="BF"/>
          <w:sz w:val="24"/>
        </w:rPr>
      </w:pPr>
      <w:r w:rsidRPr="00A675AF">
        <w:rPr>
          <w:rFonts w:ascii="Calibri" w:hAnsi="Calibri"/>
          <w:b/>
          <w:smallCaps/>
          <w:color w:val="2E74B5" w:themeColor="accent1" w:themeShade="BF"/>
          <w:sz w:val="24"/>
        </w:rPr>
        <w:t>Contrôles :</w:t>
      </w:r>
    </w:p>
    <w:p w14:paraId="5F824180" w14:textId="77777777" w:rsidR="005942F9" w:rsidRDefault="005942F9" w:rsidP="005942F9">
      <w:pPr>
        <w:pStyle w:val="Paragraphedeliste"/>
        <w:autoSpaceDE w:val="0"/>
        <w:autoSpaceDN w:val="0"/>
        <w:adjustRightInd w:val="0"/>
        <w:spacing w:after="0" w:line="240" w:lineRule="auto"/>
        <w:jc w:val="both"/>
        <w:rPr>
          <w:rFonts w:cstheme="minorHAnsi"/>
        </w:rPr>
      </w:pPr>
    </w:p>
    <w:p w14:paraId="2317BA9F" w14:textId="77777777" w:rsidR="005942F9" w:rsidRDefault="005942F9" w:rsidP="005942F9">
      <w:pPr>
        <w:autoSpaceDE w:val="0"/>
        <w:autoSpaceDN w:val="0"/>
        <w:adjustRightInd w:val="0"/>
        <w:spacing w:after="0" w:line="240" w:lineRule="auto"/>
        <w:jc w:val="both"/>
        <w:rPr>
          <w:rFonts w:cstheme="minorHAnsi"/>
        </w:rPr>
      </w:pPr>
      <w:r w:rsidRPr="002F77C9">
        <w:rPr>
          <w:rFonts w:cstheme="minorHAnsi"/>
        </w:rPr>
        <w:t>Les règles de contrôle suivantes doivent être appliquées</w:t>
      </w:r>
      <w:r>
        <w:rPr>
          <w:rFonts w:cstheme="minorHAnsi"/>
        </w:rPr>
        <w:t>.</w:t>
      </w:r>
    </w:p>
    <w:p w14:paraId="605F278C" w14:textId="77777777" w:rsidR="005942F9" w:rsidRPr="002F77C9" w:rsidRDefault="005942F9" w:rsidP="005942F9">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7D485E" w:rsidRPr="009E00CF" w14:paraId="1EFFC2D4" w14:textId="77777777" w:rsidTr="007D485E">
        <w:trPr>
          <w:trHeight w:val="409"/>
        </w:trPr>
        <w:tc>
          <w:tcPr>
            <w:tcW w:w="9054" w:type="dxa"/>
          </w:tcPr>
          <w:p w14:paraId="3D7D1222" w14:textId="02CA9A83" w:rsidR="007D485E" w:rsidRPr="007C75F3" w:rsidRDefault="007D485E" w:rsidP="007D485E">
            <w:pPr>
              <w:pStyle w:val="Paragraphedeliste"/>
              <w:autoSpaceDE w:val="0"/>
              <w:autoSpaceDN w:val="0"/>
              <w:adjustRightInd w:val="0"/>
              <w:ind w:left="0"/>
              <w:jc w:val="both"/>
              <w:rPr>
                <w:rFonts w:cstheme="minorHAnsi"/>
                <w:sz w:val="18"/>
                <w:szCs w:val="18"/>
              </w:rPr>
            </w:pPr>
            <w:r w:rsidRPr="00A675AF">
              <w:rPr>
                <w:rFonts w:cstheme="minorHAnsi"/>
                <w:sz w:val="18"/>
                <w:szCs w:val="18"/>
              </w:rPr>
              <w:t xml:space="preserve">Le </w:t>
            </w:r>
            <w:r>
              <w:rPr>
                <w:rFonts w:cstheme="minorHAnsi"/>
                <w:sz w:val="18"/>
                <w:szCs w:val="18"/>
              </w:rPr>
              <w:t>total de chaque indicateur est =</w:t>
            </w:r>
            <w:r w:rsidRPr="00A675AF">
              <w:rPr>
                <w:rFonts w:cstheme="minorHAnsi"/>
                <w:sz w:val="18"/>
                <w:szCs w:val="18"/>
              </w:rPr>
              <w:t xml:space="preserve"> à la somme des </w:t>
            </w:r>
            <w:r>
              <w:rPr>
                <w:rFonts w:cstheme="minorHAnsi"/>
                <w:sz w:val="18"/>
                <w:szCs w:val="18"/>
              </w:rPr>
              <w:t>trois sous ventilations géographiques associées (France, au sein de l’EEE et hors de l’EEE)</w:t>
            </w:r>
            <w:r w:rsidRPr="00A675AF">
              <w:rPr>
                <w:rFonts w:cstheme="minorHAnsi"/>
                <w:sz w:val="18"/>
                <w:szCs w:val="18"/>
              </w:rPr>
              <w:t>.</w:t>
            </w:r>
          </w:p>
        </w:tc>
      </w:tr>
      <w:tr w:rsidR="007D485E" w:rsidRPr="009E00CF" w14:paraId="42633420" w14:textId="77777777" w:rsidTr="007D485E">
        <w:trPr>
          <w:trHeight w:val="373"/>
        </w:trPr>
        <w:tc>
          <w:tcPr>
            <w:tcW w:w="9054" w:type="dxa"/>
          </w:tcPr>
          <w:p w14:paraId="54E2127C" w14:textId="6D426812" w:rsidR="007D485E" w:rsidRPr="007C75F3" w:rsidRDefault="007D485E" w:rsidP="007D485E">
            <w:pPr>
              <w:pStyle w:val="Paragraphedeliste"/>
              <w:autoSpaceDE w:val="0"/>
              <w:autoSpaceDN w:val="0"/>
              <w:adjustRightInd w:val="0"/>
              <w:ind w:left="0"/>
              <w:jc w:val="both"/>
              <w:rPr>
                <w:rFonts w:cstheme="minorHAnsi"/>
                <w:sz w:val="18"/>
                <w:szCs w:val="18"/>
              </w:rPr>
            </w:pPr>
            <w:r w:rsidRPr="007C75F3">
              <w:rPr>
                <w:rFonts w:cstheme="minorHAnsi"/>
                <w:sz w:val="18"/>
                <w:szCs w:val="18"/>
              </w:rPr>
              <w:t xml:space="preserve">Le </w:t>
            </w:r>
            <w:r>
              <w:rPr>
                <w:rFonts w:cstheme="minorHAnsi"/>
                <w:sz w:val="18"/>
                <w:szCs w:val="18"/>
              </w:rPr>
              <w:t xml:space="preserve">total « au sein de l’EEE » de chaque indicateur est = </w:t>
            </w:r>
            <w:r w:rsidRPr="00A675AF">
              <w:rPr>
                <w:rFonts w:cstheme="minorHAnsi"/>
                <w:sz w:val="18"/>
                <w:szCs w:val="18"/>
              </w:rPr>
              <w:t>à</w:t>
            </w:r>
            <w:r>
              <w:rPr>
                <w:rFonts w:cstheme="minorHAnsi"/>
                <w:sz w:val="18"/>
                <w:szCs w:val="18"/>
              </w:rPr>
              <w:t xml:space="preserve"> la somme de</w:t>
            </w:r>
            <w:r w:rsidRPr="00A675AF">
              <w:rPr>
                <w:rFonts w:cstheme="minorHAnsi"/>
                <w:sz w:val="18"/>
                <w:szCs w:val="18"/>
              </w:rPr>
              <w:t xml:space="preserve"> </w:t>
            </w:r>
            <w:r>
              <w:rPr>
                <w:rFonts w:cstheme="minorHAnsi"/>
                <w:sz w:val="18"/>
                <w:szCs w:val="18"/>
              </w:rPr>
              <w:t xml:space="preserve">la ventilation </w:t>
            </w:r>
            <w:r w:rsidRPr="00A675AF">
              <w:rPr>
                <w:rFonts w:cstheme="minorHAnsi"/>
                <w:sz w:val="18"/>
                <w:szCs w:val="18"/>
              </w:rPr>
              <w:t>par pays</w:t>
            </w:r>
            <w:r>
              <w:rPr>
                <w:rFonts w:cstheme="minorHAnsi"/>
                <w:sz w:val="18"/>
                <w:szCs w:val="18"/>
              </w:rPr>
              <w:t xml:space="preserve"> de l’EEE.</w:t>
            </w:r>
          </w:p>
        </w:tc>
      </w:tr>
      <w:tr w:rsidR="00407674" w:rsidRPr="005771F5" w14:paraId="3E15D38B" w14:textId="77777777" w:rsidTr="007D485E">
        <w:trPr>
          <w:trHeight w:val="516"/>
        </w:trPr>
        <w:tc>
          <w:tcPr>
            <w:tcW w:w="9054" w:type="dxa"/>
          </w:tcPr>
          <w:p w14:paraId="63AB4F80" w14:textId="2CF157E7" w:rsidR="00407674" w:rsidRPr="007C75F3" w:rsidRDefault="00BB3CC2" w:rsidP="00CD7D35">
            <w:pPr>
              <w:pStyle w:val="Paragraphedeliste"/>
              <w:autoSpaceDE w:val="0"/>
              <w:autoSpaceDN w:val="0"/>
              <w:adjustRightInd w:val="0"/>
              <w:ind w:left="0"/>
              <w:jc w:val="both"/>
              <w:rPr>
                <w:rFonts w:cstheme="minorHAnsi"/>
                <w:sz w:val="18"/>
                <w:szCs w:val="18"/>
              </w:rPr>
            </w:pPr>
            <w:r>
              <w:rPr>
                <w:rFonts w:cstheme="minorHAnsi"/>
                <w:sz w:val="18"/>
                <w:szCs w:val="18"/>
              </w:rPr>
              <w:t xml:space="preserve">Le nombre de TCME est &lt; ou = </w:t>
            </w:r>
            <w:r w:rsidR="00CD7D35">
              <w:rPr>
                <w:rFonts w:cstheme="minorHAnsi"/>
                <w:sz w:val="18"/>
                <w:szCs w:val="18"/>
              </w:rPr>
              <w:t>au total de</w:t>
            </w:r>
            <w:r>
              <w:rPr>
                <w:rFonts w:cstheme="minorHAnsi"/>
                <w:sz w:val="18"/>
                <w:szCs w:val="18"/>
              </w:rPr>
              <w:t xml:space="preserve">s TCME de chargement/déchargement de cartes de monnaie électronique </w:t>
            </w:r>
            <w:r w:rsidR="00CD7D35">
              <w:rPr>
                <w:rFonts w:cstheme="minorHAnsi"/>
                <w:sz w:val="18"/>
                <w:szCs w:val="18"/>
              </w:rPr>
              <w:t xml:space="preserve">+ le total </w:t>
            </w:r>
            <w:r>
              <w:rPr>
                <w:rFonts w:cstheme="minorHAnsi"/>
                <w:sz w:val="18"/>
                <w:szCs w:val="18"/>
              </w:rPr>
              <w:t>des TCME acceptant des cartes de monnaie électronique.</w:t>
            </w:r>
          </w:p>
        </w:tc>
      </w:tr>
      <w:tr w:rsidR="006E1949" w:rsidRPr="005771F5" w14:paraId="6865910F" w14:textId="77777777" w:rsidTr="007D485E">
        <w:trPr>
          <w:trHeight w:val="516"/>
        </w:trPr>
        <w:tc>
          <w:tcPr>
            <w:tcW w:w="9054" w:type="dxa"/>
          </w:tcPr>
          <w:p w14:paraId="017108A7" w14:textId="688FE97C" w:rsidR="006E1949" w:rsidRDefault="006E1949" w:rsidP="00407674">
            <w:pPr>
              <w:pStyle w:val="Paragraphedeliste"/>
              <w:autoSpaceDE w:val="0"/>
              <w:autoSpaceDN w:val="0"/>
              <w:adjustRightInd w:val="0"/>
              <w:ind w:left="0"/>
              <w:jc w:val="both"/>
              <w:rPr>
                <w:rFonts w:cstheme="minorHAnsi"/>
                <w:sz w:val="18"/>
                <w:szCs w:val="18"/>
              </w:rPr>
            </w:pPr>
            <w:r>
              <w:rPr>
                <w:rFonts w:cstheme="minorHAnsi"/>
                <w:sz w:val="18"/>
                <w:szCs w:val="18"/>
              </w:rPr>
              <w:t xml:space="preserve">Si le nombre de TCME de chargement/déchargement de monnaie électronique est = à 0, les opérations de chargement/déchargement de cartes de monnaie électronique émises par des PSP français (cf. section 4.1.3.2) </w:t>
            </w:r>
            <w:r w:rsidR="00D13EBE">
              <w:rPr>
                <w:rFonts w:cstheme="minorHAnsi"/>
                <w:sz w:val="18"/>
                <w:szCs w:val="18"/>
              </w:rPr>
              <w:t xml:space="preserve">et acquises par l’établissement </w:t>
            </w:r>
            <w:r>
              <w:rPr>
                <w:rFonts w:cstheme="minorHAnsi"/>
                <w:sz w:val="18"/>
                <w:szCs w:val="18"/>
              </w:rPr>
              <w:t xml:space="preserve">+ les opérations de chargement/déchargement de cartes de monnaie électroniques émises par des PSP </w:t>
            </w:r>
            <w:proofErr w:type="gramStart"/>
            <w:r>
              <w:rPr>
                <w:rFonts w:cstheme="minorHAnsi"/>
                <w:sz w:val="18"/>
                <w:szCs w:val="18"/>
              </w:rPr>
              <w:t xml:space="preserve">étrangers </w:t>
            </w:r>
            <w:r w:rsidR="00D13EBE">
              <w:rPr>
                <w:rFonts w:cstheme="minorHAnsi"/>
                <w:sz w:val="18"/>
                <w:szCs w:val="18"/>
              </w:rPr>
              <w:t xml:space="preserve"> et</w:t>
            </w:r>
            <w:proofErr w:type="gramEnd"/>
            <w:r w:rsidR="00D13EBE">
              <w:rPr>
                <w:rFonts w:cstheme="minorHAnsi"/>
                <w:sz w:val="18"/>
                <w:szCs w:val="18"/>
              </w:rPr>
              <w:t xml:space="preserve"> acquises par l’établissement </w:t>
            </w:r>
            <w:r>
              <w:rPr>
                <w:rFonts w:cstheme="minorHAnsi"/>
                <w:sz w:val="18"/>
                <w:szCs w:val="18"/>
              </w:rPr>
              <w:t>(cf. section 4.1.3.3) est = à 0.</w:t>
            </w:r>
          </w:p>
        </w:tc>
      </w:tr>
      <w:tr w:rsidR="006E1949" w:rsidRPr="005771F5" w14:paraId="4598E3E6" w14:textId="77777777" w:rsidTr="007D485E">
        <w:trPr>
          <w:trHeight w:val="516"/>
        </w:trPr>
        <w:tc>
          <w:tcPr>
            <w:tcW w:w="9054" w:type="dxa"/>
          </w:tcPr>
          <w:p w14:paraId="3497FB85" w14:textId="3BC11FC0" w:rsidR="006E1949" w:rsidRDefault="006E1949" w:rsidP="00407674">
            <w:pPr>
              <w:pStyle w:val="Paragraphedeliste"/>
              <w:autoSpaceDE w:val="0"/>
              <w:autoSpaceDN w:val="0"/>
              <w:adjustRightInd w:val="0"/>
              <w:ind w:left="0"/>
              <w:jc w:val="both"/>
              <w:rPr>
                <w:rFonts w:cstheme="minorHAnsi"/>
                <w:sz w:val="18"/>
                <w:szCs w:val="18"/>
              </w:rPr>
            </w:pPr>
            <w:r>
              <w:rPr>
                <w:rFonts w:cstheme="minorHAnsi"/>
                <w:sz w:val="18"/>
                <w:szCs w:val="18"/>
              </w:rPr>
              <w:t xml:space="preserve">Si le nombre de TCME acceptant des cartes de monnaie électronique est = à 0, les paiements en monnaie électronique par cartes ayant une fonction de monnaie électronique émises par des PSP français </w:t>
            </w:r>
            <w:r w:rsidR="00D13EBE">
              <w:rPr>
                <w:rFonts w:cstheme="minorHAnsi"/>
                <w:sz w:val="18"/>
                <w:szCs w:val="18"/>
              </w:rPr>
              <w:t xml:space="preserve">et acquis par l’établissement </w:t>
            </w:r>
            <w:r>
              <w:rPr>
                <w:rFonts w:cstheme="minorHAnsi"/>
                <w:sz w:val="18"/>
                <w:szCs w:val="18"/>
              </w:rPr>
              <w:t xml:space="preserve">(cf. section 4.1.3.2) + les paiements en monnaie électronique par cartes ayant une fonction de monnaie électronique émises par des PSP étrangers </w:t>
            </w:r>
            <w:r w:rsidR="00D13EBE">
              <w:rPr>
                <w:rFonts w:cstheme="minorHAnsi"/>
                <w:sz w:val="18"/>
                <w:szCs w:val="18"/>
              </w:rPr>
              <w:t xml:space="preserve">et acquis par l’établissement (cf. section 4.1.3.3) </w:t>
            </w:r>
            <w:r>
              <w:rPr>
                <w:rFonts w:cstheme="minorHAnsi"/>
                <w:sz w:val="18"/>
                <w:szCs w:val="18"/>
              </w:rPr>
              <w:t>est = à 0.</w:t>
            </w:r>
          </w:p>
        </w:tc>
      </w:tr>
      <w:tr w:rsidR="00F011DD" w:rsidRPr="005771F5" w14:paraId="5FC10FDC" w14:textId="77777777" w:rsidTr="007D485E">
        <w:trPr>
          <w:trHeight w:val="516"/>
        </w:trPr>
        <w:tc>
          <w:tcPr>
            <w:tcW w:w="9054" w:type="dxa"/>
          </w:tcPr>
          <w:p w14:paraId="60EC2E82" w14:textId="5825FB49" w:rsidR="00F011DD" w:rsidRDefault="00F011DD" w:rsidP="00407674">
            <w:pPr>
              <w:pStyle w:val="Paragraphedeliste"/>
              <w:autoSpaceDE w:val="0"/>
              <w:autoSpaceDN w:val="0"/>
              <w:adjustRightInd w:val="0"/>
              <w:ind w:left="0"/>
              <w:jc w:val="both"/>
              <w:rPr>
                <w:rFonts w:cstheme="minorHAnsi"/>
                <w:sz w:val="18"/>
                <w:szCs w:val="18"/>
              </w:rPr>
            </w:pPr>
            <w:r w:rsidRPr="003B40E1">
              <w:rPr>
                <w:rFonts w:cstheme="minorHAnsi"/>
                <w:sz w:val="18"/>
                <w:szCs w:val="18"/>
              </w:rPr>
              <w:t xml:space="preserve">Le nombre de terminaux de transfert électronique de </w:t>
            </w:r>
            <w:proofErr w:type="gramStart"/>
            <w:r w:rsidRPr="003B40E1">
              <w:rPr>
                <w:rFonts w:cstheme="minorHAnsi"/>
                <w:sz w:val="18"/>
                <w:szCs w:val="18"/>
              </w:rPr>
              <w:t>fonds  (</w:t>
            </w:r>
            <w:proofErr w:type="gramEnd"/>
            <w:r w:rsidRPr="003B40E1">
              <w:rPr>
                <w:rFonts w:cstheme="minorHAnsi"/>
                <w:sz w:val="18"/>
                <w:szCs w:val="18"/>
              </w:rPr>
              <w:t>TTEF) situés à un point de vente et acceptant des cartes de monnaie électronique  est &lt;= au nombre de terminaux de cartes de monnaie électronique (TCME) acceptant les cartes de monnaie électronique</w:t>
            </w:r>
          </w:p>
        </w:tc>
      </w:tr>
    </w:tbl>
    <w:p w14:paraId="476689B0" w14:textId="715F6E2B" w:rsidR="00095DC9" w:rsidRDefault="00095DC9" w:rsidP="00A675AF">
      <w:pPr>
        <w:spacing w:after="0" w:line="240" w:lineRule="auto"/>
        <w:jc w:val="both"/>
        <w:rPr>
          <w:rFonts w:ascii="Calibri" w:hAnsi="Calibri"/>
          <w:b/>
          <w:smallCaps/>
          <w:color w:val="2E74B5" w:themeColor="accent1" w:themeShade="BF"/>
          <w:sz w:val="24"/>
        </w:rPr>
      </w:pPr>
    </w:p>
    <w:p w14:paraId="751251F1" w14:textId="77777777" w:rsidR="00095DC9" w:rsidRPr="00A675AF" w:rsidRDefault="00095DC9" w:rsidP="00A675AF">
      <w:pPr>
        <w:spacing w:after="0" w:line="240" w:lineRule="auto"/>
        <w:jc w:val="both"/>
        <w:rPr>
          <w:rFonts w:ascii="Calibri" w:hAnsi="Calibri"/>
          <w:b/>
          <w:smallCaps/>
          <w:color w:val="2E74B5" w:themeColor="accent1" w:themeShade="BF"/>
          <w:sz w:val="24"/>
        </w:rPr>
      </w:pPr>
    </w:p>
    <w:p w14:paraId="7DCC995A" w14:textId="7BE3955D" w:rsidR="003B1F12" w:rsidRPr="00B3120D" w:rsidRDefault="003B1F12" w:rsidP="007718A3">
      <w:pPr>
        <w:pStyle w:val="Titre4"/>
        <w:numPr>
          <w:ilvl w:val="3"/>
          <w:numId w:val="38"/>
        </w:numPr>
      </w:pPr>
      <w:bookmarkStart w:id="29" w:name="_Toc222476860"/>
      <w:r w:rsidRPr="00B3120D">
        <w:t>Commentaires sur le dénombrement des cartes et terminaux</w:t>
      </w:r>
      <w:bookmarkEnd w:id="29"/>
    </w:p>
    <w:p w14:paraId="3047CBD7" w14:textId="4C0EA636" w:rsidR="00EA17E0" w:rsidRPr="00A675AF" w:rsidRDefault="00EA17E0" w:rsidP="00A675AF">
      <w:pPr>
        <w:autoSpaceDE w:val="0"/>
        <w:autoSpaceDN w:val="0"/>
        <w:adjustRightInd w:val="0"/>
        <w:spacing w:after="0" w:line="240" w:lineRule="auto"/>
        <w:jc w:val="both"/>
        <w:rPr>
          <w:b/>
          <w:smallCaps/>
          <w:sz w:val="28"/>
        </w:rPr>
      </w:pPr>
    </w:p>
    <w:p w14:paraId="014E20BF" w14:textId="77777777" w:rsidR="007578FE" w:rsidRDefault="007578FE" w:rsidP="007578FE">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2D4AF509" w14:textId="77777777" w:rsidR="00EA17E0" w:rsidRDefault="00EA17E0" w:rsidP="0067175B">
      <w:pPr>
        <w:spacing w:after="0" w:line="240" w:lineRule="auto"/>
        <w:rPr>
          <w:rFonts w:ascii="Calibri" w:eastAsia="Times New Roman" w:hAnsi="Calibri" w:cs="Calibri"/>
          <w:i/>
          <w:sz w:val="20"/>
          <w:szCs w:val="20"/>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11"/>
        <w:gridCol w:w="4961"/>
      </w:tblGrid>
      <w:tr w:rsidR="00095DC9" w14:paraId="5902583E" w14:textId="77777777" w:rsidTr="00F229F1">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111" w:type="dxa"/>
            <w:tcBorders>
              <w:bottom w:val="none" w:sz="0" w:space="0" w:color="auto"/>
            </w:tcBorders>
            <w:noWrap/>
            <w:hideMark/>
          </w:tcPr>
          <w:p w14:paraId="5ABDAE4B" w14:textId="77777777" w:rsidR="00095DC9" w:rsidRDefault="00095DC9" w:rsidP="00273E19">
            <w:pPr>
              <w:rPr>
                <w:rFonts w:ascii="Calibri" w:eastAsia="Times New Roman" w:hAnsi="Calibri" w:cs="Calibri"/>
                <w:b w:val="0"/>
                <w:i/>
                <w:sz w:val="18"/>
                <w:szCs w:val="18"/>
                <w:lang w:eastAsia="fr-FR"/>
              </w:rPr>
            </w:pPr>
          </w:p>
          <w:p w14:paraId="211F70D9" w14:textId="78CDD2E0" w:rsidR="00095DC9" w:rsidRPr="00703F2D" w:rsidRDefault="00095DC9" w:rsidP="00273E19">
            <w:pPr>
              <w:rPr>
                <w:rFonts w:ascii="Calibri" w:eastAsia="Times New Roman" w:hAnsi="Calibri" w:cs="Calibri"/>
                <w:i/>
                <w:sz w:val="18"/>
                <w:szCs w:val="18"/>
                <w:lang w:eastAsia="fr-FR"/>
              </w:rPr>
            </w:pPr>
            <w:r w:rsidRPr="00703F2D">
              <w:rPr>
                <w:rFonts w:ascii="Calibri" w:eastAsia="Times New Roman" w:hAnsi="Calibri" w:cs="Calibri"/>
                <w:i/>
                <w:sz w:val="18"/>
                <w:szCs w:val="18"/>
                <w:lang w:eastAsia="fr-FR"/>
              </w:rPr>
              <w:t>Commentaires</w:t>
            </w:r>
            <w:r>
              <w:rPr>
                <w:rFonts w:ascii="Calibri" w:eastAsia="Times New Roman" w:hAnsi="Calibri" w:cs="Calibri"/>
                <w:i/>
                <w:sz w:val="18"/>
                <w:szCs w:val="18"/>
                <w:lang w:eastAsia="fr-FR"/>
              </w:rPr>
              <w:t xml:space="preserve"> sur le dénombrement des cartes et terminaux</w:t>
            </w:r>
          </w:p>
          <w:p w14:paraId="3809C315" w14:textId="39D45075" w:rsidR="00095DC9" w:rsidRPr="00703F2D" w:rsidRDefault="00095DC9" w:rsidP="00273E19">
            <w:pPr>
              <w:rPr>
                <w:rFonts w:ascii="Calibri" w:eastAsia="Times New Roman" w:hAnsi="Calibri" w:cs="Calibri"/>
                <w:b w:val="0"/>
                <w:i/>
                <w:sz w:val="18"/>
                <w:szCs w:val="18"/>
                <w:lang w:eastAsia="fr-FR"/>
              </w:rPr>
            </w:pPr>
          </w:p>
        </w:tc>
        <w:tc>
          <w:tcPr>
            <w:tcW w:w="4961" w:type="dxa"/>
            <w:tcBorders>
              <w:bottom w:val="none" w:sz="0" w:space="0" w:color="auto"/>
            </w:tcBorders>
          </w:tcPr>
          <w:p w14:paraId="698DCED3" w14:textId="77777777" w:rsidR="00095DC9" w:rsidRDefault="00095DC9" w:rsidP="00273E1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p>
        </w:tc>
      </w:tr>
    </w:tbl>
    <w:p w14:paraId="690B4AEB" w14:textId="71460963" w:rsidR="003B1F12" w:rsidRDefault="003B1F12" w:rsidP="0067175B">
      <w:pPr>
        <w:spacing w:after="0" w:line="240" w:lineRule="auto"/>
        <w:rPr>
          <w:rFonts w:ascii="Calibri" w:eastAsia="Times New Roman" w:hAnsi="Calibri" w:cs="Calibri"/>
          <w:i/>
          <w:sz w:val="20"/>
          <w:szCs w:val="20"/>
          <w:lang w:eastAsia="fr-FR"/>
        </w:rPr>
      </w:pPr>
    </w:p>
    <w:p w14:paraId="3302FC38" w14:textId="1492C5B1" w:rsidR="00865CA9" w:rsidRDefault="00865CA9" w:rsidP="007C41AD">
      <w:pPr>
        <w:autoSpaceDE w:val="0"/>
        <w:autoSpaceDN w:val="0"/>
        <w:adjustRightInd w:val="0"/>
        <w:spacing w:after="0" w:line="240" w:lineRule="auto"/>
        <w:jc w:val="both"/>
        <w:rPr>
          <w:rFonts w:cstheme="minorHAnsi"/>
          <w:b/>
          <w:smallCaps/>
          <w:sz w:val="28"/>
          <w:szCs w:val="28"/>
        </w:rPr>
      </w:pPr>
    </w:p>
    <w:p w14:paraId="4D63D30B" w14:textId="079430A4" w:rsidR="00D76D4E" w:rsidRPr="005007E2" w:rsidRDefault="000841FD" w:rsidP="007718A3">
      <w:pPr>
        <w:pStyle w:val="Titre3"/>
        <w:numPr>
          <w:ilvl w:val="2"/>
          <w:numId w:val="38"/>
        </w:numPr>
        <w:jc w:val="both"/>
      </w:pPr>
      <w:r>
        <w:t xml:space="preserve"> </w:t>
      </w:r>
      <w:bookmarkStart w:id="30" w:name="_Toc222476861"/>
      <w:r w:rsidR="002A03DC" w:rsidRPr="005007E2">
        <w:t>Opérations effectuées</w:t>
      </w:r>
      <w:r w:rsidR="001C5AC4" w:rsidRPr="005007E2">
        <w:t xml:space="preserve"> </w:t>
      </w:r>
      <w:r w:rsidR="00D76D4E" w:rsidRPr="005007E2">
        <w:t>par carte</w:t>
      </w:r>
      <w:r w:rsidR="001C5AC4" w:rsidRPr="005007E2">
        <w:t>s</w:t>
      </w:r>
      <w:r w:rsidR="00D76D4E" w:rsidRPr="005007E2">
        <w:t xml:space="preserve"> </w:t>
      </w:r>
      <w:r w:rsidR="001C5AC4" w:rsidRPr="005007E2">
        <w:t>émises par l’établissement</w:t>
      </w:r>
      <w:r w:rsidR="006B3BD1" w:rsidRPr="005007E2">
        <w:t xml:space="preserve"> (vue émetteur)</w:t>
      </w:r>
      <w:bookmarkEnd w:id="30"/>
    </w:p>
    <w:p w14:paraId="09A421F8" w14:textId="77777777" w:rsidR="00D76D4E" w:rsidRPr="00A675AF" w:rsidRDefault="00D76D4E" w:rsidP="00A675AF">
      <w:pPr>
        <w:pStyle w:val="Paragraphedeliste"/>
        <w:autoSpaceDE w:val="0"/>
        <w:autoSpaceDN w:val="0"/>
        <w:adjustRightInd w:val="0"/>
        <w:spacing w:after="0" w:line="240" w:lineRule="auto"/>
        <w:jc w:val="both"/>
        <w:rPr>
          <w:b/>
          <w:smallCaps/>
          <w:sz w:val="28"/>
        </w:rPr>
      </w:pPr>
    </w:p>
    <w:p w14:paraId="31E16E6D" w14:textId="582D6846" w:rsidR="00C714BD" w:rsidRPr="00CA3B12" w:rsidRDefault="00C714BD" w:rsidP="009B3DEE">
      <w:pPr>
        <w:spacing w:after="0" w:line="240" w:lineRule="auto"/>
        <w:jc w:val="both"/>
        <w:rPr>
          <w:rFonts w:cstheme="minorHAnsi"/>
          <w:highlight w:val="yellow"/>
        </w:rPr>
      </w:pPr>
      <w:r w:rsidRPr="00C714BD">
        <w:rPr>
          <w:rFonts w:cstheme="minorHAnsi"/>
        </w:rPr>
        <w:t>Il s</w:t>
      </w:r>
      <w:r w:rsidR="00535572">
        <w:rPr>
          <w:rFonts w:cstheme="minorHAnsi"/>
        </w:rPr>
        <w:t xml:space="preserve">’agit de déclarer, en nombre et valeur, </w:t>
      </w:r>
      <w:r>
        <w:rPr>
          <w:rFonts w:cstheme="minorHAnsi"/>
        </w:rPr>
        <w:t xml:space="preserve">les </w:t>
      </w:r>
      <w:r w:rsidR="00212F93">
        <w:rPr>
          <w:rFonts w:cstheme="minorHAnsi"/>
        </w:rPr>
        <w:t xml:space="preserve">opérations </w:t>
      </w:r>
      <w:r>
        <w:rPr>
          <w:rFonts w:cstheme="minorHAnsi"/>
        </w:rPr>
        <w:t>de paiement et de retrait</w:t>
      </w:r>
      <w:r w:rsidR="00AE6191">
        <w:rPr>
          <w:rFonts w:cstheme="minorHAnsi"/>
        </w:rPr>
        <w:t>/dépôt d’espèces</w:t>
      </w:r>
      <w:r>
        <w:rPr>
          <w:rFonts w:cstheme="minorHAnsi"/>
        </w:rPr>
        <w:t xml:space="preserve"> effectuées à partir de cartes émises par l’établissement.</w:t>
      </w:r>
      <w:r w:rsidR="001839A2" w:rsidRPr="001839A2">
        <w:t xml:space="preserve"> </w:t>
      </w:r>
      <w:r w:rsidR="001839A2" w:rsidRPr="00283A0C">
        <w:rPr>
          <w:rFonts w:cstheme="minorHAnsi"/>
        </w:rPr>
        <w:t>L’établissement ne renseigne que les seuls schémas de carte pour lesquels il a des transactions à déclarer.</w:t>
      </w:r>
    </w:p>
    <w:p w14:paraId="6106373E" w14:textId="36132C52" w:rsidR="006C443E" w:rsidRPr="00CA3B12" w:rsidRDefault="006C443E" w:rsidP="009B3DEE">
      <w:pPr>
        <w:spacing w:after="0" w:line="240" w:lineRule="auto"/>
        <w:jc w:val="both"/>
        <w:rPr>
          <w:rFonts w:cstheme="minorHAnsi"/>
          <w:highlight w:val="yellow"/>
        </w:rPr>
      </w:pPr>
    </w:p>
    <w:tbl>
      <w:tblPr>
        <w:tblW w:w="9638" w:type="dxa"/>
        <w:tblInd w:w="8"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671"/>
        <w:gridCol w:w="6967"/>
      </w:tblGrid>
      <w:tr w:rsidR="006C443E" w:rsidRPr="00CA3B12" w14:paraId="64B9A21E" w14:textId="77777777" w:rsidTr="00D012A8">
        <w:trPr>
          <w:trHeight w:val="226"/>
        </w:trPr>
        <w:tc>
          <w:tcPr>
            <w:tcW w:w="2671" w:type="dxa"/>
            <w:tcMar>
              <w:top w:w="85" w:type="dxa"/>
              <w:left w:w="0" w:type="dxa"/>
              <w:bottom w:w="57" w:type="dxa"/>
              <w:right w:w="0" w:type="dxa"/>
            </w:tcMar>
            <w:hideMark/>
          </w:tcPr>
          <w:p w14:paraId="4D7C9A67" w14:textId="77777777" w:rsidR="006C443E" w:rsidRPr="00283A0C" w:rsidRDefault="006C443E"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GCB</w:t>
            </w:r>
          </w:p>
        </w:tc>
        <w:tc>
          <w:tcPr>
            <w:tcW w:w="6967" w:type="dxa"/>
          </w:tcPr>
          <w:p w14:paraId="403C4F43" w14:textId="77777777" w:rsidR="006C443E" w:rsidRPr="00283A0C" w:rsidRDefault="006C443E"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national Groupement Carte Bancaire.</w:t>
            </w:r>
          </w:p>
        </w:tc>
      </w:tr>
      <w:tr w:rsidR="006C443E" w:rsidRPr="00CA3B12" w14:paraId="7058DD1A" w14:textId="77777777" w:rsidTr="00D012A8">
        <w:trPr>
          <w:trHeight w:val="226"/>
        </w:trPr>
        <w:tc>
          <w:tcPr>
            <w:tcW w:w="2671" w:type="dxa"/>
            <w:tcMar>
              <w:top w:w="57" w:type="dxa"/>
              <w:left w:w="0" w:type="dxa"/>
              <w:bottom w:w="57" w:type="dxa"/>
              <w:right w:w="0" w:type="dxa"/>
            </w:tcMar>
          </w:tcPr>
          <w:p w14:paraId="408D3E80" w14:textId="77777777" w:rsidR="006C443E" w:rsidRPr="00283A0C" w:rsidRDefault="006C443E"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VISA </w:t>
            </w:r>
          </w:p>
        </w:tc>
        <w:tc>
          <w:tcPr>
            <w:tcW w:w="6967" w:type="dxa"/>
          </w:tcPr>
          <w:p w14:paraId="05A39A08" w14:textId="77777777" w:rsidR="006C443E" w:rsidRPr="00283A0C" w:rsidRDefault="006C443E"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VISA.</w:t>
            </w:r>
          </w:p>
        </w:tc>
      </w:tr>
      <w:tr w:rsidR="006C443E" w:rsidRPr="00CA3B12" w14:paraId="3186A229" w14:textId="77777777" w:rsidTr="00D012A8">
        <w:trPr>
          <w:trHeight w:val="226"/>
        </w:trPr>
        <w:tc>
          <w:tcPr>
            <w:tcW w:w="2671" w:type="dxa"/>
            <w:tcMar>
              <w:top w:w="57" w:type="dxa"/>
              <w:left w:w="0" w:type="dxa"/>
              <w:bottom w:w="57" w:type="dxa"/>
              <w:right w:w="0" w:type="dxa"/>
            </w:tcMar>
          </w:tcPr>
          <w:p w14:paraId="1C271121" w14:textId="5560CAC1" w:rsidR="006C443E" w:rsidRPr="00283A0C" w:rsidRDefault="00B7021B"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MASTERCARD</w:t>
            </w:r>
          </w:p>
        </w:tc>
        <w:tc>
          <w:tcPr>
            <w:tcW w:w="6967" w:type="dxa"/>
          </w:tcPr>
          <w:p w14:paraId="21C8DB02" w14:textId="77777777" w:rsidR="006C443E" w:rsidRPr="00283A0C" w:rsidRDefault="006C443E"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MasterCard.</w:t>
            </w:r>
          </w:p>
        </w:tc>
      </w:tr>
      <w:tr w:rsidR="006C443E" w:rsidRPr="00CA3B12" w14:paraId="27F5EAEB" w14:textId="77777777" w:rsidTr="00D012A8">
        <w:trPr>
          <w:trHeight w:val="226"/>
        </w:trPr>
        <w:tc>
          <w:tcPr>
            <w:tcW w:w="2671" w:type="dxa"/>
            <w:tcMar>
              <w:top w:w="57" w:type="dxa"/>
              <w:left w:w="0" w:type="dxa"/>
              <w:bottom w:w="57" w:type="dxa"/>
              <w:right w:w="0" w:type="dxa"/>
            </w:tcMar>
          </w:tcPr>
          <w:p w14:paraId="1507CED9" w14:textId="3A86B574" w:rsidR="006C443E" w:rsidRPr="00283A0C" w:rsidRDefault="00B7021B" w:rsidP="00D012A8">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AMERICAN EXPRESS</w:t>
            </w:r>
            <w:r w:rsidR="006C443E" w:rsidRPr="00283A0C">
              <w:rPr>
                <w:rFonts w:cstheme="minorHAnsi"/>
              </w:rPr>
              <w:tab/>
            </w:r>
          </w:p>
        </w:tc>
        <w:tc>
          <w:tcPr>
            <w:tcW w:w="6967" w:type="dxa"/>
          </w:tcPr>
          <w:p w14:paraId="6797070A" w14:textId="77777777" w:rsidR="006C443E" w:rsidRPr="00283A0C" w:rsidRDefault="006C443E"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American Express.</w:t>
            </w:r>
          </w:p>
        </w:tc>
      </w:tr>
      <w:tr w:rsidR="006C443E" w:rsidRPr="00CA3B12" w14:paraId="4FD72B67" w14:textId="77777777" w:rsidTr="00D012A8">
        <w:trPr>
          <w:trHeight w:val="226"/>
        </w:trPr>
        <w:tc>
          <w:tcPr>
            <w:tcW w:w="2671" w:type="dxa"/>
            <w:tcMar>
              <w:top w:w="57" w:type="dxa"/>
              <w:left w:w="0" w:type="dxa"/>
              <w:bottom w:w="57" w:type="dxa"/>
              <w:right w:w="0" w:type="dxa"/>
            </w:tcMar>
          </w:tcPr>
          <w:p w14:paraId="2041FC82" w14:textId="1F27CAEA" w:rsidR="006C443E" w:rsidRPr="00283A0C" w:rsidRDefault="00B7021B" w:rsidP="00D012A8">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ONEY BANK</w:t>
            </w:r>
          </w:p>
        </w:tc>
        <w:tc>
          <w:tcPr>
            <w:tcW w:w="6967" w:type="dxa"/>
          </w:tcPr>
          <w:p w14:paraId="1E80D77A" w14:textId="6078B3E2" w:rsidR="006C443E" w:rsidRPr="00283A0C" w:rsidRDefault="006C443E" w:rsidP="00283A0C">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sidR="00283A0C">
              <w:rPr>
                <w:rFonts w:cstheme="minorHAnsi"/>
              </w:rPr>
              <w:t>privatif</w:t>
            </w:r>
            <w:r w:rsidR="00B7021B">
              <w:rPr>
                <w:rFonts w:cstheme="minorHAnsi"/>
              </w:rPr>
              <w:t xml:space="preserve"> Oney</w:t>
            </w:r>
            <w:r w:rsidRPr="00283A0C">
              <w:rPr>
                <w:rFonts w:cstheme="minorHAnsi"/>
              </w:rPr>
              <w:t xml:space="preserve"> Bank.</w:t>
            </w:r>
          </w:p>
        </w:tc>
      </w:tr>
      <w:tr w:rsidR="006C443E" w:rsidRPr="00CA3B12" w14:paraId="544E3558" w14:textId="77777777" w:rsidTr="00D012A8">
        <w:trPr>
          <w:trHeight w:val="226"/>
        </w:trPr>
        <w:tc>
          <w:tcPr>
            <w:tcW w:w="2671" w:type="dxa"/>
            <w:tcMar>
              <w:top w:w="57" w:type="dxa"/>
              <w:left w:w="0" w:type="dxa"/>
              <w:bottom w:w="57" w:type="dxa"/>
              <w:right w:w="0" w:type="dxa"/>
            </w:tcMar>
          </w:tcPr>
          <w:p w14:paraId="0CA8DE38" w14:textId="56C83078" w:rsidR="006C443E" w:rsidRPr="00283A0C" w:rsidRDefault="00B7021B" w:rsidP="00D012A8">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CRÉDIT AGRICOLE CONSUMER FINANCE</w:t>
            </w:r>
          </w:p>
        </w:tc>
        <w:tc>
          <w:tcPr>
            <w:tcW w:w="6967" w:type="dxa"/>
          </w:tcPr>
          <w:p w14:paraId="4561CEFA" w14:textId="0B534358" w:rsidR="006C443E" w:rsidRPr="00283A0C" w:rsidRDefault="006C443E" w:rsidP="00283A0C">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sidR="00283A0C">
              <w:rPr>
                <w:rFonts w:cstheme="minorHAnsi"/>
              </w:rPr>
              <w:t>privatif</w:t>
            </w:r>
            <w:r w:rsidRPr="00283A0C">
              <w:rPr>
                <w:rFonts w:cstheme="minorHAnsi"/>
              </w:rPr>
              <w:t xml:space="preserve"> Crédit Agricole Consumer Finance.</w:t>
            </w:r>
          </w:p>
        </w:tc>
      </w:tr>
      <w:tr w:rsidR="006C443E" w:rsidRPr="00CA3B12" w14:paraId="59A06CA4" w14:textId="77777777" w:rsidTr="00D012A8">
        <w:trPr>
          <w:trHeight w:val="226"/>
        </w:trPr>
        <w:tc>
          <w:tcPr>
            <w:tcW w:w="2671" w:type="dxa"/>
            <w:tcMar>
              <w:top w:w="57" w:type="dxa"/>
              <w:left w:w="0" w:type="dxa"/>
              <w:bottom w:w="57" w:type="dxa"/>
              <w:right w:w="0" w:type="dxa"/>
            </w:tcMar>
          </w:tcPr>
          <w:p w14:paraId="576159B8" w14:textId="77777777" w:rsidR="006C443E" w:rsidRPr="00283A0C" w:rsidRDefault="006C443E" w:rsidP="00D012A8">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COFIDIS</w:t>
            </w:r>
          </w:p>
        </w:tc>
        <w:tc>
          <w:tcPr>
            <w:tcW w:w="6967" w:type="dxa"/>
          </w:tcPr>
          <w:p w14:paraId="4CBBBF22" w14:textId="76CF5A95" w:rsidR="006C443E" w:rsidRPr="00283A0C" w:rsidRDefault="006C443E" w:rsidP="00283A0C">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sidR="00283A0C">
              <w:rPr>
                <w:rFonts w:cstheme="minorHAnsi"/>
              </w:rPr>
              <w:t>privatif</w:t>
            </w:r>
            <w:r w:rsidR="00B7021B">
              <w:rPr>
                <w:rFonts w:cstheme="minorHAnsi"/>
              </w:rPr>
              <w:t xml:space="preserve"> Cofidis</w:t>
            </w:r>
            <w:r w:rsidRPr="00283A0C">
              <w:rPr>
                <w:rFonts w:cstheme="minorHAnsi"/>
              </w:rPr>
              <w:t>.</w:t>
            </w:r>
          </w:p>
        </w:tc>
      </w:tr>
      <w:tr w:rsidR="006C443E" w:rsidRPr="00CA3B12" w14:paraId="648E3D2C" w14:textId="77777777" w:rsidTr="00D012A8">
        <w:trPr>
          <w:trHeight w:val="226"/>
        </w:trPr>
        <w:tc>
          <w:tcPr>
            <w:tcW w:w="2671" w:type="dxa"/>
            <w:tcMar>
              <w:top w:w="57" w:type="dxa"/>
              <w:left w:w="0" w:type="dxa"/>
              <w:bottom w:w="57" w:type="dxa"/>
              <w:right w:w="0" w:type="dxa"/>
            </w:tcMar>
          </w:tcPr>
          <w:p w14:paraId="7A74C1FE" w14:textId="074E8B2D" w:rsidR="006C443E" w:rsidRPr="00283A0C" w:rsidRDefault="00B7021B" w:rsidP="00D012A8">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FRANFINANCE</w:t>
            </w:r>
          </w:p>
        </w:tc>
        <w:tc>
          <w:tcPr>
            <w:tcW w:w="6967" w:type="dxa"/>
          </w:tcPr>
          <w:p w14:paraId="6C43151F" w14:textId="59482315" w:rsidR="006C443E" w:rsidRPr="00283A0C" w:rsidRDefault="006C443E" w:rsidP="00283A0C">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sidR="00283A0C">
              <w:rPr>
                <w:rFonts w:cstheme="minorHAnsi"/>
              </w:rPr>
              <w:t>privatif</w:t>
            </w:r>
            <w:r w:rsidRPr="00283A0C">
              <w:rPr>
                <w:rFonts w:cstheme="minorHAnsi"/>
              </w:rPr>
              <w:t xml:space="preserve"> Franfinance.</w:t>
            </w:r>
          </w:p>
        </w:tc>
      </w:tr>
      <w:tr w:rsidR="006C443E" w:rsidRPr="00CA3B12" w14:paraId="716624AB" w14:textId="77777777" w:rsidTr="00D012A8">
        <w:trPr>
          <w:trHeight w:val="226"/>
        </w:trPr>
        <w:tc>
          <w:tcPr>
            <w:tcW w:w="2671" w:type="dxa"/>
            <w:tcMar>
              <w:top w:w="57" w:type="dxa"/>
              <w:left w:w="0" w:type="dxa"/>
              <w:bottom w:w="57" w:type="dxa"/>
              <w:right w:w="0" w:type="dxa"/>
            </w:tcMar>
          </w:tcPr>
          <w:p w14:paraId="3FCDA504" w14:textId="77777777" w:rsidR="006C443E" w:rsidRPr="00283A0C" w:rsidRDefault="006C443E" w:rsidP="00D012A8">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JCB</w:t>
            </w:r>
          </w:p>
        </w:tc>
        <w:tc>
          <w:tcPr>
            <w:tcW w:w="6967" w:type="dxa"/>
          </w:tcPr>
          <w:p w14:paraId="4F4050BC" w14:textId="77777777" w:rsidR="006C443E" w:rsidRPr="00283A0C" w:rsidRDefault="006C443E"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JCB.</w:t>
            </w:r>
          </w:p>
        </w:tc>
      </w:tr>
      <w:tr w:rsidR="006C443E" w:rsidRPr="00CA3B12" w14:paraId="3124C9B2" w14:textId="77777777" w:rsidTr="00D012A8">
        <w:trPr>
          <w:trHeight w:val="226"/>
        </w:trPr>
        <w:tc>
          <w:tcPr>
            <w:tcW w:w="2671" w:type="dxa"/>
            <w:tcMar>
              <w:top w:w="57" w:type="dxa"/>
              <w:left w:w="0" w:type="dxa"/>
              <w:bottom w:w="57" w:type="dxa"/>
              <w:right w:w="0" w:type="dxa"/>
            </w:tcMar>
          </w:tcPr>
          <w:p w14:paraId="7699B54B" w14:textId="2BF8448B" w:rsidR="006C443E" w:rsidRPr="00283A0C" w:rsidRDefault="00B7021B" w:rsidP="00D012A8">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UNION PAY</w:t>
            </w:r>
          </w:p>
        </w:tc>
        <w:tc>
          <w:tcPr>
            <w:tcW w:w="6967" w:type="dxa"/>
          </w:tcPr>
          <w:p w14:paraId="01CD0426" w14:textId="77777777" w:rsidR="006C443E" w:rsidRPr="00283A0C" w:rsidRDefault="006C443E"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international Union </w:t>
            </w:r>
            <w:proofErr w:type="spellStart"/>
            <w:r w:rsidRPr="00283A0C">
              <w:rPr>
                <w:rFonts w:cstheme="minorHAnsi"/>
              </w:rPr>
              <w:t>Pay</w:t>
            </w:r>
            <w:proofErr w:type="spellEnd"/>
            <w:r w:rsidRPr="00283A0C">
              <w:rPr>
                <w:rFonts w:cstheme="minorHAnsi"/>
              </w:rPr>
              <w:t>.</w:t>
            </w:r>
          </w:p>
        </w:tc>
      </w:tr>
      <w:tr w:rsidR="00306CBB" w:rsidRPr="00CA3B12" w14:paraId="4522778B" w14:textId="77777777" w:rsidTr="00D012A8">
        <w:trPr>
          <w:trHeight w:val="226"/>
        </w:trPr>
        <w:tc>
          <w:tcPr>
            <w:tcW w:w="2671" w:type="dxa"/>
            <w:tcMar>
              <w:top w:w="57" w:type="dxa"/>
              <w:left w:w="0" w:type="dxa"/>
              <w:bottom w:w="57" w:type="dxa"/>
              <w:right w:w="0" w:type="dxa"/>
            </w:tcMar>
          </w:tcPr>
          <w:p w14:paraId="50CEBE47" w14:textId="2A316DAF" w:rsidR="00306CBB" w:rsidRPr="00B7021B" w:rsidRDefault="00B7021B" w:rsidP="00306CBB">
            <w:pPr>
              <w:tabs>
                <w:tab w:val="right" w:pos="2584"/>
              </w:tabs>
              <w:suppressAutoHyphens/>
              <w:autoSpaceDE w:val="0"/>
              <w:autoSpaceDN w:val="0"/>
              <w:adjustRightInd w:val="0"/>
              <w:spacing w:after="0" w:line="288" w:lineRule="auto"/>
              <w:ind w:left="57" w:right="57"/>
              <w:textAlignment w:val="center"/>
              <w:rPr>
                <w:rFonts w:cstheme="minorHAnsi"/>
              </w:rPr>
            </w:pPr>
            <w:r w:rsidRPr="00B7021B">
              <w:rPr>
                <w:rFonts w:cstheme="minorHAnsi"/>
              </w:rPr>
              <w:t>DINERS</w:t>
            </w:r>
          </w:p>
        </w:tc>
        <w:tc>
          <w:tcPr>
            <w:tcW w:w="6967" w:type="dxa"/>
          </w:tcPr>
          <w:p w14:paraId="26667EFD" w14:textId="22F9657B" w:rsidR="00306CBB" w:rsidRPr="00B7021B" w:rsidRDefault="00306CBB" w:rsidP="00306CBB">
            <w:pPr>
              <w:suppressAutoHyphens/>
              <w:autoSpaceDE w:val="0"/>
              <w:autoSpaceDN w:val="0"/>
              <w:adjustRightInd w:val="0"/>
              <w:spacing w:after="0" w:line="288" w:lineRule="auto"/>
              <w:ind w:left="57" w:right="57"/>
              <w:textAlignment w:val="center"/>
              <w:rPr>
                <w:rFonts w:cstheme="minorHAnsi"/>
              </w:rPr>
            </w:pPr>
            <w:r w:rsidRPr="00B7021B">
              <w:rPr>
                <w:rFonts w:cstheme="minorHAnsi"/>
              </w:rPr>
              <w:t>Transaction par carte traitée par le schéma international Diners.</w:t>
            </w:r>
          </w:p>
        </w:tc>
      </w:tr>
      <w:tr w:rsidR="00306CBB" w:rsidRPr="00CA3B12" w14:paraId="4C6BE92F" w14:textId="77777777" w:rsidTr="00D012A8">
        <w:trPr>
          <w:trHeight w:val="226"/>
        </w:trPr>
        <w:tc>
          <w:tcPr>
            <w:tcW w:w="2671" w:type="dxa"/>
            <w:tcMar>
              <w:top w:w="57" w:type="dxa"/>
              <w:left w:w="0" w:type="dxa"/>
              <w:bottom w:w="57" w:type="dxa"/>
              <w:right w:w="0" w:type="dxa"/>
            </w:tcMar>
          </w:tcPr>
          <w:p w14:paraId="757EB71B" w14:textId="33CD4E2F" w:rsidR="00306CBB" w:rsidRPr="00B7021B" w:rsidRDefault="00B7021B" w:rsidP="00306CBB">
            <w:pPr>
              <w:tabs>
                <w:tab w:val="right" w:pos="2584"/>
              </w:tabs>
              <w:suppressAutoHyphens/>
              <w:autoSpaceDE w:val="0"/>
              <w:autoSpaceDN w:val="0"/>
              <w:adjustRightInd w:val="0"/>
              <w:spacing w:after="0" w:line="288" w:lineRule="auto"/>
              <w:ind w:left="57" w:right="57"/>
              <w:textAlignment w:val="center"/>
              <w:rPr>
                <w:rFonts w:cstheme="minorHAnsi"/>
              </w:rPr>
            </w:pPr>
            <w:r w:rsidRPr="00B7021B">
              <w:rPr>
                <w:rFonts w:cstheme="minorHAnsi"/>
              </w:rPr>
              <w:t>DISCOVER</w:t>
            </w:r>
          </w:p>
        </w:tc>
        <w:tc>
          <w:tcPr>
            <w:tcW w:w="6967" w:type="dxa"/>
          </w:tcPr>
          <w:p w14:paraId="19437854" w14:textId="55901134" w:rsidR="00306CBB" w:rsidRPr="00B7021B" w:rsidRDefault="00306CBB" w:rsidP="00306CBB">
            <w:pPr>
              <w:suppressAutoHyphens/>
              <w:autoSpaceDE w:val="0"/>
              <w:autoSpaceDN w:val="0"/>
              <w:adjustRightInd w:val="0"/>
              <w:spacing w:after="0" w:line="288" w:lineRule="auto"/>
              <w:ind w:left="57" w:right="57"/>
              <w:textAlignment w:val="center"/>
              <w:rPr>
                <w:rFonts w:cstheme="minorHAnsi"/>
              </w:rPr>
            </w:pPr>
            <w:r w:rsidRPr="00B7021B">
              <w:rPr>
                <w:rFonts w:cstheme="minorHAnsi"/>
              </w:rPr>
              <w:t>Transaction par carte traitée par le schéma international Discover.</w:t>
            </w:r>
          </w:p>
        </w:tc>
      </w:tr>
      <w:tr w:rsidR="00306CBB" w:rsidRPr="004B729A" w14:paraId="616F0820" w14:textId="77777777" w:rsidTr="00D012A8">
        <w:trPr>
          <w:trHeight w:val="226"/>
        </w:trPr>
        <w:tc>
          <w:tcPr>
            <w:tcW w:w="2671" w:type="dxa"/>
            <w:tcMar>
              <w:top w:w="57" w:type="dxa"/>
              <w:left w:w="0" w:type="dxa"/>
              <w:bottom w:w="57" w:type="dxa"/>
              <w:right w:w="0" w:type="dxa"/>
            </w:tcMar>
          </w:tcPr>
          <w:p w14:paraId="6B5A8BBA" w14:textId="1A8DC8D9" w:rsidR="00306CBB" w:rsidRPr="00283A0C" w:rsidRDefault="00B7021B" w:rsidP="00306CBB">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AURORE</w:t>
            </w:r>
          </w:p>
        </w:tc>
        <w:tc>
          <w:tcPr>
            <w:tcW w:w="6967" w:type="dxa"/>
          </w:tcPr>
          <w:p w14:paraId="0BAF5C27" w14:textId="6802233E" w:rsidR="00306CBB" w:rsidRPr="00283A0C" w:rsidRDefault="00306CBB" w:rsidP="00306CBB">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Pr>
                <w:rFonts w:cstheme="minorHAnsi"/>
              </w:rPr>
              <w:t xml:space="preserve">privatif </w:t>
            </w:r>
            <w:r w:rsidRPr="00283A0C">
              <w:rPr>
                <w:rFonts w:cstheme="minorHAnsi"/>
              </w:rPr>
              <w:t>Aurore</w:t>
            </w:r>
            <w:r>
              <w:rPr>
                <w:rFonts w:cstheme="minorHAnsi"/>
              </w:rPr>
              <w:t>.</w:t>
            </w:r>
          </w:p>
        </w:tc>
      </w:tr>
      <w:tr w:rsidR="00AE4A1D" w:rsidRPr="004B729A" w14:paraId="587A1391" w14:textId="77777777" w:rsidTr="00D012A8">
        <w:trPr>
          <w:trHeight w:val="226"/>
        </w:trPr>
        <w:tc>
          <w:tcPr>
            <w:tcW w:w="2671" w:type="dxa"/>
            <w:tcMar>
              <w:top w:w="57" w:type="dxa"/>
              <w:left w:w="0" w:type="dxa"/>
              <w:bottom w:w="57" w:type="dxa"/>
              <w:right w:w="0" w:type="dxa"/>
            </w:tcMar>
          </w:tcPr>
          <w:p w14:paraId="5B450A28" w14:textId="0BE2F942" w:rsidR="00AE4A1D" w:rsidRPr="00831BD5" w:rsidRDefault="00AE4A1D" w:rsidP="00306CB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831BD5">
              <w:rPr>
                <w:rFonts w:cstheme="minorHAnsi"/>
                <w:highlight w:val="yellow"/>
              </w:rPr>
              <w:t>AUTRES</w:t>
            </w:r>
          </w:p>
        </w:tc>
        <w:tc>
          <w:tcPr>
            <w:tcW w:w="6967" w:type="dxa"/>
          </w:tcPr>
          <w:p w14:paraId="02A39439" w14:textId="2FAB02E5" w:rsidR="00AE4A1D" w:rsidRPr="00831BD5" w:rsidRDefault="00AE4A1D" w:rsidP="00F55B35">
            <w:pPr>
              <w:suppressAutoHyphens/>
              <w:autoSpaceDE w:val="0"/>
              <w:autoSpaceDN w:val="0"/>
              <w:adjustRightInd w:val="0"/>
              <w:spacing w:after="0" w:line="288" w:lineRule="auto"/>
              <w:ind w:left="57" w:right="57"/>
              <w:textAlignment w:val="center"/>
              <w:rPr>
                <w:rFonts w:cstheme="minorHAnsi"/>
                <w:highlight w:val="yellow"/>
              </w:rPr>
            </w:pPr>
            <w:r w:rsidRPr="00831BD5">
              <w:rPr>
                <w:rFonts w:cstheme="minorHAnsi"/>
                <w:highlight w:val="yellow"/>
              </w:rPr>
              <w:t>Transaction par carte traitée par un schéma ne figurant pas</w:t>
            </w:r>
            <w:r w:rsidR="007A6012" w:rsidRPr="00831BD5">
              <w:rPr>
                <w:rFonts w:cstheme="minorHAnsi"/>
                <w:highlight w:val="yellow"/>
              </w:rPr>
              <w:t xml:space="preserve"> dans l</w:t>
            </w:r>
            <w:r w:rsidR="00F55B35" w:rsidRPr="00831BD5">
              <w:rPr>
                <w:rFonts w:cstheme="minorHAnsi"/>
                <w:highlight w:val="yellow"/>
              </w:rPr>
              <w:t>a liste ci-dessus</w:t>
            </w:r>
            <w:r w:rsidR="007A6012" w:rsidRPr="00831BD5">
              <w:rPr>
                <w:rFonts w:cstheme="minorHAnsi"/>
                <w:highlight w:val="yellow"/>
              </w:rPr>
              <w:t>.</w:t>
            </w:r>
          </w:p>
        </w:tc>
      </w:tr>
    </w:tbl>
    <w:p w14:paraId="1898040F" w14:textId="77777777" w:rsidR="006C443E" w:rsidRDefault="006C443E" w:rsidP="009B3DEE">
      <w:pPr>
        <w:spacing w:after="0" w:line="240" w:lineRule="auto"/>
        <w:jc w:val="both"/>
        <w:rPr>
          <w:rFonts w:cstheme="minorHAnsi"/>
        </w:rPr>
      </w:pPr>
    </w:p>
    <w:p w14:paraId="0BE94EEE" w14:textId="4130C4EF" w:rsidR="00EF282F" w:rsidRDefault="00EF282F" w:rsidP="009B3DEE">
      <w:pPr>
        <w:spacing w:after="0" w:line="240" w:lineRule="auto"/>
        <w:jc w:val="both"/>
        <w:rPr>
          <w:rFonts w:cstheme="minorHAnsi"/>
        </w:rPr>
      </w:pPr>
    </w:p>
    <w:p w14:paraId="3056145B" w14:textId="77777777" w:rsidR="009C03EE" w:rsidRDefault="009C03EE" w:rsidP="009B3DEE">
      <w:pPr>
        <w:spacing w:after="0" w:line="240" w:lineRule="auto"/>
        <w:jc w:val="both"/>
        <w:rPr>
          <w:rFonts w:cstheme="minorHAnsi"/>
        </w:rPr>
      </w:pPr>
    </w:p>
    <w:p w14:paraId="0F9CC731" w14:textId="60E25006" w:rsidR="009C59D8" w:rsidRPr="005007E2" w:rsidRDefault="007D1724" w:rsidP="006B400E">
      <w:pPr>
        <w:pStyle w:val="Titre4"/>
        <w:numPr>
          <w:ilvl w:val="3"/>
          <w:numId w:val="20"/>
        </w:numPr>
      </w:pPr>
      <w:bookmarkStart w:id="31" w:name="_Toc222476862"/>
      <w:r w:rsidRPr="005007E2">
        <w:t>O</w:t>
      </w:r>
      <w:r w:rsidR="002A03DC" w:rsidRPr="005007E2">
        <w:t xml:space="preserve">pérations de </w:t>
      </w:r>
      <w:r w:rsidR="00DA48EB" w:rsidRPr="005007E2">
        <w:t xml:space="preserve">paiement </w:t>
      </w:r>
      <w:r w:rsidRPr="005007E2">
        <w:t xml:space="preserve">ventilées </w:t>
      </w:r>
      <w:r w:rsidR="00DA48EB" w:rsidRPr="005007E2">
        <w:t>par canal</w:t>
      </w:r>
      <w:r w:rsidR="0021761B">
        <w:t xml:space="preserve"> </w:t>
      </w:r>
      <w:r w:rsidR="00DA48EB" w:rsidRPr="005007E2">
        <w:t>d’initiation</w:t>
      </w:r>
      <w:r w:rsidR="002A03DC" w:rsidRPr="005007E2">
        <w:t xml:space="preserve">, </w:t>
      </w:r>
      <w:r w:rsidR="00BF68F9">
        <w:t xml:space="preserve">schéma de carte, fonction de carte, </w:t>
      </w:r>
      <w:r w:rsidR="004D185F" w:rsidRPr="005007E2">
        <w:t>zone géographique</w:t>
      </w:r>
      <w:r w:rsidR="00EB625D" w:rsidRPr="005007E2">
        <w:t xml:space="preserve">, </w:t>
      </w:r>
      <w:r w:rsidR="002A03DC" w:rsidRPr="005007E2">
        <w:t>méthode d’authentification et motif d</w:t>
      </w:r>
      <w:r w:rsidR="0021761B">
        <w:t>’exemption</w:t>
      </w:r>
      <w:r w:rsidR="002A03DC" w:rsidRPr="005007E2">
        <w:t xml:space="preserve"> à </w:t>
      </w:r>
      <w:r w:rsidR="0021761B">
        <w:t xml:space="preserve">l’application de </w:t>
      </w:r>
      <w:r w:rsidR="002A03DC" w:rsidRPr="005007E2">
        <w:t>l’authentification forte</w:t>
      </w:r>
      <w:bookmarkEnd w:id="31"/>
    </w:p>
    <w:p w14:paraId="5CFDE012" w14:textId="1289F06D" w:rsidR="00252B59" w:rsidRDefault="00252B59" w:rsidP="009B3DEE">
      <w:pPr>
        <w:spacing w:after="0" w:line="240" w:lineRule="auto"/>
        <w:jc w:val="both"/>
        <w:rPr>
          <w:rFonts w:cstheme="minorHAnsi"/>
          <w:b/>
          <w:smallCaps/>
        </w:rPr>
      </w:pPr>
    </w:p>
    <w:p w14:paraId="3E4F9628" w14:textId="5AB883D7" w:rsidR="007E637A" w:rsidRDefault="007E637A" w:rsidP="007E637A">
      <w:pPr>
        <w:spacing w:after="0" w:line="240" w:lineRule="auto"/>
        <w:jc w:val="both"/>
        <w:rPr>
          <w:rFonts w:cstheme="minorHAnsi"/>
        </w:rPr>
      </w:pPr>
      <w:r w:rsidRPr="00C714BD">
        <w:rPr>
          <w:rFonts w:cstheme="minorHAnsi"/>
        </w:rPr>
        <w:t>Il s</w:t>
      </w:r>
      <w:r>
        <w:rPr>
          <w:rFonts w:cstheme="minorHAnsi"/>
        </w:rPr>
        <w:t xml:space="preserve">’agit de déclarer, en nombre et valeur, les </w:t>
      </w:r>
      <w:r w:rsidR="00212F93">
        <w:rPr>
          <w:rFonts w:cstheme="minorHAnsi"/>
        </w:rPr>
        <w:t>opérations d</w:t>
      </w:r>
      <w:r>
        <w:rPr>
          <w:rFonts w:cstheme="minorHAnsi"/>
        </w:rPr>
        <w:t>e paiement effectuées à partir de cartes émises par l’établissement.</w:t>
      </w:r>
    </w:p>
    <w:p w14:paraId="05FA0B61" w14:textId="6F75C453" w:rsidR="007E637A" w:rsidRDefault="007E637A" w:rsidP="00252B59">
      <w:pPr>
        <w:spacing w:after="0" w:line="240" w:lineRule="auto"/>
        <w:jc w:val="both"/>
        <w:rPr>
          <w:rFonts w:cstheme="minorHAnsi"/>
        </w:rPr>
      </w:pPr>
    </w:p>
    <w:p w14:paraId="612323C0" w14:textId="1E844EA9" w:rsidR="00252B59" w:rsidRPr="00D63756" w:rsidRDefault="00252B59" w:rsidP="00252B59">
      <w:pPr>
        <w:spacing w:after="0" w:line="240" w:lineRule="auto"/>
        <w:jc w:val="both"/>
        <w:rPr>
          <w:rFonts w:cstheme="minorHAnsi"/>
          <w:u w:val="single"/>
        </w:rPr>
      </w:pPr>
      <w:r w:rsidRPr="00D63756">
        <w:rPr>
          <w:rFonts w:cstheme="minorHAnsi"/>
          <w:u w:val="single"/>
        </w:rPr>
        <w:t>Remarques</w:t>
      </w:r>
      <w:r w:rsidRPr="00A675AF">
        <w:rPr>
          <w:rFonts w:cstheme="minorHAnsi"/>
        </w:rPr>
        <w:t> :</w:t>
      </w:r>
    </w:p>
    <w:p w14:paraId="50D94FED" w14:textId="2878C5BF" w:rsidR="00252B59" w:rsidRDefault="00252B59" w:rsidP="009B3DEE">
      <w:pPr>
        <w:spacing w:after="0" w:line="240" w:lineRule="auto"/>
        <w:jc w:val="both"/>
        <w:rPr>
          <w:rFonts w:cstheme="minorHAnsi"/>
          <w:b/>
          <w:smallCaps/>
        </w:rPr>
      </w:pPr>
    </w:p>
    <w:p w14:paraId="09A8840B" w14:textId="20A7AE2B" w:rsidR="00D43D5F" w:rsidRDefault="00D43D5F" w:rsidP="00594FDC">
      <w:pPr>
        <w:pStyle w:val="Paragraphedeliste"/>
        <w:numPr>
          <w:ilvl w:val="0"/>
          <w:numId w:val="3"/>
        </w:numPr>
        <w:spacing w:after="0" w:line="240" w:lineRule="auto"/>
        <w:jc w:val="both"/>
        <w:rPr>
          <w:rFonts w:cstheme="minorHAnsi"/>
        </w:rPr>
      </w:pPr>
      <w:r w:rsidRPr="00C46D12">
        <w:rPr>
          <w:rFonts w:cstheme="minorHAnsi"/>
        </w:rPr>
        <w:t>Sont exclues</w:t>
      </w:r>
      <w:r w:rsidR="00E97D36">
        <w:rPr>
          <w:rFonts w:cstheme="minorHAnsi"/>
        </w:rPr>
        <w:t>,</w:t>
      </w:r>
      <w:r w:rsidRPr="00C46D12">
        <w:rPr>
          <w:rFonts w:cstheme="minorHAnsi"/>
        </w:rPr>
        <w:t xml:space="preserve"> les</w:t>
      </w:r>
      <w:r w:rsidR="00952A1A">
        <w:rPr>
          <w:rFonts w:cstheme="minorHAnsi"/>
        </w:rPr>
        <w:t xml:space="preserve"> opérations</w:t>
      </w:r>
      <w:r w:rsidRPr="00C46D12">
        <w:rPr>
          <w:rFonts w:cstheme="minorHAnsi"/>
        </w:rPr>
        <w:t xml:space="preserve"> effectuées à partir de cartes ayant uniquement une f</w:t>
      </w:r>
      <w:r w:rsidR="0006230A">
        <w:rPr>
          <w:rFonts w:cstheme="minorHAnsi"/>
        </w:rPr>
        <w:t>onction de monnaie électronique (par exemple, les cartes prépayées)</w:t>
      </w:r>
      <w:r w:rsidR="00684DD7">
        <w:rPr>
          <w:rFonts w:cstheme="minorHAnsi"/>
        </w:rPr>
        <w:t xml:space="preserve"> qui sont à déclarer en tant que monnaie électronique</w:t>
      </w:r>
      <w:r w:rsidR="0006230A">
        <w:rPr>
          <w:rFonts w:cstheme="minorHAnsi"/>
        </w:rPr>
        <w:t>.</w:t>
      </w:r>
    </w:p>
    <w:p w14:paraId="1635B12A" w14:textId="7338CC5F" w:rsidR="00B6576E" w:rsidRPr="00564E26" w:rsidRDefault="00B6576E" w:rsidP="00B6576E">
      <w:pPr>
        <w:pStyle w:val="Paragraphedeliste"/>
        <w:numPr>
          <w:ilvl w:val="0"/>
          <w:numId w:val="3"/>
        </w:numPr>
        <w:spacing w:after="0" w:line="240" w:lineRule="auto"/>
        <w:jc w:val="both"/>
        <w:rPr>
          <w:rFonts w:ascii="Calibri" w:eastAsia="Calibri" w:hAnsi="Calibri" w:cs="Calibri"/>
          <w:b/>
        </w:rPr>
      </w:pPr>
      <w:r w:rsidRPr="00564E26">
        <w:rPr>
          <w:rFonts w:ascii="Calibri" w:eastAsia="Calibri" w:hAnsi="Calibri" w:cs="Calibri"/>
          <w:b/>
        </w:rPr>
        <w:t>L’établissement ne renseigne que les seuls schémas de carte pour lesquels il a des transactions à déclarer.</w:t>
      </w:r>
    </w:p>
    <w:p w14:paraId="66BEC011" w14:textId="77777777" w:rsidR="00204E65" w:rsidRPr="00C46D12" w:rsidRDefault="00204E65" w:rsidP="00F12806">
      <w:pPr>
        <w:pStyle w:val="Paragraphedeliste"/>
        <w:spacing w:after="0" w:line="240" w:lineRule="auto"/>
        <w:jc w:val="both"/>
        <w:rPr>
          <w:rFonts w:cstheme="minorHAnsi"/>
        </w:rPr>
      </w:pPr>
    </w:p>
    <w:p w14:paraId="66B3E39B" w14:textId="77777777" w:rsidR="00D43D5F" w:rsidRDefault="007578FE" w:rsidP="007578FE">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0C925634" w14:textId="77777777" w:rsidR="009C59D8" w:rsidRDefault="009C59D8" w:rsidP="009C59D8">
      <w:pPr>
        <w:spacing w:after="0" w:line="240" w:lineRule="auto"/>
        <w:rPr>
          <w:rFonts w:cstheme="minorHAnsi"/>
        </w:rPr>
      </w:pPr>
    </w:p>
    <w:tbl>
      <w:tblPr>
        <w:tblStyle w:val="Tableausimple2"/>
        <w:tblW w:w="9450"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36"/>
        <w:gridCol w:w="236"/>
        <w:gridCol w:w="236"/>
        <w:gridCol w:w="236"/>
        <w:gridCol w:w="9"/>
        <w:gridCol w:w="94"/>
        <w:gridCol w:w="29"/>
        <w:gridCol w:w="113"/>
        <w:gridCol w:w="123"/>
        <w:gridCol w:w="2516"/>
        <w:gridCol w:w="2976"/>
        <w:gridCol w:w="993"/>
        <w:gridCol w:w="708"/>
        <w:gridCol w:w="709"/>
        <w:gridCol w:w="236"/>
      </w:tblGrid>
      <w:tr w:rsidR="007D187B" w:rsidRPr="00BC0BAC" w14:paraId="4C14F97F" w14:textId="77777777" w:rsidTr="005E6DD0">
        <w:trPr>
          <w:gridAfter w:val="1"/>
          <w:cnfStyle w:val="100000000000" w:firstRow="1" w:lastRow="0" w:firstColumn="0" w:lastColumn="0" w:oddVBand="0" w:evenVBand="0" w:oddHBand="0"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6804" w:type="dxa"/>
            <w:gridSpan w:val="11"/>
            <w:tcBorders>
              <w:top w:val="single" w:sz="18" w:space="0" w:color="5B9BD5" w:themeColor="accent1"/>
              <w:bottom w:val="single" w:sz="18" w:space="0" w:color="5B9BD5" w:themeColor="accent1"/>
            </w:tcBorders>
            <w:noWrap/>
          </w:tcPr>
          <w:p w14:paraId="5990BD62" w14:textId="77777777" w:rsidR="007D187B" w:rsidRPr="00A675AF" w:rsidRDefault="007D187B" w:rsidP="007D187B">
            <w:pPr>
              <w:jc w:val="both"/>
              <w:rPr>
                <w:rFonts w:ascii="Calibri" w:hAnsi="Calibri"/>
                <w:b w:val="0"/>
                <w:sz w:val="18"/>
              </w:rPr>
            </w:pPr>
          </w:p>
        </w:tc>
        <w:tc>
          <w:tcPr>
            <w:tcW w:w="993"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0D245E3A" w14:textId="77777777" w:rsidR="00A9350C" w:rsidRDefault="00B4200A" w:rsidP="0055426C">
            <w:pPr>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Pr>
                <w:rFonts w:cstheme="minorHAnsi"/>
                <w:bCs w:val="0"/>
                <w:sz w:val="14"/>
                <w:szCs w:val="18"/>
              </w:rPr>
              <w:t xml:space="preserve">Pays du PSP de l’acquéreur </w:t>
            </w:r>
          </w:p>
          <w:p w14:paraId="16B1F1DD" w14:textId="791B0D7C" w:rsidR="00A9350C" w:rsidRDefault="002319FC" w:rsidP="0055426C">
            <w:pPr>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Pr>
                <w:rFonts w:cstheme="minorHAnsi"/>
                <w:bCs w:val="0"/>
                <w:sz w:val="14"/>
                <w:szCs w:val="18"/>
                <w:u w:val="single"/>
              </w:rPr>
              <w:t>ET</w:t>
            </w:r>
          </w:p>
          <w:p w14:paraId="20BE4D58" w14:textId="0E9F7757" w:rsidR="007D187B" w:rsidRPr="007D187B" w:rsidRDefault="00B4200A" w:rsidP="0055426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proofErr w:type="gramStart"/>
            <w:r>
              <w:rPr>
                <w:rFonts w:cstheme="minorHAnsi"/>
                <w:bCs w:val="0"/>
                <w:sz w:val="14"/>
                <w:szCs w:val="18"/>
              </w:rPr>
              <w:t>pays</w:t>
            </w:r>
            <w:proofErr w:type="gramEnd"/>
            <w:r>
              <w:rPr>
                <w:rFonts w:cstheme="minorHAnsi"/>
                <w:bCs w:val="0"/>
                <w:sz w:val="14"/>
                <w:szCs w:val="18"/>
              </w:rPr>
              <w:t xml:space="preserve"> de localisation du terminal (physique ou virtuel)</w:t>
            </w:r>
          </w:p>
        </w:tc>
        <w:tc>
          <w:tcPr>
            <w:tcW w:w="708"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2751358" w14:textId="2F8F3875" w:rsidR="007D187B" w:rsidRPr="007D187B" w:rsidRDefault="007D187B" w:rsidP="0055426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D187B">
              <w:rPr>
                <w:rFonts w:cstheme="minorHAnsi"/>
                <w:bCs w:val="0"/>
                <w:sz w:val="14"/>
                <w:szCs w:val="18"/>
              </w:rPr>
              <w:t>Volume en unités</w:t>
            </w:r>
          </w:p>
        </w:tc>
        <w:tc>
          <w:tcPr>
            <w:tcW w:w="709" w:type="dxa"/>
            <w:tcBorders>
              <w:top w:val="single" w:sz="18" w:space="0" w:color="5B9BD5" w:themeColor="accent1"/>
              <w:left w:val="single" w:sz="2" w:space="0" w:color="5B9BD5" w:themeColor="accent1"/>
              <w:bottom w:val="single" w:sz="18" w:space="0" w:color="5B9BD5" w:themeColor="accent1"/>
            </w:tcBorders>
            <w:shd w:val="solid" w:color="FFFFFF" w:fill="000000"/>
          </w:tcPr>
          <w:p w14:paraId="2475B0AE" w14:textId="77777777" w:rsidR="007D187B" w:rsidRPr="007D187B" w:rsidRDefault="007D187B" w:rsidP="0055426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1073F89B" w14:textId="5207C453" w:rsidR="007D187B" w:rsidRPr="007D187B" w:rsidRDefault="007D187B" w:rsidP="0055426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proofErr w:type="gramStart"/>
            <w:r w:rsidRPr="007D187B">
              <w:rPr>
                <w:rFonts w:cstheme="minorHAnsi"/>
                <w:bCs w:val="0"/>
                <w:sz w:val="14"/>
                <w:szCs w:val="18"/>
              </w:rPr>
              <w:t>euros</w:t>
            </w:r>
            <w:proofErr w:type="gramEnd"/>
          </w:p>
        </w:tc>
      </w:tr>
      <w:tr w:rsidR="00B4200A" w:rsidRPr="00BC0BAC" w14:paraId="5242784B" w14:textId="1E9F59F4" w:rsidTr="005E6DD0">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3828" w:type="dxa"/>
            <w:gridSpan w:val="10"/>
            <w:tcBorders>
              <w:top w:val="single" w:sz="18" w:space="0" w:color="5B9BD5" w:themeColor="accent1"/>
            </w:tcBorders>
            <w:noWrap/>
            <w:hideMark/>
          </w:tcPr>
          <w:p w14:paraId="6501D398" w14:textId="5ECE1981" w:rsidR="00B4200A" w:rsidRPr="007F1FC5" w:rsidRDefault="00B4200A" w:rsidP="00780AB5">
            <w:pPr>
              <w:jc w:val="both"/>
              <w:rPr>
                <w:rFonts w:ascii="Calibri" w:hAnsi="Calibri" w:cs="Calibri"/>
                <w:bCs w:val="0"/>
                <w:sz w:val="18"/>
                <w:szCs w:val="18"/>
              </w:rPr>
            </w:pPr>
            <w:r w:rsidRPr="007F1FC5">
              <w:rPr>
                <w:rFonts w:ascii="Calibri" w:hAnsi="Calibri" w:cs="Calibri"/>
                <w:bCs w:val="0"/>
                <w:sz w:val="18"/>
                <w:szCs w:val="18"/>
              </w:rPr>
              <w:t>Paiements par cartes émises par l'établissement</w:t>
            </w:r>
          </w:p>
        </w:tc>
        <w:tc>
          <w:tcPr>
            <w:tcW w:w="2976" w:type="dxa"/>
            <w:tcBorders>
              <w:top w:val="single" w:sz="18" w:space="0" w:color="5B9BD5" w:themeColor="accent1"/>
            </w:tcBorders>
          </w:tcPr>
          <w:p w14:paraId="4C289B0A" w14:textId="424EA011" w:rsidR="00B4200A" w:rsidRPr="000D7950" w:rsidRDefault="00B4200A" w:rsidP="0049270E">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0D7950">
              <w:rPr>
                <w:rFonts w:ascii="Calibri" w:hAnsi="Calibri"/>
                <w:sz w:val="18"/>
              </w:rPr>
              <w:t>Opérations de paiement initiées par voie électronique et par voie non électronique.</w:t>
            </w:r>
          </w:p>
          <w:p w14:paraId="121F4BBB" w14:textId="13989C9D" w:rsidR="00B4200A" w:rsidRPr="000D7950" w:rsidRDefault="00B4200A" w:rsidP="003971EB">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p>
        </w:tc>
        <w:tc>
          <w:tcPr>
            <w:tcW w:w="993" w:type="dxa"/>
            <w:vMerge w:val="restart"/>
            <w:tcBorders>
              <w:top w:val="single" w:sz="18" w:space="0" w:color="5B9BD5" w:themeColor="accent1"/>
              <w:bottom w:val="single" w:sz="2" w:space="0" w:color="5B9BD5" w:themeColor="accent1"/>
            </w:tcBorders>
          </w:tcPr>
          <w:p w14:paraId="55A912C8" w14:textId="57DA8E7A" w:rsidR="00B4200A" w:rsidRPr="001277FB" w:rsidRDefault="00B4200A" w:rsidP="00A54E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4"/>
                <w:szCs w:val="18"/>
              </w:rPr>
            </w:pPr>
            <w:r w:rsidRPr="001277FB">
              <w:rPr>
                <w:rFonts w:ascii="Calibri" w:hAnsi="Calibri" w:cs="Calibri"/>
                <w:b/>
                <w:sz w:val="14"/>
                <w:szCs w:val="18"/>
              </w:rPr>
              <w:t>Sur la base de la venti</w:t>
            </w:r>
            <w:r w:rsidR="002F4AD9" w:rsidRPr="001277FB">
              <w:rPr>
                <w:rFonts w:ascii="Calibri" w:hAnsi="Calibri" w:cs="Calibri"/>
                <w:b/>
                <w:sz w:val="14"/>
                <w:szCs w:val="18"/>
              </w:rPr>
              <w:t>lation géographique en section 5.2</w:t>
            </w:r>
          </w:p>
        </w:tc>
        <w:tc>
          <w:tcPr>
            <w:tcW w:w="708" w:type="dxa"/>
            <w:tcBorders>
              <w:top w:val="single" w:sz="18" w:space="0" w:color="5B9BD5" w:themeColor="accent1"/>
            </w:tcBorders>
          </w:tcPr>
          <w:p w14:paraId="688D24DD" w14:textId="77777777" w:rsidR="00B4200A" w:rsidRPr="00ED292F"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709" w:type="dxa"/>
            <w:tcBorders>
              <w:top w:val="single" w:sz="18" w:space="0" w:color="5B9BD5" w:themeColor="accent1"/>
            </w:tcBorders>
          </w:tcPr>
          <w:p w14:paraId="624AB91C" w14:textId="29EF9E00" w:rsidR="00B4200A" w:rsidRPr="00ED292F"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B4200A" w:rsidRPr="00BC0BAC" w14:paraId="0DA7294C" w14:textId="7E1A2ED8" w:rsidTr="005E6DD0">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hideMark/>
          </w:tcPr>
          <w:p w14:paraId="712DC14A" w14:textId="0230DC20" w:rsidR="00B4200A" w:rsidRPr="00BC0BAC" w:rsidRDefault="00B4200A" w:rsidP="002356D6">
            <w:pPr>
              <w:rPr>
                <w:rFonts w:ascii="Calibri" w:eastAsia="Times New Roman" w:hAnsi="Calibri" w:cs="Calibri"/>
                <w:i/>
                <w:sz w:val="18"/>
                <w:szCs w:val="18"/>
                <w:lang w:eastAsia="fr-FR"/>
              </w:rPr>
            </w:pPr>
          </w:p>
        </w:tc>
        <w:tc>
          <w:tcPr>
            <w:tcW w:w="3592" w:type="dxa"/>
            <w:gridSpan w:val="9"/>
            <w:tcBorders>
              <w:top w:val="single" w:sz="18" w:space="0" w:color="5B9BD5" w:themeColor="accent1"/>
              <w:bottom w:val="single" w:sz="4" w:space="0" w:color="5B9BD5" w:themeColor="accent1"/>
            </w:tcBorders>
            <w:noWrap/>
            <w:hideMark/>
          </w:tcPr>
          <w:p w14:paraId="035D2DF2" w14:textId="4DFA8738" w:rsidR="00B4200A" w:rsidRPr="00A675AF" w:rsidRDefault="00B4200A" w:rsidP="007C75F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highlight w:val="yellow"/>
                <w:lang w:eastAsia="fr-FR"/>
              </w:rPr>
            </w:pPr>
            <w:r w:rsidRPr="00A675AF">
              <w:rPr>
                <w:rFonts w:ascii="Calibri" w:hAnsi="Calibri"/>
                <w:b/>
                <w:i/>
                <w:sz w:val="18"/>
              </w:rPr>
              <w:t>Dont paiements initiés par voie non électronique</w:t>
            </w:r>
            <w:r>
              <w:rPr>
                <w:rFonts w:ascii="Calibri" w:hAnsi="Calibri"/>
                <w:b/>
                <w:i/>
                <w:sz w:val="18"/>
              </w:rPr>
              <w:t xml:space="preserve"> (MOTO)</w:t>
            </w:r>
          </w:p>
        </w:tc>
        <w:tc>
          <w:tcPr>
            <w:tcW w:w="2976" w:type="dxa"/>
            <w:tcBorders>
              <w:top w:val="single" w:sz="18" w:space="0" w:color="5B9BD5" w:themeColor="accent1"/>
              <w:bottom w:val="single" w:sz="4" w:space="0" w:color="5B9BD5" w:themeColor="accent1"/>
            </w:tcBorders>
          </w:tcPr>
          <w:p w14:paraId="28B84C58" w14:textId="642C84CC" w:rsidR="00B4200A" w:rsidRPr="00A675AF" w:rsidRDefault="00B4200A" w:rsidP="009D1EC1">
            <w:pPr>
              <w:jc w:val="both"/>
              <w:cnfStyle w:val="000000000000" w:firstRow="0" w:lastRow="0" w:firstColumn="0" w:lastColumn="0" w:oddVBand="0" w:evenVBand="0" w:oddHBand="0" w:evenHBand="0" w:firstRowFirstColumn="0" w:firstRowLastColumn="0" w:lastRowFirstColumn="0" w:lastRowLastColumn="0"/>
              <w:rPr>
                <w:rFonts w:ascii="Calibri" w:hAnsi="Calibri"/>
                <w:b/>
                <w:sz w:val="18"/>
              </w:rPr>
            </w:pPr>
            <w:r w:rsidRPr="00B46EB3">
              <w:rPr>
                <w:rFonts w:ascii="Calibri" w:eastAsia="Times New Roman" w:hAnsi="Calibri" w:cs="Calibri"/>
                <w:sz w:val="18"/>
                <w:szCs w:val="18"/>
                <w:lang w:eastAsia="fr-FR"/>
              </w:rPr>
              <w:t xml:space="preserve">Opérations de paiement initiées par </w:t>
            </w:r>
            <w:r w:rsidR="00FD61B9">
              <w:rPr>
                <w:rFonts w:ascii="Calibri" w:eastAsia="Times New Roman" w:hAnsi="Calibri" w:cs="Calibri"/>
                <w:sz w:val="18"/>
                <w:szCs w:val="18"/>
                <w:lang w:eastAsia="fr-FR"/>
              </w:rPr>
              <w:t xml:space="preserve">voie </w:t>
            </w:r>
            <w:r w:rsidR="009D1EC1">
              <w:rPr>
                <w:rFonts w:ascii="Calibri" w:eastAsia="Times New Roman" w:hAnsi="Calibri" w:cs="Calibri"/>
                <w:sz w:val="18"/>
                <w:szCs w:val="18"/>
                <w:lang w:eastAsia="fr-FR"/>
              </w:rPr>
              <w:t>non électronique à distance et en proximité (cf. ci-dessous).</w:t>
            </w:r>
          </w:p>
        </w:tc>
        <w:tc>
          <w:tcPr>
            <w:tcW w:w="993" w:type="dxa"/>
            <w:vMerge/>
            <w:tcBorders>
              <w:bottom w:val="single" w:sz="2" w:space="0" w:color="5B9BD5" w:themeColor="accent1"/>
            </w:tcBorders>
          </w:tcPr>
          <w:p w14:paraId="4155A4FC" w14:textId="39174D1A" w:rsidR="00B4200A" w:rsidRPr="00FA5C8E" w:rsidRDefault="00B4200A" w:rsidP="00ED292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18" w:space="0" w:color="5B9BD5" w:themeColor="accent1"/>
              <w:bottom w:val="single" w:sz="4" w:space="0" w:color="5B9BD5" w:themeColor="accent1"/>
            </w:tcBorders>
          </w:tcPr>
          <w:p w14:paraId="5D64CA30" w14:textId="77777777" w:rsidR="00B4200A" w:rsidRDefault="00B4200A" w:rsidP="00ED292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18" w:space="0" w:color="5B9BD5" w:themeColor="accent1"/>
              <w:bottom w:val="single" w:sz="4" w:space="0" w:color="5B9BD5" w:themeColor="accent1"/>
            </w:tcBorders>
          </w:tcPr>
          <w:p w14:paraId="4D83FF2B" w14:textId="780470B5" w:rsidR="00B4200A" w:rsidRDefault="00B4200A" w:rsidP="00ED292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4200A" w:rsidRPr="00BC0BAC" w14:paraId="7DEB6081" w14:textId="77777777" w:rsidTr="0035566E">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tcPr>
          <w:p w14:paraId="6EA85823" w14:textId="77777777" w:rsidR="00B4200A" w:rsidRPr="00BC0BAC" w:rsidRDefault="00B4200A" w:rsidP="002356D6">
            <w:pPr>
              <w:rPr>
                <w:rFonts w:ascii="Calibri" w:eastAsia="Times New Roman" w:hAnsi="Calibri" w:cs="Calibri"/>
                <w:i/>
                <w:sz w:val="18"/>
                <w:szCs w:val="18"/>
                <w:lang w:eastAsia="fr-FR"/>
              </w:rPr>
            </w:pPr>
          </w:p>
        </w:tc>
        <w:tc>
          <w:tcPr>
            <w:tcW w:w="236" w:type="dxa"/>
            <w:tcBorders>
              <w:top w:val="single" w:sz="18" w:space="0" w:color="5B9BD5" w:themeColor="accent1"/>
              <w:bottom w:val="single" w:sz="4" w:space="0" w:color="5B9BD5" w:themeColor="accent1"/>
            </w:tcBorders>
            <w:noWrap/>
          </w:tcPr>
          <w:p w14:paraId="68C85CBD" w14:textId="77777777" w:rsidR="00B4200A" w:rsidRPr="00A675AF" w:rsidRDefault="00B4200A" w:rsidP="007C75F3">
            <w:pPr>
              <w:cnfStyle w:val="000000100000" w:firstRow="0" w:lastRow="0" w:firstColumn="0" w:lastColumn="0" w:oddVBand="0" w:evenVBand="0" w:oddHBand="1" w:evenHBand="0" w:firstRowFirstColumn="0" w:firstRowLastColumn="0" w:lastRowFirstColumn="0" w:lastRowLastColumn="0"/>
              <w:rPr>
                <w:rFonts w:ascii="Calibri" w:hAnsi="Calibri"/>
                <w:b/>
                <w:i/>
                <w:sz w:val="18"/>
              </w:rPr>
            </w:pPr>
          </w:p>
        </w:tc>
        <w:tc>
          <w:tcPr>
            <w:tcW w:w="3356" w:type="dxa"/>
            <w:gridSpan w:val="8"/>
            <w:tcBorders>
              <w:top w:val="single" w:sz="18" w:space="0" w:color="5B9BD5" w:themeColor="accent1"/>
              <w:bottom w:val="single" w:sz="4" w:space="0" w:color="5B9BD5" w:themeColor="accent1"/>
            </w:tcBorders>
          </w:tcPr>
          <w:p w14:paraId="4B4A3B43" w14:textId="4120EAFA" w:rsidR="00B4200A" w:rsidRPr="00A675AF" w:rsidRDefault="00B4200A" w:rsidP="007C75F3">
            <w:pPr>
              <w:cnfStyle w:val="000000100000" w:firstRow="0" w:lastRow="0" w:firstColumn="0" w:lastColumn="0" w:oddVBand="0" w:evenVBand="0" w:oddHBand="1" w:evenHBand="0" w:firstRowFirstColumn="0" w:firstRowLastColumn="0" w:lastRowFirstColumn="0" w:lastRowLastColumn="0"/>
              <w:rPr>
                <w:rFonts w:ascii="Calibri" w:hAnsi="Calibri"/>
                <w:b/>
                <w:i/>
                <w:sz w:val="18"/>
              </w:rPr>
            </w:pPr>
            <w:r>
              <w:rPr>
                <w:rFonts w:ascii="Calibri" w:hAnsi="Calibri"/>
                <w:b/>
                <w:i/>
                <w:sz w:val="18"/>
              </w:rPr>
              <w:t>Dont à distance</w:t>
            </w:r>
          </w:p>
        </w:tc>
        <w:tc>
          <w:tcPr>
            <w:tcW w:w="2976" w:type="dxa"/>
            <w:tcBorders>
              <w:top w:val="single" w:sz="18" w:space="0" w:color="5B9BD5" w:themeColor="accent1"/>
              <w:bottom w:val="single" w:sz="4" w:space="0" w:color="5B9BD5" w:themeColor="accent1"/>
            </w:tcBorders>
          </w:tcPr>
          <w:p w14:paraId="79D05F9D" w14:textId="663EE296" w:rsidR="00B4200A" w:rsidRPr="00B46EB3" w:rsidRDefault="009D1EC1" w:rsidP="007C75F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Opérations de paiement par carte (sans carte présente) initiées par correspondance ou par téléphone</w:t>
            </w:r>
            <w:r w:rsidR="00FD61B9">
              <w:rPr>
                <w:rFonts w:ascii="Calibri" w:eastAsia="Times New Roman" w:hAnsi="Calibri" w:cs="Calibri"/>
                <w:sz w:val="18"/>
                <w:szCs w:val="18"/>
                <w:lang w:eastAsia="fr-FR"/>
              </w:rPr>
              <w:t xml:space="preserve"> (MOTO)</w:t>
            </w:r>
            <w:r>
              <w:rPr>
                <w:rFonts w:ascii="Calibri" w:eastAsia="Times New Roman" w:hAnsi="Calibri" w:cs="Calibri"/>
                <w:sz w:val="18"/>
                <w:szCs w:val="18"/>
                <w:lang w:eastAsia="fr-FR"/>
              </w:rPr>
              <w:t>.</w:t>
            </w:r>
          </w:p>
        </w:tc>
        <w:tc>
          <w:tcPr>
            <w:tcW w:w="993" w:type="dxa"/>
            <w:vMerge/>
            <w:tcBorders>
              <w:bottom w:val="single" w:sz="2" w:space="0" w:color="5B9BD5" w:themeColor="accent1"/>
            </w:tcBorders>
          </w:tcPr>
          <w:p w14:paraId="49F107EA" w14:textId="77777777" w:rsidR="00B4200A" w:rsidRPr="00FA5C8E"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18" w:space="0" w:color="5B9BD5" w:themeColor="accent1"/>
              <w:bottom w:val="single" w:sz="4" w:space="0" w:color="5B9BD5" w:themeColor="accent1"/>
            </w:tcBorders>
          </w:tcPr>
          <w:p w14:paraId="3EC97BD7" w14:textId="77777777" w:rsidR="00B4200A"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18" w:space="0" w:color="5B9BD5" w:themeColor="accent1"/>
              <w:bottom w:val="single" w:sz="4" w:space="0" w:color="5B9BD5" w:themeColor="accent1"/>
            </w:tcBorders>
          </w:tcPr>
          <w:p w14:paraId="52A0CD28" w14:textId="77777777" w:rsidR="00B4200A"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4200A" w:rsidRPr="00BC0BAC" w14:paraId="427A6123" w14:textId="77777777" w:rsidTr="0035566E">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tcPr>
          <w:p w14:paraId="78BD9505" w14:textId="77777777" w:rsidR="00B4200A" w:rsidRPr="00BC0BAC" w:rsidRDefault="00B4200A" w:rsidP="002356D6">
            <w:pPr>
              <w:rPr>
                <w:rFonts w:ascii="Calibri" w:eastAsia="Times New Roman" w:hAnsi="Calibri" w:cs="Calibri"/>
                <w:i/>
                <w:sz w:val="18"/>
                <w:szCs w:val="18"/>
                <w:lang w:eastAsia="fr-FR"/>
              </w:rPr>
            </w:pPr>
          </w:p>
        </w:tc>
        <w:tc>
          <w:tcPr>
            <w:tcW w:w="236" w:type="dxa"/>
            <w:tcBorders>
              <w:top w:val="single" w:sz="18" w:space="0" w:color="5B9BD5" w:themeColor="accent1"/>
              <w:bottom w:val="single" w:sz="4" w:space="0" w:color="5B9BD5" w:themeColor="accent1"/>
            </w:tcBorders>
            <w:noWrap/>
          </w:tcPr>
          <w:p w14:paraId="49630EAD" w14:textId="77777777" w:rsidR="00B4200A" w:rsidRPr="00A675AF" w:rsidRDefault="00B4200A" w:rsidP="007C75F3">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p>
        </w:tc>
        <w:tc>
          <w:tcPr>
            <w:tcW w:w="3356" w:type="dxa"/>
            <w:gridSpan w:val="8"/>
            <w:tcBorders>
              <w:top w:val="single" w:sz="18" w:space="0" w:color="5B9BD5" w:themeColor="accent1"/>
              <w:bottom w:val="single" w:sz="4" w:space="0" w:color="5B9BD5" w:themeColor="accent1"/>
            </w:tcBorders>
          </w:tcPr>
          <w:p w14:paraId="1C0AE4EB" w14:textId="5126B480" w:rsidR="00B4200A" w:rsidRPr="00A675AF" w:rsidRDefault="00B4200A" w:rsidP="007C75F3">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r>
              <w:rPr>
                <w:rFonts w:ascii="Calibri" w:hAnsi="Calibri"/>
                <w:b/>
                <w:i/>
                <w:sz w:val="18"/>
              </w:rPr>
              <w:t>Dont en proximité</w:t>
            </w:r>
          </w:p>
        </w:tc>
        <w:tc>
          <w:tcPr>
            <w:tcW w:w="2976" w:type="dxa"/>
            <w:tcBorders>
              <w:top w:val="single" w:sz="18" w:space="0" w:color="5B9BD5" w:themeColor="accent1"/>
              <w:bottom w:val="single" w:sz="4" w:space="0" w:color="5B9BD5" w:themeColor="accent1"/>
            </w:tcBorders>
          </w:tcPr>
          <w:p w14:paraId="68FCC7D6" w14:textId="4F407D01" w:rsidR="00B4200A" w:rsidRPr="00B46EB3" w:rsidRDefault="009D1EC1" w:rsidP="007C75F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Opérations de paiement par carte (avec carte présente) initiés à un terminal physique par une procédure d’autorisation manuelle (de type « Fer à repasser »).</w:t>
            </w:r>
          </w:p>
        </w:tc>
        <w:tc>
          <w:tcPr>
            <w:tcW w:w="993" w:type="dxa"/>
            <w:vMerge/>
            <w:tcBorders>
              <w:bottom w:val="single" w:sz="2" w:space="0" w:color="5B9BD5" w:themeColor="accent1"/>
            </w:tcBorders>
          </w:tcPr>
          <w:p w14:paraId="448B4CFC" w14:textId="77777777" w:rsidR="00B4200A" w:rsidRPr="00FA5C8E" w:rsidRDefault="00B4200A" w:rsidP="00ED292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18" w:space="0" w:color="5B9BD5" w:themeColor="accent1"/>
              <w:bottom w:val="single" w:sz="4" w:space="0" w:color="5B9BD5" w:themeColor="accent1"/>
            </w:tcBorders>
          </w:tcPr>
          <w:p w14:paraId="2F153D22" w14:textId="77777777" w:rsidR="00B4200A" w:rsidRDefault="00B4200A" w:rsidP="00ED292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18" w:space="0" w:color="5B9BD5" w:themeColor="accent1"/>
              <w:bottom w:val="single" w:sz="4" w:space="0" w:color="5B9BD5" w:themeColor="accent1"/>
            </w:tcBorders>
          </w:tcPr>
          <w:p w14:paraId="5CD7162B" w14:textId="77777777" w:rsidR="00B4200A" w:rsidRDefault="00B4200A" w:rsidP="00ED292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4200A" w:rsidRPr="00BC0BAC" w14:paraId="6EEEC3B9" w14:textId="33941696" w:rsidTr="005E6DD0">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18" w:space="0" w:color="5B9BD5" w:themeColor="accent1"/>
            </w:tcBorders>
            <w:noWrap/>
            <w:hideMark/>
          </w:tcPr>
          <w:p w14:paraId="13665BDE" w14:textId="221CC016" w:rsidR="00B4200A" w:rsidRPr="00B739E8" w:rsidRDefault="00B4200A" w:rsidP="002356D6">
            <w:pPr>
              <w:rPr>
                <w:rFonts w:ascii="Calibri" w:eastAsia="Times New Roman" w:hAnsi="Calibri" w:cs="Calibri"/>
                <w:i/>
                <w:sz w:val="18"/>
                <w:szCs w:val="18"/>
                <w:lang w:eastAsia="fr-FR"/>
              </w:rPr>
            </w:pPr>
          </w:p>
        </w:tc>
        <w:tc>
          <w:tcPr>
            <w:tcW w:w="3592" w:type="dxa"/>
            <w:gridSpan w:val="9"/>
            <w:tcBorders>
              <w:top w:val="single" w:sz="18" w:space="0" w:color="5B9BD5" w:themeColor="accent1"/>
              <w:bottom w:val="single" w:sz="18" w:space="0" w:color="5B9BD5" w:themeColor="accent1"/>
            </w:tcBorders>
            <w:noWrap/>
            <w:hideMark/>
          </w:tcPr>
          <w:p w14:paraId="58DEFCEF" w14:textId="14DE5074" w:rsidR="00B4200A" w:rsidRPr="00B739E8" w:rsidRDefault="00B4200A" w:rsidP="00D801D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B739E8">
              <w:rPr>
                <w:rFonts w:ascii="Calibri" w:eastAsia="Times New Roman" w:hAnsi="Calibri" w:cs="Calibri"/>
                <w:b/>
                <w:i/>
                <w:sz w:val="18"/>
                <w:szCs w:val="18"/>
                <w:lang w:eastAsia="fr-FR"/>
              </w:rPr>
              <w:t>Dont paiements initiés par voie électronique</w:t>
            </w:r>
          </w:p>
        </w:tc>
        <w:tc>
          <w:tcPr>
            <w:tcW w:w="2976" w:type="dxa"/>
            <w:tcBorders>
              <w:top w:val="single" w:sz="18" w:space="0" w:color="5B9BD5" w:themeColor="accent1"/>
              <w:bottom w:val="single" w:sz="18" w:space="0" w:color="5B9BD5" w:themeColor="accent1"/>
            </w:tcBorders>
          </w:tcPr>
          <w:p w14:paraId="7D9A39E2" w14:textId="13968C9B" w:rsidR="00B4200A" w:rsidRPr="00A675AF" w:rsidRDefault="00B4200A" w:rsidP="006E4F0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A675AF">
              <w:rPr>
                <w:rFonts w:ascii="Calibri" w:eastAsia="Times New Roman" w:hAnsi="Calibri" w:cs="Calibri"/>
                <w:sz w:val="18"/>
                <w:szCs w:val="18"/>
                <w:lang w:eastAsia="fr-FR"/>
              </w:rPr>
              <w:t>Opérations de paiement initiées de manière électronique à distance sur internet et en proximité (cf. infra).</w:t>
            </w:r>
          </w:p>
        </w:tc>
        <w:tc>
          <w:tcPr>
            <w:tcW w:w="993" w:type="dxa"/>
            <w:vMerge/>
            <w:tcBorders>
              <w:bottom w:val="single" w:sz="18" w:space="0" w:color="5B9BD5" w:themeColor="accent1"/>
            </w:tcBorders>
          </w:tcPr>
          <w:p w14:paraId="20AB83DF" w14:textId="237DA51F" w:rsidR="00B4200A" w:rsidRPr="00FA5C8E"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18" w:space="0" w:color="5B9BD5" w:themeColor="accent1"/>
              <w:bottom w:val="single" w:sz="18" w:space="0" w:color="5B9BD5" w:themeColor="accent1"/>
            </w:tcBorders>
          </w:tcPr>
          <w:p w14:paraId="3298D3CC" w14:textId="77777777" w:rsidR="00B4200A"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18" w:space="0" w:color="5B9BD5" w:themeColor="accent1"/>
              <w:bottom w:val="single" w:sz="18" w:space="0" w:color="5B9BD5" w:themeColor="accent1"/>
            </w:tcBorders>
          </w:tcPr>
          <w:p w14:paraId="5333449E" w14:textId="34AED7C8" w:rsidR="00B4200A"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4200A" w:rsidRPr="00BC0BAC" w14:paraId="33EFEECD" w14:textId="70DC5037" w:rsidTr="0035566E">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tcBorders>
            <w:noWrap/>
          </w:tcPr>
          <w:p w14:paraId="58D77582" w14:textId="77777777" w:rsidR="00B4200A" w:rsidRPr="00BC0BAC" w:rsidRDefault="00B4200A" w:rsidP="003971EB">
            <w:pPr>
              <w:rPr>
                <w:rFonts w:ascii="Calibri" w:eastAsia="Times New Roman" w:hAnsi="Calibri" w:cs="Calibri"/>
                <w:i/>
                <w:sz w:val="18"/>
                <w:szCs w:val="18"/>
                <w:lang w:eastAsia="fr-FR"/>
              </w:rPr>
            </w:pPr>
          </w:p>
        </w:tc>
        <w:tc>
          <w:tcPr>
            <w:tcW w:w="236" w:type="dxa"/>
            <w:tcBorders>
              <w:top w:val="single" w:sz="18" w:space="0" w:color="5B9BD5" w:themeColor="accent1"/>
            </w:tcBorders>
            <w:noWrap/>
          </w:tcPr>
          <w:p w14:paraId="5CC3EC3E" w14:textId="70297E9E" w:rsidR="00B4200A" w:rsidRPr="00BC0BAC" w:rsidRDefault="00B4200A" w:rsidP="003971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56" w:type="dxa"/>
            <w:gridSpan w:val="8"/>
            <w:tcBorders>
              <w:top w:val="single" w:sz="18" w:space="0" w:color="5B9BD5" w:themeColor="accent1"/>
              <w:bottom w:val="single" w:sz="4" w:space="0" w:color="5B9BD5" w:themeColor="accent1"/>
            </w:tcBorders>
          </w:tcPr>
          <w:p w14:paraId="634AF591" w14:textId="61ADF90B" w:rsidR="00B4200A" w:rsidRPr="00BC0BAC" w:rsidRDefault="00B4200A" w:rsidP="00AE55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E8367A">
              <w:rPr>
                <w:rFonts w:ascii="Calibri" w:eastAsia="Times New Roman" w:hAnsi="Calibri" w:cs="Calibri"/>
                <w:b/>
                <w:i/>
                <w:sz w:val="18"/>
                <w:szCs w:val="18"/>
                <w:lang w:eastAsia="fr-FR"/>
              </w:rPr>
              <w:t xml:space="preserve">Dont paiements initiés à distance </w:t>
            </w:r>
          </w:p>
        </w:tc>
        <w:tc>
          <w:tcPr>
            <w:tcW w:w="2976" w:type="dxa"/>
            <w:tcBorders>
              <w:top w:val="single" w:sz="18" w:space="0" w:color="5B9BD5" w:themeColor="accent1"/>
              <w:bottom w:val="single" w:sz="4" w:space="0" w:color="5B9BD5" w:themeColor="accent1"/>
            </w:tcBorders>
          </w:tcPr>
          <w:p w14:paraId="4DBB9CDB" w14:textId="76A1E1CD" w:rsidR="00B4200A" w:rsidRPr="00A22FFB" w:rsidRDefault="00B4200A" w:rsidP="003971EB">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r w:rsidRPr="00E8367A">
              <w:rPr>
                <w:rFonts w:ascii="Calibri" w:eastAsia="Times New Roman" w:hAnsi="Calibri" w:cs="Calibri"/>
                <w:sz w:val="18"/>
                <w:szCs w:val="18"/>
                <w:lang w:eastAsia="fr-FR"/>
              </w:rPr>
              <w:t xml:space="preserve">Opérations de paiement initiées </w:t>
            </w:r>
            <w:r>
              <w:rPr>
                <w:rFonts w:ascii="Calibri" w:eastAsia="Times New Roman" w:hAnsi="Calibri" w:cs="Calibri"/>
                <w:sz w:val="18"/>
                <w:szCs w:val="18"/>
                <w:lang w:eastAsia="fr-FR"/>
              </w:rPr>
              <w:t xml:space="preserve">de manière électronique </w:t>
            </w:r>
            <w:r w:rsidRPr="00E8367A">
              <w:rPr>
                <w:rFonts w:ascii="Calibri" w:eastAsia="Times New Roman" w:hAnsi="Calibri" w:cs="Calibri"/>
                <w:sz w:val="18"/>
                <w:szCs w:val="18"/>
                <w:lang w:eastAsia="fr-FR"/>
              </w:rPr>
              <w:t>sur internet à partir d’un ordinateur ou d’un téléphone portable.</w:t>
            </w:r>
          </w:p>
        </w:tc>
        <w:tc>
          <w:tcPr>
            <w:tcW w:w="993" w:type="dxa"/>
            <w:vMerge/>
            <w:tcBorders>
              <w:top w:val="single" w:sz="18" w:space="0" w:color="5B9BD5" w:themeColor="accent1"/>
              <w:bottom w:val="single" w:sz="2" w:space="0" w:color="5B9BD5" w:themeColor="accent1"/>
            </w:tcBorders>
          </w:tcPr>
          <w:p w14:paraId="317D6DF4" w14:textId="263451E8" w:rsidR="00B4200A" w:rsidRPr="00FA5C8E" w:rsidRDefault="00B4200A" w:rsidP="003971EB">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18" w:space="0" w:color="5B9BD5" w:themeColor="accent1"/>
            </w:tcBorders>
          </w:tcPr>
          <w:p w14:paraId="63A6E817" w14:textId="77777777" w:rsidR="00B4200A" w:rsidRDefault="00B4200A" w:rsidP="003971EB">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18" w:space="0" w:color="5B9BD5" w:themeColor="accent1"/>
            </w:tcBorders>
          </w:tcPr>
          <w:p w14:paraId="4EFE409F" w14:textId="2C01FF2B" w:rsidR="00B4200A" w:rsidRDefault="00B4200A" w:rsidP="003971EB">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4200A" w:rsidRPr="00BC0BAC" w14:paraId="61A2047F" w14:textId="0B01EA4F" w:rsidTr="0035566E">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noWrap/>
          </w:tcPr>
          <w:p w14:paraId="16A8FB0D" w14:textId="77777777" w:rsidR="00B4200A" w:rsidRPr="00BC0BAC" w:rsidRDefault="00B4200A" w:rsidP="006B588D">
            <w:pPr>
              <w:rPr>
                <w:rFonts w:ascii="Calibri" w:eastAsia="Times New Roman" w:hAnsi="Calibri" w:cs="Calibri"/>
                <w:i/>
                <w:sz w:val="18"/>
                <w:szCs w:val="18"/>
                <w:lang w:eastAsia="fr-FR"/>
              </w:rPr>
            </w:pPr>
          </w:p>
        </w:tc>
        <w:tc>
          <w:tcPr>
            <w:tcW w:w="236" w:type="dxa"/>
            <w:noWrap/>
          </w:tcPr>
          <w:p w14:paraId="6BB3ED9F" w14:textId="77777777" w:rsidR="00B4200A" w:rsidRPr="00BC0BAC" w:rsidRDefault="00B4200A" w:rsidP="006B588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Pr>
          <w:p w14:paraId="2055BBF7" w14:textId="77777777" w:rsidR="00B4200A" w:rsidRPr="00BC0BAC" w:rsidRDefault="00B4200A" w:rsidP="00D801D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3120" w:type="dxa"/>
            <w:gridSpan w:val="7"/>
          </w:tcPr>
          <w:p w14:paraId="70AFED09" w14:textId="6FE02EFD" w:rsidR="00B4200A" w:rsidRPr="00BC0BAC" w:rsidRDefault="00B4200A" w:rsidP="00D801D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bCs/>
                <w:i/>
                <w:sz w:val="18"/>
                <w:szCs w:val="18"/>
                <w:lang w:eastAsia="fr-FR"/>
              </w:rPr>
              <w:t>Dont depuis une solution de paiement mobile</w:t>
            </w:r>
          </w:p>
        </w:tc>
        <w:tc>
          <w:tcPr>
            <w:tcW w:w="2976" w:type="dxa"/>
          </w:tcPr>
          <w:p w14:paraId="28257146" w14:textId="1A96882B" w:rsidR="00B4200A" w:rsidRPr="00D13EBE" w:rsidRDefault="00FD61B9" w:rsidP="00EF1E2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D13EBE">
              <w:rPr>
                <w:rFonts w:ascii="Calibri" w:eastAsia="Times New Roman" w:hAnsi="Calibri" w:cs="Calibri"/>
                <w:sz w:val="18"/>
                <w:szCs w:val="18"/>
                <w:lang w:eastAsia="fr-FR"/>
              </w:rPr>
              <w:t>Solution utilisée pour initier des paiements p</w:t>
            </w:r>
            <w:r w:rsidR="00EF1E21">
              <w:rPr>
                <w:rFonts w:ascii="Calibri" w:eastAsia="Times New Roman" w:hAnsi="Calibri" w:cs="Calibri"/>
                <w:sz w:val="18"/>
                <w:szCs w:val="18"/>
                <w:lang w:eastAsia="fr-FR"/>
              </w:rPr>
              <w:t>a</w:t>
            </w:r>
            <w:r w:rsidRPr="00D13EBE">
              <w:rPr>
                <w:rFonts w:ascii="Calibri" w:eastAsia="Times New Roman" w:hAnsi="Calibri" w:cs="Calibri"/>
                <w:sz w:val="18"/>
                <w:szCs w:val="18"/>
                <w:lang w:eastAsia="fr-FR"/>
              </w:rPr>
              <w:t>r laquelle les données concernant les paiements et les instructions de paiement sont transmises et/ou confirmées par une technologie mobile de communication et de transmission de données via un appareil mobile. Cette catégorie comprend les porte-monnaie numériques et autres solutions de paiement mobile utilisées pour initier des opérations P2P (de particulier à particulier) et/ou de consommateur à entreprise (C2B).</w:t>
            </w:r>
          </w:p>
        </w:tc>
        <w:tc>
          <w:tcPr>
            <w:tcW w:w="993" w:type="dxa"/>
            <w:vMerge/>
            <w:tcBorders>
              <w:bottom w:val="single" w:sz="2" w:space="0" w:color="5B9BD5" w:themeColor="accent1"/>
            </w:tcBorders>
          </w:tcPr>
          <w:p w14:paraId="3F775FC6" w14:textId="4036FB3C" w:rsidR="00B4200A" w:rsidRPr="006053F8" w:rsidRDefault="00B4200A" w:rsidP="006B588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Pr>
          <w:p w14:paraId="6C9BBCD0" w14:textId="77777777" w:rsidR="00B4200A" w:rsidRDefault="00B4200A" w:rsidP="006B588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Pr>
          <w:p w14:paraId="6386844E" w14:textId="1522A189" w:rsidR="00B4200A" w:rsidRDefault="00B4200A" w:rsidP="006B588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4200A" w:rsidRPr="00BC0BAC" w14:paraId="6CC69492" w14:textId="3A8E9999" w:rsidTr="0035566E">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bottom w:val="single" w:sz="2" w:space="0" w:color="5B9BD5" w:themeColor="accent1"/>
            </w:tcBorders>
            <w:noWrap/>
          </w:tcPr>
          <w:p w14:paraId="1F93669D" w14:textId="77777777" w:rsidR="00B4200A" w:rsidRPr="00BC0BAC" w:rsidRDefault="00B4200A" w:rsidP="006B588D">
            <w:pPr>
              <w:rPr>
                <w:rFonts w:ascii="Calibri" w:eastAsia="Times New Roman" w:hAnsi="Calibri" w:cs="Calibri"/>
                <w:i/>
                <w:sz w:val="18"/>
                <w:szCs w:val="18"/>
                <w:lang w:eastAsia="fr-FR"/>
              </w:rPr>
            </w:pPr>
          </w:p>
        </w:tc>
        <w:tc>
          <w:tcPr>
            <w:tcW w:w="236" w:type="dxa"/>
            <w:tcBorders>
              <w:bottom w:val="single" w:sz="2" w:space="0" w:color="5B9BD5" w:themeColor="accent1"/>
            </w:tcBorders>
            <w:noWrap/>
          </w:tcPr>
          <w:p w14:paraId="74D44CC7" w14:textId="77777777" w:rsidR="00B4200A" w:rsidRPr="00BC0BAC" w:rsidRDefault="00B4200A" w:rsidP="006B588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bottom w:val="single" w:sz="2" w:space="0" w:color="5B9BD5" w:themeColor="accent1"/>
            </w:tcBorders>
          </w:tcPr>
          <w:p w14:paraId="145CB470" w14:textId="77777777" w:rsidR="00B4200A" w:rsidRPr="00BC0BAC" w:rsidRDefault="00B4200A" w:rsidP="00D801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368" w:type="dxa"/>
            <w:gridSpan w:val="4"/>
            <w:tcBorders>
              <w:bottom w:val="single" w:sz="2" w:space="0" w:color="5B9BD5" w:themeColor="accent1"/>
            </w:tcBorders>
          </w:tcPr>
          <w:p w14:paraId="4382E136" w14:textId="77777777" w:rsidR="00B4200A" w:rsidRPr="00BC0BAC" w:rsidRDefault="00B4200A" w:rsidP="00D801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2752" w:type="dxa"/>
            <w:gridSpan w:val="3"/>
            <w:tcBorders>
              <w:bottom w:val="single" w:sz="2" w:space="0" w:color="5B9BD5" w:themeColor="accent1"/>
            </w:tcBorders>
          </w:tcPr>
          <w:p w14:paraId="0F9273E5" w14:textId="0973A791" w:rsidR="00B4200A" w:rsidRPr="00BC0BAC" w:rsidRDefault="00B4200A" w:rsidP="00D801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971EB">
              <w:rPr>
                <w:rFonts w:ascii="Calibri" w:eastAsia="Times New Roman" w:hAnsi="Calibri" w:cs="Calibri"/>
                <w:bCs/>
                <w:i/>
                <w:sz w:val="18"/>
                <w:szCs w:val="18"/>
                <w:lang w:eastAsia="fr-FR"/>
              </w:rPr>
              <w:t>Dont depuis une solution de paiement mobile P2P</w:t>
            </w:r>
          </w:p>
        </w:tc>
        <w:tc>
          <w:tcPr>
            <w:tcW w:w="2976" w:type="dxa"/>
            <w:tcBorders>
              <w:bottom w:val="single" w:sz="2" w:space="0" w:color="5B9BD5" w:themeColor="accent1"/>
            </w:tcBorders>
          </w:tcPr>
          <w:p w14:paraId="0074C694" w14:textId="1B3CF1BA" w:rsidR="00B4200A" w:rsidRPr="00D13EBE" w:rsidRDefault="00FD61B9" w:rsidP="00FD61B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D13EBE">
              <w:rPr>
                <w:rFonts w:ascii="Calibri" w:eastAsia="Times New Roman" w:hAnsi="Calibri" w:cs="Calibri"/>
                <w:sz w:val="18"/>
                <w:szCs w:val="18"/>
                <w:lang w:eastAsia="fr-FR"/>
              </w:rPr>
              <w:t xml:space="preserve">Solution par laquelle les paiements sont initiés, confirmés et/ou reçus par une personne physique vers une autre personne physique (P2P) à l’aide d’un appareil mobile. L’instruction de paiement et les autres données relatives au paiement sont transmises et/ou confirmées au moyen d’un appareil mobile. Un identifiant de paiement mobile unique, tel qu'un numéro de téléphone portable ou une adresse électronique, peut être utilisé comme serveur mandataire pour identifier le payeur et/ou le payé. </w:t>
            </w:r>
          </w:p>
        </w:tc>
        <w:tc>
          <w:tcPr>
            <w:tcW w:w="993" w:type="dxa"/>
            <w:vMerge/>
            <w:tcBorders>
              <w:bottom w:val="single" w:sz="2" w:space="0" w:color="5B9BD5" w:themeColor="accent1"/>
            </w:tcBorders>
          </w:tcPr>
          <w:p w14:paraId="1AF2B997" w14:textId="1851115A" w:rsidR="00B4200A" w:rsidRPr="00FA5C8E" w:rsidRDefault="00B4200A" w:rsidP="006B588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bottom w:val="single" w:sz="2" w:space="0" w:color="5B9BD5" w:themeColor="accent1"/>
            </w:tcBorders>
          </w:tcPr>
          <w:p w14:paraId="0BE6F4BF" w14:textId="77777777" w:rsidR="00B4200A" w:rsidRDefault="00B4200A" w:rsidP="006B588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bottom w:val="single" w:sz="2" w:space="0" w:color="5B9BD5" w:themeColor="accent1"/>
            </w:tcBorders>
          </w:tcPr>
          <w:p w14:paraId="0BA766B1" w14:textId="2DA772AC" w:rsidR="00B4200A" w:rsidRDefault="00B4200A" w:rsidP="006B588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4200A" w:rsidRPr="00BC0BAC" w14:paraId="285CB0C6" w14:textId="77777777" w:rsidTr="0035566E">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2" w:space="0" w:color="5B9BD5" w:themeColor="accent1"/>
              <w:bottom w:val="single" w:sz="2" w:space="0" w:color="5B9BD5" w:themeColor="accent1"/>
            </w:tcBorders>
            <w:noWrap/>
          </w:tcPr>
          <w:p w14:paraId="3985786A" w14:textId="77777777" w:rsidR="00B4200A" w:rsidRPr="00BC0BAC" w:rsidRDefault="00B4200A" w:rsidP="006B588D">
            <w:pPr>
              <w:rPr>
                <w:rFonts w:ascii="Calibri" w:eastAsia="Times New Roman" w:hAnsi="Calibri" w:cs="Calibri"/>
                <w:i/>
                <w:sz w:val="18"/>
                <w:szCs w:val="18"/>
                <w:lang w:eastAsia="fr-FR"/>
              </w:rPr>
            </w:pPr>
          </w:p>
        </w:tc>
        <w:tc>
          <w:tcPr>
            <w:tcW w:w="236" w:type="dxa"/>
            <w:tcBorders>
              <w:top w:val="single" w:sz="2" w:space="0" w:color="5B9BD5" w:themeColor="accent1"/>
              <w:bottom w:val="single" w:sz="2" w:space="0" w:color="5B9BD5" w:themeColor="accent1"/>
            </w:tcBorders>
            <w:noWrap/>
          </w:tcPr>
          <w:p w14:paraId="5069559F" w14:textId="77777777" w:rsidR="00B4200A" w:rsidRPr="00BC0BAC" w:rsidRDefault="00B4200A" w:rsidP="006B588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2" w:space="0" w:color="5B9BD5" w:themeColor="accent1"/>
              <w:bottom w:val="single" w:sz="2" w:space="0" w:color="5B9BD5" w:themeColor="accent1"/>
            </w:tcBorders>
          </w:tcPr>
          <w:p w14:paraId="740689CD" w14:textId="77777777" w:rsidR="00B4200A" w:rsidRPr="00BC0BAC" w:rsidRDefault="00B4200A" w:rsidP="00D801D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3120" w:type="dxa"/>
            <w:gridSpan w:val="7"/>
            <w:tcBorders>
              <w:top w:val="single" w:sz="2" w:space="0" w:color="5B9BD5" w:themeColor="accent1"/>
              <w:bottom w:val="single" w:sz="2" w:space="0" w:color="5B9BD5" w:themeColor="accent1"/>
            </w:tcBorders>
          </w:tcPr>
          <w:p w14:paraId="1B8DBCF0" w14:textId="52F6F787" w:rsidR="00B4200A" w:rsidRPr="003971EB" w:rsidRDefault="00B4200A" w:rsidP="00D801D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bCs/>
                <w:i/>
                <w:sz w:val="18"/>
                <w:szCs w:val="18"/>
                <w:lang w:eastAsia="fr-FR"/>
              </w:rPr>
              <w:t>Dont depuis autres solutions</w:t>
            </w:r>
          </w:p>
        </w:tc>
        <w:tc>
          <w:tcPr>
            <w:tcW w:w="2976" w:type="dxa"/>
            <w:tcBorders>
              <w:top w:val="single" w:sz="2" w:space="0" w:color="5B9BD5" w:themeColor="accent1"/>
              <w:bottom w:val="single" w:sz="2" w:space="0" w:color="5B9BD5" w:themeColor="accent1"/>
            </w:tcBorders>
          </w:tcPr>
          <w:p w14:paraId="27960760" w14:textId="0D3C2A58" w:rsidR="00B4200A" w:rsidRPr="00D13EBE" w:rsidRDefault="005504FC" w:rsidP="006B588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D13EBE">
              <w:rPr>
                <w:rFonts w:ascii="Calibri" w:eastAsia="Times New Roman" w:hAnsi="Calibri" w:cs="Calibri"/>
                <w:sz w:val="18"/>
                <w:szCs w:val="18"/>
                <w:lang w:eastAsia="fr-FR"/>
              </w:rPr>
              <w:t>Dont par cartes.</w:t>
            </w:r>
          </w:p>
        </w:tc>
        <w:tc>
          <w:tcPr>
            <w:tcW w:w="993" w:type="dxa"/>
            <w:vMerge/>
            <w:tcBorders>
              <w:bottom w:val="single" w:sz="2" w:space="0" w:color="5B9BD5" w:themeColor="accent1"/>
            </w:tcBorders>
          </w:tcPr>
          <w:p w14:paraId="41A5AC97" w14:textId="77777777" w:rsidR="00B4200A" w:rsidRPr="00FA5C8E" w:rsidRDefault="00B4200A" w:rsidP="006B588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2" w:space="0" w:color="5B9BD5" w:themeColor="accent1"/>
              <w:bottom w:val="single" w:sz="2" w:space="0" w:color="5B9BD5" w:themeColor="accent1"/>
            </w:tcBorders>
          </w:tcPr>
          <w:p w14:paraId="0BDAF7F9" w14:textId="77777777" w:rsidR="00B4200A" w:rsidRDefault="00B4200A" w:rsidP="006B588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2" w:space="0" w:color="5B9BD5" w:themeColor="accent1"/>
              <w:bottom w:val="single" w:sz="2" w:space="0" w:color="5B9BD5" w:themeColor="accent1"/>
            </w:tcBorders>
          </w:tcPr>
          <w:p w14:paraId="6A67BA23" w14:textId="77777777" w:rsidR="00B4200A" w:rsidRDefault="00B4200A" w:rsidP="006B588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4631ED88" w14:textId="77777777" w:rsidTr="0035566E">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2" w:space="0" w:color="5B9BD5" w:themeColor="accent1"/>
              <w:bottom w:val="single" w:sz="4" w:space="0" w:color="5B9BD5" w:themeColor="accent1"/>
            </w:tcBorders>
            <w:noWrap/>
            <w:hideMark/>
          </w:tcPr>
          <w:p w14:paraId="2159812C" w14:textId="77777777" w:rsidR="005F0D60" w:rsidRPr="00E8367A" w:rsidRDefault="005F0D60" w:rsidP="005F0D60">
            <w:pPr>
              <w:rPr>
                <w:rFonts w:ascii="Calibri" w:eastAsia="Times New Roman" w:hAnsi="Calibri" w:cs="Calibri"/>
                <w:b w:val="0"/>
                <w:bCs w:val="0"/>
                <w:i/>
                <w:sz w:val="18"/>
                <w:szCs w:val="18"/>
                <w:lang w:eastAsia="fr-FR"/>
              </w:rPr>
            </w:pPr>
          </w:p>
        </w:tc>
        <w:tc>
          <w:tcPr>
            <w:tcW w:w="236" w:type="dxa"/>
            <w:tcBorders>
              <w:top w:val="single" w:sz="2" w:space="0" w:color="5B9BD5" w:themeColor="accent1"/>
              <w:bottom w:val="single" w:sz="4" w:space="0" w:color="5B9BD5" w:themeColor="accent1"/>
            </w:tcBorders>
          </w:tcPr>
          <w:p w14:paraId="01BD429D" w14:textId="77777777" w:rsidR="005F0D60" w:rsidRPr="00E8367A"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2" w:space="0" w:color="5B9BD5" w:themeColor="accent1"/>
              <w:bottom w:val="single" w:sz="4" w:space="0" w:color="5B9BD5" w:themeColor="accent1"/>
            </w:tcBorders>
          </w:tcPr>
          <w:p w14:paraId="54B13B67" w14:textId="77777777" w:rsidR="005F0D60" w:rsidRPr="00E8367A"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7"/>
            <w:tcBorders>
              <w:top w:val="single" w:sz="2" w:space="0" w:color="5B9BD5" w:themeColor="accent1"/>
              <w:bottom w:val="single" w:sz="4" w:space="0" w:color="5B9BD5" w:themeColor="accent1"/>
            </w:tcBorders>
            <w:noWrap/>
          </w:tcPr>
          <w:p w14:paraId="2E40CB5E" w14:textId="7FEBC675" w:rsidR="005F0D60" w:rsidRPr="00306CBB" w:rsidRDefault="001B3C74"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306CBB">
              <w:rPr>
                <w:rFonts w:ascii="Calibri" w:eastAsia="Times New Roman" w:hAnsi="Calibri" w:cs="Calibri"/>
                <w:b/>
                <w:i/>
                <w:sz w:val="18"/>
                <w:szCs w:val="18"/>
                <w:lang w:eastAsia="fr-FR"/>
              </w:rPr>
              <w:t>Dont traités par</w:t>
            </w:r>
            <w:r w:rsidR="005E6DD0" w:rsidRPr="00306CBB">
              <w:rPr>
                <w:rFonts w:ascii="Calibri" w:eastAsia="Times New Roman" w:hAnsi="Calibri" w:cs="Calibri"/>
                <w:b/>
                <w:i/>
                <w:sz w:val="18"/>
                <w:szCs w:val="18"/>
                <w:lang w:eastAsia="fr-FR"/>
              </w:rPr>
              <w:t xml:space="preserve"> le schéma</w:t>
            </w:r>
            <w:r w:rsidR="0089572C" w:rsidRPr="00306CBB">
              <w:rPr>
                <w:rFonts w:ascii="Calibri" w:eastAsia="Times New Roman" w:hAnsi="Calibri" w:cs="Calibri"/>
                <w:b/>
                <w:i/>
                <w:sz w:val="18"/>
                <w:szCs w:val="18"/>
                <w:lang w:eastAsia="fr-FR"/>
              </w:rPr>
              <w:t xml:space="preserve"> de carte X</w:t>
            </w:r>
          </w:p>
        </w:tc>
        <w:tc>
          <w:tcPr>
            <w:tcW w:w="2976" w:type="dxa"/>
            <w:tcBorders>
              <w:top w:val="single" w:sz="2" w:space="0" w:color="5B9BD5" w:themeColor="accent1"/>
              <w:bottom w:val="single" w:sz="4" w:space="0" w:color="5B9BD5" w:themeColor="accent1"/>
            </w:tcBorders>
          </w:tcPr>
          <w:p w14:paraId="06C6A3AD" w14:textId="3680DABA" w:rsidR="005F0D60" w:rsidRPr="00306CBB" w:rsidRDefault="005F0D60" w:rsidP="002775A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306CBB">
              <w:rPr>
                <w:rFonts w:ascii="Calibri" w:eastAsia="Times New Roman" w:hAnsi="Calibri" w:cs="Calibri"/>
                <w:sz w:val="18"/>
                <w:szCs w:val="18"/>
                <w:lang w:eastAsia="fr-FR"/>
              </w:rPr>
              <w:t xml:space="preserve">Transactions traitées par le schéma </w:t>
            </w:r>
            <w:r w:rsidR="002775A9" w:rsidRPr="00306CBB">
              <w:rPr>
                <w:rFonts w:ascii="Calibri" w:eastAsia="Times New Roman" w:hAnsi="Calibri" w:cs="Calibri"/>
                <w:sz w:val="18"/>
                <w:szCs w:val="18"/>
                <w:lang w:eastAsia="fr-FR"/>
              </w:rPr>
              <w:t>X</w:t>
            </w:r>
            <w:r w:rsidRPr="00306CBB">
              <w:rPr>
                <w:rFonts w:ascii="Calibri" w:eastAsia="Times New Roman" w:hAnsi="Calibri" w:cs="Calibri"/>
                <w:sz w:val="18"/>
                <w:szCs w:val="18"/>
                <w:lang w:eastAsia="fr-FR"/>
              </w:rPr>
              <w:t>.</w:t>
            </w:r>
          </w:p>
        </w:tc>
        <w:tc>
          <w:tcPr>
            <w:tcW w:w="993" w:type="dxa"/>
            <w:vMerge w:val="restart"/>
            <w:tcBorders>
              <w:bottom w:val="single" w:sz="2" w:space="0" w:color="5B9BD5" w:themeColor="accent1"/>
            </w:tcBorders>
          </w:tcPr>
          <w:p w14:paraId="0D81E51D" w14:textId="77777777" w:rsidR="005F0D60" w:rsidRPr="00FA5C8E"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2" w:space="0" w:color="5B9BD5" w:themeColor="accent1"/>
              <w:bottom w:val="single" w:sz="4" w:space="0" w:color="5B9BD5" w:themeColor="accent1"/>
            </w:tcBorders>
          </w:tcPr>
          <w:p w14:paraId="4B3F4507"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45" w:type="dxa"/>
            <w:gridSpan w:val="2"/>
            <w:tcBorders>
              <w:top w:val="single" w:sz="2" w:space="0" w:color="5B9BD5" w:themeColor="accent1"/>
              <w:bottom w:val="single" w:sz="4" w:space="0" w:color="5B9BD5" w:themeColor="accent1"/>
            </w:tcBorders>
          </w:tcPr>
          <w:p w14:paraId="5547FFEC"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0D60" w14:paraId="1A375398" w14:textId="77777777" w:rsidTr="0035566E">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04724A5C"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2F9B57A2"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757D9BC5"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6ECDBE10"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84" w:type="dxa"/>
            <w:gridSpan w:val="6"/>
            <w:tcBorders>
              <w:top w:val="single" w:sz="4" w:space="0" w:color="5B9BD5" w:themeColor="accent1"/>
              <w:bottom w:val="single" w:sz="4" w:space="0" w:color="5B9BD5" w:themeColor="accent1"/>
            </w:tcBorders>
          </w:tcPr>
          <w:p w14:paraId="6601626C"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par carte de débit</w:t>
            </w:r>
          </w:p>
        </w:tc>
        <w:tc>
          <w:tcPr>
            <w:tcW w:w="2976" w:type="dxa"/>
            <w:tcBorders>
              <w:top w:val="single" w:sz="4" w:space="0" w:color="5B9BD5" w:themeColor="accent1"/>
              <w:bottom w:val="single" w:sz="4" w:space="0" w:color="5B9BD5" w:themeColor="accent1"/>
            </w:tcBorders>
          </w:tcPr>
          <w:p w14:paraId="5E29B7C1"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06CBB">
              <w:rPr>
                <w:rFonts w:ascii="Calibri" w:eastAsia="Times New Roman" w:hAnsi="Calibri" w:cs="Calibri"/>
                <w:sz w:val="18"/>
                <w:szCs w:val="18"/>
                <w:lang w:eastAsia="fr-FR"/>
              </w:rPr>
              <w:t>Cf. Définition section « Dénombrement des cartes ».</w:t>
            </w:r>
          </w:p>
        </w:tc>
        <w:tc>
          <w:tcPr>
            <w:tcW w:w="993" w:type="dxa"/>
            <w:vMerge/>
            <w:tcBorders>
              <w:bottom w:val="single" w:sz="4" w:space="0" w:color="5B9BD5" w:themeColor="accent1"/>
            </w:tcBorders>
          </w:tcPr>
          <w:p w14:paraId="017B3DE2" w14:textId="77777777" w:rsidR="005F0D60" w:rsidRPr="00FA5C8E"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7001C79D"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0F53BAF0"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7230EE71" w14:textId="77777777" w:rsidTr="0035566E">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578EAFDB"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17FD42E5"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9FC18F7"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0756AA67"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84" w:type="dxa"/>
            <w:gridSpan w:val="6"/>
            <w:tcBorders>
              <w:top w:val="single" w:sz="4" w:space="0" w:color="5B9BD5" w:themeColor="accent1"/>
              <w:bottom w:val="single" w:sz="4" w:space="0" w:color="5B9BD5" w:themeColor="accent1"/>
            </w:tcBorders>
          </w:tcPr>
          <w:p w14:paraId="22D3EFC3"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par carte de débit différé</w:t>
            </w:r>
          </w:p>
        </w:tc>
        <w:tc>
          <w:tcPr>
            <w:tcW w:w="2976" w:type="dxa"/>
            <w:tcBorders>
              <w:top w:val="single" w:sz="4" w:space="0" w:color="5B9BD5" w:themeColor="accent1"/>
              <w:bottom w:val="single" w:sz="4" w:space="0" w:color="5B9BD5" w:themeColor="accent1"/>
            </w:tcBorders>
          </w:tcPr>
          <w:p w14:paraId="37A1C41D"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06CBB">
              <w:rPr>
                <w:rFonts w:ascii="Calibri" w:eastAsia="Times New Roman" w:hAnsi="Calibri" w:cs="Calibri"/>
                <w:sz w:val="18"/>
                <w:szCs w:val="18"/>
                <w:lang w:eastAsia="fr-FR"/>
              </w:rPr>
              <w:t>Cf. Définition section « Dénombrement des cartes ».</w:t>
            </w:r>
          </w:p>
        </w:tc>
        <w:tc>
          <w:tcPr>
            <w:tcW w:w="993" w:type="dxa"/>
            <w:vMerge/>
            <w:tcBorders>
              <w:top w:val="single" w:sz="4" w:space="0" w:color="5B9BD5" w:themeColor="accent1"/>
              <w:bottom w:val="single" w:sz="4" w:space="0" w:color="5B9BD5" w:themeColor="accent1"/>
            </w:tcBorders>
          </w:tcPr>
          <w:p w14:paraId="53ED4FD2" w14:textId="77777777" w:rsidR="005F0D60" w:rsidRPr="00FA5C8E"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521C0979"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18A44D29"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0D60" w14:paraId="5D5B09C7" w14:textId="77777777" w:rsidTr="0035566E">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5A384901"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3C559131"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39AFD8DF"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2A1FB536"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84" w:type="dxa"/>
            <w:gridSpan w:val="6"/>
            <w:tcBorders>
              <w:top w:val="single" w:sz="4" w:space="0" w:color="5B9BD5" w:themeColor="accent1"/>
              <w:bottom w:val="single" w:sz="4" w:space="0" w:color="5B9BD5" w:themeColor="accent1"/>
            </w:tcBorders>
          </w:tcPr>
          <w:p w14:paraId="1D779610"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par carte de crédit</w:t>
            </w:r>
          </w:p>
        </w:tc>
        <w:tc>
          <w:tcPr>
            <w:tcW w:w="2976" w:type="dxa"/>
            <w:tcBorders>
              <w:top w:val="single" w:sz="4" w:space="0" w:color="5B9BD5" w:themeColor="accent1"/>
              <w:bottom w:val="single" w:sz="4" w:space="0" w:color="5B9BD5" w:themeColor="accent1"/>
            </w:tcBorders>
          </w:tcPr>
          <w:p w14:paraId="0FC49532"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06CBB">
              <w:rPr>
                <w:rFonts w:ascii="Calibri" w:eastAsia="Times New Roman" w:hAnsi="Calibri" w:cs="Calibri"/>
                <w:sz w:val="18"/>
                <w:szCs w:val="18"/>
                <w:lang w:eastAsia="fr-FR"/>
              </w:rPr>
              <w:t>Cf. Définition section « Dénombrement des cartes ».</w:t>
            </w:r>
          </w:p>
        </w:tc>
        <w:tc>
          <w:tcPr>
            <w:tcW w:w="993" w:type="dxa"/>
            <w:vMerge/>
            <w:tcBorders>
              <w:top w:val="single" w:sz="4" w:space="0" w:color="5B9BD5" w:themeColor="accent1"/>
              <w:bottom w:val="single" w:sz="4" w:space="0" w:color="5B9BD5" w:themeColor="accent1"/>
            </w:tcBorders>
          </w:tcPr>
          <w:p w14:paraId="039C472E" w14:textId="77777777" w:rsidR="005F0D60" w:rsidRPr="00FA5C8E"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D63630A"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08DB3A5F"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7FEE6B3E" w14:textId="77777777" w:rsidTr="0035566E">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hideMark/>
          </w:tcPr>
          <w:p w14:paraId="08930B23"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0C1EEA27"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190982A2"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1CE537A0"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84" w:type="dxa"/>
            <w:gridSpan w:val="6"/>
            <w:tcBorders>
              <w:top w:val="single" w:sz="4" w:space="0" w:color="5B9BD5" w:themeColor="accent1"/>
              <w:bottom w:val="single" w:sz="4" w:space="0" w:color="5B9BD5" w:themeColor="accent1"/>
            </w:tcBorders>
            <w:noWrap/>
            <w:hideMark/>
          </w:tcPr>
          <w:p w14:paraId="2093C680"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avec authentification forte du client</w:t>
            </w:r>
          </w:p>
        </w:tc>
        <w:tc>
          <w:tcPr>
            <w:tcW w:w="2976" w:type="dxa"/>
            <w:tcBorders>
              <w:top w:val="single" w:sz="4" w:space="0" w:color="5B9BD5" w:themeColor="accent1"/>
              <w:bottom w:val="single" w:sz="4" w:space="0" w:color="5B9BD5" w:themeColor="accent1"/>
            </w:tcBorders>
          </w:tcPr>
          <w:p w14:paraId="6032DA04" w14:textId="77777777" w:rsidR="005F0D60" w:rsidRPr="00306CBB" w:rsidRDefault="005F0D60" w:rsidP="005F0D6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19E2AA2A" w14:textId="77777777" w:rsidR="005F0D60" w:rsidRPr="00FA5C8E"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27A6D783"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46A696A7"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0D60" w14:paraId="77763C1F" w14:textId="77777777" w:rsidTr="0035566E">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hideMark/>
          </w:tcPr>
          <w:p w14:paraId="78951CE9"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0B830C5C"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3D7DE6AF"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2207A96F"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84" w:type="dxa"/>
            <w:gridSpan w:val="6"/>
            <w:tcBorders>
              <w:top w:val="single" w:sz="4" w:space="0" w:color="5B9BD5" w:themeColor="accent1"/>
              <w:bottom w:val="single" w:sz="4" w:space="0" w:color="5B9BD5" w:themeColor="accent1"/>
            </w:tcBorders>
            <w:noWrap/>
            <w:hideMark/>
          </w:tcPr>
          <w:p w14:paraId="1AFBC358"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sans authentification forte du client</w:t>
            </w:r>
          </w:p>
        </w:tc>
        <w:tc>
          <w:tcPr>
            <w:tcW w:w="2976" w:type="dxa"/>
            <w:tcBorders>
              <w:top w:val="single" w:sz="4" w:space="0" w:color="5B9BD5" w:themeColor="accent1"/>
              <w:bottom w:val="single" w:sz="4" w:space="0" w:color="5B9BD5" w:themeColor="accent1"/>
            </w:tcBorders>
          </w:tcPr>
          <w:p w14:paraId="4781CD67" w14:textId="77777777" w:rsidR="005F0D60" w:rsidRPr="00306CBB" w:rsidRDefault="005F0D60" w:rsidP="005F0D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59B1B85D"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1FAC0B9"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5BC03320"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5DD89639" w14:textId="77777777" w:rsidTr="0035566E">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0DED67E0"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67B6C487"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99E6C2C"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3"/>
            <w:tcBorders>
              <w:top w:val="single" w:sz="4" w:space="0" w:color="5B9BD5" w:themeColor="accent1"/>
              <w:bottom w:val="single" w:sz="4" w:space="0" w:color="5B9BD5" w:themeColor="accent1"/>
            </w:tcBorders>
            <w:noWrap/>
          </w:tcPr>
          <w:p w14:paraId="7DA8BADC"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3"/>
            <w:tcBorders>
              <w:top w:val="single" w:sz="4" w:space="0" w:color="5B9BD5" w:themeColor="accent1"/>
              <w:bottom w:val="single" w:sz="4" w:space="0" w:color="5B9BD5" w:themeColor="accent1"/>
            </w:tcBorders>
          </w:tcPr>
          <w:p w14:paraId="4D1572D2"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4AE2C784"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de l'art. 13 RTS (bénéficiaire de confiance)</w:t>
            </w:r>
          </w:p>
        </w:tc>
        <w:tc>
          <w:tcPr>
            <w:tcW w:w="2976" w:type="dxa"/>
            <w:tcBorders>
              <w:top w:val="single" w:sz="4" w:space="0" w:color="5B9BD5" w:themeColor="accent1"/>
              <w:bottom w:val="single" w:sz="4" w:space="0" w:color="5B9BD5" w:themeColor="accent1"/>
            </w:tcBorders>
          </w:tcPr>
          <w:p w14:paraId="790CFC00" w14:textId="77777777" w:rsidR="005F0D60" w:rsidRPr="00306CBB" w:rsidRDefault="005F0D60" w:rsidP="005F0D6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022C7F2B"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00174F25"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1943EC9A"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0D60" w14:paraId="4F3F8400" w14:textId="77777777" w:rsidTr="0035566E">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5907E01C"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1E2D7AC6"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51CBC749"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3"/>
            <w:tcBorders>
              <w:top w:val="single" w:sz="4" w:space="0" w:color="5B9BD5" w:themeColor="accent1"/>
              <w:bottom w:val="single" w:sz="4" w:space="0" w:color="5B9BD5" w:themeColor="accent1"/>
            </w:tcBorders>
            <w:noWrap/>
          </w:tcPr>
          <w:p w14:paraId="11A90EB1"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3"/>
            <w:tcBorders>
              <w:top w:val="single" w:sz="4" w:space="0" w:color="5B9BD5" w:themeColor="accent1"/>
              <w:bottom w:val="single" w:sz="4" w:space="0" w:color="5B9BD5" w:themeColor="accent1"/>
            </w:tcBorders>
          </w:tcPr>
          <w:p w14:paraId="1DA5679B"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6D846DD6"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de l'art. 14 RTS (opération récurrente)</w:t>
            </w:r>
          </w:p>
        </w:tc>
        <w:tc>
          <w:tcPr>
            <w:tcW w:w="2976" w:type="dxa"/>
            <w:tcBorders>
              <w:top w:val="single" w:sz="4" w:space="0" w:color="5B9BD5" w:themeColor="accent1"/>
              <w:bottom w:val="single" w:sz="4" w:space="0" w:color="5B9BD5" w:themeColor="accent1"/>
            </w:tcBorders>
          </w:tcPr>
          <w:p w14:paraId="0C76A45B" w14:textId="77777777" w:rsidR="005F0D60" w:rsidRPr="00306CBB" w:rsidRDefault="005F0D60" w:rsidP="005F0D6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3E8BE30B"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791E860"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538C7A60"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4980F0B9" w14:textId="77777777" w:rsidTr="0035566E">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52B7C6A5"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6F4C8F31"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71E302D"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3"/>
            <w:tcBorders>
              <w:top w:val="single" w:sz="4" w:space="0" w:color="5B9BD5" w:themeColor="accent1"/>
              <w:bottom w:val="single" w:sz="4" w:space="0" w:color="5B9BD5" w:themeColor="accent1"/>
            </w:tcBorders>
            <w:noWrap/>
          </w:tcPr>
          <w:p w14:paraId="0C2B256A"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3"/>
            <w:tcBorders>
              <w:top w:val="single" w:sz="4" w:space="0" w:color="5B9BD5" w:themeColor="accent1"/>
              <w:bottom w:val="single" w:sz="4" w:space="0" w:color="5B9BD5" w:themeColor="accent1"/>
            </w:tcBorders>
          </w:tcPr>
          <w:p w14:paraId="6E46F8AB"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33BEBBEC"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de l'art. 16 RTS (faible montant)</w:t>
            </w:r>
          </w:p>
        </w:tc>
        <w:tc>
          <w:tcPr>
            <w:tcW w:w="2976" w:type="dxa"/>
            <w:tcBorders>
              <w:top w:val="single" w:sz="4" w:space="0" w:color="5B9BD5" w:themeColor="accent1"/>
              <w:bottom w:val="single" w:sz="4" w:space="0" w:color="5B9BD5" w:themeColor="accent1"/>
            </w:tcBorders>
          </w:tcPr>
          <w:p w14:paraId="373C13B1" w14:textId="77777777" w:rsidR="005F0D60" w:rsidRPr="00306CBB" w:rsidRDefault="005F0D60" w:rsidP="005F0D6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16CC47AB"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35E620D8"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5886E15F"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0D60" w14:paraId="0F7324DC" w14:textId="77777777" w:rsidTr="0035566E">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729FC2AB"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75FC15AD"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2D87BEA"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3"/>
            <w:tcBorders>
              <w:top w:val="single" w:sz="4" w:space="0" w:color="5B9BD5" w:themeColor="accent1"/>
              <w:bottom w:val="single" w:sz="4" w:space="0" w:color="5B9BD5" w:themeColor="accent1"/>
            </w:tcBorders>
            <w:noWrap/>
          </w:tcPr>
          <w:p w14:paraId="2616B9C5"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3"/>
            <w:tcBorders>
              <w:top w:val="single" w:sz="4" w:space="0" w:color="5B9BD5" w:themeColor="accent1"/>
              <w:bottom w:val="single" w:sz="4" w:space="0" w:color="5B9BD5" w:themeColor="accent1"/>
            </w:tcBorders>
          </w:tcPr>
          <w:p w14:paraId="50E17469"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743BC2AC"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au titre de l'art. 17 RTS (protocole de paiement sécurisé)</w:t>
            </w:r>
          </w:p>
        </w:tc>
        <w:tc>
          <w:tcPr>
            <w:tcW w:w="2976" w:type="dxa"/>
            <w:tcBorders>
              <w:top w:val="single" w:sz="4" w:space="0" w:color="5B9BD5" w:themeColor="accent1"/>
              <w:bottom w:val="single" w:sz="4" w:space="0" w:color="5B9BD5" w:themeColor="accent1"/>
            </w:tcBorders>
          </w:tcPr>
          <w:p w14:paraId="33A83B38" w14:textId="77777777" w:rsidR="005F0D60" w:rsidRPr="00306CBB" w:rsidRDefault="005F0D60" w:rsidP="005F0D6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57F49B33"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5DF2D4C8"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47D9F404"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5130D09E" w14:textId="77777777" w:rsidTr="0035566E">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4F59B282"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3F2213F9"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964FCC5"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3"/>
            <w:tcBorders>
              <w:top w:val="single" w:sz="4" w:space="0" w:color="5B9BD5" w:themeColor="accent1"/>
              <w:bottom w:val="single" w:sz="4" w:space="0" w:color="5B9BD5" w:themeColor="accent1"/>
            </w:tcBorders>
            <w:noWrap/>
          </w:tcPr>
          <w:p w14:paraId="5241C5B7"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3"/>
            <w:tcBorders>
              <w:top w:val="single" w:sz="4" w:space="0" w:color="5B9BD5" w:themeColor="accent1"/>
              <w:bottom w:val="single" w:sz="4" w:space="0" w:color="5B9BD5" w:themeColor="accent1"/>
            </w:tcBorders>
          </w:tcPr>
          <w:p w14:paraId="404AE781"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14A01A88"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au titre de l'art. 18 RTS (analyse des risques)</w:t>
            </w:r>
          </w:p>
        </w:tc>
        <w:tc>
          <w:tcPr>
            <w:tcW w:w="2976" w:type="dxa"/>
            <w:tcBorders>
              <w:top w:val="single" w:sz="4" w:space="0" w:color="5B9BD5" w:themeColor="accent1"/>
              <w:bottom w:val="single" w:sz="4" w:space="0" w:color="5B9BD5" w:themeColor="accent1"/>
            </w:tcBorders>
          </w:tcPr>
          <w:p w14:paraId="5D267EA3" w14:textId="77777777" w:rsidR="005F0D60" w:rsidRPr="00306CBB" w:rsidRDefault="005F0D60" w:rsidP="005F0D6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28D52C00"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505CE59"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1AC9F7B6"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0D60" w14:paraId="219DA263" w14:textId="77777777" w:rsidTr="0035566E">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58C00C86"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5AAD4353"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3FCAE67"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3"/>
            <w:tcBorders>
              <w:top w:val="single" w:sz="4" w:space="0" w:color="5B9BD5" w:themeColor="accent1"/>
              <w:bottom w:val="single" w:sz="4" w:space="0" w:color="5B9BD5" w:themeColor="accent1"/>
            </w:tcBorders>
            <w:noWrap/>
          </w:tcPr>
          <w:p w14:paraId="4FBB8ACC"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3"/>
            <w:tcBorders>
              <w:top w:val="single" w:sz="4" w:space="0" w:color="5B9BD5" w:themeColor="accent1"/>
              <w:bottom w:val="single" w:sz="4" w:space="0" w:color="5B9BD5" w:themeColor="accent1"/>
            </w:tcBorders>
          </w:tcPr>
          <w:p w14:paraId="68C884BB"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6F98E4DB"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au titre des paiements initiés par les commerçants</w:t>
            </w:r>
          </w:p>
        </w:tc>
        <w:tc>
          <w:tcPr>
            <w:tcW w:w="2976" w:type="dxa"/>
            <w:tcBorders>
              <w:top w:val="single" w:sz="4" w:space="0" w:color="5B9BD5" w:themeColor="accent1"/>
              <w:bottom w:val="single" w:sz="4" w:space="0" w:color="5B9BD5" w:themeColor="accent1"/>
            </w:tcBorders>
          </w:tcPr>
          <w:p w14:paraId="5790871D" w14:textId="77777777" w:rsidR="005F0D60" w:rsidRPr="00306CBB" w:rsidRDefault="005F0D60" w:rsidP="005F0D6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5E9C508E"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2DCB3C71"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68DA8142"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0B353E83" w14:textId="77777777" w:rsidTr="0035566E">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376B6889"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2E962EEE"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52932E29"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3"/>
            <w:tcBorders>
              <w:top w:val="single" w:sz="4" w:space="0" w:color="5B9BD5" w:themeColor="accent1"/>
              <w:bottom w:val="single" w:sz="4" w:space="0" w:color="5B9BD5" w:themeColor="accent1"/>
            </w:tcBorders>
            <w:noWrap/>
          </w:tcPr>
          <w:p w14:paraId="735EC298"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3"/>
            <w:tcBorders>
              <w:top w:val="single" w:sz="4" w:space="0" w:color="5B9BD5" w:themeColor="accent1"/>
              <w:bottom w:val="single" w:sz="4" w:space="0" w:color="5B9BD5" w:themeColor="accent1"/>
            </w:tcBorders>
          </w:tcPr>
          <w:p w14:paraId="155C2A0C"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0BC5C656"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au titre d'autres motifs d'exclusion</w:t>
            </w:r>
          </w:p>
        </w:tc>
        <w:tc>
          <w:tcPr>
            <w:tcW w:w="2976" w:type="dxa"/>
            <w:tcBorders>
              <w:top w:val="single" w:sz="4" w:space="0" w:color="5B9BD5" w:themeColor="accent1"/>
              <w:bottom w:val="single" w:sz="4" w:space="0" w:color="5B9BD5" w:themeColor="accent1"/>
            </w:tcBorders>
          </w:tcPr>
          <w:p w14:paraId="3D5678A8" w14:textId="77777777" w:rsidR="005F0D60" w:rsidRPr="00306CBB" w:rsidRDefault="005F0D60" w:rsidP="005F0D6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395F8D56"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21BE00F3"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1137228D"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DD0" w14:paraId="369D7F5C" w14:textId="77777777" w:rsidTr="0035566E">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2" w:space="0" w:color="5B9BD5" w:themeColor="accent1"/>
              <w:bottom w:val="single" w:sz="4" w:space="0" w:color="5B9BD5" w:themeColor="accent1"/>
            </w:tcBorders>
            <w:noWrap/>
            <w:hideMark/>
          </w:tcPr>
          <w:p w14:paraId="63D48828" w14:textId="77777777" w:rsidR="005E6DD0" w:rsidRPr="00E8367A" w:rsidRDefault="005E6DD0" w:rsidP="0025744E">
            <w:pPr>
              <w:rPr>
                <w:rFonts w:ascii="Calibri" w:eastAsia="Times New Roman" w:hAnsi="Calibri" w:cs="Calibri"/>
                <w:b w:val="0"/>
                <w:bCs w:val="0"/>
                <w:i/>
                <w:sz w:val="18"/>
                <w:szCs w:val="18"/>
                <w:lang w:eastAsia="fr-FR"/>
              </w:rPr>
            </w:pPr>
          </w:p>
        </w:tc>
        <w:tc>
          <w:tcPr>
            <w:tcW w:w="236" w:type="dxa"/>
            <w:tcBorders>
              <w:top w:val="single" w:sz="2" w:space="0" w:color="5B9BD5" w:themeColor="accent1"/>
              <w:bottom w:val="single" w:sz="4" w:space="0" w:color="5B9BD5" w:themeColor="accent1"/>
            </w:tcBorders>
          </w:tcPr>
          <w:p w14:paraId="6B7850ED" w14:textId="77777777" w:rsidR="005E6DD0" w:rsidRPr="00E8367A" w:rsidRDefault="005E6DD0" w:rsidP="002574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2" w:space="0" w:color="5B9BD5" w:themeColor="accent1"/>
              <w:bottom w:val="single" w:sz="4" w:space="0" w:color="5B9BD5" w:themeColor="accent1"/>
            </w:tcBorders>
          </w:tcPr>
          <w:p w14:paraId="01C5919B" w14:textId="77777777" w:rsidR="005E6DD0" w:rsidRPr="00E8367A" w:rsidRDefault="005E6DD0" w:rsidP="002574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7"/>
            <w:tcBorders>
              <w:top w:val="single" w:sz="2" w:space="0" w:color="5B9BD5" w:themeColor="accent1"/>
              <w:bottom w:val="single" w:sz="4" w:space="0" w:color="5B9BD5" w:themeColor="accent1"/>
            </w:tcBorders>
            <w:noWrap/>
          </w:tcPr>
          <w:p w14:paraId="136FA461" w14:textId="0F002AA3" w:rsidR="005E6DD0" w:rsidRPr="00306CBB" w:rsidRDefault="005E6DD0" w:rsidP="002574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306CBB">
              <w:rPr>
                <w:rFonts w:ascii="Calibri" w:eastAsia="Times New Roman" w:hAnsi="Calibri" w:cs="Calibri"/>
                <w:b/>
                <w:i/>
                <w:sz w:val="18"/>
                <w:szCs w:val="18"/>
                <w:lang w:eastAsia="fr-FR"/>
              </w:rPr>
              <w:t>Dont traités par le schéma de carte Y…</w:t>
            </w:r>
          </w:p>
        </w:tc>
        <w:tc>
          <w:tcPr>
            <w:tcW w:w="2976" w:type="dxa"/>
            <w:tcBorders>
              <w:top w:val="single" w:sz="2" w:space="0" w:color="5B9BD5" w:themeColor="accent1"/>
              <w:bottom w:val="single" w:sz="4" w:space="0" w:color="5B9BD5" w:themeColor="accent1"/>
            </w:tcBorders>
          </w:tcPr>
          <w:p w14:paraId="3D01D224" w14:textId="2A022C7E" w:rsidR="005E6DD0" w:rsidRPr="00306CBB" w:rsidRDefault="005E6DD0" w:rsidP="0025744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306CBB">
              <w:rPr>
                <w:rFonts w:ascii="Calibri" w:eastAsia="Times New Roman" w:hAnsi="Calibri" w:cs="Calibri"/>
                <w:sz w:val="18"/>
                <w:szCs w:val="18"/>
                <w:lang w:eastAsia="fr-FR"/>
              </w:rPr>
              <w:t>Transactions traitées par le schéma Y.</w:t>
            </w:r>
          </w:p>
        </w:tc>
        <w:tc>
          <w:tcPr>
            <w:tcW w:w="993" w:type="dxa"/>
            <w:tcBorders>
              <w:bottom w:val="single" w:sz="2" w:space="0" w:color="5B9BD5" w:themeColor="accent1"/>
            </w:tcBorders>
          </w:tcPr>
          <w:p w14:paraId="09E782B4" w14:textId="77777777" w:rsidR="005E6DD0" w:rsidRPr="00FA5C8E" w:rsidRDefault="005E6DD0" w:rsidP="0025744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2" w:space="0" w:color="5B9BD5" w:themeColor="accent1"/>
              <w:bottom w:val="single" w:sz="4" w:space="0" w:color="5B9BD5" w:themeColor="accent1"/>
            </w:tcBorders>
          </w:tcPr>
          <w:p w14:paraId="118DDBC8" w14:textId="77777777" w:rsidR="005E6DD0" w:rsidRDefault="005E6DD0" w:rsidP="0025744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45" w:type="dxa"/>
            <w:gridSpan w:val="2"/>
            <w:tcBorders>
              <w:top w:val="single" w:sz="2" w:space="0" w:color="5B9BD5" w:themeColor="accent1"/>
              <w:bottom w:val="single" w:sz="4" w:space="0" w:color="5B9BD5" w:themeColor="accent1"/>
            </w:tcBorders>
          </w:tcPr>
          <w:p w14:paraId="0A353777" w14:textId="77777777" w:rsidR="005E6DD0" w:rsidRDefault="005E6DD0" w:rsidP="0025744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4200A" w:rsidRPr="00BC0BAC" w14:paraId="3FCC83CB" w14:textId="1AF46313" w:rsidTr="0035566E">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hideMark/>
          </w:tcPr>
          <w:p w14:paraId="16ED75CE" w14:textId="77777777" w:rsidR="00B4200A" w:rsidRPr="00BC0BAC" w:rsidRDefault="00B4200A" w:rsidP="00D5587D">
            <w:pPr>
              <w:rPr>
                <w:rFonts w:ascii="Calibri" w:eastAsia="Times New Roman" w:hAnsi="Calibri" w:cs="Calibri"/>
                <w:b w:val="0"/>
                <w:bCs w:val="0"/>
                <w:i/>
                <w:sz w:val="18"/>
                <w:szCs w:val="18"/>
                <w:lang w:eastAsia="fr-FR"/>
              </w:rPr>
            </w:pPr>
          </w:p>
        </w:tc>
        <w:tc>
          <w:tcPr>
            <w:tcW w:w="236" w:type="dxa"/>
            <w:tcBorders>
              <w:top w:val="single" w:sz="18" w:space="0" w:color="5B9BD5" w:themeColor="accent1"/>
              <w:bottom w:val="single" w:sz="4" w:space="0" w:color="5B9BD5" w:themeColor="accent1"/>
            </w:tcBorders>
          </w:tcPr>
          <w:p w14:paraId="2D8A1821" w14:textId="5BE26299" w:rsidR="00B4200A" w:rsidRPr="00BC0BAC" w:rsidRDefault="00B4200A" w:rsidP="00D558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56" w:type="dxa"/>
            <w:gridSpan w:val="8"/>
            <w:tcBorders>
              <w:top w:val="single" w:sz="18" w:space="0" w:color="5B9BD5" w:themeColor="accent1"/>
              <w:bottom w:val="single" w:sz="4" w:space="0" w:color="5B9BD5" w:themeColor="accent1"/>
            </w:tcBorders>
            <w:noWrap/>
            <w:hideMark/>
          </w:tcPr>
          <w:p w14:paraId="25CC7FC8" w14:textId="2CCC6009" w:rsidR="00B4200A" w:rsidRPr="00653C22" w:rsidRDefault="00B4200A" w:rsidP="00D558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FA5C8E">
              <w:rPr>
                <w:rFonts w:ascii="Calibri" w:eastAsia="Times New Roman" w:hAnsi="Calibri" w:cs="Calibri"/>
                <w:b/>
                <w:i/>
                <w:sz w:val="18"/>
                <w:szCs w:val="18"/>
                <w:lang w:eastAsia="fr-FR"/>
              </w:rPr>
              <w:t>Dont paiements initiés en proximité</w:t>
            </w:r>
          </w:p>
        </w:tc>
        <w:tc>
          <w:tcPr>
            <w:tcW w:w="2976" w:type="dxa"/>
            <w:tcBorders>
              <w:top w:val="single" w:sz="18" w:space="0" w:color="5B9BD5" w:themeColor="accent1"/>
              <w:bottom w:val="single" w:sz="4" w:space="0" w:color="5B9BD5" w:themeColor="accent1"/>
            </w:tcBorders>
          </w:tcPr>
          <w:p w14:paraId="314EF4AC" w14:textId="0176291D" w:rsidR="00B4200A" w:rsidRPr="00653C22" w:rsidRDefault="00B4200A" w:rsidP="00D13EB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653C22">
              <w:rPr>
                <w:rFonts w:ascii="Calibri" w:eastAsia="Times New Roman" w:hAnsi="Calibri" w:cs="Calibri"/>
                <w:sz w:val="18"/>
                <w:szCs w:val="18"/>
                <w:lang w:eastAsia="fr-FR"/>
              </w:rPr>
              <w:t>Paiements initiés à un terminal physique (point de vente ou sur automate), y compris paiements en mode sans contact.</w:t>
            </w:r>
            <w:r w:rsidR="001B43E5">
              <w:rPr>
                <w:rFonts w:ascii="Calibri" w:eastAsia="Times New Roman" w:hAnsi="Calibri" w:cs="Calibri"/>
                <w:sz w:val="18"/>
                <w:szCs w:val="18"/>
                <w:lang w:eastAsia="fr-FR"/>
              </w:rPr>
              <w:t xml:space="preserve"> </w:t>
            </w:r>
          </w:p>
        </w:tc>
        <w:tc>
          <w:tcPr>
            <w:tcW w:w="993" w:type="dxa"/>
            <w:vMerge w:val="restart"/>
            <w:tcBorders>
              <w:bottom w:val="single" w:sz="4" w:space="0" w:color="5B9BD5" w:themeColor="accent1"/>
            </w:tcBorders>
          </w:tcPr>
          <w:p w14:paraId="3D0D3C3B" w14:textId="263C16B2" w:rsidR="00B4200A" w:rsidRPr="00BC0BAC" w:rsidRDefault="00B4200A" w:rsidP="00D5587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18" w:space="0" w:color="5B9BD5" w:themeColor="accent1"/>
              <w:bottom w:val="single" w:sz="4" w:space="0" w:color="5B9BD5" w:themeColor="accent1"/>
            </w:tcBorders>
          </w:tcPr>
          <w:p w14:paraId="75E78DE8" w14:textId="77777777" w:rsidR="00B4200A" w:rsidRDefault="00B4200A" w:rsidP="00D5587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18" w:space="0" w:color="5B9BD5" w:themeColor="accent1"/>
              <w:bottom w:val="single" w:sz="4" w:space="0" w:color="5B9BD5" w:themeColor="accent1"/>
            </w:tcBorders>
          </w:tcPr>
          <w:p w14:paraId="2C899716" w14:textId="049C2942" w:rsidR="00B4200A" w:rsidRDefault="00B4200A" w:rsidP="00D5587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4200A" w:rsidRPr="00BC0BAC" w14:paraId="3E053143" w14:textId="3575EFE6" w:rsidTr="0035566E">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3B5175CE" w14:textId="77777777" w:rsidR="00B4200A" w:rsidRPr="00BC0BAC" w:rsidRDefault="00B4200A" w:rsidP="00D5587D">
            <w:pPr>
              <w:rPr>
                <w:rFonts w:ascii="Calibri" w:eastAsia="Times New Roman" w:hAnsi="Calibri" w:cs="Calibri"/>
                <w:b w:val="0"/>
                <w:bCs w:val="0"/>
                <w:i/>
                <w:sz w:val="18"/>
                <w:szCs w:val="18"/>
                <w:lang w:eastAsia="fr-FR"/>
              </w:rPr>
            </w:pPr>
          </w:p>
        </w:tc>
        <w:tc>
          <w:tcPr>
            <w:tcW w:w="236" w:type="dxa"/>
            <w:tcBorders>
              <w:top w:val="single" w:sz="4" w:space="0" w:color="5B9BD5" w:themeColor="accent1"/>
              <w:bottom w:val="single" w:sz="4" w:space="0" w:color="5B9BD5" w:themeColor="accent1"/>
            </w:tcBorders>
          </w:tcPr>
          <w:p w14:paraId="23E8CCDA" w14:textId="7AB98C8A" w:rsidR="00B4200A" w:rsidRPr="00BC0BAC" w:rsidRDefault="00B4200A" w:rsidP="00D558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35079353" w14:textId="77777777" w:rsidR="00B4200A" w:rsidRPr="00BC0BAC" w:rsidRDefault="00B4200A" w:rsidP="00D558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7"/>
            <w:tcBorders>
              <w:top w:val="single" w:sz="4" w:space="0" w:color="5B9BD5" w:themeColor="accent1"/>
              <w:bottom w:val="single" w:sz="4" w:space="0" w:color="5B9BD5" w:themeColor="accent1"/>
            </w:tcBorders>
          </w:tcPr>
          <w:p w14:paraId="7EAB9F9B" w14:textId="10D34EA0" w:rsidR="00B4200A" w:rsidRPr="00BC0BAC" w:rsidRDefault="00B4200A" w:rsidP="002E3B2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BC0BAC">
              <w:rPr>
                <w:rFonts w:ascii="Calibri" w:eastAsia="Times New Roman" w:hAnsi="Calibri" w:cs="Calibri"/>
                <w:i/>
                <w:sz w:val="18"/>
                <w:szCs w:val="18"/>
                <w:lang w:eastAsia="fr-FR"/>
              </w:rPr>
              <w:t xml:space="preserve">Dont </w:t>
            </w:r>
            <w:r>
              <w:rPr>
                <w:rFonts w:ascii="Calibri" w:eastAsia="Times New Roman" w:hAnsi="Calibri" w:cs="Calibri"/>
                <w:i/>
                <w:sz w:val="18"/>
                <w:szCs w:val="18"/>
                <w:lang w:eastAsia="fr-FR"/>
              </w:rPr>
              <w:t>depuis un TPE</w:t>
            </w:r>
          </w:p>
        </w:tc>
        <w:tc>
          <w:tcPr>
            <w:tcW w:w="2976" w:type="dxa"/>
            <w:tcBorders>
              <w:top w:val="single" w:sz="4" w:space="0" w:color="5B9BD5" w:themeColor="accent1"/>
              <w:bottom w:val="single" w:sz="4" w:space="0" w:color="5B9BD5" w:themeColor="accent1"/>
            </w:tcBorders>
          </w:tcPr>
          <w:p w14:paraId="1916EFF4" w14:textId="0AE1160A" w:rsidR="00B4200A" w:rsidRPr="00D13EBE" w:rsidRDefault="00BF1B43" w:rsidP="00D13EB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D13EBE">
              <w:rPr>
                <w:rFonts w:ascii="Calibri" w:eastAsia="Times New Roman" w:hAnsi="Calibri" w:cs="Calibri"/>
                <w:sz w:val="18"/>
                <w:szCs w:val="18"/>
                <w:lang w:eastAsia="fr-FR"/>
              </w:rPr>
              <w:t>Ou TTEF.</w:t>
            </w:r>
            <w:r w:rsidR="00170026" w:rsidRPr="00D13EBE">
              <w:rPr>
                <w:rFonts w:ascii="Calibri" w:eastAsia="Times New Roman" w:hAnsi="Calibri" w:cs="Calibri"/>
                <w:sz w:val="18"/>
                <w:szCs w:val="18"/>
                <w:lang w:eastAsia="fr-FR"/>
              </w:rPr>
              <w:t xml:space="preserve"> </w:t>
            </w:r>
            <w:r w:rsidR="00170026">
              <w:rPr>
                <w:rFonts w:ascii="Calibri" w:eastAsia="Times New Roman" w:hAnsi="Calibri" w:cs="Calibri"/>
                <w:sz w:val="18"/>
                <w:szCs w:val="18"/>
                <w:lang w:eastAsia="fr-FR"/>
              </w:rPr>
              <w:t xml:space="preserve">Inclut les terminaux sans surveillance (automate d’essence, de parking ou de péage) et les terminaux </w:t>
            </w:r>
            <w:proofErr w:type="spellStart"/>
            <w:r w:rsidR="00170026">
              <w:rPr>
                <w:rFonts w:ascii="Calibri" w:eastAsia="Times New Roman" w:hAnsi="Calibri" w:cs="Calibri"/>
                <w:sz w:val="18"/>
                <w:szCs w:val="18"/>
                <w:lang w:eastAsia="fr-FR"/>
              </w:rPr>
              <w:t>mPOS</w:t>
            </w:r>
            <w:proofErr w:type="spellEnd"/>
            <w:r w:rsidR="00E00E65">
              <w:rPr>
                <w:rFonts w:ascii="Calibri" w:eastAsia="Times New Roman" w:hAnsi="Calibri" w:cs="Calibri"/>
                <w:sz w:val="18"/>
                <w:szCs w:val="18"/>
                <w:lang w:eastAsia="fr-FR"/>
              </w:rPr>
              <w:t xml:space="preserve"> (mobile point of sale) qui sont des appareils sans fil (smartphone ou tablette) qui exécutent les opérations de TPE</w:t>
            </w:r>
            <w:r w:rsidR="00170026">
              <w:rPr>
                <w:rFonts w:ascii="Calibri" w:eastAsia="Times New Roman" w:hAnsi="Calibri" w:cs="Calibri"/>
                <w:sz w:val="18"/>
                <w:szCs w:val="18"/>
                <w:lang w:eastAsia="fr-FR"/>
              </w:rPr>
              <w:t>.</w:t>
            </w:r>
          </w:p>
        </w:tc>
        <w:tc>
          <w:tcPr>
            <w:tcW w:w="993" w:type="dxa"/>
            <w:vMerge/>
            <w:tcBorders>
              <w:top w:val="single" w:sz="4" w:space="0" w:color="5B9BD5" w:themeColor="accent1"/>
              <w:bottom w:val="single" w:sz="4" w:space="0" w:color="5B9BD5" w:themeColor="accent1"/>
            </w:tcBorders>
          </w:tcPr>
          <w:p w14:paraId="200013D2" w14:textId="6A3F80C1" w:rsidR="00B4200A" w:rsidRPr="00BC0BAC" w:rsidRDefault="00B4200A" w:rsidP="00D5587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4C19488D" w14:textId="77777777" w:rsidR="00B4200A" w:rsidRDefault="00B4200A" w:rsidP="00D5587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08811A48" w14:textId="4F3C01AE" w:rsidR="00B4200A" w:rsidRDefault="00B4200A" w:rsidP="00D5587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4200A" w:rsidRPr="00BC0BAC" w14:paraId="65A9064A" w14:textId="5BD9F9D2" w:rsidTr="0035566E">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18546D1F" w14:textId="77777777" w:rsidR="00B4200A" w:rsidRPr="00BC0BAC" w:rsidRDefault="00B4200A" w:rsidP="00D5587D">
            <w:pPr>
              <w:rPr>
                <w:rFonts w:ascii="Calibri" w:eastAsia="Times New Roman" w:hAnsi="Calibri" w:cs="Calibri"/>
                <w:b w:val="0"/>
                <w:bCs w:val="0"/>
                <w:i/>
                <w:sz w:val="18"/>
                <w:szCs w:val="18"/>
                <w:lang w:eastAsia="fr-FR"/>
              </w:rPr>
            </w:pPr>
          </w:p>
        </w:tc>
        <w:tc>
          <w:tcPr>
            <w:tcW w:w="236" w:type="dxa"/>
            <w:tcBorders>
              <w:top w:val="single" w:sz="4" w:space="0" w:color="5B9BD5" w:themeColor="accent1"/>
              <w:bottom w:val="single" w:sz="4" w:space="0" w:color="5B9BD5" w:themeColor="accent1"/>
            </w:tcBorders>
          </w:tcPr>
          <w:p w14:paraId="683FA63D" w14:textId="0F144980" w:rsidR="00B4200A" w:rsidRPr="00BC0BAC" w:rsidRDefault="00B4200A" w:rsidP="00D558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CD95643" w14:textId="77777777" w:rsidR="00B4200A" w:rsidRPr="00BC0BAC" w:rsidRDefault="00B4200A" w:rsidP="00D558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45" w:type="dxa"/>
            <w:gridSpan w:val="2"/>
            <w:tcBorders>
              <w:top w:val="single" w:sz="4" w:space="0" w:color="5B9BD5" w:themeColor="accent1"/>
              <w:bottom w:val="single" w:sz="4" w:space="0" w:color="5B9BD5" w:themeColor="accent1"/>
            </w:tcBorders>
          </w:tcPr>
          <w:p w14:paraId="7B266164" w14:textId="77777777" w:rsidR="00B4200A" w:rsidRPr="00BC0BAC" w:rsidRDefault="00B4200A" w:rsidP="00D558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2875" w:type="dxa"/>
            <w:gridSpan w:val="5"/>
            <w:tcBorders>
              <w:top w:val="single" w:sz="4" w:space="0" w:color="5B9BD5" w:themeColor="accent1"/>
              <w:bottom w:val="single" w:sz="4" w:space="0" w:color="5B9BD5" w:themeColor="accent1"/>
            </w:tcBorders>
          </w:tcPr>
          <w:p w14:paraId="68CF3BF4" w14:textId="652EDC0B" w:rsidR="00B4200A" w:rsidRPr="00BC0BAC" w:rsidRDefault="00B4200A" w:rsidP="00D558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bCs/>
                <w:i/>
                <w:sz w:val="18"/>
                <w:szCs w:val="18"/>
                <w:lang w:eastAsia="fr-FR"/>
              </w:rPr>
              <w:t>Dont sans contact</w:t>
            </w:r>
          </w:p>
        </w:tc>
        <w:tc>
          <w:tcPr>
            <w:tcW w:w="2976" w:type="dxa"/>
            <w:tcBorders>
              <w:top w:val="single" w:sz="4" w:space="0" w:color="5B9BD5" w:themeColor="accent1"/>
              <w:bottom w:val="single" w:sz="4" w:space="0" w:color="5B9BD5" w:themeColor="accent1"/>
            </w:tcBorders>
          </w:tcPr>
          <w:p w14:paraId="713BE3F8" w14:textId="28C0C6BC" w:rsidR="00B4200A" w:rsidRPr="00BF1B43" w:rsidRDefault="00BF1B43" w:rsidP="00D13EB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BF1B43">
              <w:rPr>
                <w:rFonts w:ascii="Calibri" w:eastAsia="Times New Roman" w:hAnsi="Calibri" w:cs="Calibri"/>
                <w:sz w:val="18"/>
                <w:szCs w:val="18"/>
                <w:lang w:eastAsia="fr-FR"/>
              </w:rPr>
              <w:t>Paiements initiés à partir d’une carte ou d’un appareil portable et en utilisant une technologie sans contact (de type NFC, Bluetooth, WIFI ou par code QR).</w:t>
            </w:r>
          </w:p>
        </w:tc>
        <w:tc>
          <w:tcPr>
            <w:tcW w:w="993" w:type="dxa"/>
            <w:vMerge/>
            <w:tcBorders>
              <w:top w:val="single" w:sz="4" w:space="0" w:color="5B9BD5" w:themeColor="accent1"/>
              <w:bottom w:val="single" w:sz="4" w:space="0" w:color="5B9BD5" w:themeColor="accent1"/>
            </w:tcBorders>
          </w:tcPr>
          <w:p w14:paraId="21A58341" w14:textId="213B6101" w:rsidR="00B4200A" w:rsidRPr="00BC0BAC" w:rsidRDefault="00B4200A" w:rsidP="00D5587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248E0445" w14:textId="77777777" w:rsidR="00B4200A" w:rsidRDefault="00B4200A" w:rsidP="00D5587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5451D9EF" w14:textId="010128FC" w:rsidR="00B4200A" w:rsidRDefault="00B4200A" w:rsidP="00D5587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BC0BAC" w14:paraId="7BDA0C78" w14:textId="77777777" w:rsidTr="0035566E">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4F68D8C1" w14:textId="77777777" w:rsidR="00BF1B43" w:rsidRPr="00BC0BAC" w:rsidRDefault="00BF1B43" w:rsidP="00BF1B43">
            <w:pPr>
              <w:rPr>
                <w:rFonts w:ascii="Calibri" w:eastAsia="Times New Roman" w:hAnsi="Calibri" w:cs="Calibri"/>
                <w:b w:val="0"/>
                <w:bCs w:val="0"/>
                <w:i/>
                <w:sz w:val="18"/>
                <w:szCs w:val="18"/>
                <w:lang w:eastAsia="fr-FR"/>
              </w:rPr>
            </w:pPr>
          </w:p>
        </w:tc>
        <w:tc>
          <w:tcPr>
            <w:tcW w:w="236" w:type="dxa"/>
            <w:tcBorders>
              <w:top w:val="single" w:sz="4" w:space="0" w:color="5B9BD5" w:themeColor="accent1"/>
              <w:bottom w:val="single" w:sz="4" w:space="0" w:color="5B9BD5" w:themeColor="accent1"/>
            </w:tcBorders>
          </w:tcPr>
          <w:p w14:paraId="045052DC"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887873C"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45" w:type="dxa"/>
            <w:gridSpan w:val="2"/>
            <w:tcBorders>
              <w:top w:val="single" w:sz="4" w:space="0" w:color="5B9BD5" w:themeColor="accent1"/>
              <w:bottom w:val="single" w:sz="4" w:space="0" w:color="5B9BD5" w:themeColor="accent1"/>
            </w:tcBorders>
          </w:tcPr>
          <w:p w14:paraId="225BBCF3"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236" w:type="dxa"/>
            <w:gridSpan w:val="3"/>
            <w:tcBorders>
              <w:top w:val="single" w:sz="4" w:space="0" w:color="5B9BD5" w:themeColor="accent1"/>
              <w:bottom w:val="single" w:sz="4" w:space="0" w:color="5B9BD5" w:themeColor="accent1"/>
            </w:tcBorders>
          </w:tcPr>
          <w:p w14:paraId="323FEBEF"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2639" w:type="dxa"/>
            <w:gridSpan w:val="2"/>
            <w:tcBorders>
              <w:top w:val="single" w:sz="4" w:space="0" w:color="5B9BD5" w:themeColor="accent1"/>
              <w:bottom w:val="single" w:sz="4" w:space="0" w:color="5B9BD5" w:themeColor="accent1"/>
            </w:tcBorders>
          </w:tcPr>
          <w:p w14:paraId="346C79F0" w14:textId="073771F5"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bCs/>
                <w:i/>
                <w:sz w:val="18"/>
                <w:szCs w:val="18"/>
                <w:lang w:eastAsia="fr-FR"/>
              </w:rPr>
              <w:t>Dont avec technologie NFC</w:t>
            </w:r>
          </w:p>
        </w:tc>
        <w:tc>
          <w:tcPr>
            <w:tcW w:w="2976" w:type="dxa"/>
            <w:tcBorders>
              <w:top w:val="single" w:sz="4" w:space="0" w:color="5B9BD5" w:themeColor="accent1"/>
              <w:bottom w:val="single" w:sz="4" w:space="0" w:color="5B9BD5" w:themeColor="accent1"/>
            </w:tcBorders>
          </w:tcPr>
          <w:p w14:paraId="408EC6DA" w14:textId="53763757" w:rsidR="00BF1B43" w:rsidRPr="00D13EBE" w:rsidRDefault="00BF1B43" w:rsidP="00D13EB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BF1B43">
              <w:rPr>
                <w:rFonts w:ascii="Calibri" w:eastAsia="Times New Roman" w:hAnsi="Calibri" w:cs="Calibri"/>
                <w:sz w:val="18"/>
                <w:szCs w:val="18"/>
                <w:lang w:eastAsia="fr-FR"/>
              </w:rPr>
              <w:t>Paiements initiés à partir d’une carte ou d’un appareil portable et en utilisant une technologie sans contact de type NFC</w:t>
            </w:r>
            <w:r>
              <w:rPr>
                <w:rFonts w:ascii="Calibri" w:eastAsia="Times New Roman" w:hAnsi="Calibri" w:cs="Calibri"/>
                <w:sz w:val="18"/>
                <w:szCs w:val="18"/>
                <w:lang w:eastAsia="fr-FR"/>
              </w:rPr>
              <w:t xml:space="preserve"> </w:t>
            </w:r>
            <w:r w:rsidR="00197C33" w:rsidRPr="00197C33">
              <w:rPr>
                <w:rFonts w:ascii="Calibri" w:eastAsia="Times New Roman" w:hAnsi="Calibri" w:cs="Calibri"/>
                <w:sz w:val="18"/>
                <w:szCs w:val="18"/>
                <w:lang w:eastAsia="fr-FR"/>
              </w:rPr>
              <w:t>(ISO/IEC 18092)</w:t>
            </w:r>
            <w:r w:rsidR="00197C33">
              <w:rPr>
                <w:rFonts w:ascii="Calibri" w:eastAsia="Times New Roman" w:hAnsi="Calibri" w:cs="Calibri"/>
                <w:sz w:val="18"/>
                <w:szCs w:val="18"/>
                <w:lang w:eastAsia="fr-FR"/>
              </w:rPr>
              <w:t xml:space="preserve"> </w:t>
            </w:r>
            <w:r>
              <w:rPr>
                <w:rFonts w:ascii="Calibri" w:eastAsia="Times New Roman" w:hAnsi="Calibri" w:cs="Calibri"/>
                <w:sz w:val="18"/>
                <w:szCs w:val="18"/>
                <w:lang w:eastAsia="fr-FR"/>
              </w:rPr>
              <w:t>uniquement</w:t>
            </w:r>
            <w:r w:rsidRPr="00BF1B43">
              <w:rPr>
                <w:rFonts w:ascii="Calibri" w:eastAsia="Times New Roman" w:hAnsi="Calibri" w:cs="Calibri"/>
                <w:sz w:val="18"/>
                <w:szCs w:val="18"/>
                <w:lang w:eastAsia="fr-FR"/>
              </w:rPr>
              <w:t>.</w:t>
            </w:r>
          </w:p>
        </w:tc>
        <w:tc>
          <w:tcPr>
            <w:tcW w:w="993" w:type="dxa"/>
            <w:vMerge/>
            <w:tcBorders>
              <w:top w:val="single" w:sz="4" w:space="0" w:color="5B9BD5" w:themeColor="accent1"/>
              <w:bottom w:val="single" w:sz="4" w:space="0" w:color="5B9BD5" w:themeColor="accent1"/>
            </w:tcBorders>
          </w:tcPr>
          <w:p w14:paraId="406F6ACB"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0D60C02C"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53B903F7"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35566E" w:rsidRPr="00BC0BAC" w14:paraId="732ADCA6" w14:textId="77777777" w:rsidTr="0035566E">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1C64EA13" w14:textId="77777777" w:rsidR="0035566E" w:rsidRPr="00BC0BAC" w:rsidRDefault="0035566E" w:rsidP="00BF1B43">
            <w:pPr>
              <w:rPr>
                <w:rFonts w:ascii="Calibri" w:eastAsia="Times New Roman" w:hAnsi="Calibri" w:cs="Calibri"/>
                <w:b w:val="0"/>
                <w:bCs w:val="0"/>
                <w:i/>
                <w:sz w:val="18"/>
                <w:szCs w:val="18"/>
                <w:lang w:eastAsia="fr-FR"/>
              </w:rPr>
            </w:pPr>
          </w:p>
        </w:tc>
        <w:tc>
          <w:tcPr>
            <w:tcW w:w="236" w:type="dxa"/>
            <w:tcBorders>
              <w:top w:val="single" w:sz="4" w:space="0" w:color="5B9BD5" w:themeColor="accent1"/>
              <w:bottom w:val="single" w:sz="4" w:space="0" w:color="5B9BD5" w:themeColor="accent1"/>
            </w:tcBorders>
          </w:tcPr>
          <w:p w14:paraId="6674AA40" w14:textId="77777777" w:rsidR="0035566E" w:rsidRPr="00BC0BAC" w:rsidRDefault="0035566E"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24B440CE" w14:textId="77777777" w:rsidR="0035566E" w:rsidRPr="00BC0BAC" w:rsidRDefault="0035566E"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45" w:type="dxa"/>
            <w:gridSpan w:val="2"/>
            <w:tcBorders>
              <w:top w:val="single" w:sz="4" w:space="0" w:color="5B9BD5" w:themeColor="accent1"/>
              <w:bottom w:val="single" w:sz="4" w:space="0" w:color="5B9BD5" w:themeColor="accent1"/>
            </w:tcBorders>
          </w:tcPr>
          <w:p w14:paraId="3226D35D" w14:textId="77777777" w:rsidR="0035566E" w:rsidRPr="00BC0BAC" w:rsidRDefault="0035566E"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236" w:type="dxa"/>
            <w:gridSpan w:val="3"/>
            <w:tcBorders>
              <w:top w:val="single" w:sz="4" w:space="0" w:color="5B9BD5" w:themeColor="accent1"/>
              <w:bottom w:val="single" w:sz="4" w:space="0" w:color="5B9BD5" w:themeColor="accent1"/>
            </w:tcBorders>
          </w:tcPr>
          <w:p w14:paraId="168756ED" w14:textId="77777777" w:rsidR="0035566E" w:rsidRDefault="0035566E"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2639" w:type="dxa"/>
            <w:gridSpan w:val="2"/>
            <w:tcBorders>
              <w:top w:val="single" w:sz="4" w:space="0" w:color="5B9BD5" w:themeColor="accent1"/>
              <w:bottom w:val="single" w:sz="4" w:space="0" w:color="5B9BD5" w:themeColor="accent1"/>
            </w:tcBorders>
          </w:tcPr>
          <w:p w14:paraId="611E8827" w14:textId="3C3FD206" w:rsidR="0035566E" w:rsidRPr="003064B8" w:rsidRDefault="00E11998"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highlight w:val="yellow"/>
                <w:lang w:eastAsia="fr-FR"/>
              </w:rPr>
            </w:pPr>
            <w:r w:rsidRPr="003064B8">
              <w:rPr>
                <w:rFonts w:ascii="Calibri" w:eastAsia="Times New Roman" w:hAnsi="Calibri" w:cs="Calibri"/>
                <w:bCs/>
                <w:i/>
                <w:sz w:val="18"/>
                <w:szCs w:val="18"/>
                <w:highlight w:val="yellow"/>
                <w:lang w:eastAsia="fr-FR"/>
              </w:rPr>
              <w:t>Dont paiements mobiles</w:t>
            </w:r>
          </w:p>
        </w:tc>
        <w:tc>
          <w:tcPr>
            <w:tcW w:w="2976" w:type="dxa"/>
            <w:tcBorders>
              <w:top w:val="single" w:sz="4" w:space="0" w:color="5B9BD5" w:themeColor="accent1"/>
              <w:bottom w:val="single" w:sz="4" w:space="0" w:color="5B9BD5" w:themeColor="accent1"/>
            </w:tcBorders>
          </w:tcPr>
          <w:p w14:paraId="6B5A3A00" w14:textId="5A23EABB" w:rsidR="0035566E" w:rsidRPr="003064B8" w:rsidRDefault="00E11998" w:rsidP="00D13EB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r w:rsidRPr="003064B8">
              <w:rPr>
                <w:rFonts w:ascii="Calibri" w:eastAsia="Times New Roman" w:hAnsi="Calibri" w:cs="Calibri"/>
                <w:sz w:val="18"/>
                <w:szCs w:val="18"/>
                <w:highlight w:val="yellow"/>
                <w:lang w:eastAsia="fr-FR"/>
              </w:rPr>
              <w:t xml:space="preserve">Paiements de proximité dans lesquels un appareil mobile (téléphone, tablette, montre connectée…) est utilisé pour initier un ordre de paiement par une technologie sans contact (par exemple : NFC, Bluetooth, code barre à 1 ou 2 dimensions) et éventuellement pour le transfert de fonds. Parmi les offres les plus connues, citons par exemple, Apple </w:t>
            </w:r>
            <w:proofErr w:type="spellStart"/>
            <w:r w:rsidRPr="003064B8">
              <w:rPr>
                <w:rFonts w:ascii="Calibri" w:eastAsia="Times New Roman" w:hAnsi="Calibri" w:cs="Calibri"/>
                <w:sz w:val="18"/>
                <w:szCs w:val="18"/>
                <w:highlight w:val="yellow"/>
                <w:lang w:eastAsia="fr-FR"/>
              </w:rPr>
              <w:t>Pay</w:t>
            </w:r>
            <w:proofErr w:type="spellEnd"/>
            <w:r w:rsidRPr="003064B8">
              <w:rPr>
                <w:rFonts w:ascii="Calibri" w:eastAsia="Times New Roman" w:hAnsi="Calibri" w:cs="Calibri"/>
                <w:sz w:val="18"/>
                <w:szCs w:val="18"/>
                <w:highlight w:val="yellow"/>
                <w:lang w:eastAsia="fr-FR"/>
              </w:rPr>
              <w:t xml:space="preserve">, Samsung </w:t>
            </w:r>
            <w:proofErr w:type="spellStart"/>
            <w:r w:rsidRPr="003064B8">
              <w:rPr>
                <w:rFonts w:ascii="Calibri" w:eastAsia="Times New Roman" w:hAnsi="Calibri" w:cs="Calibri"/>
                <w:sz w:val="18"/>
                <w:szCs w:val="18"/>
                <w:highlight w:val="yellow"/>
                <w:lang w:eastAsia="fr-FR"/>
              </w:rPr>
              <w:t>Pay</w:t>
            </w:r>
            <w:proofErr w:type="spellEnd"/>
            <w:r w:rsidRPr="003064B8">
              <w:rPr>
                <w:rFonts w:ascii="Calibri" w:eastAsia="Times New Roman" w:hAnsi="Calibri" w:cs="Calibri"/>
                <w:sz w:val="18"/>
                <w:szCs w:val="18"/>
                <w:highlight w:val="yellow"/>
                <w:lang w:eastAsia="fr-FR"/>
              </w:rPr>
              <w:t xml:space="preserve">, Google </w:t>
            </w:r>
            <w:proofErr w:type="spellStart"/>
            <w:r w:rsidRPr="003064B8">
              <w:rPr>
                <w:rFonts w:ascii="Calibri" w:eastAsia="Times New Roman" w:hAnsi="Calibri" w:cs="Calibri"/>
                <w:sz w:val="18"/>
                <w:szCs w:val="18"/>
                <w:highlight w:val="yellow"/>
                <w:lang w:eastAsia="fr-FR"/>
              </w:rPr>
              <w:t>Pay</w:t>
            </w:r>
            <w:proofErr w:type="spellEnd"/>
            <w:r w:rsidRPr="003064B8">
              <w:rPr>
                <w:rFonts w:ascii="Calibri" w:eastAsia="Times New Roman" w:hAnsi="Calibri" w:cs="Calibri"/>
                <w:sz w:val="18"/>
                <w:szCs w:val="18"/>
                <w:highlight w:val="yellow"/>
                <w:lang w:eastAsia="fr-FR"/>
              </w:rPr>
              <w:t xml:space="preserve">, </w:t>
            </w:r>
            <w:proofErr w:type="spellStart"/>
            <w:r w:rsidRPr="003064B8">
              <w:rPr>
                <w:rFonts w:ascii="Calibri" w:eastAsia="Times New Roman" w:hAnsi="Calibri" w:cs="Calibri"/>
                <w:sz w:val="18"/>
                <w:szCs w:val="18"/>
                <w:highlight w:val="yellow"/>
                <w:lang w:eastAsia="fr-FR"/>
              </w:rPr>
              <w:t>Lyf</w:t>
            </w:r>
            <w:proofErr w:type="spellEnd"/>
            <w:r w:rsidRPr="003064B8">
              <w:rPr>
                <w:rFonts w:ascii="Calibri" w:eastAsia="Times New Roman" w:hAnsi="Calibri" w:cs="Calibri"/>
                <w:sz w:val="18"/>
                <w:szCs w:val="18"/>
                <w:highlight w:val="yellow"/>
                <w:lang w:eastAsia="fr-FR"/>
              </w:rPr>
              <w:t xml:space="preserve">, </w:t>
            </w:r>
            <w:proofErr w:type="spellStart"/>
            <w:r w:rsidRPr="003064B8">
              <w:rPr>
                <w:rFonts w:ascii="Calibri" w:eastAsia="Times New Roman" w:hAnsi="Calibri" w:cs="Calibri"/>
                <w:sz w:val="18"/>
                <w:szCs w:val="18"/>
                <w:highlight w:val="yellow"/>
                <w:lang w:eastAsia="fr-FR"/>
              </w:rPr>
              <w:t>Paylib</w:t>
            </w:r>
            <w:proofErr w:type="spellEnd"/>
            <w:r w:rsidRPr="003064B8">
              <w:rPr>
                <w:rFonts w:ascii="Calibri" w:eastAsia="Times New Roman" w:hAnsi="Calibri" w:cs="Calibri"/>
                <w:sz w:val="18"/>
                <w:szCs w:val="18"/>
                <w:highlight w:val="yellow"/>
                <w:lang w:eastAsia="fr-FR"/>
              </w:rPr>
              <w:t xml:space="preserve"> sans contact</w:t>
            </w:r>
          </w:p>
        </w:tc>
        <w:tc>
          <w:tcPr>
            <w:tcW w:w="993" w:type="dxa"/>
            <w:vMerge/>
            <w:tcBorders>
              <w:top w:val="single" w:sz="4" w:space="0" w:color="5B9BD5" w:themeColor="accent1"/>
              <w:bottom w:val="single" w:sz="4" w:space="0" w:color="5B9BD5" w:themeColor="accent1"/>
            </w:tcBorders>
          </w:tcPr>
          <w:p w14:paraId="7F6FF92C" w14:textId="77777777" w:rsidR="0035566E" w:rsidRPr="00BC0BAC" w:rsidRDefault="0035566E"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05B711D6" w14:textId="77777777" w:rsidR="0035566E" w:rsidRDefault="0035566E"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5B33F42A" w14:textId="77777777" w:rsidR="0035566E" w:rsidRDefault="0035566E"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BC0BAC" w14:paraId="6DE87EC8" w14:textId="63228E33" w:rsidTr="0035566E">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47901387" w14:textId="77777777" w:rsidR="00BF1B43" w:rsidRPr="00BC0BAC" w:rsidRDefault="00BF1B43" w:rsidP="00BF1B43">
            <w:pPr>
              <w:rPr>
                <w:rFonts w:ascii="Calibri" w:eastAsia="Times New Roman" w:hAnsi="Calibri" w:cs="Calibri"/>
                <w:b w:val="0"/>
                <w:bCs w:val="0"/>
                <w:i/>
                <w:sz w:val="18"/>
                <w:szCs w:val="18"/>
                <w:lang w:eastAsia="fr-FR"/>
              </w:rPr>
            </w:pPr>
          </w:p>
        </w:tc>
        <w:tc>
          <w:tcPr>
            <w:tcW w:w="236" w:type="dxa"/>
            <w:tcBorders>
              <w:top w:val="single" w:sz="4" w:space="0" w:color="5B9BD5" w:themeColor="accent1"/>
              <w:bottom w:val="single" w:sz="4" w:space="0" w:color="5B9BD5" w:themeColor="accent1"/>
            </w:tcBorders>
          </w:tcPr>
          <w:p w14:paraId="20632F22" w14:textId="7612BAAA"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813F48F"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7"/>
            <w:tcBorders>
              <w:top w:val="single" w:sz="4" w:space="0" w:color="5B9BD5" w:themeColor="accent1"/>
              <w:bottom w:val="single" w:sz="4" w:space="0" w:color="5B9BD5" w:themeColor="accent1"/>
            </w:tcBorders>
          </w:tcPr>
          <w:p w14:paraId="5099D72F" w14:textId="79728A5B"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i/>
                <w:sz w:val="18"/>
                <w:szCs w:val="18"/>
                <w:lang w:eastAsia="fr-FR"/>
              </w:rPr>
              <w:t>Dont depuis un GAB</w:t>
            </w:r>
          </w:p>
        </w:tc>
        <w:tc>
          <w:tcPr>
            <w:tcW w:w="2976" w:type="dxa"/>
            <w:tcBorders>
              <w:top w:val="single" w:sz="4" w:space="0" w:color="5B9BD5" w:themeColor="accent1"/>
              <w:bottom w:val="single" w:sz="4" w:space="0" w:color="5B9BD5" w:themeColor="accent1"/>
            </w:tcBorders>
          </w:tcPr>
          <w:p w14:paraId="38E0F99F" w14:textId="2656E3AD"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29D5108B" w14:textId="7E05249F"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6954366E"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3FB61557" w14:textId="774691CC"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F1B43" w:rsidRPr="00BC0BAC" w14:paraId="505D2200" w14:textId="475D8A24" w:rsidTr="0035566E">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hideMark/>
          </w:tcPr>
          <w:p w14:paraId="0B54BA24" w14:textId="2FCF639C"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4C75B7BE" w14:textId="422D1F9A"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5B16C47F" w14:textId="58223F2B"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7"/>
            <w:tcBorders>
              <w:top w:val="single" w:sz="4" w:space="0" w:color="5B9BD5" w:themeColor="accent1"/>
              <w:bottom w:val="single" w:sz="4" w:space="0" w:color="5B9BD5" w:themeColor="accent1"/>
            </w:tcBorders>
            <w:noWrap/>
          </w:tcPr>
          <w:p w14:paraId="137D1920" w14:textId="151E296C" w:rsidR="00BF1B43" w:rsidRPr="002E3B2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2E3B2B">
              <w:rPr>
                <w:rFonts w:ascii="Calibri" w:eastAsia="Times New Roman" w:hAnsi="Calibri" w:cs="Calibri"/>
                <w:i/>
                <w:sz w:val="18"/>
                <w:szCs w:val="18"/>
                <w:lang w:eastAsia="fr-FR"/>
              </w:rPr>
              <w:t>Dont depuis autres canaux</w:t>
            </w:r>
          </w:p>
        </w:tc>
        <w:tc>
          <w:tcPr>
            <w:tcW w:w="2976" w:type="dxa"/>
            <w:tcBorders>
              <w:top w:val="single" w:sz="4" w:space="0" w:color="5B9BD5" w:themeColor="accent1"/>
              <w:bottom w:val="single" w:sz="4" w:space="0" w:color="5B9BD5" w:themeColor="accent1"/>
            </w:tcBorders>
          </w:tcPr>
          <w:p w14:paraId="4139A410" w14:textId="71892FC9"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5B57BF92" w14:textId="265AEFFC"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7CD49E72"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6A895141" w14:textId="5EB9112C"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BC0BAC" w14:paraId="6F01B70D" w14:textId="295E4C8A" w:rsidTr="0035566E">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hideMark/>
          </w:tcPr>
          <w:p w14:paraId="3960C1B1" w14:textId="0F26E920"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4FF374AC" w14:textId="62CA398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49CFCE5D" w14:textId="030DE622" w:rsidR="00BF1B43" w:rsidRPr="00FD6338"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3120" w:type="dxa"/>
            <w:gridSpan w:val="7"/>
            <w:tcBorders>
              <w:top w:val="single" w:sz="4" w:space="0" w:color="5B9BD5" w:themeColor="accent1"/>
              <w:bottom w:val="single" w:sz="4" w:space="0" w:color="5B9BD5" w:themeColor="accent1"/>
            </w:tcBorders>
            <w:noWrap/>
            <w:hideMark/>
          </w:tcPr>
          <w:p w14:paraId="442CA47F" w14:textId="5045CAB9" w:rsidR="00BF1B43" w:rsidRPr="00306CBB" w:rsidRDefault="00BF1B43" w:rsidP="0089572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306CBB">
              <w:rPr>
                <w:rFonts w:ascii="Calibri" w:eastAsia="Times New Roman" w:hAnsi="Calibri" w:cs="Calibri"/>
                <w:b/>
                <w:i/>
                <w:sz w:val="18"/>
                <w:szCs w:val="18"/>
                <w:lang w:eastAsia="fr-FR"/>
              </w:rPr>
              <w:t xml:space="preserve">Dont traités par </w:t>
            </w:r>
            <w:r w:rsidR="005E6DD0" w:rsidRPr="00306CBB">
              <w:rPr>
                <w:rFonts w:ascii="Calibri" w:eastAsia="Times New Roman" w:hAnsi="Calibri" w:cs="Calibri"/>
                <w:b/>
                <w:i/>
                <w:sz w:val="18"/>
                <w:szCs w:val="18"/>
                <w:lang w:eastAsia="fr-FR"/>
              </w:rPr>
              <w:t>le schéma</w:t>
            </w:r>
            <w:r w:rsidR="0089572C" w:rsidRPr="00306CBB">
              <w:rPr>
                <w:rFonts w:ascii="Calibri" w:eastAsia="Times New Roman" w:hAnsi="Calibri" w:cs="Calibri"/>
                <w:b/>
                <w:i/>
                <w:sz w:val="18"/>
                <w:szCs w:val="18"/>
                <w:lang w:eastAsia="fr-FR"/>
              </w:rPr>
              <w:t xml:space="preserve"> de carte X</w:t>
            </w:r>
          </w:p>
        </w:tc>
        <w:tc>
          <w:tcPr>
            <w:tcW w:w="2976" w:type="dxa"/>
            <w:tcBorders>
              <w:top w:val="single" w:sz="4" w:space="0" w:color="5B9BD5" w:themeColor="accent1"/>
              <w:bottom w:val="single" w:sz="4" w:space="0" w:color="5B9BD5" w:themeColor="accent1"/>
            </w:tcBorders>
          </w:tcPr>
          <w:p w14:paraId="7FAF6663" w14:textId="666E45BB" w:rsidR="00BF1B43" w:rsidRPr="00306CBB" w:rsidRDefault="002319FC" w:rsidP="002775A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sz w:val="18"/>
                <w:szCs w:val="18"/>
                <w:lang w:eastAsia="fr-FR"/>
              </w:rPr>
              <w:t xml:space="preserve">Transactions traitées par le schéma </w:t>
            </w:r>
            <w:r w:rsidR="002775A9" w:rsidRPr="00306CBB">
              <w:rPr>
                <w:rFonts w:ascii="Calibri" w:eastAsia="Times New Roman" w:hAnsi="Calibri" w:cs="Calibri"/>
                <w:sz w:val="18"/>
                <w:szCs w:val="18"/>
                <w:lang w:eastAsia="fr-FR"/>
              </w:rPr>
              <w:t>X</w:t>
            </w:r>
          </w:p>
        </w:tc>
        <w:tc>
          <w:tcPr>
            <w:tcW w:w="993" w:type="dxa"/>
            <w:vMerge/>
            <w:tcBorders>
              <w:top w:val="single" w:sz="4" w:space="0" w:color="5B9BD5" w:themeColor="accent1"/>
              <w:bottom w:val="single" w:sz="4" w:space="0" w:color="5B9BD5" w:themeColor="accent1"/>
            </w:tcBorders>
          </w:tcPr>
          <w:p w14:paraId="06F7E465" w14:textId="7212B53C"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77F0C611"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21AB04E1" w14:textId="3A01F3BF"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F1B43" w:rsidRPr="00BC0BAC" w14:paraId="5831F700" w14:textId="38E6EECD" w:rsidTr="0035566E">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2FD86F0D"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D290CFB" w14:textId="77777777"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AE3C90F" w14:textId="77777777" w:rsidR="00BF1B43" w:rsidRPr="00FD6338"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1FA5100E"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gridSpan w:val="3"/>
            <w:tcBorders>
              <w:top w:val="single" w:sz="4" w:space="0" w:color="5B9BD5" w:themeColor="accent1"/>
              <w:bottom w:val="single" w:sz="4" w:space="0" w:color="5B9BD5" w:themeColor="accent1"/>
            </w:tcBorders>
          </w:tcPr>
          <w:p w14:paraId="1A65A721" w14:textId="5A50AA14"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par carte de débit</w:t>
            </w:r>
          </w:p>
        </w:tc>
        <w:tc>
          <w:tcPr>
            <w:tcW w:w="2976" w:type="dxa"/>
            <w:tcBorders>
              <w:top w:val="single" w:sz="4" w:space="0" w:color="5B9BD5" w:themeColor="accent1"/>
              <w:bottom w:val="single" w:sz="4" w:space="0" w:color="5B9BD5" w:themeColor="accent1"/>
            </w:tcBorders>
          </w:tcPr>
          <w:p w14:paraId="48C95FC0" w14:textId="63999B6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06CBB">
              <w:rPr>
                <w:rFonts w:ascii="Calibri" w:eastAsia="Times New Roman" w:hAnsi="Calibri" w:cs="Calibri"/>
                <w:sz w:val="18"/>
                <w:szCs w:val="18"/>
                <w:lang w:eastAsia="fr-FR"/>
              </w:rPr>
              <w:t>Cf. Définition section « Dénombrement des cartes ».</w:t>
            </w:r>
          </w:p>
        </w:tc>
        <w:tc>
          <w:tcPr>
            <w:tcW w:w="993" w:type="dxa"/>
            <w:vMerge/>
            <w:tcBorders>
              <w:top w:val="single" w:sz="4" w:space="0" w:color="5B9BD5" w:themeColor="accent1"/>
              <w:bottom w:val="single" w:sz="4" w:space="0" w:color="5B9BD5" w:themeColor="accent1"/>
            </w:tcBorders>
          </w:tcPr>
          <w:p w14:paraId="706B1C84" w14:textId="52BFBE66"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66808FE2"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0E63F7C2" w14:textId="6AEB78A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BC0BAC" w14:paraId="2E38DAD3" w14:textId="2C247351" w:rsidTr="0035566E">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0FDDAF5E"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69D5FFF"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E7891FB" w14:textId="77777777" w:rsidR="00BF1B43" w:rsidRPr="00FD6338"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12850395"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gridSpan w:val="3"/>
            <w:tcBorders>
              <w:top w:val="single" w:sz="4" w:space="0" w:color="5B9BD5" w:themeColor="accent1"/>
              <w:bottom w:val="single" w:sz="4" w:space="0" w:color="5B9BD5" w:themeColor="accent1"/>
            </w:tcBorders>
          </w:tcPr>
          <w:p w14:paraId="13E723DA" w14:textId="6A30EBA2"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par carte de débit différé</w:t>
            </w:r>
          </w:p>
        </w:tc>
        <w:tc>
          <w:tcPr>
            <w:tcW w:w="2976" w:type="dxa"/>
            <w:tcBorders>
              <w:top w:val="single" w:sz="4" w:space="0" w:color="5B9BD5" w:themeColor="accent1"/>
              <w:bottom w:val="single" w:sz="4" w:space="0" w:color="5B9BD5" w:themeColor="accent1"/>
            </w:tcBorders>
          </w:tcPr>
          <w:p w14:paraId="255728EE" w14:textId="71CC9BF0"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06CBB">
              <w:rPr>
                <w:rFonts w:ascii="Calibri" w:eastAsia="Times New Roman" w:hAnsi="Calibri" w:cs="Calibri"/>
                <w:sz w:val="18"/>
                <w:szCs w:val="18"/>
                <w:lang w:eastAsia="fr-FR"/>
              </w:rPr>
              <w:t>Cf. Définition section « Dénombrement des cartes ».</w:t>
            </w:r>
          </w:p>
        </w:tc>
        <w:tc>
          <w:tcPr>
            <w:tcW w:w="993" w:type="dxa"/>
            <w:vMerge/>
            <w:tcBorders>
              <w:top w:val="single" w:sz="4" w:space="0" w:color="5B9BD5" w:themeColor="accent1"/>
              <w:bottom w:val="single" w:sz="4" w:space="0" w:color="5B9BD5" w:themeColor="accent1"/>
            </w:tcBorders>
          </w:tcPr>
          <w:p w14:paraId="1BC9F7EC" w14:textId="20F835C9"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027D12B5"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0D68B9DA" w14:textId="6D1CBC9F"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F1B43" w:rsidRPr="00BC0BAC" w14:paraId="7BCD5E6C" w14:textId="05AEA85B" w:rsidTr="0035566E">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562F8C12"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791D69F3" w14:textId="77777777"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78768031" w14:textId="77777777" w:rsidR="00BF1B43" w:rsidRPr="00FD6338"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7520CDCF"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gridSpan w:val="3"/>
            <w:tcBorders>
              <w:top w:val="single" w:sz="4" w:space="0" w:color="5B9BD5" w:themeColor="accent1"/>
              <w:bottom w:val="single" w:sz="4" w:space="0" w:color="5B9BD5" w:themeColor="accent1"/>
            </w:tcBorders>
          </w:tcPr>
          <w:p w14:paraId="068481B4" w14:textId="496B6CB3"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par carte de crédit</w:t>
            </w:r>
          </w:p>
        </w:tc>
        <w:tc>
          <w:tcPr>
            <w:tcW w:w="2976" w:type="dxa"/>
            <w:tcBorders>
              <w:top w:val="single" w:sz="4" w:space="0" w:color="5B9BD5" w:themeColor="accent1"/>
              <w:bottom w:val="single" w:sz="4" w:space="0" w:color="5B9BD5" w:themeColor="accent1"/>
            </w:tcBorders>
          </w:tcPr>
          <w:p w14:paraId="2470817A" w14:textId="3935FE5F"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06CBB">
              <w:rPr>
                <w:rFonts w:ascii="Calibri" w:eastAsia="Times New Roman" w:hAnsi="Calibri" w:cs="Calibri"/>
                <w:sz w:val="18"/>
                <w:szCs w:val="18"/>
                <w:lang w:eastAsia="fr-FR"/>
              </w:rPr>
              <w:t>Cf. Définition section « Dénombrement des cartes ».</w:t>
            </w:r>
          </w:p>
        </w:tc>
        <w:tc>
          <w:tcPr>
            <w:tcW w:w="993" w:type="dxa"/>
            <w:vMerge/>
            <w:tcBorders>
              <w:top w:val="single" w:sz="4" w:space="0" w:color="5B9BD5" w:themeColor="accent1"/>
              <w:bottom w:val="single" w:sz="4" w:space="0" w:color="5B9BD5" w:themeColor="accent1"/>
            </w:tcBorders>
          </w:tcPr>
          <w:p w14:paraId="0B23E9CF" w14:textId="6D34149E"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84B89E8"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187D5B77" w14:textId="13434F72"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2E3B2B" w14:paraId="12239772" w14:textId="0C965EAD" w:rsidTr="0035566E">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43E64CD5" w14:textId="77777777" w:rsidR="00BF1B43" w:rsidRPr="002E3B2B" w:rsidRDefault="00BF1B43" w:rsidP="00BF1B43">
            <w:pPr>
              <w:rPr>
                <w:rFonts w:ascii="Calibri" w:eastAsia="Times New Roman" w:hAnsi="Calibri" w:cs="Calibri"/>
                <w:b w:val="0"/>
                <w:i/>
                <w:sz w:val="18"/>
                <w:szCs w:val="18"/>
                <w:lang w:eastAsia="fr-FR"/>
              </w:rPr>
            </w:pPr>
          </w:p>
        </w:tc>
        <w:tc>
          <w:tcPr>
            <w:tcW w:w="236" w:type="dxa"/>
            <w:tcBorders>
              <w:top w:val="single" w:sz="4" w:space="0" w:color="5B9BD5" w:themeColor="accent1"/>
              <w:bottom w:val="single" w:sz="4" w:space="0" w:color="5B9BD5" w:themeColor="accent1"/>
            </w:tcBorders>
            <w:noWrap/>
          </w:tcPr>
          <w:p w14:paraId="751E681C" w14:textId="77777777" w:rsidR="00BF1B43" w:rsidRPr="002E3B2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2A8CE71F" w14:textId="77777777" w:rsidR="00BF1B43" w:rsidRPr="00FD6338"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7A8B47EE"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gridSpan w:val="3"/>
            <w:tcBorders>
              <w:top w:val="single" w:sz="4" w:space="0" w:color="5B9BD5" w:themeColor="accent1"/>
              <w:bottom w:val="single" w:sz="4" w:space="0" w:color="5B9BD5" w:themeColor="accent1"/>
            </w:tcBorders>
          </w:tcPr>
          <w:p w14:paraId="4C537417" w14:textId="03F5BBD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avec authentification forte du client</w:t>
            </w:r>
          </w:p>
        </w:tc>
        <w:tc>
          <w:tcPr>
            <w:tcW w:w="2976" w:type="dxa"/>
            <w:tcBorders>
              <w:top w:val="single" w:sz="4" w:space="0" w:color="5B9BD5" w:themeColor="accent1"/>
              <w:bottom w:val="single" w:sz="4" w:space="0" w:color="5B9BD5" w:themeColor="accent1"/>
            </w:tcBorders>
          </w:tcPr>
          <w:p w14:paraId="38996F4C" w14:textId="588E5468" w:rsidR="00BF1B43" w:rsidRPr="00306CBB" w:rsidRDefault="00BF1B43" w:rsidP="00BF1B43">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714F8163" w14:textId="5E9567FE" w:rsidR="00BF1B43" w:rsidRPr="002E3B2B"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2819FAAC" w14:textId="77777777" w:rsidR="00BF1B43" w:rsidRPr="002E3B2B"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7FBACD5D" w14:textId="38C63CDF" w:rsidR="00BF1B43" w:rsidRPr="002E3B2B"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F1B43" w:rsidRPr="00BC0BAC" w14:paraId="1007A658" w14:textId="3C6563AB" w:rsidTr="0035566E">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7A75BA37"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175CCF7" w14:textId="77777777"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F44D24E" w14:textId="77777777" w:rsidR="00BF1B43" w:rsidRPr="00FD6338"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3E44EB7A"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gridSpan w:val="3"/>
            <w:tcBorders>
              <w:top w:val="single" w:sz="4" w:space="0" w:color="5B9BD5" w:themeColor="accent1"/>
              <w:bottom w:val="single" w:sz="4" w:space="0" w:color="5B9BD5" w:themeColor="accent1"/>
            </w:tcBorders>
          </w:tcPr>
          <w:p w14:paraId="750A8BF2" w14:textId="35E21D6F"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sans authentification forte du client</w:t>
            </w:r>
          </w:p>
        </w:tc>
        <w:tc>
          <w:tcPr>
            <w:tcW w:w="2976" w:type="dxa"/>
            <w:tcBorders>
              <w:top w:val="single" w:sz="4" w:space="0" w:color="5B9BD5" w:themeColor="accent1"/>
              <w:bottom w:val="single" w:sz="4" w:space="0" w:color="5B9BD5" w:themeColor="accent1"/>
            </w:tcBorders>
          </w:tcPr>
          <w:p w14:paraId="30A7C0F2" w14:textId="6748FB69" w:rsidR="00BF1B43" w:rsidRPr="00306CBB" w:rsidRDefault="00BF1B43" w:rsidP="00BF1B43">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2EA1CB79" w14:textId="24C371CF"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63F84A66"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18AD6CC4" w14:textId="07B2732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BC0BAC" w14:paraId="17ADAD51" w14:textId="77777777" w:rsidTr="0035566E">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3E20EBFF"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00A5A80"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783E9133" w14:textId="77777777" w:rsidR="00BF1B43" w:rsidRPr="00FD6338"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13555448"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gridSpan w:val="2"/>
            <w:tcBorders>
              <w:top w:val="single" w:sz="4" w:space="0" w:color="5B9BD5" w:themeColor="accent1"/>
              <w:bottom w:val="single" w:sz="4" w:space="0" w:color="5B9BD5" w:themeColor="accent1"/>
            </w:tcBorders>
            <w:noWrap/>
          </w:tcPr>
          <w:p w14:paraId="4B8F0048"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480AB7DA" w14:textId="6F3B5DFF"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de l'art. 11 RTS (paiement sans contact de faible montant)</w:t>
            </w:r>
          </w:p>
        </w:tc>
        <w:tc>
          <w:tcPr>
            <w:tcW w:w="2976" w:type="dxa"/>
            <w:tcBorders>
              <w:top w:val="single" w:sz="4" w:space="0" w:color="5B9BD5" w:themeColor="accent1"/>
              <w:bottom w:val="single" w:sz="4" w:space="0" w:color="5B9BD5" w:themeColor="accent1"/>
            </w:tcBorders>
          </w:tcPr>
          <w:p w14:paraId="5E3BFD09" w14:textId="5BB4BB4F"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423AAD00"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C8A1266"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3E67301D" w14:textId="6283458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F1B43" w:rsidRPr="00BC0BAC" w14:paraId="66DEFB1D" w14:textId="77777777" w:rsidTr="0035566E">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7CDEBBA9"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07D24E4A" w14:textId="77777777"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2A122528" w14:textId="77777777" w:rsidR="00BF1B43" w:rsidRPr="00FD6338"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152832D2"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gridSpan w:val="2"/>
            <w:tcBorders>
              <w:top w:val="single" w:sz="4" w:space="0" w:color="5B9BD5" w:themeColor="accent1"/>
              <w:bottom w:val="single" w:sz="4" w:space="0" w:color="5B9BD5" w:themeColor="accent1"/>
            </w:tcBorders>
            <w:noWrap/>
          </w:tcPr>
          <w:p w14:paraId="42325A1C"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20B7CA60" w14:textId="02F9890D"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de l'art. 12 RTS (automate parking/transport)</w:t>
            </w:r>
          </w:p>
        </w:tc>
        <w:tc>
          <w:tcPr>
            <w:tcW w:w="2976" w:type="dxa"/>
            <w:tcBorders>
              <w:top w:val="single" w:sz="4" w:space="0" w:color="5B9BD5" w:themeColor="accent1"/>
              <w:bottom w:val="single" w:sz="4" w:space="0" w:color="5B9BD5" w:themeColor="accent1"/>
            </w:tcBorders>
          </w:tcPr>
          <w:p w14:paraId="45DB956C" w14:textId="3F82ACCD"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3C5FCDB3"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626B754F"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14003431" w14:textId="610F3ED5"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BC0BAC" w14:paraId="75008588" w14:textId="77777777" w:rsidTr="0035566E">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13547409"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29F43159"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815E007" w14:textId="77777777" w:rsidR="00BF1B43" w:rsidRPr="00FD6338"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1A4024F7"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gridSpan w:val="2"/>
            <w:tcBorders>
              <w:top w:val="single" w:sz="4" w:space="0" w:color="5B9BD5" w:themeColor="accent1"/>
              <w:bottom w:val="single" w:sz="4" w:space="0" w:color="5B9BD5" w:themeColor="accent1"/>
            </w:tcBorders>
            <w:noWrap/>
          </w:tcPr>
          <w:p w14:paraId="29D6E8F4"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34B3AE96" w14:textId="5C610BF4"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de l'art. 13 RTS (bénéficiaire de confiance)</w:t>
            </w:r>
          </w:p>
        </w:tc>
        <w:tc>
          <w:tcPr>
            <w:tcW w:w="2976" w:type="dxa"/>
            <w:tcBorders>
              <w:top w:val="single" w:sz="4" w:space="0" w:color="5B9BD5" w:themeColor="accent1"/>
              <w:bottom w:val="single" w:sz="4" w:space="0" w:color="5B9BD5" w:themeColor="accent1"/>
            </w:tcBorders>
          </w:tcPr>
          <w:p w14:paraId="6C3D7114" w14:textId="132C0BEB"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70576B54"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05357E95"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0C27FC23" w14:textId="20EA55B6"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F1B43" w:rsidRPr="00BC0BAC" w14:paraId="61410B21" w14:textId="77777777" w:rsidTr="0035566E">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3F4FD749"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7502D0FA" w14:textId="77777777"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0817EF46" w14:textId="77777777" w:rsidR="00BF1B43" w:rsidRPr="00FD6338"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19430C00"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gridSpan w:val="2"/>
            <w:tcBorders>
              <w:top w:val="single" w:sz="4" w:space="0" w:color="5B9BD5" w:themeColor="accent1"/>
              <w:bottom w:val="single" w:sz="4" w:space="0" w:color="5B9BD5" w:themeColor="accent1"/>
            </w:tcBorders>
            <w:noWrap/>
          </w:tcPr>
          <w:p w14:paraId="3C301EFD"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1D219239" w14:textId="39B0CBE9"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au titre de l'art. 14 RTS (opération récurrente)</w:t>
            </w:r>
          </w:p>
        </w:tc>
        <w:tc>
          <w:tcPr>
            <w:tcW w:w="2976" w:type="dxa"/>
            <w:tcBorders>
              <w:top w:val="single" w:sz="4" w:space="0" w:color="5B9BD5" w:themeColor="accent1"/>
              <w:bottom w:val="single" w:sz="4" w:space="0" w:color="5B9BD5" w:themeColor="accent1"/>
            </w:tcBorders>
          </w:tcPr>
          <w:p w14:paraId="2BF36508"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3377B2F5"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2192CAF"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6AD3FA95"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BC0BAC" w14:paraId="331F4604" w14:textId="77777777" w:rsidTr="0035566E">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3C8EBB15"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AABF2BD"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18C1BE5" w14:textId="77777777" w:rsidR="00BF1B43" w:rsidRPr="00FD6338"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3716F4DC"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gridSpan w:val="2"/>
            <w:tcBorders>
              <w:top w:val="single" w:sz="4" w:space="0" w:color="5B9BD5" w:themeColor="accent1"/>
              <w:bottom w:val="single" w:sz="4" w:space="0" w:color="5B9BD5" w:themeColor="accent1"/>
            </w:tcBorders>
            <w:noWrap/>
          </w:tcPr>
          <w:p w14:paraId="06BC7F81"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08743AB4" w14:textId="30172D12"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d'autres motifs d'exclusion</w:t>
            </w:r>
          </w:p>
        </w:tc>
        <w:tc>
          <w:tcPr>
            <w:tcW w:w="2976" w:type="dxa"/>
            <w:tcBorders>
              <w:top w:val="single" w:sz="4" w:space="0" w:color="5B9BD5" w:themeColor="accent1"/>
              <w:bottom w:val="single" w:sz="4" w:space="0" w:color="5B9BD5" w:themeColor="accent1"/>
            </w:tcBorders>
          </w:tcPr>
          <w:p w14:paraId="6DFCBFC3" w14:textId="1BD1E8E0"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5603C535"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6D2DA936"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14559AC5" w14:textId="58E6E2E9"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DD0" w14:paraId="422FDDD3" w14:textId="77777777" w:rsidTr="0035566E">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hideMark/>
          </w:tcPr>
          <w:p w14:paraId="48AA4B6D" w14:textId="77777777" w:rsidR="005E6DD0" w:rsidRPr="00BC0BAC" w:rsidRDefault="005E6DD0" w:rsidP="0025744E">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481C6957" w14:textId="77777777" w:rsidR="005E6DD0" w:rsidRPr="00BC0BAC" w:rsidRDefault="005E6DD0" w:rsidP="002574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05021928" w14:textId="77777777" w:rsidR="005E6DD0" w:rsidRPr="00FD6338" w:rsidRDefault="005E6DD0" w:rsidP="002574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3120" w:type="dxa"/>
            <w:gridSpan w:val="7"/>
            <w:tcBorders>
              <w:top w:val="single" w:sz="4" w:space="0" w:color="5B9BD5" w:themeColor="accent1"/>
              <w:bottom w:val="single" w:sz="4" w:space="0" w:color="5B9BD5" w:themeColor="accent1"/>
            </w:tcBorders>
            <w:noWrap/>
            <w:hideMark/>
          </w:tcPr>
          <w:p w14:paraId="3C8BD23F" w14:textId="01F0E2EE" w:rsidR="005E6DD0" w:rsidRPr="00306CBB" w:rsidRDefault="005E6DD0" w:rsidP="002574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306CBB">
              <w:rPr>
                <w:rFonts w:ascii="Calibri" w:eastAsia="Times New Roman" w:hAnsi="Calibri" w:cs="Calibri"/>
                <w:b/>
                <w:i/>
                <w:sz w:val="18"/>
                <w:szCs w:val="18"/>
                <w:lang w:eastAsia="fr-FR"/>
              </w:rPr>
              <w:t>Dont traités par le schéma</w:t>
            </w:r>
            <w:r w:rsidR="00B909D5" w:rsidRPr="00306CBB">
              <w:rPr>
                <w:rFonts w:ascii="Calibri" w:eastAsia="Times New Roman" w:hAnsi="Calibri" w:cs="Calibri"/>
                <w:b/>
                <w:i/>
                <w:sz w:val="18"/>
                <w:szCs w:val="18"/>
                <w:lang w:eastAsia="fr-FR"/>
              </w:rPr>
              <w:t xml:space="preserve"> de carte Y</w:t>
            </w:r>
            <w:r w:rsidRPr="00306CBB">
              <w:rPr>
                <w:rFonts w:ascii="Calibri" w:eastAsia="Times New Roman" w:hAnsi="Calibri" w:cs="Calibri"/>
                <w:b/>
                <w:i/>
                <w:sz w:val="18"/>
                <w:szCs w:val="18"/>
                <w:lang w:eastAsia="fr-FR"/>
              </w:rPr>
              <w:t>…</w:t>
            </w:r>
          </w:p>
        </w:tc>
        <w:tc>
          <w:tcPr>
            <w:tcW w:w="2976" w:type="dxa"/>
            <w:tcBorders>
              <w:top w:val="single" w:sz="4" w:space="0" w:color="5B9BD5" w:themeColor="accent1"/>
              <w:bottom w:val="single" w:sz="4" w:space="0" w:color="5B9BD5" w:themeColor="accent1"/>
            </w:tcBorders>
          </w:tcPr>
          <w:p w14:paraId="5B0D9600" w14:textId="3FD83384" w:rsidR="005E6DD0" w:rsidRPr="00306CBB" w:rsidRDefault="005E6DD0" w:rsidP="002574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sz w:val="18"/>
                <w:szCs w:val="18"/>
                <w:lang w:eastAsia="fr-FR"/>
              </w:rPr>
              <w:t>Transactions traitées par le schéma Y</w:t>
            </w:r>
          </w:p>
        </w:tc>
        <w:tc>
          <w:tcPr>
            <w:tcW w:w="993" w:type="dxa"/>
            <w:tcBorders>
              <w:top w:val="single" w:sz="4" w:space="0" w:color="5B9BD5" w:themeColor="accent1"/>
              <w:bottom w:val="single" w:sz="4" w:space="0" w:color="5B9BD5" w:themeColor="accent1"/>
            </w:tcBorders>
          </w:tcPr>
          <w:p w14:paraId="3340530B" w14:textId="77777777" w:rsidR="005E6DD0" w:rsidRPr="00BC0BAC" w:rsidRDefault="005E6DD0" w:rsidP="0025744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45BEAD0E" w14:textId="77777777" w:rsidR="005E6DD0" w:rsidRDefault="005E6DD0" w:rsidP="0025744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3F01C6AE" w14:textId="77777777" w:rsidR="005E6DD0" w:rsidRDefault="005E6DD0" w:rsidP="0025744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5821C1B6" w14:textId="77777777" w:rsidR="009E141A" w:rsidRDefault="009E141A" w:rsidP="009E141A">
      <w:pPr>
        <w:pStyle w:val="Paragraphedeliste"/>
        <w:autoSpaceDE w:val="0"/>
        <w:autoSpaceDN w:val="0"/>
        <w:adjustRightInd w:val="0"/>
        <w:spacing w:after="0" w:line="240" w:lineRule="auto"/>
        <w:jc w:val="both"/>
        <w:rPr>
          <w:rFonts w:cstheme="minorHAnsi"/>
        </w:rPr>
      </w:pPr>
    </w:p>
    <w:p w14:paraId="2211389D" w14:textId="77777777" w:rsidR="009E141A" w:rsidRPr="00A675AF" w:rsidRDefault="009E141A" w:rsidP="00A675AF">
      <w:pPr>
        <w:spacing w:after="0" w:line="240" w:lineRule="auto"/>
        <w:jc w:val="both"/>
        <w:rPr>
          <w:rFonts w:ascii="Calibri" w:hAnsi="Calibri"/>
          <w:b/>
          <w:smallCaps/>
          <w:color w:val="2E74B5" w:themeColor="accent1" w:themeShade="BF"/>
          <w:sz w:val="24"/>
        </w:rPr>
      </w:pPr>
      <w:r w:rsidRPr="00A675AF">
        <w:rPr>
          <w:rFonts w:ascii="Calibri" w:hAnsi="Calibri"/>
          <w:b/>
          <w:smallCaps/>
          <w:color w:val="2E74B5" w:themeColor="accent1" w:themeShade="BF"/>
          <w:sz w:val="24"/>
        </w:rPr>
        <w:t>Contrôles :</w:t>
      </w:r>
    </w:p>
    <w:p w14:paraId="09B59C2E" w14:textId="238E4E57" w:rsidR="009E141A" w:rsidRPr="00E16354" w:rsidRDefault="009E141A" w:rsidP="009E141A">
      <w:pPr>
        <w:pStyle w:val="Paragraphedeliste"/>
        <w:autoSpaceDE w:val="0"/>
        <w:autoSpaceDN w:val="0"/>
        <w:adjustRightInd w:val="0"/>
        <w:spacing w:after="0" w:line="240" w:lineRule="auto"/>
        <w:jc w:val="both"/>
        <w:rPr>
          <w:rFonts w:cstheme="minorHAnsi"/>
        </w:rPr>
      </w:pPr>
    </w:p>
    <w:p w14:paraId="25603088" w14:textId="4118F146" w:rsidR="000027FA" w:rsidRDefault="000027FA" w:rsidP="00C50A22">
      <w:pPr>
        <w:autoSpaceDE w:val="0"/>
        <w:autoSpaceDN w:val="0"/>
        <w:adjustRightInd w:val="0"/>
        <w:spacing w:after="0" w:line="240" w:lineRule="auto"/>
        <w:jc w:val="both"/>
        <w:rPr>
          <w:rFonts w:cstheme="minorHAnsi"/>
        </w:rPr>
      </w:pPr>
      <w:r w:rsidRPr="00762A44">
        <w:rPr>
          <w:rFonts w:cstheme="minorHAnsi"/>
        </w:rPr>
        <w:t>Les règles de contrôle suivantes doivent être appliquées en nombre et en valeur</w:t>
      </w:r>
      <w:r w:rsidR="00597D73" w:rsidRPr="00762A44">
        <w:rPr>
          <w:rFonts w:cstheme="minorHAnsi"/>
        </w:rPr>
        <w:t>.</w:t>
      </w:r>
    </w:p>
    <w:p w14:paraId="74ECF473" w14:textId="77777777" w:rsidR="00913B52" w:rsidRDefault="00913B52" w:rsidP="00C50A22">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913B52" w:rsidRPr="00913B52" w14:paraId="4ACCD2CC" w14:textId="77777777" w:rsidTr="00762A44">
        <w:tc>
          <w:tcPr>
            <w:tcW w:w="9054" w:type="dxa"/>
          </w:tcPr>
          <w:p w14:paraId="5AB41D17" w14:textId="77777777" w:rsidR="00913B52" w:rsidRPr="00913B52" w:rsidRDefault="00913B52" w:rsidP="003952EB">
            <w:pPr>
              <w:pStyle w:val="Paragraphedeliste"/>
              <w:autoSpaceDE w:val="0"/>
              <w:autoSpaceDN w:val="0"/>
              <w:adjustRightInd w:val="0"/>
              <w:ind w:left="0"/>
              <w:jc w:val="both"/>
              <w:rPr>
                <w:sz w:val="18"/>
              </w:rPr>
            </w:pPr>
            <w:r w:rsidRPr="00913B52">
              <w:rPr>
                <w:rFonts w:cstheme="minorHAnsi"/>
                <w:sz w:val="18"/>
                <w:szCs w:val="18"/>
              </w:rPr>
              <w:t>Le total de chaque indicateur est = à la somme des trois sous-ventilations géographiques associées (France, au sein de l’EEE et hors de l’EEE.</w:t>
            </w:r>
          </w:p>
        </w:tc>
      </w:tr>
      <w:tr w:rsidR="00913B52" w:rsidRPr="004E58CA" w14:paraId="0B8E9EA2" w14:textId="77777777" w:rsidTr="00762A44">
        <w:tc>
          <w:tcPr>
            <w:tcW w:w="9054" w:type="dxa"/>
          </w:tcPr>
          <w:p w14:paraId="2EBFB4FA" w14:textId="77777777" w:rsidR="00913B52" w:rsidRPr="004E58CA" w:rsidRDefault="00913B52" w:rsidP="003952EB">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132C49" w:rsidRPr="00132FFA" w14:paraId="0CBCA4E8" w14:textId="77777777" w:rsidTr="00762A44">
        <w:trPr>
          <w:trHeight w:val="378"/>
        </w:trPr>
        <w:tc>
          <w:tcPr>
            <w:tcW w:w="9054" w:type="dxa"/>
          </w:tcPr>
          <w:p w14:paraId="779AE7D4" w14:textId="46E22352" w:rsidR="00132C49" w:rsidRPr="005771F5" w:rsidRDefault="00132C49" w:rsidP="00913B52">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est = </w:t>
            </w:r>
            <w:r>
              <w:rPr>
                <w:sz w:val="18"/>
              </w:rPr>
              <w:t>à la somme de ceux déclarés trimestriellement au titre de la collecte « Déclaration trimestrielle des opérations impliquant des non –IFM).</w:t>
            </w:r>
          </w:p>
        </w:tc>
      </w:tr>
      <w:tr w:rsidR="00132FFA" w:rsidRPr="00132FFA" w14:paraId="3F1A7FEA" w14:textId="77777777" w:rsidTr="00762A44">
        <w:trPr>
          <w:trHeight w:val="378"/>
        </w:trPr>
        <w:tc>
          <w:tcPr>
            <w:tcW w:w="9054" w:type="dxa"/>
          </w:tcPr>
          <w:p w14:paraId="2D679FBB" w14:textId="2CEEABA3" w:rsidR="00132FFA" w:rsidRPr="004528E6" w:rsidRDefault="00132FFA" w:rsidP="00BE66A6">
            <w:pPr>
              <w:pStyle w:val="Paragraphedeliste"/>
              <w:autoSpaceDE w:val="0"/>
              <w:autoSpaceDN w:val="0"/>
              <w:adjustRightInd w:val="0"/>
              <w:ind w:left="0"/>
              <w:jc w:val="both"/>
              <w:rPr>
                <w:rFonts w:cstheme="minorHAnsi"/>
                <w:sz w:val="18"/>
                <w:szCs w:val="18"/>
              </w:rPr>
            </w:pPr>
            <w:r w:rsidRPr="005771F5">
              <w:rPr>
                <w:rFonts w:cstheme="minorHAnsi"/>
                <w:sz w:val="18"/>
                <w:szCs w:val="18"/>
              </w:rPr>
              <w:t>Le</w:t>
            </w:r>
            <w:r w:rsidR="00913B52">
              <w:rPr>
                <w:rFonts w:cstheme="minorHAnsi"/>
                <w:sz w:val="18"/>
                <w:szCs w:val="18"/>
              </w:rPr>
              <w:t xml:space="preserve"> total de</w:t>
            </w:r>
            <w:r>
              <w:rPr>
                <w:rFonts w:cstheme="minorHAnsi"/>
                <w:sz w:val="18"/>
                <w:szCs w:val="18"/>
              </w:rPr>
              <w:t>s</w:t>
            </w:r>
            <w:r w:rsidRPr="005771F5">
              <w:rPr>
                <w:rFonts w:cstheme="minorHAnsi"/>
                <w:sz w:val="18"/>
                <w:szCs w:val="18"/>
              </w:rPr>
              <w:t xml:space="preserve"> paiements par carte </w:t>
            </w:r>
            <w:r w:rsidR="00913B52">
              <w:rPr>
                <w:rFonts w:cstheme="minorHAnsi"/>
                <w:sz w:val="18"/>
                <w:szCs w:val="18"/>
              </w:rPr>
              <w:t xml:space="preserve">est = </w:t>
            </w:r>
            <w:r w:rsidR="00BE66A6">
              <w:rPr>
                <w:rFonts w:cstheme="minorHAnsi"/>
                <w:sz w:val="18"/>
                <w:szCs w:val="18"/>
              </w:rPr>
              <w:t>au total d</w:t>
            </w:r>
            <w:r w:rsidRPr="005771F5">
              <w:rPr>
                <w:rFonts w:cstheme="minorHAnsi"/>
                <w:sz w:val="18"/>
                <w:szCs w:val="18"/>
              </w:rPr>
              <w:t>e</w:t>
            </w:r>
            <w:r>
              <w:rPr>
                <w:rFonts w:cstheme="minorHAnsi"/>
                <w:sz w:val="18"/>
                <w:szCs w:val="18"/>
              </w:rPr>
              <w:t>s</w:t>
            </w:r>
            <w:r w:rsidRPr="005771F5">
              <w:rPr>
                <w:rFonts w:cstheme="minorHAnsi"/>
                <w:sz w:val="18"/>
                <w:szCs w:val="18"/>
              </w:rPr>
              <w:t xml:space="preserve"> paiements</w:t>
            </w:r>
            <w:r>
              <w:rPr>
                <w:rFonts w:cstheme="minorHAnsi"/>
                <w:sz w:val="18"/>
                <w:szCs w:val="18"/>
              </w:rPr>
              <w:t xml:space="preserve"> par cartes</w:t>
            </w:r>
            <w:r w:rsidRPr="005771F5">
              <w:rPr>
                <w:rFonts w:cstheme="minorHAnsi"/>
                <w:sz w:val="18"/>
                <w:szCs w:val="18"/>
              </w:rPr>
              <w:t xml:space="preserve"> </w:t>
            </w:r>
            <w:r>
              <w:rPr>
                <w:rFonts w:cstheme="minorHAnsi"/>
                <w:sz w:val="18"/>
                <w:szCs w:val="18"/>
              </w:rPr>
              <w:t>initiés pa</w:t>
            </w:r>
            <w:r w:rsidRPr="005771F5">
              <w:rPr>
                <w:rFonts w:cstheme="minorHAnsi"/>
                <w:sz w:val="18"/>
                <w:szCs w:val="18"/>
              </w:rPr>
              <w:t xml:space="preserve">r voie </w:t>
            </w:r>
            <w:r>
              <w:rPr>
                <w:rFonts w:cstheme="minorHAnsi"/>
                <w:sz w:val="18"/>
                <w:szCs w:val="18"/>
              </w:rPr>
              <w:t xml:space="preserve">non </w:t>
            </w:r>
            <w:r w:rsidRPr="005771F5">
              <w:rPr>
                <w:rFonts w:cstheme="minorHAnsi"/>
                <w:sz w:val="18"/>
                <w:szCs w:val="18"/>
              </w:rPr>
              <w:t xml:space="preserve">électronique </w:t>
            </w:r>
            <w:r w:rsidR="00BE66A6">
              <w:rPr>
                <w:rFonts w:cstheme="minorHAnsi"/>
                <w:sz w:val="18"/>
                <w:szCs w:val="18"/>
              </w:rPr>
              <w:t xml:space="preserve">+ le total des paiements par carte initiés </w:t>
            </w:r>
            <w:r>
              <w:rPr>
                <w:rFonts w:cstheme="minorHAnsi"/>
                <w:sz w:val="18"/>
                <w:szCs w:val="18"/>
              </w:rPr>
              <w:t>par voie électronique</w:t>
            </w:r>
            <w:r w:rsidRPr="005771F5">
              <w:rPr>
                <w:rFonts w:cstheme="minorHAnsi"/>
                <w:sz w:val="18"/>
                <w:szCs w:val="18"/>
              </w:rPr>
              <w:t>.</w:t>
            </w:r>
          </w:p>
        </w:tc>
      </w:tr>
      <w:tr w:rsidR="00DF2C8E" w:rsidRPr="00132FFA" w14:paraId="2426EBF1" w14:textId="77777777" w:rsidTr="00762A44">
        <w:trPr>
          <w:trHeight w:val="388"/>
        </w:trPr>
        <w:tc>
          <w:tcPr>
            <w:tcW w:w="9054" w:type="dxa"/>
          </w:tcPr>
          <w:p w14:paraId="06632249" w14:textId="21B4A432" w:rsidR="00DF2C8E" w:rsidRPr="00390691" w:rsidRDefault="00DF2C8E" w:rsidP="00BE66A6">
            <w:pPr>
              <w:pStyle w:val="Paragraphedeliste"/>
              <w:autoSpaceDE w:val="0"/>
              <w:autoSpaceDN w:val="0"/>
              <w:adjustRightInd w:val="0"/>
              <w:ind w:left="0"/>
              <w:jc w:val="both"/>
              <w:rPr>
                <w:rFonts w:cstheme="minorHAnsi"/>
                <w:sz w:val="18"/>
                <w:szCs w:val="18"/>
              </w:rPr>
            </w:pPr>
            <w:r w:rsidRPr="005771F5">
              <w:rPr>
                <w:rFonts w:cstheme="minorHAnsi"/>
                <w:sz w:val="18"/>
                <w:szCs w:val="18"/>
              </w:rPr>
              <w:t>Le</w:t>
            </w:r>
            <w:r>
              <w:rPr>
                <w:rFonts w:cstheme="minorHAnsi"/>
                <w:sz w:val="18"/>
                <w:szCs w:val="18"/>
              </w:rPr>
              <w:t xml:space="preserve"> total des paiements par carte initiés par voie non électronique est = </w:t>
            </w:r>
            <w:r w:rsidR="00BE66A6">
              <w:rPr>
                <w:rFonts w:cstheme="minorHAnsi"/>
                <w:sz w:val="18"/>
                <w:szCs w:val="18"/>
              </w:rPr>
              <w:t xml:space="preserve">au total </w:t>
            </w:r>
            <w:r>
              <w:rPr>
                <w:rFonts w:cstheme="minorHAnsi"/>
                <w:sz w:val="18"/>
                <w:szCs w:val="18"/>
              </w:rPr>
              <w:t>de ces paiements initiés</w:t>
            </w:r>
            <w:r w:rsidR="008436D6">
              <w:rPr>
                <w:rFonts w:cstheme="minorHAnsi"/>
                <w:sz w:val="18"/>
                <w:szCs w:val="18"/>
              </w:rPr>
              <w:t xml:space="preserve"> par voie non électronique</w:t>
            </w:r>
            <w:r>
              <w:rPr>
                <w:rFonts w:cstheme="minorHAnsi"/>
                <w:sz w:val="18"/>
                <w:szCs w:val="18"/>
              </w:rPr>
              <w:t xml:space="preserve"> à distance </w:t>
            </w:r>
            <w:r w:rsidR="00BE66A6">
              <w:rPr>
                <w:rFonts w:cstheme="minorHAnsi"/>
                <w:sz w:val="18"/>
                <w:szCs w:val="18"/>
              </w:rPr>
              <w:t xml:space="preserve">+ total de ces paiements initiés </w:t>
            </w:r>
            <w:r w:rsidR="008436D6">
              <w:rPr>
                <w:rFonts w:cstheme="minorHAnsi"/>
                <w:sz w:val="18"/>
                <w:szCs w:val="18"/>
              </w:rPr>
              <w:t xml:space="preserve">par voie non électronique </w:t>
            </w:r>
            <w:r>
              <w:rPr>
                <w:rFonts w:cstheme="minorHAnsi"/>
                <w:sz w:val="18"/>
                <w:szCs w:val="18"/>
              </w:rPr>
              <w:t>en proximité.</w:t>
            </w:r>
          </w:p>
        </w:tc>
      </w:tr>
      <w:tr w:rsidR="00132FFA" w:rsidRPr="00132FFA" w14:paraId="3222879F" w14:textId="77777777" w:rsidTr="00762A44">
        <w:trPr>
          <w:trHeight w:val="388"/>
        </w:trPr>
        <w:tc>
          <w:tcPr>
            <w:tcW w:w="9054" w:type="dxa"/>
          </w:tcPr>
          <w:p w14:paraId="76AA1BDB" w14:textId="4DD6F819" w:rsidR="00132FFA" w:rsidRPr="00390691" w:rsidRDefault="00132FFA" w:rsidP="00BE66A6">
            <w:pPr>
              <w:pStyle w:val="Paragraphedeliste"/>
              <w:autoSpaceDE w:val="0"/>
              <w:autoSpaceDN w:val="0"/>
              <w:adjustRightInd w:val="0"/>
              <w:ind w:left="0"/>
              <w:jc w:val="both"/>
              <w:rPr>
                <w:rFonts w:cstheme="minorHAnsi"/>
                <w:sz w:val="18"/>
                <w:szCs w:val="18"/>
              </w:rPr>
            </w:pPr>
            <w:r w:rsidRPr="00390691">
              <w:rPr>
                <w:rFonts w:cstheme="minorHAnsi"/>
                <w:sz w:val="18"/>
                <w:szCs w:val="18"/>
              </w:rPr>
              <w:t>Le</w:t>
            </w:r>
            <w:r w:rsidR="00132C49">
              <w:rPr>
                <w:rFonts w:cstheme="minorHAnsi"/>
                <w:sz w:val="18"/>
                <w:szCs w:val="18"/>
              </w:rPr>
              <w:t xml:space="preserve"> total de</w:t>
            </w:r>
            <w:r>
              <w:rPr>
                <w:rFonts w:cstheme="minorHAnsi"/>
                <w:sz w:val="18"/>
                <w:szCs w:val="18"/>
              </w:rPr>
              <w:t>s</w:t>
            </w:r>
            <w:r w:rsidRPr="00390691">
              <w:rPr>
                <w:rFonts w:cstheme="minorHAnsi"/>
                <w:sz w:val="18"/>
                <w:szCs w:val="18"/>
              </w:rPr>
              <w:t xml:space="preserve"> </w:t>
            </w:r>
            <w:r w:rsidRPr="00A675AF">
              <w:rPr>
                <w:rFonts w:cstheme="minorHAnsi"/>
                <w:sz w:val="18"/>
                <w:szCs w:val="18"/>
              </w:rPr>
              <w:t xml:space="preserve">paiements par cartes </w:t>
            </w:r>
            <w:r w:rsidR="00132C49">
              <w:rPr>
                <w:rFonts w:cstheme="minorHAnsi"/>
                <w:sz w:val="18"/>
                <w:szCs w:val="18"/>
              </w:rPr>
              <w:t xml:space="preserve">initiés par voie électronique est = </w:t>
            </w:r>
            <w:r w:rsidR="00BE66A6">
              <w:rPr>
                <w:rFonts w:cstheme="minorHAnsi"/>
                <w:sz w:val="18"/>
                <w:szCs w:val="18"/>
              </w:rPr>
              <w:t xml:space="preserve">au total </w:t>
            </w:r>
            <w:r w:rsidR="00132C49">
              <w:rPr>
                <w:rFonts w:cstheme="minorHAnsi"/>
                <w:sz w:val="18"/>
                <w:szCs w:val="18"/>
              </w:rPr>
              <w:t xml:space="preserve">de ces paiements initiés </w:t>
            </w:r>
            <w:r w:rsidR="008436D6">
              <w:rPr>
                <w:rFonts w:cstheme="minorHAnsi"/>
                <w:sz w:val="18"/>
                <w:szCs w:val="18"/>
              </w:rPr>
              <w:t xml:space="preserve">par voie électronique </w:t>
            </w:r>
            <w:r w:rsidR="00132C49">
              <w:rPr>
                <w:rFonts w:cstheme="minorHAnsi"/>
                <w:sz w:val="18"/>
                <w:szCs w:val="18"/>
              </w:rPr>
              <w:t xml:space="preserve">à distance </w:t>
            </w:r>
            <w:r w:rsidR="00BE66A6">
              <w:rPr>
                <w:rFonts w:cstheme="minorHAnsi"/>
                <w:sz w:val="18"/>
                <w:szCs w:val="18"/>
              </w:rPr>
              <w:t>+ total de ces paiements initiés</w:t>
            </w:r>
            <w:r w:rsidR="008436D6">
              <w:rPr>
                <w:rFonts w:cstheme="minorHAnsi"/>
                <w:sz w:val="18"/>
                <w:szCs w:val="18"/>
              </w:rPr>
              <w:t xml:space="preserve"> par voie électronique</w:t>
            </w:r>
            <w:r w:rsidR="00BE66A6">
              <w:rPr>
                <w:rFonts w:cstheme="minorHAnsi"/>
                <w:sz w:val="18"/>
                <w:szCs w:val="18"/>
              </w:rPr>
              <w:t xml:space="preserve"> </w:t>
            </w:r>
            <w:r w:rsidR="00132C49">
              <w:rPr>
                <w:rFonts w:cstheme="minorHAnsi"/>
                <w:sz w:val="18"/>
                <w:szCs w:val="18"/>
              </w:rPr>
              <w:t>en proximité</w:t>
            </w:r>
            <w:r w:rsidRPr="00390691">
              <w:rPr>
                <w:rFonts w:cstheme="minorHAnsi"/>
                <w:sz w:val="18"/>
                <w:szCs w:val="18"/>
              </w:rPr>
              <w:t>.</w:t>
            </w:r>
          </w:p>
        </w:tc>
      </w:tr>
      <w:tr w:rsidR="00132FFA" w:rsidRPr="005771F5" w14:paraId="4C8DE58D" w14:textId="77777777" w:rsidTr="00762A44">
        <w:trPr>
          <w:trHeight w:val="524"/>
        </w:trPr>
        <w:tc>
          <w:tcPr>
            <w:tcW w:w="9054" w:type="dxa"/>
          </w:tcPr>
          <w:p w14:paraId="71B9BC7F" w14:textId="6ECB2028" w:rsidR="00132FFA" w:rsidRPr="00D947BB" w:rsidRDefault="00132C49">
            <w:pPr>
              <w:pStyle w:val="Paragraphedeliste"/>
              <w:autoSpaceDE w:val="0"/>
              <w:autoSpaceDN w:val="0"/>
              <w:adjustRightInd w:val="0"/>
              <w:ind w:left="0"/>
              <w:jc w:val="both"/>
              <w:rPr>
                <w:rFonts w:cstheme="minorHAnsi"/>
                <w:sz w:val="18"/>
                <w:szCs w:val="18"/>
              </w:rPr>
            </w:pPr>
            <w:r>
              <w:rPr>
                <w:rFonts w:cstheme="minorHAnsi"/>
                <w:sz w:val="18"/>
                <w:szCs w:val="18"/>
              </w:rPr>
              <w:lastRenderedPageBreak/>
              <w:t xml:space="preserve">Le total des paiements par carte initiés par voie électronique </w:t>
            </w:r>
            <w:r w:rsidR="00B33F6D">
              <w:rPr>
                <w:rFonts w:cstheme="minorHAnsi"/>
                <w:sz w:val="18"/>
                <w:szCs w:val="18"/>
              </w:rPr>
              <w:t xml:space="preserve">à distance </w:t>
            </w:r>
            <w:r>
              <w:rPr>
                <w:rFonts w:cstheme="minorHAnsi"/>
                <w:sz w:val="18"/>
                <w:szCs w:val="18"/>
              </w:rPr>
              <w:t xml:space="preserve">est = </w:t>
            </w:r>
            <w:r>
              <w:rPr>
                <w:sz w:val="18"/>
              </w:rPr>
              <w:t>à la somme de ceux déclarés trimestriellement au titre de la collecte « Déclaration trimestrielle des opérations impliquant des non –IFM).</w:t>
            </w:r>
          </w:p>
        </w:tc>
      </w:tr>
      <w:tr w:rsidR="00B33F6D" w:rsidRPr="005771F5" w14:paraId="55435519" w14:textId="77777777" w:rsidTr="00762A44">
        <w:trPr>
          <w:trHeight w:val="524"/>
        </w:trPr>
        <w:tc>
          <w:tcPr>
            <w:tcW w:w="9054" w:type="dxa"/>
          </w:tcPr>
          <w:p w14:paraId="537F49E9" w14:textId="03B3E230" w:rsidR="00B33F6D" w:rsidRDefault="00B33F6D" w:rsidP="00B33F6D">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est = </w:t>
            </w:r>
            <w:r>
              <w:rPr>
                <w:sz w:val="18"/>
              </w:rPr>
              <w:t>à la somme de ceux déclarés trimestriellement au titre de la collecte « Déclaration trimestrielle des opérations impliquant des non –IFM).</w:t>
            </w:r>
          </w:p>
        </w:tc>
      </w:tr>
      <w:tr w:rsidR="00B33F6D" w:rsidRPr="00FD1FD6" w14:paraId="4909A4F5" w14:textId="77777777" w:rsidTr="00762A44">
        <w:trPr>
          <w:trHeight w:val="460"/>
        </w:trPr>
        <w:tc>
          <w:tcPr>
            <w:tcW w:w="9054" w:type="dxa"/>
          </w:tcPr>
          <w:p w14:paraId="7AAC3FD7" w14:textId="305F808F" w:rsidR="00B33F6D" w:rsidRPr="00D97C13" w:rsidRDefault="00B33F6D" w:rsidP="00BE66A6">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à distance est </w:t>
            </w:r>
            <w:r w:rsidR="00BE66A6">
              <w:rPr>
                <w:rFonts w:cstheme="minorHAnsi"/>
                <w:sz w:val="18"/>
                <w:szCs w:val="18"/>
              </w:rPr>
              <w:t>= au total de</w:t>
            </w:r>
            <w:r>
              <w:rPr>
                <w:rFonts w:cstheme="minorHAnsi"/>
                <w:sz w:val="18"/>
                <w:szCs w:val="18"/>
              </w:rPr>
              <w:t xml:space="preserve"> ceux effectués via une solution de paiement mobile </w:t>
            </w:r>
            <w:r w:rsidR="00BE66A6">
              <w:rPr>
                <w:rFonts w:cstheme="minorHAnsi"/>
                <w:sz w:val="18"/>
                <w:szCs w:val="18"/>
              </w:rPr>
              <w:t xml:space="preserve">+ le total </w:t>
            </w:r>
            <w:r>
              <w:rPr>
                <w:rFonts w:cstheme="minorHAnsi"/>
                <w:sz w:val="18"/>
                <w:szCs w:val="18"/>
              </w:rPr>
              <w:t>de ceux effectués via une autre solution.</w:t>
            </w:r>
          </w:p>
        </w:tc>
      </w:tr>
      <w:tr w:rsidR="00B33F6D" w:rsidRPr="007C75F3" w14:paraId="5FD38FD7" w14:textId="77777777" w:rsidTr="00762A44">
        <w:trPr>
          <w:trHeight w:val="382"/>
        </w:trPr>
        <w:tc>
          <w:tcPr>
            <w:tcW w:w="9054" w:type="dxa"/>
          </w:tcPr>
          <w:p w14:paraId="120A1F87" w14:textId="091DB1C9" w:rsidR="00B33F6D" w:rsidRPr="00D97C13" w:rsidRDefault="00B33F6D" w:rsidP="00B33F6D">
            <w:pPr>
              <w:pStyle w:val="Paragraphedeliste"/>
              <w:autoSpaceDE w:val="0"/>
              <w:autoSpaceDN w:val="0"/>
              <w:adjustRightInd w:val="0"/>
              <w:ind w:left="0"/>
              <w:jc w:val="both"/>
              <w:rPr>
                <w:rFonts w:cstheme="minorHAnsi"/>
                <w:sz w:val="18"/>
                <w:szCs w:val="18"/>
              </w:rPr>
            </w:pPr>
            <w:r>
              <w:rPr>
                <w:rFonts w:cstheme="minorHAnsi"/>
                <w:sz w:val="18"/>
                <w:szCs w:val="18"/>
              </w:rPr>
              <w:t>Le total des paiements par carte initiés par voie électronique à distance effectuées via une solution de paiement mobile est &gt; ou = au total de ces paiements initiés via une solution de paiement mobile P2P</w:t>
            </w:r>
            <w:r w:rsidR="00ED4439">
              <w:rPr>
                <w:rFonts w:cstheme="minorHAnsi"/>
                <w:sz w:val="18"/>
                <w:szCs w:val="18"/>
              </w:rPr>
              <w:t>.</w:t>
            </w:r>
          </w:p>
        </w:tc>
      </w:tr>
      <w:tr w:rsidR="00B33F6D" w:rsidRPr="007C75F3" w14:paraId="6044DC64" w14:textId="77777777" w:rsidTr="00762A44">
        <w:trPr>
          <w:trHeight w:val="410"/>
        </w:trPr>
        <w:tc>
          <w:tcPr>
            <w:tcW w:w="9054" w:type="dxa"/>
          </w:tcPr>
          <w:p w14:paraId="5242229E" w14:textId="66518290" w:rsidR="00B33F6D" w:rsidRPr="00606710" w:rsidRDefault="00B33F6D" w:rsidP="00BE66A6">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est = </w:t>
            </w:r>
            <w:r w:rsidR="00BE66A6">
              <w:rPr>
                <w:rFonts w:cstheme="minorHAnsi"/>
                <w:sz w:val="18"/>
                <w:szCs w:val="18"/>
              </w:rPr>
              <w:t xml:space="preserve">au total de </w:t>
            </w:r>
            <w:r>
              <w:rPr>
                <w:rFonts w:cstheme="minorHAnsi"/>
                <w:sz w:val="18"/>
                <w:szCs w:val="18"/>
              </w:rPr>
              <w:t>ces paiements initiés depuis un TPE</w:t>
            </w:r>
            <w:r w:rsidR="00BE66A6">
              <w:rPr>
                <w:rFonts w:cstheme="minorHAnsi"/>
                <w:sz w:val="18"/>
                <w:szCs w:val="18"/>
              </w:rPr>
              <w:t xml:space="preserve"> + total de ces paiements initiés depuis un GAB + total de ces paiements initiés</w:t>
            </w:r>
            <w:r>
              <w:rPr>
                <w:rFonts w:cstheme="minorHAnsi"/>
                <w:sz w:val="18"/>
                <w:szCs w:val="18"/>
              </w:rPr>
              <w:t xml:space="preserve"> depuis autres canaux.</w:t>
            </w:r>
          </w:p>
        </w:tc>
      </w:tr>
      <w:tr w:rsidR="00B33F6D" w:rsidRPr="00223702" w14:paraId="026118B6" w14:textId="77777777" w:rsidTr="00762A44">
        <w:trPr>
          <w:trHeight w:val="488"/>
        </w:trPr>
        <w:tc>
          <w:tcPr>
            <w:tcW w:w="9054" w:type="dxa"/>
          </w:tcPr>
          <w:p w14:paraId="62BE7CDE" w14:textId="4E3D2639" w:rsidR="00B33F6D" w:rsidRPr="00606710" w:rsidRDefault="00B33F6D" w:rsidP="00B94818">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depuis un TPE </w:t>
            </w:r>
            <w:r w:rsidR="00B94818">
              <w:rPr>
                <w:rFonts w:cstheme="minorHAnsi"/>
                <w:sz w:val="18"/>
                <w:szCs w:val="18"/>
              </w:rPr>
              <w:t>est</w:t>
            </w:r>
            <w:r>
              <w:rPr>
                <w:rFonts w:cstheme="minorHAnsi"/>
                <w:sz w:val="18"/>
                <w:szCs w:val="18"/>
              </w:rPr>
              <w:t xml:space="preserve"> &gt; ou = </w:t>
            </w:r>
            <w:r w:rsidR="00ED4439">
              <w:rPr>
                <w:rFonts w:cstheme="minorHAnsi"/>
                <w:sz w:val="18"/>
                <w:szCs w:val="18"/>
              </w:rPr>
              <w:t>aux</w:t>
            </w:r>
            <w:r>
              <w:rPr>
                <w:rFonts w:cstheme="minorHAnsi"/>
                <w:sz w:val="18"/>
                <w:szCs w:val="18"/>
              </w:rPr>
              <w:t xml:space="preserve"> paiements sans contact.</w:t>
            </w:r>
          </w:p>
        </w:tc>
      </w:tr>
      <w:tr w:rsidR="00B33F6D" w:rsidRPr="00223702" w14:paraId="668DB727" w14:textId="77777777" w:rsidTr="00762A44">
        <w:trPr>
          <w:trHeight w:val="488"/>
        </w:trPr>
        <w:tc>
          <w:tcPr>
            <w:tcW w:w="9054" w:type="dxa"/>
          </w:tcPr>
          <w:p w14:paraId="6EA261C5" w14:textId="2DD1C4F4" w:rsidR="00B33F6D" w:rsidRDefault="00B33F6D" w:rsidP="00B94818">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depuis un TPE sans contact </w:t>
            </w:r>
            <w:r w:rsidR="00B94818">
              <w:rPr>
                <w:rFonts w:cstheme="minorHAnsi"/>
                <w:sz w:val="18"/>
                <w:szCs w:val="18"/>
              </w:rPr>
              <w:t>est</w:t>
            </w:r>
            <w:r>
              <w:rPr>
                <w:rFonts w:cstheme="minorHAnsi"/>
                <w:sz w:val="18"/>
                <w:szCs w:val="18"/>
              </w:rPr>
              <w:t xml:space="preserve"> &gt; ou = à ceux initiés depuis une technologie NFC.</w:t>
            </w:r>
          </w:p>
        </w:tc>
      </w:tr>
      <w:tr w:rsidR="00B33F6D" w:rsidRPr="00223702" w14:paraId="6897FB75" w14:textId="77777777" w:rsidTr="00762A44">
        <w:trPr>
          <w:trHeight w:val="488"/>
        </w:trPr>
        <w:tc>
          <w:tcPr>
            <w:tcW w:w="9054" w:type="dxa"/>
          </w:tcPr>
          <w:p w14:paraId="67956030" w14:textId="7DCD7AC5" w:rsidR="00B33F6D" w:rsidRDefault="00B33F6D" w:rsidP="00B94818">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à distance est = à la somme de ces paiements ventilés par schéma de </w:t>
            </w:r>
            <w:r w:rsidR="00B94818">
              <w:rPr>
                <w:rFonts w:cstheme="minorHAnsi"/>
                <w:sz w:val="18"/>
                <w:szCs w:val="18"/>
              </w:rPr>
              <w:t>carte</w:t>
            </w:r>
            <w:r>
              <w:rPr>
                <w:rFonts w:cstheme="minorHAnsi"/>
                <w:sz w:val="18"/>
                <w:szCs w:val="18"/>
              </w:rPr>
              <w:t xml:space="preserve">. </w:t>
            </w:r>
          </w:p>
        </w:tc>
      </w:tr>
      <w:tr w:rsidR="00B33F6D" w:rsidRPr="00223702" w14:paraId="0D8A9522" w14:textId="77777777" w:rsidTr="00762A44">
        <w:trPr>
          <w:trHeight w:val="488"/>
        </w:trPr>
        <w:tc>
          <w:tcPr>
            <w:tcW w:w="9054" w:type="dxa"/>
          </w:tcPr>
          <w:p w14:paraId="7D6101AF" w14:textId="51D3EF6E" w:rsidR="00B33F6D" w:rsidRDefault="00B33F6D" w:rsidP="00B94818">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est = à la somme de ces paiements ventilés par schéma de </w:t>
            </w:r>
            <w:r w:rsidR="00B94818">
              <w:rPr>
                <w:rFonts w:cstheme="minorHAnsi"/>
                <w:sz w:val="18"/>
                <w:szCs w:val="18"/>
              </w:rPr>
              <w:t>carte</w:t>
            </w:r>
            <w:r>
              <w:rPr>
                <w:rFonts w:cstheme="minorHAnsi"/>
                <w:sz w:val="18"/>
                <w:szCs w:val="18"/>
              </w:rPr>
              <w:t>.</w:t>
            </w:r>
          </w:p>
        </w:tc>
      </w:tr>
      <w:tr w:rsidR="00B33F6D" w:rsidRPr="00223702" w14:paraId="6C637189" w14:textId="77777777" w:rsidTr="00762A44">
        <w:trPr>
          <w:trHeight w:val="488"/>
        </w:trPr>
        <w:tc>
          <w:tcPr>
            <w:tcW w:w="9054" w:type="dxa"/>
          </w:tcPr>
          <w:p w14:paraId="3E1CA7F0" w14:textId="646ADA05" w:rsidR="00B33F6D" w:rsidRDefault="00B33F6D" w:rsidP="00B94818">
            <w:pPr>
              <w:pStyle w:val="Paragraphedeliste"/>
              <w:autoSpaceDE w:val="0"/>
              <w:autoSpaceDN w:val="0"/>
              <w:adjustRightInd w:val="0"/>
              <w:ind w:left="0"/>
              <w:jc w:val="both"/>
              <w:rPr>
                <w:rFonts w:cstheme="minorHAnsi"/>
                <w:sz w:val="18"/>
                <w:szCs w:val="18"/>
              </w:rPr>
            </w:pPr>
            <w:r>
              <w:rPr>
                <w:rFonts w:cstheme="minorHAnsi"/>
                <w:sz w:val="18"/>
                <w:szCs w:val="18"/>
              </w:rPr>
              <w:t xml:space="preserve">Le total </w:t>
            </w:r>
            <w:r w:rsidR="00AE5543">
              <w:rPr>
                <w:rFonts w:cstheme="minorHAnsi"/>
                <w:sz w:val="18"/>
                <w:szCs w:val="18"/>
              </w:rPr>
              <w:t xml:space="preserve">des paiements </w:t>
            </w:r>
            <w:r w:rsidR="00B94818">
              <w:rPr>
                <w:rFonts w:cstheme="minorHAnsi"/>
                <w:sz w:val="18"/>
                <w:szCs w:val="18"/>
              </w:rPr>
              <w:t xml:space="preserve">par carte initiés par voie électronique à distance et </w:t>
            </w:r>
            <w:r w:rsidR="00AE5543">
              <w:rPr>
                <w:rFonts w:cstheme="minorHAnsi"/>
                <w:sz w:val="18"/>
                <w:szCs w:val="18"/>
              </w:rPr>
              <w:t xml:space="preserve">traités par </w:t>
            </w:r>
            <w:r w:rsidR="00B94818">
              <w:rPr>
                <w:rFonts w:cstheme="minorHAnsi"/>
                <w:sz w:val="18"/>
                <w:szCs w:val="18"/>
              </w:rPr>
              <w:t>CB</w:t>
            </w:r>
            <w:r>
              <w:rPr>
                <w:rFonts w:cstheme="minorHAnsi"/>
                <w:sz w:val="18"/>
                <w:szCs w:val="18"/>
              </w:rPr>
              <w:t xml:space="preserve"> est = à la somme de ces paiements ventilés par fonction de carte. </w:t>
            </w:r>
            <w:r w:rsidR="00B94818">
              <w:rPr>
                <w:rFonts w:cstheme="minorHAnsi"/>
                <w:sz w:val="18"/>
                <w:szCs w:val="18"/>
              </w:rPr>
              <w:t>Cette règle s’applique à chaque schéma de carte.</w:t>
            </w:r>
          </w:p>
        </w:tc>
      </w:tr>
      <w:tr w:rsidR="00B94818" w:rsidRPr="00223702" w14:paraId="0FF8AD02" w14:textId="77777777" w:rsidTr="00762A44">
        <w:trPr>
          <w:trHeight w:val="488"/>
        </w:trPr>
        <w:tc>
          <w:tcPr>
            <w:tcW w:w="9054" w:type="dxa"/>
          </w:tcPr>
          <w:p w14:paraId="4D033AEE" w14:textId="1D9578C1" w:rsidR="00B94818" w:rsidRDefault="00B94818" w:rsidP="00B94818">
            <w:pPr>
              <w:pStyle w:val="Paragraphedeliste"/>
              <w:autoSpaceDE w:val="0"/>
              <w:autoSpaceDN w:val="0"/>
              <w:adjustRightInd w:val="0"/>
              <w:ind w:left="0"/>
              <w:jc w:val="both"/>
              <w:rPr>
                <w:rFonts w:cstheme="minorHAnsi"/>
                <w:sz w:val="18"/>
                <w:szCs w:val="18"/>
              </w:rPr>
            </w:pPr>
            <w:r>
              <w:rPr>
                <w:rFonts w:cstheme="minorHAnsi"/>
                <w:sz w:val="18"/>
                <w:szCs w:val="18"/>
              </w:rPr>
              <w:t>Le total des paiements par carte initiés par voie électronique en proximité et traités par CB est = à la somme de ces paiements ventilés par fonction de carte. Cette règle s’applique à chaque schéma de carte.</w:t>
            </w:r>
          </w:p>
        </w:tc>
      </w:tr>
      <w:tr w:rsidR="00B33F6D" w:rsidRPr="00223702" w14:paraId="1550687A" w14:textId="77777777" w:rsidTr="00762A44">
        <w:trPr>
          <w:trHeight w:val="513"/>
        </w:trPr>
        <w:tc>
          <w:tcPr>
            <w:tcW w:w="9054" w:type="dxa"/>
          </w:tcPr>
          <w:p w14:paraId="68F6AB1C" w14:textId="51D0E46C" w:rsidR="00B33F6D" w:rsidRPr="00830422" w:rsidRDefault="00B33F6D" w:rsidP="007514D6">
            <w:pPr>
              <w:pStyle w:val="Paragraphedeliste"/>
              <w:autoSpaceDE w:val="0"/>
              <w:autoSpaceDN w:val="0"/>
              <w:adjustRightInd w:val="0"/>
              <w:ind w:left="0"/>
              <w:jc w:val="both"/>
              <w:rPr>
                <w:rFonts w:cstheme="minorHAnsi"/>
                <w:sz w:val="18"/>
                <w:szCs w:val="18"/>
              </w:rPr>
            </w:pPr>
            <w:r>
              <w:rPr>
                <w:rFonts w:cstheme="minorHAnsi"/>
                <w:sz w:val="18"/>
                <w:szCs w:val="18"/>
              </w:rPr>
              <w:t>Le total des paiements par carte</w:t>
            </w:r>
            <w:r w:rsidR="00AE5543">
              <w:rPr>
                <w:rFonts w:cstheme="minorHAnsi"/>
                <w:sz w:val="18"/>
                <w:szCs w:val="18"/>
              </w:rPr>
              <w:t xml:space="preserve"> </w:t>
            </w:r>
            <w:r w:rsidR="007514D6">
              <w:rPr>
                <w:rFonts w:cstheme="minorHAnsi"/>
                <w:sz w:val="18"/>
                <w:szCs w:val="18"/>
              </w:rPr>
              <w:t>initiés par voie électronique à distance et trai</w:t>
            </w:r>
            <w:r w:rsidR="00AE5543">
              <w:rPr>
                <w:rFonts w:cstheme="minorHAnsi"/>
                <w:sz w:val="18"/>
                <w:szCs w:val="18"/>
              </w:rPr>
              <w:t xml:space="preserve">tés par </w:t>
            </w:r>
            <w:r w:rsidR="007514D6">
              <w:rPr>
                <w:rFonts w:cstheme="minorHAnsi"/>
                <w:sz w:val="18"/>
                <w:szCs w:val="18"/>
              </w:rPr>
              <w:t>CB</w:t>
            </w:r>
            <w:r>
              <w:rPr>
                <w:rFonts w:cstheme="minorHAnsi"/>
                <w:sz w:val="18"/>
                <w:szCs w:val="18"/>
              </w:rPr>
              <w:t xml:space="preserve"> est = à la somme de </w:t>
            </w:r>
            <w:r w:rsidR="007514D6">
              <w:rPr>
                <w:rFonts w:cstheme="minorHAnsi"/>
                <w:sz w:val="18"/>
                <w:szCs w:val="18"/>
              </w:rPr>
              <w:t xml:space="preserve">ces paiements ventilés </w:t>
            </w:r>
            <w:r w:rsidRPr="00830422">
              <w:rPr>
                <w:rFonts w:cstheme="minorHAnsi"/>
                <w:sz w:val="18"/>
                <w:szCs w:val="18"/>
              </w:rPr>
              <w:t xml:space="preserve">par </w:t>
            </w:r>
            <w:r w:rsidRPr="00A675AF">
              <w:rPr>
                <w:rFonts w:cstheme="minorHAnsi"/>
                <w:sz w:val="18"/>
                <w:szCs w:val="18"/>
              </w:rPr>
              <w:t>niveau d’authentification</w:t>
            </w:r>
            <w:r w:rsidRPr="00830422">
              <w:rPr>
                <w:rFonts w:cstheme="minorHAnsi"/>
                <w:sz w:val="18"/>
                <w:szCs w:val="18"/>
              </w:rPr>
              <w:t xml:space="preserve"> (</w:t>
            </w:r>
            <w:r w:rsidRPr="00A675AF">
              <w:rPr>
                <w:rFonts w:cstheme="minorHAnsi"/>
                <w:sz w:val="18"/>
                <w:szCs w:val="18"/>
              </w:rPr>
              <w:t>avec ou sans authentification forte</w:t>
            </w:r>
            <w:r w:rsidRPr="00830422">
              <w:rPr>
                <w:rFonts w:cstheme="minorHAnsi"/>
                <w:sz w:val="18"/>
                <w:szCs w:val="18"/>
              </w:rPr>
              <w:t>)</w:t>
            </w:r>
            <w:r>
              <w:rPr>
                <w:rFonts w:cstheme="minorHAnsi"/>
                <w:sz w:val="18"/>
                <w:szCs w:val="18"/>
              </w:rPr>
              <w:t>.</w:t>
            </w:r>
            <w:r w:rsidR="007514D6">
              <w:rPr>
                <w:rFonts w:cstheme="minorHAnsi"/>
                <w:sz w:val="18"/>
                <w:szCs w:val="18"/>
              </w:rPr>
              <w:t xml:space="preserve"> Cette règle s’applique à chaque schéma de carte.</w:t>
            </w:r>
          </w:p>
        </w:tc>
      </w:tr>
      <w:tr w:rsidR="007514D6" w:rsidRPr="00223702" w14:paraId="2B26A265" w14:textId="77777777" w:rsidTr="00762A44">
        <w:trPr>
          <w:trHeight w:val="513"/>
        </w:trPr>
        <w:tc>
          <w:tcPr>
            <w:tcW w:w="9054" w:type="dxa"/>
          </w:tcPr>
          <w:p w14:paraId="258CF1D8" w14:textId="6DDACDDE" w:rsidR="007514D6" w:rsidRDefault="007514D6" w:rsidP="007514D6">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et traités par CB est = à la somme de ces paiements ventilés </w:t>
            </w:r>
            <w:r w:rsidRPr="00830422">
              <w:rPr>
                <w:rFonts w:cstheme="minorHAnsi"/>
                <w:sz w:val="18"/>
                <w:szCs w:val="18"/>
              </w:rPr>
              <w:t xml:space="preserve">par </w:t>
            </w:r>
            <w:r w:rsidRPr="00A675AF">
              <w:rPr>
                <w:rFonts w:cstheme="minorHAnsi"/>
                <w:sz w:val="18"/>
                <w:szCs w:val="18"/>
              </w:rPr>
              <w:t>niveau d’authentification</w:t>
            </w:r>
            <w:r w:rsidRPr="00830422">
              <w:rPr>
                <w:rFonts w:cstheme="minorHAnsi"/>
                <w:sz w:val="18"/>
                <w:szCs w:val="18"/>
              </w:rPr>
              <w:t xml:space="preserve"> (</w:t>
            </w:r>
            <w:r w:rsidRPr="00A675AF">
              <w:rPr>
                <w:rFonts w:cstheme="minorHAnsi"/>
                <w:sz w:val="18"/>
                <w:szCs w:val="18"/>
              </w:rPr>
              <w:t>avec ou sans authentification forte</w:t>
            </w:r>
            <w:r w:rsidRPr="00830422">
              <w:rPr>
                <w:rFonts w:cstheme="minorHAnsi"/>
                <w:sz w:val="18"/>
                <w:szCs w:val="18"/>
              </w:rPr>
              <w:t>)</w:t>
            </w:r>
            <w:r>
              <w:rPr>
                <w:rFonts w:cstheme="minorHAnsi"/>
                <w:sz w:val="18"/>
                <w:szCs w:val="18"/>
              </w:rPr>
              <w:t>. Cette règle s’applique à chaque schéma de carte.</w:t>
            </w:r>
          </w:p>
        </w:tc>
      </w:tr>
      <w:tr w:rsidR="00B33F6D" w:rsidRPr="00132FFA" w14:paraId="628A8781" w14:textId="77777777" w:rsidTr="00762A44">
        <w:trPr>
          <w:trHeight w:val="536"/>
        </w:trPr>
        <w:tc>
          <w:tcPr>
            <w:tcW w:w="9054" w:type="dxa"/>
          </w:tcPr>
          <w:p w14:paraId="6C772045" w14:textId="47E15D2C" w:rsidR="00B33F6D" w:rsidRPr="00A675AF" w:rsidRDefault="00B33F6D" w:rsidP="000F0A1E">
            <w:pPr>
              <w:pStyle w:val="Paragraphedeliste"/>
              <w:autoSpaceDE w:val="0"/>
              <w:autoSpaceDN w:val="0"/>
              <w:adjustRightInd w:val="0"/>
              <w:ind w:left="0"/>
              <w:jc w:val="both"/>
              <w:rPr>
                <w:rFonts w:cstheme="minorHAnsi"/>
                <w:sz w:val="18"/>
                <w:szCs w:val="18"/>
              </w:rPr>
            </w:pPr>
            <w:r>
              <w:rPr>
                <w:rFonts w:cstheme="minorHAnsi"/>
                <w:sz w:val="18"/>
                <w:szCs w:val="18"/>
              </w:rPr>
              <w:t>Le total des</w:t>
            </w:r>
            <w:r w:rsidRPr="00A675AF">
              <w:rPr>
                <w:rFonts w:cstheme="minorHAnsi"/>
                <w:sz w:val="18"/>
                <w:szCs w:val="18"/>
              </w:rPr>
              <w:t xml:space="preserve"> paiements </w:t>
            </w:r>
            <w:r w:rsidR="007514D6">
              <w:rPr>
                <w:rFonts w:cstheme="minorHAnsi"/>
                <w:sz w:val="18"/>
                <w:szCs w:val="18"/>
              </w:rPr>
              <w:t xml:space="preserve">par carte initiés par voie électronique à distance et traités par CB </w:t>
            </w:r>
            <w:r w:rsidRPr="00A675AF">
              <w:rPr>
                <w:rFonts w:cstheme="minorHAnsi"/>
                <w:sz w:val="18"/>
                <w:szCs w:val="18"/>
              </w:rPr>
              <w:t xml:space="preserve">sans authentification forte </w:t>
            </w:r>
            <w:r>
              <w:rPr>
                <w:rFonts w:cstheme="minorHAnsi"/>
                <w:sz w:val="18"/>
                <w:szCs w:val="18"/>
              </w:rPr>
              <w:t>est =</w:t>
            </w:r>
            <w:r w:rsidR="007514D6">
              <w:rPr>
                <w:rFonts w:cstheme="minorHAnsi"/>
                <w:sz w:val="18"/>
                <w:szCs w:val="18"/>
              </w:rPr>
              <w:t xml:space="preserve"> à la somme de ces paiements ventilés </w:t>
            </w:r>
            <w:r w:rsidR="00AE5543">
              <w:rPr>
                <w:rFonts w:cstheme="minorHAnsi"/>
                <w:sz w:val="18"/>
                <w:szCs w:val="18"/>
              </w:rPr>
              <w:t>p</w:t>
            </w:r>
            <w:r w:rsidR="000F0A1E">
              <w:rPr>
                <w:rFonts w:cstheme="minorHAnsi"/>
                <w:sz w:val="18"/>
                <w:szCs w:val="18"/>
              </w:rPr>
              <w:t>ar motif d’exemption</w:t>
            </w:r>
            <w:r>
              <w:rPr>
                <w:rFonts w:cstheme="minorHAnsi"/>
                <w:sz w:val="18"/>
                <w:szCs w:val="18"/>
              </w:rPr>
              <w:t>.</w:t>
            </w:r>
            <w:r w:rsidR="007514D6">
              <w:rPr>
                <w:rFonts w:cstheme="minorHAnsi"/>
                <w:sz w:val="18"/>
                <w:szCs w:val="18"/>
              </w:rPr>
              <w:t xml:space="preserve"> Cette règle s’applique à chaque schéma de carte.</w:t>
            </w:r>
          </w:p>
        </w:tc>
      </w:tr>
      <w:tr w:rsidR="007514D6" w:rsidRPr="00132FFA" w14:paraId="76382E35" w14:textId="77777777" w:rsidTr="00762A44">
        <w:trPr>
          <w:trHeight w:val="536"/>
        </w:trPr>
        <w:tc>
          <w:tcPr>
            <w:tcW w:w="9054" w:type="dxa"/>
          </w:tcPr>
          <w:p w14:paraId="7801C038" w14:textId="40041D7A" w:rsidR="007514D6" w:rsidRDefault="007514D6" w:rsidP="000F0A1E">
            <w:pPr>
              <w:pStyle w:val="Paragraphedeliste"/>
              <w:autoSpaceDE w:val="0"/>
              <w:autoSpaceDN w:val="0"/>
              <w:adjustRightInd w:val="0"/>
              <w:ind w:left="0"/>
              <w:jc w:val="both"/>
              <w:rPr>
                <w:rFonts w:cstheme="minorHAnsi"/>
                <w:sz w:val="18"/>
                <w:szCs w:val="18"/>
              </w:rPr>
            </w:pPr>
            <w:r>
              <w:rPr>
                <w:rFonts w:cstheme="minorHAnsi"/>
                <w:sz w:val="18"/>
                <w:szCs w:val="18"/>
              </w:rPr>
              <w:t>Le total des</w:t>
            </w:r>
            <w:r w:rsidRPr="00A675AF">
              <w:rPr>
                <w:rFonts w:cstheme="minorHAnsi"/>
                <w:sz w:val="18"/>
                <w:szCs w:val="18"/>
              </w:rPr>
              <w:t xml:space="preserve"> paiements </w:t>
            </w:r>
            <w:r>
              <w:rPr>
                <w:rFonts w:cstheme="minorHAnsi"/>
                <w:sz w:val="18"/>
                <w:szCs w:val="18"/>
              </w:rPr>
              <w:t xml:space="preserve">par carte initiés par voie électronique en proximité et traités par CB </w:t>
            </w:r>
            <w:r w:rsidRPr="00A675AF">
              <w:rPr>
                <w:rFonts w:cstheme="minorHAnsi"/>
                <w:sz w:val="18"/>
                <w:szCs w:val="18"/>
              </w:rPr>
              <w:t xml:space="preserve">sans authentification forte </w:t>
            </w:r>
            <w:r>
              <w:rPr>
                <w:rFonts w:cstheme="minorHAnsi"/>
                <w:sz w:val="18"/>
                <w:szCs w:val="18"/>
              </w:rPr>
              <w:t>est = à la somme de ces paiements ventilés p</w:t>
            </w:r>
            <w:r w:rsidRPr="00A675AF">
              <w:rPr>
                <w:rFonts w:cstheme="minorHAnsi"/>
                <w:sz w:val="18"/>
                <w:szCs w:val="18"/>
              </w:rPr>
              <w:t>ar motif d’exemption</w:t>
            </w:r>
            <w:r>
              <w:rPr>
                <w:rFonts w:cstheme="minorHAnsi"/>
                <w:sz w:val="18"/>
                <w:szCs w:val="18"/>
              </w:rPr>
              <w:t>. Cette règle s’applique à chaque schéma de carte.</w:t>
            </w:r>
          </w:p>
        </w:tc>
      </w:tr>
      <w:tr w:rsidR="00D0117C" w:rsidRPr="00132FFA" w14:paraId="03D99546" w14:textId="77777777" w:rsidTr="00762A44">
        <w:trPr>
          <w:trHeight w:val="536"/>
        </w:trPr>
        <w:tc>
          <w:tcPr>
            <w:tcW w:w="9054" w:type="dxa"/>
          </w:tcPr>
          <w:p w14:paraId="0CB48185" w14:textId="11218E04" w:rsidR="00D0117C" w:rsidRDefault="00D0117C" w:rsidP="000F0A1E">
            <w:pPr>
              <w:pStyle w:val="Paragraphedeliste"/>
              <w:autoSpaceDE w:val="0"/>
              <w:autoSpaceDN w:val="0"/>
              <w:adjustRightInd w:val="0"/>
              <w:ind w:left="0"/>
              <w:jc w:val="both"/>
              <w:rPr>
                <w:rFonts w:cstheme="minorHAnsi"/>
                <w:sz w:val="18"/>
                <w:szCs w:val="18"/>
              </w:rPr>
            </w:pPr>
            <w:r w:rsidRPr="00B432B9">
              <w:rPr>
                <w:rFonts w:cstheme="minorHAnsi"/>
                <w:sz w:val="18"/>
                <w:szCs w:val="18"/>
                <w:highlight w:val="yellow"/>
              </w:rPr>
              <w:t>Le total des paiements par carte initiés par voie électronique en proximité via un appareil mobile est &lt; ou = aux paiements sans contact.</w:t>
            </w:r>
            <w:r>
              <w:rPr>
                <w:rFonts w:cstheme="minorHAnsi"/>
                <w:sz w:val="18"/>
                <w:szCs w:val="18"/>
              </w:rPr>
              <w:t xml:space="preserve"> </w:t>
            </w:r>
          </w:p>
        </w:tc>
      </w:tr>
    </w:tbl>
    <w:p w14:paraId="1033FEB5" w14:textId="222C358B" w:rsidR="009E141A" w:rsidRDefault="009E141A" w:rsidP="009E141A">
      <w:pPr>
        <w:pStyle w:val="Paragraphedeliste"/>
        <w:autoSpaceDE w:val="0"/>
        <w:autoSpaceDN w:val="0"/>
        <w:adjustRightInd w:val="0"/>
        <w:spacing w:after="0" w:line="240" w:lineRule="auto"/>
        <w:jc w:val="both"/>
        <w:rPr>
          <w:rFonts w:cstheme="minorHAnsi"/>
        </w:rPr>
      </w:pPr>
    </w:p>
    <w:p w14:paraId="04B5BAB1" w14:textId="77777777" w:rsidR="00A96608" w:rsidRPr="00926750" w:rsidRDefault="00A96608" w:rsidP="009E141A">
      <w:pPr>
        <w:pStyle w:val="Paragraphedeliste"/>
        <w:autoSpaceDE w:val="0"/>
        <w:autoSpaceDN w:val="0"/>
        <w:adjustRightInd w:val="0"/>
        <w:spacing w:after="0" w:line="240" w:lineRule="auto"/>
        <w:jc w:val="both"/>
        <w:rPr>
          <w:rFonts w:cstheme="minorHAnsi"/>
        </w:rPr>
      </w:pPr>
    </w:p>
    <w:p w14:paraId="69A7ACF6" w14:textId="08EFC4EB" w:rsidR="005C04A1" w:rsidRPr="00594FDC" w:rsidRDefault="007D1724" w:rsidP="006B400E">
      <w:pPr>
        <w:pStyle w:val="Titre4"/>
        <w:numPr>
          <w:ilvl w:val="3"/>
          <w:numId w:val="20"/>
        </w:numPr>
      </w:pPr>
      <w:bookmarkStart w:id="32" w:name="_Toc222476863"/>
      <w:r w:rsidRPr="00594FDC">
        <w:t>O</w:t>
      </w:r>
      <w:r w:rsidR="002A03DC" w:rsidRPr="00594FDC">
        <w:t>pérations de paiement</w:t>
      </w:r>
      <w:r w:rsidRPr="00594FDC">
        <w:t xml:space="preserve"> ventilées </w:t>
      </w:r>
      <w:r w:rsidR="005C04A1" w:rsidRPr="00594FDC">
        <w:t xml:space="preserve">par </w:t>
      </w:r>
      <w:r w:rsidR="00A707C6" w:rsidRPr="00594FDC">
        <w:t>canal d’échange</w:t>
      </w:r>
      <w:bookmarkEnd w:id="32"/>
    </w:p>
    <w:p w14:paraId="6A1732C4" w14:textId="170377F3" w:rsidR="00D50ACE" w:rsidRDefault="00D50ACE" w:rsidP="005C04A1">
      <w:pPr>
        <w:spacing w:after="0" w:line="240" w:lineRule="auto"/>
        <w:rPr>
          <w:rFonts w:ascii="Calibri" w:eastAsia="Times New Roman" w:hAnsi="Calibri" w:cs="Calibri"/>
          <w:b/>
          <w:smallCaps/>
          <w:sz w:val="24"/>
          <w:szCs w:val="24"/>
          <w:lang w:eastAsia="fr-FR"/>
        </w:rPr>
      </w:pPr>
    </w:p>
    <w:p w14:paraId="328ED702" w14:textId="375F35B4" w:rsidR="00D50ACE" w:rsidRDefault="00D50ACE" w:rsidP="00D50ACE">
      <w:pPr>
        <w:spacing w:after="0" w:line="240" w:lineRule="auto"/>
        <w:jc w:val="both"/>
        <w:rPr>
          <w:rFonts w:cstheme="minorHAnsi"/>
        </w:rPr>
      </w:pPr>
      <w:r w:rsidRPr="00C714BD">
        <w:rPr>
          <w:rFonts w:cstheme="minorHAnsi"/>
        </w:rPr>
        <w:t>Il s</w:t>
      </w:r>
      <w:r>
        <w:rPr>
          <w:rFonts w:cstheme="minorHAnsi"/>
        </w:rPr>
        <w:t xml:space="preserve">’agit de déclarer, en nombre et valeur, les </w:t>
      </w:r>
      <w:r w:rsidR="00212F93">
        <w:rPr>
          <w:rFonts w:cstheme="minorHAnsi"/>
        </w:rPr>
        <w:t xml:space="preserve">opérations </w:t>
      </w:r>
      <w:r>
        <w:rPr>
          <w:rFonts w:cstheme="minorHAnsi"/>
        </w:rPr>
        <w:t>de paiement effectuées à partir de ca</w:t>
      </w:r>
      <w:r w:rsidR="00A77918">
        <w:rPr>
          <w:rFonts w:cstheme="minorHAnsi"/>
        </w:rPr>
        <w:t xml:space="preserve">rtes émises par l’établissement avec une ventilation par </w:t>
      </w:r>
      <w:r w:rsidR="00536A48">
        <w:rPr>
          <w:rFonts w:cstheme="minorHAnsi"/>
        </w:rPr>
        <w:t xml:space="preserve">circuit d’échange utilisé pour </w:t>
      </w:r>
      <w:r w:rsidR="004A71A4">
        <w:rPr>
          <w:rFonts w:cstheme="minorHAnsi"/>
        </w:rPr>
        <w:t>effectuer le transfert des fonds</w:t>
      </w:r>
      <w:r w:rsidR="00A77918">
        <w:rPr>
          <w:rFonts w:cstheme="minorHAnsi"/>
        </w:rPr>
        <w:t>.</w:t>
      </w:r>
    </w:p>
    <w:p w14:paraId="7B1D6A95" w14:textId="77777777" w:rsidR="00D50ACE" w:rsidRPr="00C50A22" w:rsidRDefault="00D50ACE" w:rsidP="00C50A22">
      <w:pPr>
        <w:spacing w:after="0" w:line="240" w:lineRule="auto"/>
        <w:jc w:val="both"/>
      </w:pPr>
    </w:p>
    <w:p w14:paraId="3FD35860" w14:textId="77777777" w:rsidR="007578FE" w:rsidRDefault="007578FE" w:rsidP="007578FE">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75A4883A" w14:textId="29F23E4E" w:rsidR="005C04A1" w:rsidRDefault="007578FE" w:rsidP="00C50A22">
      <w:pPr>
        <w:tabs>
          <w:tab w:val="left" w:pos="2168"/>
        </w:tabs>
        <w:spacing w:after="0" w:line="240" w:lineRule="auto"/>
        <w:rPr>
          <w:rFonts w:ascii="Calibri" w:eastAsia="Times New Roman" w:hAnsi="Calibri" w:cs="Calibri"/>
          <w:sz w:val="20"/>
          <w:szCs w:val="20"/>
          <w:lang w:eastAsia="fr-FR"/>
        </w:rPr>
      </w:pPr>
      <w:r>
        <w:rPr>
          <w:rFonts w:ascii="Calibri" w:eastAsia="Times New Roman" w:hAnsi="Calibri" w:cs="Calibri"/>
          <w:b/>
          <w:smallCaps/>
          <w:sz w:val="24"/>
          <w:szCs w:val="24"/>
          <w:lang w:eastAsia="fr-FR"/>
        </w:rPr>
        <w:tab/>
      </w:r>
    </w:p>
    <w:tbl>
      <w:tblPr>
        <w:tblStyle w:val="Tableausimple2"/>
        <w:tblW w:w="8931" w:type="dxa"/>
        <w:tblLook w:val="04A0" w:firstRow="1" w:lastRow="0" w:firstColumn="1" w:lastColumn="0" w:noHBand="0" w:noVBand="1"/>
      </w:tblPr>
      <w:tblGrid>
        <w:gridCol w:w="414"/>
        <w:gridCol w:w="2280"/>
        <w:gridCol w:w="2409"/>
        <w:gridCol w:w="1276"/>
        <w:gridCol w:w="1276"/>
        <w:gridCol w:w="1276"/>
      </w:tblGrid>
      <w:tr w:rsidR="0055426C" w:rsidRPr="004559C1" w14:paraId="18B27106" w14:textId="77777777" w:rsidTr="00B4200A">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18" w:space="0" w:color="5B9BD5" w:themeColor="accent1"/>
              <w:bottom w:val="single" w:sz="4" w:space="0" w:color="5B9BD5" w:themeColor="accent1"/>
              <w:right w:val="single" w:sz="4" w:space="0" w:color="5B9BD5" w:themeColor="accent1"/>
            </w:tcBorders>
            <w:noWrap/>
          </w:tcPr>
          <w:p w14:paraId="3C445658" w14:textId="77777777" w:rsidR="0055426C" w:rsidRPr="00703F2D" w:rsidRDefault="0055426C" w:rsidP="0055426C">
            <w:pPr>
              <w:rPr>
                <w:rFonts w:ascii="Calibri" w:eastAsia="Times New Roman" w:hAnsi="Calibri" w:cs="Calibri"/>
                <w:i/>
                <w:sz w:val="18"/>
                <w:szCs w:val="18"/>
                <w:lang w:eastAsia="fr-FR"/>
              </w:rPr>
            </w:pPr>
          </w:p>
        </w:tc>
        <w:tc>
          <w:tcPr>
            <w:tcW w:w="240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24B15034" w14:textId="77777777" w:rsidR="0055426C" w:rsidRDefault="0055426C" w:rsidP="0055426C">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127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clear" w:color="auto" w:fill="A6A6A6" w:themeFill="background1" w:themeFillShade="A6"/>
            <w:noWrap/>
          </w:tcPr>
          <w:p w14:paraId="415E9363" w14:textId="350C1880" w:rsidR="0055426C" w:rsidRPr="00D56C5E" w:rsidRDefault="0055426C" w:rsidP="0055426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127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4491527" w14:textId="11702ADD" w:rsidR="0055426C" w:rsidRDefault="0055426C" w:rsidP="0055426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1276" w:type="dxa"/>
            <w:tcBorders>
              <w:top w:val="single" w:sz="18" w:space="0" w:color="5B9BD5" w:themeColor="accent1"/>
              <w:left w:val="single" w:sz="2" w:space="0" w:color="5B9BD5" w:themeColor="accent1"/>
              <w:bottom w:val="single" w:sz="18" w:space="0" w:color="5B9BD5" w:themeColor="accent1"/>
            </w:tcBorders>
            <w:shd w:val="solid" w:color="FFFFFF" w:fill="000000"/>
          </w:tcPr>
          <w:p w14:paraId="172916B0" w14:textId="77777777" w:rsidR="0055426C" w:rsidRPr="007D187B" w:rsidRDefault="0055426C" w:rsidP="0055426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62BD715A" w14:textId="1E580C78" w:rsidR="0055426C" w:rsidRDefault="0055426C" w:rsidP="0055426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sidRPr="007D187B">
              <w:rPr>
                <w:rFonts w:cstheme="minorHAnsi"/>
                <w:bCs w:val="0"/>
                <w:sz w:val="14"/>
                <w:szCs w:val="18"/>
              </w:rPr>
              <w:t>euros</w:t>
            </w:r>
            <w:proofErr w:type="gramEnd"/>
          </w:p>
        </w:tc>
      </w:tr>
      <w:tr w:rsidR="0055426C" w:rsidRPr="004559C1" w14:paraId="0A467770" w14:textId="27E2DBBD" w:rsidTr="0055426C">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18" w:space="0" w:color="5B9BD5" w:themeColor="accent1"/>
              <w:bottom w:val="single" w:sz="4" w:space="0" w:color="5B9BD5" w:themeColor="accent1"/>
              <w:right w:val="single" w:sz="4" w:space="0" w:color="5B9BD5" w:themeColor="accent1"/>
            </w:tcBorders>
            <w:noWrap/>
            <w:hideMark/>
          </w:tcPr>
          <w:p w14:paraId="440B02F2" w14:textId="54CA95BB" w:rsidR="0055426C" w:rsidRPr="00703F2D" w:rsidRDefault="0055426C" w:rsidP="004559C1">
            <w:pPr>
              <w:rPr>
                <w:rFonts w:ascii="Calibri" w:eastAsia="Times New Roman" w:hAnsi="Calibri" w:cs="Calibri"/>
                <w:i/>
                <w:sz w:val="18"/>
                <w:szCs w:val="18"/>
                <w:lang w:eastAsia="fr-FR"/>
              </w:rPr>
            </w:pPr>
            <w:r w:rsidRPr="00703F2D">
              <w:rPr>
                <w:rFonts w:ascii="Calibri" w:eastAsia="Times New Roman" w:hAnsi="Calibri" w:cs="Calibri"/>
                <w:i/>
                <w:sz w:val="18"/>
                <w:szCs w:val="18"/>
                <w:lang w:eastAsia="fr-FR"/>
              </w:rPr>
              <w:t>Dont transactions interbancaires</w:t>
            </w:r>
          </w:p>
        </w:tc>
        <w:tc>
          <w:tcPr>
            <w:tcW w:w="240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757CCAB6" w14:textId="7ADEFAED" w:rsidR="0055426C" w:rsidRPr="00D56C5E" w:rsidRDefault="0055426C" w:rsidP="00FA5C8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Pr>
                <w:rFonts w:ascii="Calibri" w:eastAsia="Times New Roman" w:hAnsi="Calibri" w:cs="Calibri"/>
                <w:b/>
                <w:sz w:val="18"/>
                <w:szCs w:val="18"/>
                <w:lang w:eastAsia="fr-FR"/>
              </w:rPr>
              <w:t>Transfert des fonds effectué via un système de paiement.</w:t>
            </w:r>
          </w:p>
        </w:tc>
        <w:tc>
          <w:tcPr>
            <w:tcW w:w="1276"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4F79AF4A" w14:textId="234C4BFC" w:rsidR="0055426C" w:rsidRPr="00D56C5E" w:rsidRDefault="0055426C"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276" w:type="dxa"/>
            <w:tcBorders>
              <w:top w:val="single" w:sz="18" w:space="0" w:color="5B9BD5" w:themeColor="accent1"/>
              <w:left w:val="single" w:sz="4" w:space="0" w:color="5B9BD5" w:themeColor="accent1"/>
              <w:bottom w:val="single" w:sz="4" w:space="0" w:color="5B9BD5" w:themeColor="accent1"/>
            </w:tcBorders>
          </w:tcPr>
          <w:p w14:paraId="59CA0931" w14:textId="77777777" w:rsidR="0055426C" w:rsidRDefault="0055426C"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276" w:type="dxa"/>
            <w:tcBorders>
              <w:top w:val="single" w:sz="18" w:space="0" w:color="5B9BD5" w:themeColor="accent1"/>
              <w:left w:val="single" w:sz="4" w:space="0" w:color="5B9BD5" w:themeColor="accent1"/>
              <w:bottom w:val="single" w:sz="4" w:space="0" w:color="5B9BD5" w:themeColor="accent1"/>
            </w:tcBorders>
          </w:tcPr>
          <w:p w14:paraId="4514B9C7" w14:textId="77777777" w:rsidR="0055426C" w:rsidRDefault="0055426C"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55426C" w:rsidRPr="004559C1" w14:paraId="489AE69E" w14:textId="4727D225" w:rsidTr="0055426C">
        <w:trPr>
          <w:trHeight w:val="252"/>
        </w:trPr>
        <w:tc>
          <w:tcPr>
            <w:cnfStyle w:val="001000000000" w:firstRow="0" w:lastRow="0" w:firstColumn="1" w:lastColumn="0" w:oddVBand="0" w:evenVBand="0" w:oddHBand="0" w:evenHBand="0" w:firstRowFirstColumn="0" w:firstRowLastColumn="0" w:lastRowFirstColumn="0" w:lastRowLastColumn="0"/>
            <w:tcW w:w="414" w:type="dxa"/>
            <w:noWrap/>
            <w:hideMark/>
          </w:tcPr>
          <w:p w14:paraId="4C60B716" w14:textId="574D47B0" w:rsidR="0055426C" w:rsidRPr="00D56C5E" w:rsidRDefault="0055426C" w:rsidP="004559C1">
            <w:pPr>
              <w:rPr>
                <w:rFonts w:ascii="Calibri" w:eastAsia="Times New Roman" w:hAnsi="Calibri" w:cs="Calibri"/>
                <w:b w:val="0"/>
                <w:i/>
                <w:sz w:val="18"/>
                <w:szCs w:val="18"/>
                <w:lang w:eastAsia="fr-FR"/>
              </w:rPr>
            </w:pPr>
          </w:p>
        </w:tc>
        <w:tc>
          <w:tcPr>
            <w:tcW w:w="2280" w:type="dxa"/>
            <w:tcBorders>
              <w:top w:val="single" w:sz="4" w:space="0" w:color="5B9BD5" w:themeColor="accent1"/>
              <w:bottom w:val="single" w:sz="4" w:space="0" w:color="5B9BD5" w:themeColor="accent1"/>
              <w:right w:val="single" w:sz="4" w:space="0" w:color="5B9BD5" w:themeColor="accent1"/>
            </w:tcBorders>
            <w:noWrap/>
            <w:hideMark/>
          </w:tcPr>
          <w:p w14:paraId="355CB80F" w14:textId="4AC412DD" w:rsidR="0055426C" w:rsidRPr="00D56C5E" w:rsidRDefault="0055426C" w:rsidP="004559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56C5E">
              <w:rPr>
                <w:rFonts w:ascii="Calibri" w:eastAsia="Times New Roman" w:hAnsi="Calibri" w:cs="Calibri"/>
                <w:i/>
                <w:sz w:val="18"/>
                <w:szCs w:val="18"/>
                <w:lang w:eastAsia="fr-FR"/>
              </w:rPr>
              <w:t>Dont STET</w:t>
            </w:r>
            <w:r>
              <w:rPr>
                <w:rFonts w:ascii="Calibri" w:eastAsia="Times New Roman" w:hAnsi="Calibri" w:cs="Calibri"/>
                <w:i/>
                <w:sz w:val="18"/>
                <w:szCs w:val="18"/>
                <w:lang w:eastAsia="fr-FR"/>
              </w:rPr>
              <w:t xml:space="preserve"> –</w:t>
            </w:r>
            <w:r w:rsidRPr="00D56C5E">
              <w:rPr>
                <w:rFonts w:ascii="Calibri" w:eastAsia="Times New Roman" w:hAnsi="Calibri" w:cs="Calibri"/>
                <w:i/>
                <w:sz w:val="18"/>
                <w:szCs w:val="18"/>
                <w:lang w:eastAsia="fr-FR"/>
              </w:rPr>
              <w:t>CORE</w:t>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10DF4F6" w14:textId="30932211" w:rsidR="0055426C" w:rsidRPr="00D56C5E" w:rsidRDefault="0055426C" w:rsidP="004A71A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Système de paiement de détail implanté en France.</w:t>
            </w:r>
          </w:p>
        </w:tc>
        <w:tc>
          <w:tcPr>
            <w:tcW w:w="1276"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4F7B4F38" w14:textId="410BBC64" w:rsidR="0055426C" w:rsidRPr="00D56C5E" w:rsidRDefault="0055426C"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4" w:space="0" w:color="5B9BD5" w:themeColor="accent1"/>
            </w:tcBorders>
          </w:tcPr>
          <w:p w14:paraId="4F6EEA1B" w14:textId="77777777" w:rsidR="0055426C" w:rsidRDefault="0055426C"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4" w:space="0" w:color="5B9BD5" w:themeColor="accent1"/>
            </w:tcBorders>
          </w:tcPr>
          <w:p w14:paraId="5DB5C0E3" w14:textId="77777777" w:rsidR="0055426C" w:rsidRDefault="0055426C"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55426C" w:rsidRPr="004559C1" w14:paraId="0FA0EF00" w14:textId="20B5B070" w:rsidTr="0055426C">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414" w:type="dxa"/>
            <w:noWrap/>
          </w:tcPr>
          <w:p w14:paraId="7DDE432F" w14:textId="77777777" w:rsidR="0055426C" w:rsidRPr="00D56C5E" w:rsidRDefault="0055426C" w:rsidP="004559C1">
            <w:pPr>
              <w:rPr>
                <w:rFonts w:ascii="Calibri" w:eastAsia="Times New Roman" w:hAnsi="Calibri" w:cs="Calibri"/>
                <w:b w:val="0"/>
                <w:i/>
                <w:sz w:val="18"/>
                <w:szCs w:val="18"/>
                <w:lang w:eastAsia="fr-FR"/>
              </w:rPr>
            </w:pPr>
          </w:p>
        </w:tc>
        <w:tc>
          <w:tcPr>
            <w:tcW w:w="2280" w:type="dxa"/>
            <w:tcBorders>
              <w:top w:val="single" w:sz="4" w:space="0" w:color="5B9BD5" w:themeColor="accent1"/>
              <w:bottom w:val="single" w:sz="4" w:space="0" w:color="5B9BD5" w:themeColor="accent1"/>
              <w:right w:val="single" w:sz="4" w:space="0" w:color="5B9BD5" w:themeColor="accent1"/>
            </w:tcBorders>
            <w:noWrap/>
          </w:tcPr>
          <w:p w14:paraId="52C4705D" w14:textId="74B66C6D" w:rsidR="0055426C" w:rsidRPr="00D56C5E" w:rsidRDefault="0055426C" w:rsidP="004559C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56C5E">
              <w:rPr>
                <w:rFonts w:ascii="Calibri" w:eastAsia="Times New Roman" w:hAnsi="Calibri" w:cs="Calibri"/>
                <w:i/>
                <w:sz w:val="18"/>
                <w:szCs w:val="18"/>
                <w:lang w:eastAsia="fr-FR"/>
              </w:rPr>
              <w:t>Dont autres systèmes</w:t>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517773A" w14:textId="2D76D580" w:rsidR="0055426C" w:rsidRDefault="0055426C" w:rsidP="004A71A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Systèmes de paiement de détail non implantés en France.</w:t>
            </w:r>
          </w:p>
        </w:tc>
        <w:tc>
          <w:tcPr>
            <w:tcW w:w="1276"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0045C4F1" w14:textId="7A472ADB" w:rsidR="0055426C" w:rsidRPr="00D56C5E" w:rsidRDefault="0055426C"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4" w:space="0" w:color="5B9BD5" w:themeColor="accent1"/>
            </w:tcBorders>
          </w:tcPr>
          <w:p w14:paraId="474A120E" w14:textId="77777777" w:rsidR="0055426C" w:rsidRDefault="0055426C"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4" w:space="0" w:color="5B9BD5" w:themeColor="accent1"/>
            </w:tcBorders>
          </w:tcPr>
          <w:p w14:paraId="753E88B5" w14:textId="77777777" w:rsidR="0055426C" w:rsidRDefault="0055426C"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55426C" w:rsidRPr="004559C1" w14:paraId="34A4CB53" w14:textId="7B0F87A7" w:rsidTr="0055426C">
        <w:trPr>
          <w:trHeight w:val="252"/>
        </w:trPr>
        <w:tc>
          <w:tcPr>
            <w:cnfStyle w:val="001000000000" w:firstRow="0" w:lastRow="0" w:firstColumn="1" w:lastColumn="0" w:oddVBand="0" w:evenVBand="0" w:oddHBand="0" w:evenHBand="0" w:firstRowFirstColumn="0" w:firstRowLastColumn="0" w:lastRowFirstColumn="0" w:lastRowLastColumn="0"/>
            <w:tcW w:w="414" w:type="dxa"/>
            <w:noWrap/>
          </w:tcPr>
          <w:p w14:paraId="63AE83B4" w14:textId="77777777" w:rsidR="0055426C" w:rsidRPr="00D56C5E" w:rsidRDefault="0055426C" w:rsidP="004111CE">
            <w:pPr>
              <w:rPr>
                <w:rFonts w:ascii="Calibri" w:eastAsia="Times New Roman" w:hAnsi="Calibri" w:cs="Calibri"/>
                <w:b w:val="0"/>
                <w:i/>
                <w:sz w:val="18"/>
                <w:szCs w:val="18"/>
                <w:lang w:eastAsia="fr-FR"/>
              </w:rPr>
            </w:pPr>
          </w:p>
        </w:tc>
        <w:tc>
          <w:tcPr>
            <w:tcW w:w="2280" w:type="dxa"/>
            <w:tcBorders>
              <w:top w:val="single" w:sz="4" w:space="0" w:color="5B9BD5" w:themeColor="accent1"/>
              <w:bottom w:val="single" w:sz="4" w:space="0" w:color="5B9BD5" w:themeColor="accent1"/>
              <w:right w:val="single" w:sz="4" w:space="0" w:color="5B9BD5" w:themeColor="accent1"/>
            </w:tcBorders>
            <w:noWrap/>
          </w:tcPr>
          <w:p w14:paraId="38FF8F65" w14:textId="7CBE116B" w:rsidR="0055426C" w:rsidRPr="00D56C5E" w:rsidRDefault="0055426C" w:rsidP="004111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56C5E">
              <w:rPr>
                <w:rFonts w:ascii="Calibri" w:eastAsia="Times New Roman" w:hAnsi="Calibri" w:cs="Calibri"/>
                <w:i/>
                <w:sz w:val="18"/>
                <w:szCs w:val="18"/>
                <w:lang w:eastAsia="fr-FR"/>
              </w:rPr>
              <w:t>Dont hors système</w:t>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F2CEAF6" w14:textId="4AD5E1AA" w:rsidR="0055426C" w:rsidRDefault="0055426C" w:rsidP="004111CE">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707C6">
              <w:rPr>
                <w:rFonts w:ascii="Calibri" w:eastAsia="Times New Roman" w:hAnsi="Calibri" w:cs="Calibri"/>
                <w:sz w:val="18"/>
                <w:szCs w:val="18"/>
                <w:lang w:eastAsia="fr-FR"/>
              </w:rPr>
              <w:t xml:space="preserve">Transfert des fonds effectué </w:t>
            </w:r>
            <w:r>
              <w:rPr>
                <w:rFonts w:ascii="Calibri" w:eastAsia="Times New Roman" w:hAnsi="Calibri" w:cs="Calibri"/>
                <w:sz w:val="18"/>
                <w:szCs w:val="18"/>
                <w:lang w:eastAsia="fr-FR"/>
              </w:rPr>
              <w:t xml:space="preserve">hors </w:t>
            </w:r>
            <w:r w:rsidRPr="00A707C6">
              <w:rPr>
                <w:rFonts w:ascii="Calibri" w:eastAsia="Times New Roman" w:hAnsi="Calibri" w:cs="Calibri"/>
                <w:sz w:val="18"/>
                <w:szCs w:val="18"/>
                <w:lang w:eastAsia="fr-FR"/>
              </w:rPr>
              <w:t>système de paiement.</w:t>
            </w:r>
          </w:p>
        </w:tc>
        <w:tc>
          <w:tcPr>
            <w:tcW w:w="1276"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393EADF8" w14:textId="17440E4B" w:rsidR="0055426C" w:rsidRPr="00D56C5E" w:rsidRDefault="0055426C" w:rsidP="004111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4" w:space="0" w:color="5B9BD5" w:themeColor="accent1"/>
            </w:tcBorders>
          </w:tcPr>
          <w:p w14:paraId="40DC40AA" w14:textId="77777777" w:rsidR="0055426C" w:rsidRDefault="0055426C" w:rsidP="004111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4" w:space="0" w:color="5B9BD5" w:themeColor="accent1"/>
            </w:tcBorders>
          </w:tcPr>
          <w:p w14:paraId="1DD41445" w14:textId="77777777" w:rsidR="0055426C" w:rsidRDefault="0055426C" w:rsidP="004111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55426C" w:rsidRPr="004559C1" w14:paraId="01046357" w14:textId="6C1A659E" w:rsidTr="0055426C">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4" w:space="0" w:color="5B9BD5" w:themeColor="accent1"/>
              <w:bottom w:val="single" w:sz="4" w:space="0" w:color="5B9BD5" w:themeColor="accent1"/>
              <w:right w:val="single" w:sz="4" w:space="0" w:color="5B9BD5" w:themeColor="accent1"/>
            </w:tcBorders>
            <w:noWrap/>
            <w:hideMark/>
          </w:tcPr>
          <w:p w14:paraId="0B849298" w14:textId="0AC66F8A" w:rsidR="0055426C" w:rsidRPr="00703F2D" w:rsidRDefault="0055426C" w:rsidP="004111CE">
            <w:pPr>
              <w:rPr>
                <w:rFonts w:ascii="Calibri" w:eastAsia="Times New Roman" w:hAnsi="Calibri" w:cs="Calibri"/>
                <w:i/>
                <w:sz w:val="18"/>
                <w:szCs w:val="18"/>
                <w:lang w:eastAsia="fr-FR"/>
              </w:rPr>
            </w:pPr>
            <w:r w:rsidRPr="00703F2D">
              <w:rPr>
                <w:rFonts w:ascii="Calibri" w:eastAsia="Times New Roman" w:hAnsi="Calibri" w:cs="Calibri"/>
                <w:i/>
                <w:sz w:val="18"/>
                <w:szCs w:val="18"/>
                <w:lang w:eastAsia="fr-FR"/>
              </w:rPr>
              <w:t xml:space="preserve">Dont transactions </w:t>
            </w:r>
            <w:proofErr w:type="spellStart"/>
            <w:r w:rsidRPr="00703F2D">
              <w:rPr>
                <w:rFonts w:ascii="Calibri" w:eastAsia="Times New Roman" w:hAnsi="Calibri" w:cs="Calibri"/>
                <w:i/>
                <w:sz w:val="18"/>
                <w:szCs w:val="18"/>
                <w:lang w:eastAsia="fr-FR"/>
              </w:rPr>
              <w:t>intrabancaires</w:t>
            </w:r>
            <w:proofErr w:type="spellEnd"/>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7F8769B" w14:textId="30A8B99F" w:rsidR="0055426C" w:rsidRPr="00D56C5E" w:rsidRDefault="0055426C" w:rsidP="004111C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Transfert des fonds entre 2 comptes de paiement tenus par l’établissement sans recours à un système de paiement.</w:t>
            </w:r>
          </w:p>
        </w:tc>
        <w:tc>
          <w:tcPr>
            <w:tcW w:w="1276"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11EB0AA7" w14:textId="28E51B1B" w:rsidR="0055426C" w:rsidRPr="00D56C5E" w:rsidRDefault="0055426C" w:rsidP="004111C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4" w:space="0" w:color="5B9BD5" w:themeColor="accent1"/>
            </w:tcBorders>
          </w:tcPr>
          <w:p w14:paraId="6DA4C7E0" w14:textId="77777777" w:rsidR="0055426C" w:rsidRDefault="0055426C" w:rsidP="004111C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4" w:space="0" w:color="5B9BD5" w:themeColor="accent1"/>
            </w:tcBorders>
          </w:tcPr>
          <w:p w14:paraId="4BB95456" w14:textId="77777777" w:rsidR="0055426C" w:rsidRDefault="0055426C" w:rsidP="004111C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55426C" w:rsidRPr="004559C1" w14:paraId="43206B7A" w14:textId="1FE53D7D" w:rsidTr="0055426C">
        <w:trPr>
          <w:trHeight w:val="252"/>
        </w:trPr>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4" w:space="0" w:color="5B9BD5" w:themeColor="accent1"/>
              <w:bottom w:val="single" w:sz="18" w:space="0" w:color="5B9BD5" w:themeColor="accent1"/>
              <w:right w:val="single" w:sz="4" w:space="0" w:color="5B9BD5" w:themeColor="accent1"/>
            </w:tcBorders>
            <w:noWrap/>
            <w:hideMark/>
          </w:tcPr>
          <w:p w14:paraId="2063BCB3" w14:textId="79B1A7A5" w:rsidR="0055426C" w:rsidRPr="00703F2D" w:rsidRDefault="0055426C" w:rsidP="004111CE">
            <w:pPr>
              <w:rPr>
                <w:rFonts w:ascii="Calibri" w:eastAsia="Times New Roman" w:hAnsi="Calibri" w:cs="Calibri"/>
                <w:i/>
                <w:sz w:val="18"/>
                <w:szCs w:val="18"/>
                <w:lang w:eastAsia="fr-FR"/>
              </w:rPr>
            </w:pPr>
            <w:r w:rsidRPr="00703F2D">
              <w:rPr>
                <w:rFonts w:ascii="Calibri" w:eastAsia="Times New Roman" w:hAnsi="Calibri" w:cs="Calibri"/>
                <w:i/>
                <w:sz w:val="18"/>
                <w:szCs w:val="18"/>
                <w:lang w:eastAsia="fr-FR"/>
              </w:rPr>
              <w:t>Dont transactions intragroupes</w:t>
            </w:r>
          </w:p>
        </w:tc>
        <w:tc>
          <w:tcPr>
            <w:tcW w:w="2409"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noWrap/>
            <w:hideMark/>
          </w:tcPr>
          <w:p w14:paraId="2D4AEC6E" w14:textId="56EAEA7C" w:rsidR="0055426C" w:rsidRPr="00D56C5E" w:rsidRDefault="0055426C" w:rsidP="004111C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Transfert des fonds entre 2 comptes de paiement tenus au sein d’établissements appartenant à un même groupe bancaire sans recours à un système de paiement.</w:t>
            </w:r>
          </w:p>
        </w:tc>
        <w:tc>
          <w:tcPr>
            <w:tcW w:w="1276"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noWrap/>
          </w:tcPr>
          <w:p w14:paraId="2E5D0F4B" w14:textId="784D95B3" w:rsidR="0055426C" w:rsidRPr="00D56C5E" w:rsidRDefault="0055426C" w:rsidP="004111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18" w:space="0" w:color="5B9BD5" w:themeColor="accent1"/>
            </w:tcBorders>
          </w:tcPr>
          <w:p w14:paraId="1A6630F2" w14:textId="77777777" w:rsidR="0055426C" w:rsidRDefault="0055426C" w:rsidP="004111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18" w:space="0" w:color="5B9BD5" w:themeColor="accent1"/>
            </w:tcBorders>
          </w:tcPr>
          <w:p w14:paraId="38749A82" w14:textId="77777777" w:rsidR="0055426C" w:rsidRDefault="0055426C" w:rsidP="004111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7E7B07A5" w14:textId="77777777" w:rsidR="002015D5" w:rsidRDefault="002015D5" w:rsidP="002015D5">
      <w:pPr>
        <w:pStyle w:val="Paragraphedeliste"/>
        <w:autoSpaceDE w:val="0"/>
        <w:autoSpaceDN w:val="0"/>
        <w:adjustRightInd w:val="0"/>
        <w:spacing w:after="0" w:line="240" w:lineRule="auto"/>
        <w:jc w:val="both"/>
        <w:rPr>
          <w:rFonts w:cstheme="minorHAnsi"/>
        </w:rPr>
      </w:pPr>
    </w:p>
    <w:p w14:paraId="50E13E40" w14:textId="77777777" w:rsidR="002015D5" w:rsidRPr="00C50A22" w:rsidRDefault="002015D5" w:rsidP="00C50A22">
      <w:pPr>
        <w:spacing w:after="0" w:line="240" w:lineRule="auto"/>
        <w:jc w:val="both"/>
        <w:rPr>
          <w:rFonts w:ascii="Calibri" w:hAnsi="Calibri"/>
          <w:b/>
          <w:smallCaps/>
          <w:color w:val="2E74B5" w:themeColor="accent1" w:themeShade="BF"/>
          <w:sz w:val="24"/>
        </w:rPr>
      </w:pPr>
      <w:r w:rsidRPr="00C50A22">
        <w:rPr>
          <w:rFonts w:ascii="Calibri" w:hAnsi="Calibri"/>
          <w:b/>
          <w:smallCaps/>
          <w:color w:val="2E74B5" w:themeColor="accent1" w:themeShade="BF"/>
          <w:sz w:val="24"/>
        </w:rPr>
        <w:t>Contrôles :</w:t>
      </w:r>
    </w:p>
    <w:p w14:paraId="6C1DFA15" w14:textId="420B5492" w:rsidR="002015D5" w:rsidRDefault="002015D5" w:rsidP="002015D5">
      <w:pPr>
        <w:pStyle w:val="Paragraphedeliste"/>
        <w:autoSpaceDE w:val="0"/>
        <w:autoSpaceDN w:val="0"/>
        <w:adjustRightInd w:val="0"/>
        <w:spacing w:after="0" w:line="240" w:lineRule="auto"/>
        <w:jc w:val="both"/>
        <w:rPr>
          <w:rFonts w:cstheme="minorHAnsi"/>
        </w:rPr>
      </w:pPr>
    </w:p>
    <w:p w14:paraId="47B84732" w14:textId="240B0478" w:rsidR="00E16354" w:rsidRPr="00F10AA3" w:rsidRDefault="00E16354" w:rsidP="00F10AA3">
      <w:pPr>
        <w:autoSpaceDE w:val="0"/>
        <w:autoSpaceDN w:val="0"/>
        <w:adjustRightInd w:val="0"/>
        <w:spacing w:after="0" w:line="240" w:lineRule="auto"/>
        <w:jc w:val="both"/>
        <w:rPr>
          <w:rFonts w:cstheme="minorHAnsi"/>
        </w:rPr>
      </w:pPr>
      <w:r w:rsidRPr="00F10AA3">
        <w:rPr>
          <w:rFonts w:cstheme="minorHAnsi"/>
        </w:rPr>
        <w:t>Les règles de contrôle suivantes doivent être appliquées en</w:t>
      </w:r>
      <w:r w:rsidR="00DA1236">
        <w:rPr>
          <w:rFonts w:cstheme="minorHAnsi"/>
        </w:rPr>
        <w:t xml:space="preserve"> nombre et en valeur.</w:t>
      </w:r>
    </w:p>
    <w:p w14:paraId="4B50F266" w14:textId="77777777" w:rsidR="00E16354" w:rsidRPr="00E16354" w:rsidRDefault="00E16354" w:rsidP="002015D5">
      <w:pPr>
        <w:pStyle w:val="Paragraphedeliste"/>
        <w:autoSpaceDE w:val="0"/>
        <w:autoSpaceDN w:val="0"/>
        <w:adjustRightInd w:val="0"/>
        <w:spacing w:after="0" w:line="240" w:lineRule="auto"/>
        <w:jc w:val="both"/>
        <w:rPr>
          <w:rFonts w:cstheme="minorHAnsi"/>
        </w:rPr>
      </w:pPr>
    </w:p>
    <w:tbl>
      <w:tblPr>
        <w:tblStyle w:val="Grilledutableau"/>
        <w:tblW w:w="8913"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8913"/>
      </w:tblGrid>
      <w:tr w:rsidR="0055426C" w:rsidRPr="00191426" w14:paraId="7D651607" w14:textId="77777777" w:rsidTr="00F27A02">
        <w:tc>
          <w:tcPr>
            <w:tcW w:w="8913" w:type="dxa"/>
          </w:tcPr>
          <w:p w14:paraId="550FF9DA" w14:textId="72A40F60" w:rsidR="0055426C" w:rsidRPr="00C50A22" w:rsidRDefault="00F27A02" w:rsidP="0055426C">
            <w:pPr>
              <w:pStyle w:val="Paragraphedeliste"/>
              <w:autoSpaceDE w:val="0"/>
              <w:autoSpaceDN w:val="0"/>
              <w:adjustRightInd w:val="0"/>
              <w:ind w:left="0"/>
              <w:jc w:val="both"/>
              <w:rPr>
                <w:sz w:val="18"/>
              </w:rPr>
            </w:pPr>
            <w:r>
              <w:rPr>
                <w:sz w:val="18"/>
              </w:rPr>
              <w:t xml:space="preserve">Le total des opérations de paiement par carte est = à la </w:t>
            </w:r>
            <w:r w:rsidRPr="00A675AF">
              <w:rPr>
                <w:rFonts w:cstheme="minorHAnsi"/>
                <w:sz w:val="18"/>
                <w:szCs w:val="18"/>
              </w:rPr>
              <w:t>somme de</w:t>
            </w:r>
            <w:r>
              <w:rPr>
                <w:rFonts w:cstheme="minorHAnsi"/>
                <w:sz w:val="18"/>
                <w:szCs w:val="18"/>
              </w:rPr>
              <w:t xml:space="preserve">s transactions interbancaires, </w:t>
            </w:r>
            <w:proofErr w:type="spellStart"/>
            <w:r>
              <w:rPr>
                <w:rFonts w:cstheme="minorHAnsi"/>
                <w:sz w:val="18"/>
                <w:szCs w:val="18"/>
              </w:rPr>
              <w:t>intrabancaires</w:t>
            </w:r>
            <w:proofErr w:type="spellEnd"/>
            <w:r>
              <w:rPr>
                <w:rFonts w:cstheme="minorHAnsi"/>
                <w:sz w:val="18"/>
                <w:szCs w:val="18"/>
              </w:rPr>
              <w:t xml:space="preserve"> et intragroupes</w:t>
            </w:r>
          </w:p>
        </w:tc>
      </w:tr>
      <w:tr w:rsidR="0055426C" w:rsidRPr="00191426" w14:paraId="53B5E1F3" w14:textId="77777777" w:rsidTr="00F27A02">
        <w:tc>
          <w:tcPr>
            <w:tcW w:w="8913" w:type="dxa"/>
          </w:tcPr>
          <w:p w14:paraId="2A0AFA1D" w14:textId="1D8A8918" w:rsidR="0055426C" w:rsidRPr="00C50A22" w:rsidRDefault="0055426C" w:rsidP="00880B34">
            <w:pPr>
              <w:pStyle w:val="Paragraphedeliste"/>
              <w:autoSpaceDE w:val="0"/>
              <w:autoSpaceDN w:val="0"/>
              <w:adjustRightInd w:val="0"/>
              <w:ind w:left="0"/>
              <w:jc w:val="both"/>
              <w:rPr>
                <w:sz w:val="18"/>
              </w:rPr>
            </w:pPr>
            <w:r w:rsidRPr="00A675AF">
              <w:rPr>
                <w:rFonts w:cstheme="minorHAnsi"/>
                <w:sz w:val="18"/>
                <w:szCs w:val="18"/>
              </w:rPr>
              <w:t>Le</w:t>
            </w:r>
            <w:r w:rsidR="00F27A02">
              <w:rPr>
                <w:rFonts w:cstheme="minorHAnsi"/>
                <w:sz w:val="18"/>
                <w:szCs w:val="18"/>
              </w:rPr>
              <w:t xml:space="preserve"> total de</w:t>
            </w:r>
            <w:r w:rsidRPr="00A675AF">
              <w:rPr>
                <w:rFonts w:cstheme="minorHAnsi"/>
                <w:sz w:val="18"/>
                <w:szCs w:val="18"/>
              </w:rPr>
              <w:t xml:space="preserve">s </w:t>
            </w:r>
            <w:r w:rsidR="00F27A02">
              <w:rPr>
                <w:rFonts w:cstheme="minorHAnsi"/>
                <w:sz w:val="18"/>
                <w:szCs w:val="18"/>
              </w:rPr>
              <w:t>transactions interbancaires est = la somme de</w:t>
            </w:r>
            <w:r w:rsidR="001D1CB8">
              <w:rPr>
                <w:rFonts w:cstheme="minorHAnsi"/>
                <w:sz w:val="18"/>
                <w:szCs w:val="18"/>
              </w:rPr>
              <w:t xml:space="preserve"> la</w:t>
            </w:r>
            <w:r w:rsidR="00F27A02">
              <w:rPr>
                <w:rFonts w:cstheme="minorHAnsi"/>
                <w:sz w:val="18"/>
                <w:szCs w:val="18"/>
              </w:rPr>
              <w:t xml:space="preserve"> ventilation </w:t>
            </w:r>
            <w:r w:rsidRPr="00A675AF">
              <w:rPr>
                <w:rFonts w:cstheme="minorHAnsi"/>
                <w:sz w:val="18"/>
                <w:szCs w:val="18"/>
              </w:rPr>
              <w:t xml:space="preserve">par </w:t>
            </w:r>
            <w:r w:rsidR="00880B34">
              <w:rPr>
                <w:rFonts w:cstheme="minorHAnsi"/>
                <w:sz w:val="18"/>
                <w:szCs w:val="18"/>
              </w:rPr>
              <w:t>système de paiement</w:t>
            </w:r>
            <w:r w:rsidRPr="00A675AF">
              <w:rPr>
                <w:rFonts w:cstheme="minorHAnsi"/>
                <w:sz w:val="18"/>
                <w:szCs w:val="18"/>
              </w:rPr>
              <w:t>.</w:t>
            </w:r>
          </w:p>
        </w:tc>
      </w:tr>
    </w:tbl>
    <w:p w14:paraId="0CD43DA8" w14:textId="55B742D7" w:rsidR="002015D5" w:rsidRDefault="002015D5" w:rsidP="00DA1236">
      <w:pPr>
        <w:pStyle w:val="Paragraphedeliste"/>
        <w:autoSpaceDE w:val="0"/>
        <w:autoSpaceDN w:val="0"/>
        <w:adjustRightInd w:val="0"/>
        <w:spacing w:after="0" w:line="240" w:lineRule="auto"/>
        <w:ind w:firstLine="567"/>
        <w:jc w:val="both"/>
        <w:rPr>
          <w:rFonts w:cstheme="minorHAnsi"/>
        </w:rPr>
      </w:pPr>
    </w:p>
    <w:p w14:paraId="728C0460" w14:textId="77777777" w:rsidR="00DA1236" w:rsidRDefault="00DA1236" w:rsidP="00DA1236">
      <w:pPr>
        <w:pStyle w:val="Paragraphedeliste"/>
        <w:autoSpaceDE w:val="0"/>
        <w:autoSpaceDN w:val="0"/>
        <w:adjustRightInd w:val="0"/>
        <w:spacing w:after="0" w:line="240" w:lineRule="auto"/>
        <w:ind w:firstLine="567"/>
        <w:jc w:val="both"/>
        <w:rPr>
          <w:rFonts w:cstheme="minorHAnsi"/>
        </w:rPr>
      </w:pPr>
    </w:p>
    <w:p w14:paraId="1869057B" w14:textId="2132F0D1" w:rsidR="002E7B53" w:rsidRPr="00C50A22" w:rsidRDefault="00C552EE" w:rsidP="006B400E">
      <w:pPr>
        <w:pStyle w:val="Titre4"/>
        <w:numPr>
          <w:ilvl w:val="3"/>
          <w:numId w:val="20"/>
        </w:numPr>
      </w:pPr>
      <w:bookmarkStart w:id="33" w:name="_Toc222476864"/>
      <w:r w:rsidRPr="00C50A22">
        <w:t>O</w:t>
      </w:r>
      <w:r w:rsidR="00CD4692" w:rsidRPr="00C50A22">
        <w:t xml:space="preserve">pérations </w:t>
      </w:r>
      <w:r w:rsidR="00D50ACE" w:rsidRPr="00C50A22">
        <w:t xml:space="preserve">initiées en </w:t>
      </w:r>
      <w:r w:rsidR="00CD4692" w:rsidRPr="00C50A22">
        <w:t>proximité depuis des terminaux</w:t>
      </w:r>
      <w:r w:rsidR="001567E5" w:rsidRPr="00C50A22">
        <w:t xml:space="preserve"> </w:t>
      </w:r>
      <w:r w:rsidR="00DA1236">
        <w:t xml:space="preserve">fournis par des PSP </w:t>
      </w:r>
      <w:r w:rsidR="00CD4692" w:rsidRPr="00C50A22">
        <w:t>étrangers</w:t>
      </w:r>
      <w:bookmarkEnd w:id="33"/>
    </w:p>
    <w:p w14:paraId="3F5867C2" w14:textId="2CDB2B63" w:rsidR="00D50ACE" w:rsidRPr="00C50A22" w:rsidRDefault="00D50ACE" w:rsidP="00C50A22">
      <w:pPr>
        <w:pStyle w:val="Paragraphedeliste"/>
        <w:autoSpaceDE w:val="0"/>
        <w:autoSpaceDN w:val="0"/>
        <w:adjustRightInd w:val="0"/>
        <w:spacing w:after="0" w:line="240" w:lineRule="auto"/>
        <w:ind w:left="1080"/>
        <w:jc w:val="both"/>
        <w:rPr>
          <w:b/>
          <w:smallCaps/>
          <w:sz w:val="28"/>
        </w:rPr>
      </w:pPr>
    </w:p>
    <w:p w14:paraId="0ADE1AF7" w14:textId="1116761D" w:rsidR="00D50ACE" w:rsidRPr="00D50ACE" w:rsidRDefault="00D50ACE" w:rsidP="003B1F12">
      <w:pPr>
        <w:spacing w:after="0" w:line="240" w:lineRule="auto"/>
        <w:jc w:val="both"/>
        <w:rPr>
          <w:rFonts w:ascii="Calibri" w:eastAsia="Times New Roman" w:hAnsi="Calibri" w:cs="Calibri"/>
          <w:smallCaps/>
          <w:sz w:val="24"/>
          <w:szCs w:val="24"/>
          <w:lang w:eastAsia="fr-FR"/>
        </w:rPr>
      </w:pPr>
      <w:r w:rsidRPr="00C714BD">
        <w:rPr>
          <w:rFonts w:cstheme="minorHAnsi"/>
        </w:rPr>
        <w:t>Il s</w:t>
      </w:r>
      <w:r>
        <w:rPr>
          <w:rFonts w:cstheme="minorHAnsi"/>
        </w:rPr>
        <w:t>’agit de déclarer, en nombre et valeur, les opérations initiées à partir de cartes émises par l’établissement</w:t>
      </w:r>
      <w:r w:rsidR="00AD61F8">
        <w:rPr>
          <w:rFonts w:cstheme="minorHAnsi"/>
        </w:rPr>
        <w:t>,</w:t>
      </w:r>
      <w:r>
        <w:rPr>
          <w:rFonts w:cstheme="minorHAnsi"/>
        </w:rPr>
        <w:t xml:space="preserve"> en proximité depuis des terminaux/GAB gérés par des </w:t>
      </w:r>
      <w:r w:rsidR="001567E5">
        <w:rPr>
          <w:rFonts w:cstheme="minorHAnsi"/>
        </w:rPr>
        <w:t xml:space="preserve">PSP </w:t>
      </w:r>
      <w:r>
        <w:rPr>
          <w:rFonts w:cstheme="minorHAnsi"/>
        </w:rPr>
        <w:t xml:space="preserve">non-résidents en </w:t>
      </w:r>
      <w:r w:rsidR="002015D5">
        <w:rPr>
          <w:rFonts w:cstheme="minorHAnsi"/>
        </w:rPr>
        <w:t xml:space="preserve">France </w:t>
      </w:r>
      <w:r w:rsidR="009A4CBB">
        <w:rPr>
          <w:rFonts w:cstheme="minorHAnsi"/>
        </w:rPr>
        <w:t xml:space="preserve">avec une ventilation par type de </w:t>
      </w:r>
      <w:r w:rsidR="002015D5">
        <w:rPr>
          <w:rFonts w:cstheme="minorHAnsi"/>
        </w:rPr>
        <w:t>terminal </w:t>
      </w:r>
      <w:r w:rsidR="000B5FD0">
        <w:rPr>
          <w:rFonts w:cstheme="minorHAnsi"/>
        </w:rPr>
        <w:t xml:space="preserve">: retraits et dépôts d’espèces aux GAB, </w:t>
      </w:r>
      <w:r w:rsidR="000B5FD0" w:rsidRPr="001C54FC">
        <w:rPr>
          <w:rFonts w:cstheme="minorHAnsi"/>
        </w:rPr>
        <w:t>opérations à un point de vente (hors opérations en monnaie électronique), chargement/déchargement de cartes de monnaie électronique</w:t>
      </w:r>
      <w:r w:rsidR="001277FB" w:rsidRPr="001C54FC">
        <w:rPr>
          <w:rFonts w:cstheme="minorHAnsi"/>
        </w:rPr>
        <w:t xml:space="preserve">, </w:t>
      </w:r>
      <w:r w:rsidR="000B5FD0" w:rsidRPr="001C54FC">
        <w:rPr>
          <w:rFonts w:cstheme="minorHAnsi"/>
        </w:rPr>
        <w:t xml:space="preserve">paiements en monnaie électronique </w:t>
      </w:r>
      <w:r w:rsidR="00F6127E" w:rsidRPr="001C54FC">
        <w:rPr>
          <w:rFonts w:cstheme="minorHAnsi"/>
        </w:rPr>
        <w:t>avec cartes ayant une fonction de monnaie électronique</w:t>
      </w:r>
      <w:r w:rsidR="001277FB" w:rsidRPr="001C54FC">
        <w:rPr>
          <w:rFonts w:cstheme="minorHAnsi"/>
        </w:rPr>
        <w:t xml:space="preserve"> et autres opérations aux GAB</w:t>
      </w:r>
      <w:r w:rsidR="00F6127E" w:rsidRPr="001C54FC">
        <w:rPr>
          <w:rFonts w:cstheme="minorHAnsi"/>
        </w:rPr>
        <w:t>.</w:t>
      </w:r>
    </w:p>
    <w:p w14:paraId="3F67C1AF" w14:textId="77777777" w:rsidR="00DA48EB" w:rsidRDefault="00DA48EB" w:rsidP="00F735D7">
      <w:pPr>
        <w:spacing w:after="0" w:line="240" w:lineRule="auto"/>
        <w:rPr>
          <w:rFonts w:ascii="Calibri" w:eastAsia="Times New Roman" w:hAnsi="Calibri" w:cs="Calibri"/>
          <w:i/>
          <w:sz w:val="20"/>
          <w:szCs w:val="20"/>
          <w:lang w:eastAsia="fr-FR"/>
        </w:rPr>
      </w:pPr>
    </w:p>
    <w:p w14:paraId="189DCF6E" w14:textId="77777777" w:rsidR="007578FE" w:rsidRDefault="007578FE" w:rsidP="007578FE">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792B704C" w14:textId="77777777" w:rsidR="006B41DD" w:rsidRDefault="006B41DD" w:rsidP="007578FE">
      <w:pPr>
        <w:spacing w:after="0" w:line="240" w:lineRule="auto"/>
        <w:jc w:val="both"/>
        <w:rPr>
          <w:rFonts w:ascii="Calibri" w:eastAsia="Times New Roman" w:hAnsi="Calibri" w:cs="Calibri"/>
          <w:i/>
          <w:sz w:val="20"/>
          <w:szCs w:val="20"/>
          <w:lang w:eastAsia="fr-FR"/>
        </w:rPr>
      </w:pPr>
    </w:p>
    <w:tbl>
      <w:tblPr>
        <w:tblStyle w:val="Tableausimple2"/>
        <w:tblW w:w="9070" w:type="dxa"/>
        <w:tblBorders>
          <w:top w:val="single" w:sz="18" w:space="0" w:color="5B9BD5" w:themeColor="accent1"/>
          <w:bottom w:val="single" w:sz="12" w:space="0" w:color="auto"/>
          <w:insideH w:val="single" w:sz="4" w:space="0" w:color="5B9BD5" w:themeColor="accent1"/>
          <w:insideV w:val="single" w:sz="4" w:space="0" w:color="5B9BD5" w:themeColor="accent1"/>
        </w:tblBorders>
        <w:tblLook w:val="04A0" w:firstRow="1" w:lastRow="0" w:firstColumn="1" w:lastColumn="0" w:noHBand="0" w:noVBand="1"/>
      </w:tblPr>
      <w:tblGrid>
        <w:gridCol w:w="285"/>
        <w:gridCol w:w="3118"/>
        <w:gridCol w:w="2267"/>
        <w:gridCol w:w="1134"/>
        <w:gridCol w:w="1133"/>
        <w:gridCol w:w="1133"/>
      </w:tblGrid>
      <w:tr w:rsidR="00996AF3" w:rsidRPr="00BF3E5E" w14:paraId="63272DFF" w14:textId="77777777" w:rsidTr="00996AF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0" w:type="dxa"/>
            <w:gridSpan w:val="3"/>
            <w:tcBorders>
              <w:top w:val="single" w:sz="18" w:space="0" w:color="5B9BD5" w:themeColor="accent1"/>
              <w:bottom w:val="single" w:sz="2" w:space="0" w:color="5B9BD5" w:themeColor="accent1"/>
            </w:tcBorders>
            <w:noWrap/>
          </w:tcPr>
          <w:p w14:paraId="428675BF" w14:textId="77777777" w:rsidR="00996AF3" w:rsidRPr="00D56C5E" w:rsidRDefault="00996AF3" w:rsidP="00996AF3">
            <w:pPr>
              <w:jc w:val="both"/>
              <w:rPr>
                <w:rFonts w:ascii="Calibri" w:eastAsia="Times New Roman" w:hAnsi="Calibri" w:cs="Calibri"/>
                <w:b w:val="0"/>
                <w:sz w:val="18"/>
                <w:szCs w:val="18"/>
                <w:lang w:eastAsia="fr-FR"/>
              </w:rPr>
            </w:pPr>
          </w:p>
        </w:tc>
        <w:tc>
          <w:tcPr>
            <w:tcW w:w="113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noWrap/>
          </w:tcPr>
          <w:p w14:paraId="3B5FF9ED" w14:textId="63B8BA76" w:rsidR="00996AF3" w:rsidRPr="00D56C5E" w:rsidRDefault="00B4200A" w:rsidP="00E23A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bCs w:val="0"/>
                <w:sz w:val="14"/>
                <w:szCs w:val="18"/>
              </w:rPr>
              <w:t>Pays de localisation du terminal</w:t>
            </w:r>
          </w:p>
        </w:tc>
        <w:tc>
          <w:tcPr>
            <w:tcW w:w="1133"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6C03D542" w14:textId="0DDBD0B2" w:rsidR="00996AF3" w:rsidRPr="00D56C5E" w:rsidRDefault="00996AF3" w:rsidP="00E23A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1133" w:type="dxa"/>
            <w:tcBorders>
              <w:top w:val="single" w:sz="18" w:space="0" w:color="5B9BD5" w:themeColor="accent1"/>
              <w:left w:val="single" w:sz="2" w:space="0" w:color="5B9BD5" w:themeColor="accent1"/>
              <w:bottom w:val="single" w:sz="2" w:space="0" w:color="5B9BD5" w:themeColor="accent1"/>
            </w:tcBorders>
            <w:shd w:val="solid" w:color="FFFFFF" w:fill="000000"/>
          </w:tcPr>
          <w:p w14:paraId="44E1F2D6" w14:textId="77777777" w:rsidR="00996AF3" w:rsidRPr="007D187B" w:rsidRDefault="00996AF3" w:rsidP="00E23A7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6A192ED9" w14:textId="2B2DE219" w:rsidR="00996AF3" w:rsidRPr="00D56C5E" w:rsidRDefault="00996AF3" w:rsidP="00E23A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sidRPr="007D187B">
              <w:rPr>
                <w:rFonts w:cstheme="minorHAnsi"/>
                <w:bCs w:val="0"/>
                <w:sz w:val="14"/>
                <w:szCs w:val="18"/>
              </w:rPr>
              <w:t>euros</w:t>
            </w:r>
            <w:proofErr w:type="gramEnd"/>
          </w:p>
        </w:tc>
      </w:tr>
      <w:tr w:rsidR="007B28CF" w:rsidRPr="00BF3E5E" w14:paraId="27E31BC6" w14:textId="3D93E663" w:rsidTr="001277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3" w:type="dxa"/>
            <w:gridSpan w:val="2"/>
            <w:tcBorders>
              <w:top w:val="single" w:sz="2" w:space="0" w:color="5B9BD5" w:themeColor="accent1"/>
              <w:bottom w:val="single" w:sz="2" w:space="0" w:color="5B9BD5" w:themeColor="accent1"/>
            </w:tcBorders>
            <w:noWrap/>
          </w:tcPr>
          <w:p w14:paraId="100407FE" w14:textId="4472A934" w:rsidR="007B28CF" w:rsidRPr="00D56C5E" w:rsidRDefault="007B28CF" w:rsidP="00CD4692">
            <w:pPr>
              <w:rPr>
                <w:rFonts w:ascii="Calibri" w:eastAsia="Times New Roman" w:hAnsi="Calibri" w:cs="Calibri"/>
                <w:i/>
                <w:sz w:val="18"/>
                <w:szCs w:val="18"/>
                <w:lang w:eastAsia="fr-FR"/>
              </w:rPr>
            </w:pPr>
            <w:r w:rsidRPr="00D56C5E">
              <w:rPr>
                <w:rFonts w:ascii="Calibri" w:eastAsia="Times New Roman" w:hAnsi="Calibri" w:cs="Calibri"/>
                <w:i/>
                <w:sz w:val="18"/>
                <w:szCs w:val="18"/>
                <w:lang w:eastAsia="fr-FR"/>
              </w:rPr>
              <w:t>Opérations effectuées à des terminaux fournis par des PSP étrangers avec des cartes émises par l’établissement</w:t>
            </w:r>
          </w:p>
        </w:tc>
        <w:tc>
          <w:tcPr>
            <w:tcW w:w="2267" w:type="dxa"/>
            <w:tcBorders>
              <w:top w:val="single" w:sz="2" w:space="0" w:color="5B9BD5" w:themeColor="accent1"/>
              <w:bottom w:val="single" w:sz="2" w:space="0" w:color="5B9BD5" w:themeColor="accent1"/>
            </w:tcBorders>
          </w:tcPr>
          <w:p w14:paraId="12913720" w14:textId="77777777" w:rsidR="007B28CF" w:rsidRDefault="007B28CF" w:rsidP="00F10AA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sidRPr="00D56C5E">
              <w:rPr>
                <w:rFonts w:ascii="Calibri" w:eastAsia="Times New Roman" w:hAnsi="Calibri" w:cs="Calibri"/>
                <w:b/>
                <w:sz w:val="18"/>
                <w:szCs w:val="18"/>
                <w:lang w:eastAsia="fr-FR"/>
              </w:rPr>
              <w:t xml:space="preserve">Opérations initiées en proximité depuis des GAB et terminaux. </w:t>
            </w:r>
          </w:p>
          <w:p w14:paraId="05B3599E" w14:textId="0960ED48" w:rsidR="007B28CF" w:rsidRPr="00C50A22" w:rsidRDefault="007B28CF" w:rsidP="00F10AA3">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c>
          <w:tcPr>
            <w:tcW w:w="1134" w:type="dxa"/>
            <w:vMerge w:val="restart"/>
            <w:tcBorders>
              <w:top w:val="single" w:sz="2" w:space="0" w:color="5B9BD5" w:themeColor="accent1"/>
            </w:tcBorders>
            <w:noWrap/>
          </w:tcPr>
          <w:p w14:paraId="4C81BAAB" w14:textId="4035F005" w:rsidR="007B28CF" w:rsidRPr="007B28CF" w:rsidRDefault="007B28CF" w:rsidP="001277F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8"/>
                <w:lang w:eastAsia="fr-FR"/>
              </w:rPr>
            </w:pPr>
            <w:r w:rsidRPr="007B28CF">
              <w:rPr>
                <w:rFonts w:ascii="Calibri" w:eastAsia="Times New Roman" w:hAnsi="Calibri" w:cs="Calibri"/>
                <w:sz w:val="14"/>
                <w:szCs w:val="18"/>
                <w:lang w:eastAsia="fr-FR"/>
              </w:rPr>
              <w:t>Sur la base de la ventilation géographique en section 5</w:t>
            </w:r>
            <w:r w:rsidR="001277FB">
              <w:rPr>
                <w:rFonts w:ascii="Calibri" w:eastAsia="Times New Roman" w:hAnsi="Calibri" w:cs="Calibri"/>
                <w:sz w:val="14"/>
                <w:szCs w:val="18"/>
                <w:lang w:eastAsia="fr-FR"/>
              </w:rPr>
              <w:t>.1</w:t>
            </w:r>
          </w:p>
        </w:tc>
        <w:tc>
          <w:tcPr>
            <w:tcW w:w="1133" w:type="dxa"/>
            <w:tcBorders>
              <w:top w:val="single" w:sz="2" w:space="0" w:color="5B9BD5" w:themeColor="accent1"/>
              <w:bottom w:val="single" w:sz="2" w:space="0" w:color="5B9BD5" w:themeColor="accent1"/>
            </w:tcBorders>
          </w:tcPr>
          <w:p w14:paraId="56B46C0F" w14:textId="77777777" w:rsidR="007B28CF" w:rsidRPr="00D56C5E" w:rsidRDefault="007B28CF"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3" w:type="dxa"/>
            <w:tcBorders>
              <w:top w:val="single" w:sz="2" w:space="0" w:color="5B9BD5" w:themeColor="accent1"/>
              <w:bottom w:val="single" w:sz="2" w:space="0" w:color="5B9BD5" w:themeColor="accent1"/>
            </w:tcBorders>
          </w:tcPr>
          <w:p w14:paraId="6DFA2E71" w14:textId="77777777" w:rsidR="007B28CF" w:rsidRPr="00D56C5E" w:rsidRDefault="007B28CF"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7B28CF" w:rsidRPr="00BF3E5E" w14:paraId="44CBB16C" w14:textId="52D7ACB9" w:rsidTr="007B28CF">
        <w:trPr>
          <w:trHeight w:val="300"/>
        </w:trPr>
        <w:tc>
          <w:tcPr>
            <w:cnfStyle w:val="001000000000" w:firstRow="0" w:lastRow="0" w:firstColumn="1" w:lastColumn="0" w:oddVBand="0" w:evenVBand="0" w:oddHBand="0" w:evenHBand="0" w:firstRowFirstColumn="0" w:firstRowLastColumn="0" w:lastRowFirstColumn="0" w:lastRowLastColumn="0"/>
            <w:tcW w:w="285" w:type="dxa"/>
            <w:tcBorders>
              <w:top w:val="single" w:sz="18" w:space="0" w:color="5B9BD5" w:themeColor="accent1"/>
              <w:bottom w:val="single" w:sz="4" w:space="0" w:color="5B9BD5" w:themeColor="accent1"/>
            </w:tcBorders>
            <w:noWrap/>
          </w:tcPr>
          <w:p w14:paraId="2E2D2C11" w14:textId="77777777" w:rsidR="007B28CF" w:rsidRPr="00D56C5E" w:rsidRDefault="007B28CF" w:rsidP="00E0193F">
            <w:pPr>
              <w:rPr>
                <w:rFonts w:ascii="Calibri" w:eastAsia="Times New Roman" w:hAnsi="Calibri" w:cs="Calibri"/>
                <w:i/>
                <w:sz w:val="18"/>
                <w:szCs w:val="18"/>
                <w:lang w:eastAsia="fr-FR"/>
              </w:rPr>
            </w:pPr>
          </w:p>
        </w:tc>
        <w:tc>
          <w:tcPr>
            <w:tcW w:w="3118" w:type="dxa"/>
            <w:tcBorders>
              <w:top w:val="single" w:sz="18" w:space="0" w:color="5B9BD5" w:themeColor="accent1"/>
              <w:bottom w:val="single" w:sz="4" w:space="0" w:color="5B9BD5" w:themeColor="accent1"/>
            </w:tcBorders>
          </w:tcPr>
          <w:p w14:paraId="16006072" w14:textId="230A51F1" w:rsidR="007B28CF" w:rsidRPr="00D56C5E" w:rsidRDefault="007B28CF" w:rsidP="005722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D56C5E">
              <w:rPr>
                <w:rFonts w:ascii="Calibri" w:eastAsia="Times New Roman" w:hAnsi="Calibri" w:cs="Calibri"/>
                <w:b/>
                <w:i/>
                <w:sz w:val="18"/>
                <w:szCs w:val="18"/>
                <w:lang w:eastAsia="fr-FR"/>
              </w:rPr>
              <w:t>Dont retraits d’espèces aux GAB</w:t>
            </w:r>
          </w:p>
        </w:tc>
        <w:tc>
          <w:tcPr>
            <w:tcW w:w="2267" w:type="dxa"/>
            <w:tcBorders>
              <w:top w:val="single" w:sz="18" w:space="0" w:color="5B9BD5" w:themeColor="accent1"/>
              <w:bottom w:val="single" w:sz="4" w:space="0" w:color="5B9BD5" w:themeColor="accent1"/>
            </w:tcBorders>
          </w:tcPr>
          <w:p w14:paraId="213DA45E" w14:textId="77777777" w:rsidR="007B28CF" w:rsidRDefault="007B28CF" w:rsidP="0058062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D56C5E">
              <w:rPr>
                <w:rFonts w:ascii="Calibri" w:eastAsia="Times New Roman" w:hAnsi="Calibri" w:cs="Calibri"/>
                <w:sz w:val="18"/>
                <w:szCs w:val="18"/>
                <w:lang w:eastAsia="fr-FR"/>
              </w:rPr>
              <w:t xml:space="preserve">Opérations de retrait effectuées avec une </w:t>
            </w:r>
            <w:r>
              <w:rPr>
                <w:rFonts w:ascii="Calibri" w:eastAsia="Times New Roman" w:hAnsi="Calibri" w:cs="Calibri"/>
                <w:sz w:val="18"/>
                <w:szCs w:val="18"/>
                <w:lang w:eastAsia="fr-FR"/>
              </w:rPr>
              <w:t>carte</w:t>
            </w:r>
            <w:r w:rsidRPr="00D56C5E">
              <w:rPr>
                <w:rFonts w:ascii="Calibri" w:eastAsia="Times New Roman" w:hAnsi="Calibri" w:cs="Calibri"/>
                <w:sz w:val="18"/>
                <w:szCs w:val="18"/>
                <w:lang w:eastAsia="fr-FR"/>
              </w:rPr>
              <w:t xml:space="preserve"> ayant une fonction espèces.</w:t>
            </w:r>
          </w:p>
          <w:p w14:paraId="2780A7D8" w14:textId="64C500F6" w:rsidR="007B28CF" w:rsidRPr="003473E2" w:rsidRDefault="007B28CF" w:rsidP="00F252EC">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u w:val="single"/>
                <w:lang w:eastAsia="fr-FR"/>
              </w:rPr>
              <w:t>Exclus </w:t>
            </w:r>
            <w:r>
              <w:rPr>
                <w:rFonts w:ascii="Calibri" w:eastAsia="Times New Roman" w:hAnsi="Calibri" w:cs="Calibri"/>
                <w:sz w:val="18"/>
                <w:szCs w:val="18"/>
                <w:lang w:eastAsia="fr-FR"/>
              </w:rPr>
              <w:t>: les opérations en monnaie électronique.</w:t>
            </w:r>
          </w:p>
        </w:tc>
        <w:tc>
          <w:tcPr>
            <w:tcW w:w="1134" w:type="dxa"/>
            <w:vMerge/>
            <w:noWrap/>
          </w:tcPr>
          <w:p w14:paraId="0DB3C650" w14:textId="020A9DDB"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4" w:space="0" w:color="5B9BD5" w:themeColor="accent1"/>
            </w:tcBorders>
          </w:tcPr>
          <w:p w14:paraId="5B552DDE" w14:textId="77777777"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4" w:space="0" w:color="5B9BD5" w:themeColor="accent1"/>
            </w:tcBorders>
          </w:tcPr>
          <w:p w14:paraId="370A2021" w14:textId="77777777"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7B28CF" w:rsidRPr="00BF3E5E" w14:paraId="5E33A186" w14:textId="36284384" w:rsidTr="007B2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 w:type="dxa"/>
            <w:tcBorders>
              <w:top w:val="single" w:sz="18" w:space="0" w:color="5B9BD5" w:themeColor="accent1"/>
              <w:bottom w:val="single" w:sz="4" w:space="0" w:color="5B9BD5" w:themeColor="accent1"/>
            </w:tcBorders>
            <w:noWrap/>
            <w:hideMark/>
          </w:tcPr>
          <w:p w14:paraId="085574B7" w14:textId="2B683A0D" w:rsidR="007B28CF" w:rsidRPr="00D56C5E" w:rsidRDefault="007B28CF" w:rsidP="0090050F">
            <w:pPr>
              <w:rPr>
                <w:rFonts w:ascii="Calibri" w:eastAsia="Times New Roman" w:hAnsi="Calibri" w:cs="Calibri"/>
                <w:i/>
                <w:sz w:val="18"/>
                <w:szCs w:val="18"/>
                <w:lang w:eastAsia="fr-FR"/>
              </w:rPr>
            </w:pPr>
          </w:p>
        </w:tc>
        <w:tc>
          <w:tcPr>
            <w:tcW w:w="3118" w:type="dxa"/>
            <w:tcBorders>
              <w:top w:val="single" w:sz="18" w:space="0" w:color="5B9BD5" w:themeColor="accent1"/>
              <w:bottom w:val="single" w:sz="4" w:space="0" w:color="5B9BD5" w:themeColor="accent1"/>
            </w:tcBorders>
            <w:noWrap/>
            <w:hideMark/>
          </w:tcPr>
          <w:p w14:paraId="516B47B4" w14:textId="77777777" w:rsidR="007B28CF" w:rsidRPr="00D56C5E" w:rsidRDefault="007B28CF" w:rsidP="0057224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D56C5E">
              <w:rPr>
                <w:rFonts w:ascii="Calibri" w:eastAsia="Times New Roman" w:hAnsi="Calibri" w:cs="Calibri"/>
                <w:b/>
                <w:i/>
                <w:sz w:val="18"/>
                <w:szCs w:val="18"/>
                <w:lang w:eastAsia="fr-FR"/>
              </w:rPr>
              <w:t xml:space="preserve">Dont dépôts d’espèces aux GAB </w:t>
            </w:r>
          </w:p>
        </w:tc>
        <w:tc>
          <w:tcPr>
            <w:tcW w:w="2267" w:type="dxa"/>
            <w:tcBorders>
              <w:top w:val="single" w:sz="18" w:space="0" w:color="5B9BD5" w:themeColor="accent1"/>
              <w:bottom w:val="single" w:sz="4" w:space="0" w:color="5B9BD5" w:themeColor="accent1"/>
            </w:tcBorders>
          </w:tcPr>
          <w:p w14:paraId="1BAA9936" w14:textId="18F99821" w:rsidR="007B28CF" w:rsidRPr="00D56C5E" w:rsidRDefault="007B28CF" w:rsidP="001567E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D56C5E">
              <w:rPr>
                <w:rFonts w:ascii="Calibri" w:eastAsia="Times New Roman" w:hAnsi="Calibri" w:cs="Calibri"/>
                <w:bCs/>
                <w:sz w:val="18"/>
                <w:szCs w:val="18"/>
                <w:lang w:eastAsia="fr-FR"/>
              </w:rPr>
              <w:t>Dépôt d’espèces effectué</w:t>
            </w:r>
            <w:r>
              <w:rPr>
                <w:rFonts w:ascii="Calibri" w:eastAsia="Times New Roman" w:hAnsi="Calibri" w:cs="Calibri"/>
                <w:bCs/>
                <w:sz w:val="18"/>
                <w:szCs w:val="18"/>
                <w:lang w:eastAsia="fr-FR"/>
              </w:rPr>
              <w:t>s</w:t>
            </w:r>
            <w:r w:rsidRPr="00D56C5E">
              <w:rPr>
                <w:rFonts w:ascii="Calibri" w:eastAsia="Times New Roman" w:hAnsi="Calibri" w:cs="Calibri"/>
                <w:bCs/>
                <w:sz w:val="18"/>
                <w:szCs w:val="18"/>
                <w:lang w:eastAsia="fr-FR"/>
              </w:rPr>
              <w:t xml:space="preserve"> à un GAB à </w:t>
            </w:r>
            <w:r>
              <w:rPr>
                <w:rFonts w:ascii="Calibri" w:eastAsia="Times New Roman" w:hAnsi="Calibri" w:cs="Calibri"/>
                <w:bCs/>
                <w:sz w:val="18"/>
                <w:szCs w:val="18"/>
                <w:lang w:eastAsia="fr-FR"/>
              </w:rPr>
              <w:t>partir</w:t>
            </w:r>
            <w:r w:rsidRPr="00D56C5E">
              <w:rPr>
                <w:rFonts w:ascii="Calibri" w:eastAsia="Times New Roman" w:hAnsi="Calibri" w:cs="Calibri"/>
                <w:bCs/>
                <w:sz w:val="18"/>
                <w:szCs w:val="18"/>
                <w:lang w:eastAsia="fr-FR"/>
              </w:rPr>
              <w:t xml:space="preserve"> d’une carte ayant une fonction espèces. </w:t>
            </w:r>
            <w:r w:rsidRPr="001567E5">
              <w:rPr>
                <w:rFonts w:ascii="Calibri" w:eastAsia="Times New Roman" w:hAnsi="Calibri" w:cs="Calibri"/>
                <w:bCs/>
                <w:sz w:val="18"/>
                <w:szCs w:val="18"/>
                <w:u w:val="single"/>
                <w:lang w:eastAsia="fr-FR"/>
              </w:rPr>
              <w:t>Inclut</w:t>
            </w:r>
            <w:r w:rsidRPr="00D56C5E">
              <w:rPr>
                <w:rFonts w:ascii="Calibri" w:eastAsia="Times New Roman" w:hAnsi="Calibri" w:cs="Calibri"/>
                <w:bCs/>
                <w:sz w:val="18"/>
                <w:szCs w:val="18"/>
                <w:lang w:eastAsia="fr-FR"/>
              </w:rPr>
              <w:t xml:space="preserve"> toutes les opérations pour lesquelles des espèces sont déposées à un terminal, sans intervention manuelle, et pour lesquelles le payeur est identifié au </w:t>
            </w:r>
            <w:r w:rsidRPr="00D56C5E">
              <w:rPr>
                <w:rFonts w:ascii="Calibri" w:eastAsia="Times New Roman" w:hAnsi="Calibri" w:cs="Calibri"/>
                <w:bCs/>
                <w:sz w:val="18"/>
                <w:szCs w:val="18"/>
                <w:lang w:eastAsia="fr-FR"/>
              </w:rPr>
              <w:lastRenderedPageBreak/>
              <w:t>moyen d’une carte de paiement.</w:t>
            </w:r>
          </w:p>
        </w:tc>
        <w:tc>
          <w:tcPr>
            <w:tcW w:w="1134" w:type="dxa"/>
            <w:vMerge/>
            <w:noWrap/>
          </w:tcPr>
          <w:p w14:paraId="7AC477C4" w14:textId="0A1BD28E" w:rsidR="007B28CF" w:rsidRPr="00D56C5E" w:rsidRDefault="007B28CF"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4" w:space="0" w:color="5B9BD5" w:themeColor="accent1"/>
            </w:tcBorders>
          </w:tcPr>
          <w:p w14:paraId="4FC68240" w14:textId="77777777" w:rsidR="007B28CF" w:rsidRPr="00D56C5E" w:rsidRDefault="007B28CF"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4" w:space="0" w:color="5B9BD5" w:themeColor="accent1"/>
            </w:tcBorders>
          </w:tcPr>
          <w:p w14:paraId="41B2ED67" w14:textId="77777777" w:rsidR="007B28CF" w:rsidRPr="00D56C5E" w:rsidRDefault="007B28CF"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7B28CF" w:rsidRPr="00BF3E5E" w14:paraId="0386F386" w14:textId="77777777" w:rsidTr="007B28CF">
        <w:trPr>
          <w:trHeight w:val="300"/>
        </w:trPr>
        <w:tc>
          <w:tcPr>
            <w:cnfStyle w:val="001000000000" w:firstRow="0" w:lastRow="0" w:firstColumn="1" w:lastColumn="0" w:oddVBand="0" w:evenVBand="0" w:oddHBand="0" w:evenHBand="0" w:firstRowFirstColumn="0" w:firstRowLastColumn="0" w:lastRowFirstColumn="0" w:lastRowLastColumn="0"/>
            <w:tcW w:w="285" w:type="dxa"/>
            <w:tcBorders>
              <w:top w:val="single" w:sz="18" w:space="0" w:color="5B9BD5" w:themeColor="accent1"/>
              <w:bottom w:val="single" w:sz="4" w:space="0" w:color="5B9BD5" w:themeColor="accent1"/>
            </w:tcBorders>
            <w:noWrap/>
          </w:tcPr>
          <w:p w14:paraId="4DBF87BB" w14:textId="77777777" w:rsidR="007B28CF" w:rsidRPr="00D56C5E" w:rsidRDefault="007B28CF" w:rsidP="0090050F">
            <w:pPr>
              <w:rPr>
                <w:rFonts w:ascii="Calibri" w:eastAsia="Times New Roman" w:hAnsi="Calibri" w:cs="Calibri"/>
                <w:i/>
                <w:sz w:val="18"/>
                <w:szCs w:val="18"/>
                <w:lang w:eastAsia="fr-FR"/>
              </w:rPr>
            </w:pPr>
          </w:p>
        </w:tc>
        <w:tc>
          <w:tcPr>
            <w:tcW w:w="3118" w:type="dxa"/>
            <w:tcBorders>
              <w:top w:val="single" w:sz="18" w:space="0" w:color="5B9BD5" w:themeColor="accent1"/>
              <w:bottom w:val="single" w:sz="4" w:space="0" w:color="5B9BD5" w:themeColor="accent1"/>
            </w:tcBorders>
            <w:noWrap/>
          </w:tcPr>
          <w:p w14:paraId="47C6E767" w14:textId="07BE52C9" w:rsidR="007B28CF" w:rsidRPr="00D56C5E" w:rsidRDefault="007B28CF" w:rsidP="004C2B6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Dont autres opérations aux GAB</w:t>
            </w:r>
          </w:p>
        </w:tc>
        <w:tc>
          <w:tcPr>
            <w:tcW w:w="2267" w:type="dxa"/>
            <w:tcBorders>
              <w:top w:val="single" w:sz="18" w:space="0" w:color="5B9BD5" w:themeColor="accent1"/>
              <w:bottom w:val="single" w:sz="4" w:space="0" w:color="5B9BD5" w:themeColor="accent1"/>
            </w:tcBorders>
          </w:tcPr>
          <w:p w14:paraId="34A8256C" w14:textId="7EA69732" w:rsidR="007B28CF" w:rsidRPr="00036919" w:rsidRDefault="007B28CF" w:rsidP="00FA5C8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p>
        </w:tc>
        <w:tc>
          <w:tcPr>
            <w:tcW w:w="1134" w:type="dxa"/>
            <w:vMerge/>
            <w:noWrap/>
          </w:tcPr>
          <w:p w14:paraId="31B07342" w14:textId="77777777"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4" w:space="0" w:color="5B9BD5" w:themeColor="accent1"/>
            </w:tcBorders>
          </w:tcPr>
          <w:p w14:paraId="59426857" w14:textId="77777777"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4" w:space="0" w:color="5B9BD5" w:themeColor="accent1"/>
            </w:tcBorders>
          </w:tcPr>
          <w:p w14:paraId="63A9C8BD" w14:textId="77777777"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7B28CF" w:rsidRPr="00BF3E5E" w14:paraId="47E9C81B" w14:textId="254CB69D" w:rsidTr="007B2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 w:type="dxa"/>
            <w:tcBorders>
              <w:top w:val="single" w:sz="18" w:space="0" w:color="5B9BD5" w:themeColor="accent1"/>
              <w:bottom w:val="single" w:sz="18" w:space="0" w:color="5B9BD5" w:themeColor="accent1"/>
            </w:tcBorders>
            <w:noWrap/>
          </w:tcPr>
          <w:p w14:paraId="26362DFD" w14:textId="77777777" w:rsidR="007B28CF" w:rsidRPr="00D56C5E" w:rsidRDefault="007B28CF" w:rsidP="0090050F">
            <w:pPr>
              <w:rPr>
                <w:rFonts w:ascii="Calibri" w:eastAsia="Times New Roman" w:hAnsi="Calibri" w:cs="Calibri"/>
                <w:i/>
                <w:sz w:val="18"/>
                <w:szCs w:val="18"/>
                <w:lang w:eastAsia="fr-FR"/>
              </w:rPr>
            </w:pPr>
          </w:p>
        </w:tc>
        <w:tc>
          <w:tcPr>
            <w:tcW w:w="3118" w:type="dxa"/>
            <w:tcBorders>
              <w:top w:val="single" w:sz="18" w:space="0" w:color="5B9BD5" w:themeColor="accent1"/>
              <w:bottom w:val="single" w:sz="18" w:space="0" w:color="5B9BD5" w:themeColor="accent1"/>
            </w:tcBorders>
            <w:noWrap/>
          </w:tcPr>
          <w:p w14:paraId="078F1B8E" w14:textId="77777777" w:rsidR="007B28CF" w:rsidRPr="00D56C5E" w:rsidRDefault="007B28CF" w:rsidP="004C2B6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D56C5E">
              <w:rPr>
                <w:rFonts w:ascii="Calibri" w:eastAsia="Times New Roman" w:hAnsi="Calibri" w:cs="Calibri"/>
                <w:b/>
                <w:i/>
                <w:sz w:val="18"/>
                <w:szCs w:val="18"/>
                <w:lang w:eastAsia="fr-FR"/>
              </w:rPr>
              <w:t>Dont opérations à un terminal point de vente (TPV)</w:t>
            </w:r>
          </w:p>
        </w:tc>
        <w:tc>
          <w:tcPr>
            <w:tcW w:w="2267" w:type="dxa"/>
            <w:tcBorders>
              <w:top w:val="single" w:sz="18" w:space="0" w:color="5B9BD5" w:themeColor="accent1"/>
              <w:bottom w:val="single" w:sz="18" w:space="0" w:color="5B9BD5" w:themeColor="accent1"/>
            </w:tcBorders>
          </w:tcPr>
          <w:p w14:paraId="030FE16D" w14:textId="77777777" w:rsidR="007B28CF" w:rsidRDefault="007B28CF" w:rsidP="00FA5C8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D56C5E">
              <w:rPr>
                <w:rFonts w:ascii="Calibri" w:eastAsia="Times New Roman" w:hAnsi="Calibri" w:cs="Calibri"/>
                <w:sz w:val="18"/>
                <w:szCs w:val="18"/>
                <w:lang w:eastAsia="fr-FR"/>
              </w:rPr>
              <w:t>Opérations effectuées via un TPV à l’aide d’une carte ayant une fonction de débit, de crédit ou de débit différé.</w:t>
            </w:r>
          </w:p>
          <w:p w14:paraId="1820C57E" w14:textId="21971136" w:rsidR="007B28CF" w:rsidRPr="00D56C5E" w:rsidRDefault="007B28CF" w:rsidP="00F252EC">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u w:val="single"/>
                <w:lang w:eastAsia="fr-FR"/>
              </w:rPr>
              <w:t>Exclus</w:t>
            </w:r>
            <w:r>
              <w:rPr>
                <w:rFonts w:ascii="Calibri" w:eastAsia="Times New Roman" w:hAnsi="Calibri" w:cs="Calibri"/>
                <w:sz w:val="18"/>
                <w:szCs w:val="18"/>
                <w:lang w:eastAsia="fr-FR"/>
              </w:rPr>
              <w:t> </w:t>
            </w:r>
            <w:r w:rsidRPr="001567E5">
              <w:rPr>
                <w:rFonts w:ascii="Calibri" w:eastAsia="Times New Roman" w:hAnsi="Calibri" w:cs="Calibri"/>
                <w:sz w:val="18"/>
                <w:szCs w:val="18"/>
                <w:lang w:eastAsia="fr-FR"/>
              </w:rPr>
              <w:t>: les</w:t>
            </w:r>
            <w:r w:rsidRPr="00D56C5E">
              <w:rPr>
                <w:rFonts w:ascii="Calibri" w:eastAsia="Times New Roman" w:hAnsi="Calibri" w:cs="Calibri"/>
                <w:sz w:val="18"/>
                <w:szCs w:val="18"/>
                <w:lang w:eastAsia="fr-FR"/>
              </w:rPr>
              <w:t xml:space="preserve"> opérations effectuées avec une carte ayant une fonction de monnaie électronique</w:t>
            </w:r>
            <w:r>
              <w:rPr>
                <w:rFonts w:ascii="Calibri" w:eastAsia="Times New Roman" w:hAnsi="Calibri" w:cs="Calibri"/>
                <w:sz w:val="18"/>
                <w:szCs w:val="18"/>
                <w:lang w:eastAsia="fr-FR"/>
              </w:rPr>
              <w:t xml:space="preserve"> (par exemple, les cartes prépayées)</w:t>
            </w:r>
            <w:r w:rsidRPr="00D56C5E">
              <w:rPr>
                <w:rFonts w:ascii="Calibri" w:eastAsia="Times New Roman" w:hAnsi="Calibri" w:cs="Calibri"/>
                <w:sz w:val="18"/>
                <w:szCs w:val="18"/>
                <w:lang w:eastAsia="fr-FR"/>
              </w:rPr>
              <w:t>.</w:t>
            </w:r>
          </w:p>
        </w:tc>
        <w:tc>
          <w:tcPr>
            <w:tcW w:w="1134" w:type="dxa"/>
            <w:vMerge/>
            <w:noWrap/>
          </w:tcPr>
          <w:p w14:paraId="3C454160" w14:textId="534DD35F" w:rsidR="007B28CF" w:rsidRPr="00D56C5E" w:rsidRDefault="007B28CF"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18" w:space="0" w:color="5B9BD5" w:themeColor="accent1"/>
            </w:tcBorders>
          </w:tcPr>
          <w:p w14:paraId="54B9D1AD" w14:textId="77777777" w:rsidR="007B28CF" w:rsidRPr="00D56C5E" w:rsidRDefault="007B28CF"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18" w:space="0" w:color="5B9BD5" w:themeColor="accent1"/>
            </w:tcBorders>
          </w:tcPr>
          <w:p w14:paraId="0B06694C" w14:textId="77777777" w:rsidR="007B28CF" w:rsidRPr="00D56C5E" w:rsidRDefault="007B28CF"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7B28CF" w:rsidRPr="00BF3E5E" w14:paraId="792454E3" w14:textId="6AC97AC4" w:rsidTr="007B28CF">
        <w:trPr>
          <w:trHeight w:val="300"/>
        </w:trPr>
        <w:tc>
          <w:tcPr>
            <w:cnfStyle w:val="001000000000" w:firstRow="0" w:lastRow="0" w:firstColumn="1" w:lastColumn="0" w:oddVBand="0" w:evenVBand="0" w:oddHBand="0" w:evenHBand="0" w:firstRowFirstColumn="0" w:firstRowLastColumn="0" w:lastRowFirstColumn="0" w:lastRowLastColumn="0"/>
            <w:tcW w:w="285" w:type="dxa"/>
            <w:tcBorders>
              <w:top w:val="single" w:sz="18" w:space="0" w:color="5B9BD5" w:themeColor="accent1"/>
              <w:bottom w:val="single" w:sz="4" w:space="0" w:color="5B9BD5" w:themeColor="accent1"/>
            </w:tcBorders>
            <w:noWrap/>
            <w:hideMark/>
          </w:tcPr>
          <w:p w14:paraId="02EBE71A" w14:textId="091BF99E" w:rsidR="007B28CF" w:rsidRPr="00D56C5E" w:rsidRDefault="007B28CF" w:rsidP="00AF1BEB">
            <w:pPr>
              <w:rPr>
                <w:rFonts w:ascii="Calibri" w:eastAsia="Times New Roman" w:hAnsi="Calibri" w:cs="Calibri"/>
                <w:i/>
                <w:sz w:val="18"/>
                <w:szCs w:val="18"/>
                <w:lang w:eastAsia="fr-FR"/>
              </w:rPr>
            </w:pPr>
          </w:p>
        </w:tc>
        <w:tc>
          <w:tcPr>
            <w:tcW w:w="3118" w:type="dxa"/>
            <w:tcBorders>
              <w:top w:val="single" w:sz="18" w:space="0" w:color="5B9BD5" w:themeColor="accent1"/>
              <w:bottom w:val="single" w:sz="4" w:space="0" w:color="5B9BD5" w:themeColor="accent1"/>
            </w:tcBorders>
            <w:noWrap/>
            <w:hideMark/>
          </w:tcPr>
          <w:p w14:paraId="2F0D88DE" w14:textId="78A42174" w:rsidR="007B28CF" w:rsidRPr="00D56C5E" w:rsidRDefault="007B28CF" w:rsidP="005722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EC28CC">
              <w:rPr>
                <w:rFonts w:ascii="Calibri" w:eastAsia="Times New Roman" w:hAnsi="Calibri" w:cs="Calibri"/>
                <w:b/>
                <w:i/>
                <w:sz w:val="18"/>
                <w:szCs w:val="18"/>
                <w:lang w:eastAsia="fr-FR"/>
              </w:rPr>
              <w:t>Dont chargement et déchargement de cartes de monnaie électronique</w:t>
            </w:r>
            <w:r w:rsidRPr="00D56C5E">
              <w:rPr>
                <w:rFonts w:ascii="Calibri" w:eastAsia="Times New Roman" w:hAnsi="Calibri" w:cs="Calibri"/>
                <w:b/>
                <w:i/>
                <w:sz w:val="18"/>
                <w:szCs w:val="18"/>
                <w:lang w:eastAsia="fr-FR"/>
              </w:rPr>
              <w:t> </w:t>
            </w:r>
          </w:p>
        </w:tc>
        <w:tc>
          <w:tcPr>
            <w:tcW w:w="2267" w:type="dxa"/>
            <w:tcBorders>
              <w:top w:val="single" w:sz="18" w:space="0" w:color="5B9BD5" w:themeColor="accent1"/>
              <w:bottom w:val="single" w:sz="4" w:space="0" w:color="5B9BD5" w:themeColor="accent1"/>
            </w:tcBorders>
          </w:tcPr>
          <w:p w14:paraId="35487DE0" w14:textId="75C0C990" w:rsidR="007B28CF" w:rsidRPr="00D56C5E" w:rsidRDefault="007B28CF" w:rsidP="001567E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EC28CC">
              <w:rPr>
                <w:rFonts w:ascii="Calibri" w:eastAsia="Times New Roman" w:hAnsi="Calibri" w:cs="Calibri"/>
                <w:sz w:val="18"/>
                <w:szCs w:val="18"/>
                <w:lang w:eastAsia="fr-FR"/>
              </w:rPr>
              <w:t xml:space="preserve">Opérations permettant le </w:t>
            </w:r>
            <w:r>
              <w:rPr>
                <w:rFonts w:ascii="Calibri" w:eastAsia="Times New Roman" w:hAnsi="Calibri" w:cs="Calibri"/>
                <w:sz w:val="18"/>
                <w:szCs w:val="18"/>
                <w:lang w:eastAsia="fr-FR"/>
              </w:rPr>
              <w:t xml:space="preserve">transfert de </w:t>
            </w:r>
            <w:r w:rsidRPr="00EC28CC">
              <w:rPr>
                <w:rFonts w:ascii="Calibri" w:eastAsia="Times New Roman" w:hAnsi="Calibri" w:cs="Calibri"/>
                <w:sz w:val="18"/>
                <w:szCs w:val="18"/>
                <w:lang w:eastAsia="fr-FR"/>
              </w:rPr>
              <w:t xml:space="preserve">monnaie électronique depuis un émetteur de monnaie électronique vers une carte ayant une fonction monnaie électronique et vice versa. </w:t>
            </w:r>
          </w:p>
        </w:tc>
        <w:tc>
          <w:tcPr>
            <w:tcW w:w="1134" w:type="dxa"/>
            <w:vMerge/>
            <w:noWrap/>
          </w:tcPr>
          <w:p w14:paraId="3911C0F5" w14:textId="3F5716C9"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4" w:space="0" w:color="5B9BD5" w:themeColor="accent1"/>
            </w:tcBorders>
          </w:tcPr>
          <w:p w14:paraId="5CA3C25A" w14:textId="77777777"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4" w:space="0" w:color="5B9BD5" w:themeColor="accent1"/>
            </w:tcBorders>
          </w:tcPr>
          <w:p w14:paraId="4E77A1D2" w14:textId="77777777"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7B28CF" w:rsidRPr="00BF3E5E" w14:paraId="5D6A3A3E" w14:textId="4D5A1B9B" w:rsidTr="007B2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 w:type="dxa"/>
            <w:tcBorders>
              <w:top w:val="single" w:sz="18" w:space="0" w:color="5B9BD5" w:themeColor="accent1"/>
              <w:bottom w:val="single" w:sz="4" w:space="0" w:color="5B9BD5" w:themeColor="accent1"/>
            </w:tcBorders>
            <w:noWrap/>
          </w:tcPr>
          <w:p w14:paraId="6B6B274E" w14:textId="77777777" w:rsidR="007B28CF" w:rsidRPr="00D56C5E" w:rsidRDefault="007B28CF" w:rsidP="00F00E71">
            <w:pPr>
              <w:rPr>
                <w:rFonts w:ascii="Calibri" w:eastAsia="Times New Roman" w:hAnsi="Calibri" w:cs="Calibri"/>
                <w:i/>
                <w:sz w:val="18"/>
                <w:szCs w:val="18"/>
                <w:lang w:eastAsia="fr-FR"/>
              </w:rPr>
            </w:pPr>
          </w:p>
        </w:tc>
        <w:tc>
          <w:tcPr>
            <w:tcW w:w="3118" w:type="dxa"/>
            <w:tcBorders>
              <w:top w:val="single" w:sz="18" w:space="0" w:color="5B9BD5" w:themeColor="accent1"/>
              <w:bottom w:val="single" w:sz="4" w:space="0" w:color="5B9BD5" w:themeColor="accent1"/>
            </w:tcBorders>
            <w:noWrap/>
          </w:tcPr>
          <w:p w14:paraId="08CFC211" w14:textId="77777777" w:rsidR="007B28CF" w:rsidRPr="00D56C5E" w:rsidRDefault="007B28CF" w:rsidP="00F00E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EC28CC">
              <w:rPr>
                <w:rFonts w:ascii="Calibri" w:eastAsia="Times New Roman" w:hAnsi="Calibri" w:cs="Calibri"/>
                <w:b/>
                <w:i/>
                <w:sz w:val="18"/>
                <w:szCs w:val="18"/>
                <w:lang w:eastAsia="fr-FR"/>
              </w:rPr>
              <w:t>Dont paiements en monnaie électronique effectués avec des cartes ayant une fonction monnaie électronique</w:t>
            </w:r>
          </w:p>
        </w:tc>
        <w:tc>
          <w:tcPr>
            <w:tcW w:w="2267" w:type="dxa"/>
            <w:tcBorders>
              <w:top w:val="single" w:sz="18" w:space="0" w:color="5B9BD5" w:themeColor="accent1"/>
              <w:bottom w:val="single" w:sz="4" w:space="0" w:color="5B9BD5" w:themeColor="accent1"/>
            </w:tcBorders>
          </w:tcPr>
          <w:p w14:paraId="2554BADA" w14:textId="3F86740B" w:rsidR="007B28CF" w:rsidRPr="00D56C5E" w:rsidRDefault="007B28CF" w:rsidP="00F00E7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Paiements avec une c</w:t>
            </w:r>
            <w:r w:rsidRPr="00EC28CC">
              <w:rPr>
                <w:rFonts w:ascii="Calibri" w:eastAsia="Times New Roman" w:hAnsi="Calibri" w:cs="Calibri"/>
                <w:sz w:val="18"/>
                <w:szCs w:val="18"/>
                <w:lang w:eastAsia="fr-FR"/>
              </w:rPr>
              <w:t>arte ayant une fonction monnaie électronique qui a été chargée au moins une fois et qui peut donc être considérée comme activée. Le chargement peut être considéré comme indiquant l’intention d’utiliser la fonction monnaie électronique</w:t>
            </w:r>
          </w:p>
        </w:tc>
        <w:tc>
          <w:tcPr>
            <w:tcW w:w="1134" w:type="dxa"/>
            <w:vMerge/>
            <w:tcBorders>
              <w:bottom w:val="single" w:sz="4" w:space="0" w:color="5B9BD5" w:themeColor="accent1"/>
            </w:tcBorders>
            <w:noWrap/>
          </w:tcPr>
          <w:p w14:paraId="3E910B45" w14:textId="08867D69" w:rsidR="007B28CF" w:rsidRPr="00D56C5E" w:rsidRDefault="007B28CF" w:rsidP="00F00E71">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3" w:type="dxa"/>
            <w:tcBorders>
              <w:top w:val="single" w:sz="18" w:space="0" w:color="5B9BD5" w:themeColor="accent1"/>
              <w:bottom w:val="single" w:sz="4" w:space="0" w:color="5B9BD5" w:themeColor="accent1"/>
            </w:tcBorders>
          </w:tcPr>
          <w:p w14:paraId="655D34EA" w14:textId="77777777" w:rsidR="007B28CF" w:rsidRPr="00D56C5E" w:rsidRDefault="007B28CF" w:rsidP="00F00E71">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3" w:type="dxa"/>
            <w:tcBorders>
              <w:top w:val="single" w:sz="18" w:space="0" w:color="5B9BD5" w:themeColor="accent1"/>
              <w:bottom w:val="single" w:sz="4" w:space="0" w:color="5B9BD5" w:themeColor="accent1"/>
            </w:tcBorders>
          </w:tcPr>
          <w:p w14:paraId="14E1F356" w14:textId="77777777" w:rsidR="007B28CF" w:rsidRPr="00D56C5E" w:rsidRDefault="007B28CF" w:rsidP="00F00E71">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0C920EE5" w14:textId="77777777" w:rsidR="00FE739D" w:rsidRDefault="00FE739D" w:rsidP="00FE739D">
      <w:pPr>
        <w:pStyle w:val="Paragraphedeliste"/>
        <w:autoSpaceDE w:val="0"/>
        <w:autoSpaceDN w:val="0"/>
        <w:adjustRightInd w:val="0"/>
        <w:spacing w:after="0" w:line="240" w:lineRule="auto"/>
        <w:jc w:val="both"/>
        <w:rPr>
          <w:rFonts w:cstheme="minorHAnsi"/>
        </w:rPr>
      </w:pPr>
    </w:p>
    <w:p w14:paraId="1D6B060D" w14:textId="2BC1B1E8" w:rsidR="00FE739D" w:rsidRPr="0030008C" w:rsidRDefault="00FE739D" w:rsidP="00FE739D">
      <w:pPr>
        <w:pStyle w:val="Paragraphedeliste"/>
        <w:autoSpaceDE w:val="0"/>
        <w:autoSpaceDN w:val="0"/>
        <w:adjustRightInd w:val="0"/>
        <w:spacing w:after="0" w:line="240" w:lineRule="auto"/>
        <w:jc w:val="both"/>
        <w:rPr>
          <w:rFonts w:cstheme="minorHAnsi"/>
        </w:rPr>
      </w:pPr>
    </w:p>
    <w:p w14:paraId="40D2E4FA" w14:textId="2693F32A" w:rsidR="00B5532F" w:rsidRPr="00F10AA3" w:rsidRDefault="00B5532F" w:rsidP="00F10AA3">
      <w:pPr>
        <w:autoSpaceDE w:val="0"/>
        <w:autoSpaceDN w:val="0"/>
        <w:adjustRightInd w:val="0"/>
        <w:spacing w:after="0" w:line="240" w:lineRule="auto"/>
        <w:jc w:val="both"/>
        <w:rPr>
          <w:rFonts w:cstheme="minorHAnsi"/>
        </w:rPr>
      </w:pPr>
      <w:r w:rsidRPr="00F10AA3">
        <w:rPr>
          <w:rFonts w:cstheme="minorHAnsi"/>
        </w:rPr>
        <w:t>Les règles de contrôle suivantes doivent être appliquées en nombre et en valeur</w:t>
      </w:r>
      <w:r w:rsidR="00234AE7">
        <w:rPr>
          <w:rFonts w:cstheme="minorHAnsi"/>
        </w:rPr>
        <w:t>.</w:t>
      </w:r>
    </w:p>
    <w:p w14:paraId="2798202E" w14:textId="77777777" w:rsidR="00B5532F" w:rsidRDefault="00B5532F" w:rsidP="00FE739D">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C11DFD" w:rsidRPr="00913B52" w14:paraId="7307BF3A" w14:textId="77777777" w:rsidTr="003952EB">
        <w:tc>
          <w:tcPr>
            <w:tcW w:w="9054" w:type="dxa"/>
          </w:tcPr>
          <w:p w14:paraId="167A75D9" w14:textId="77777777" w:rsidR="00C11DFD" w:rsidRPr="00913B52" w:rsidRDefault="00C11DFD" w:rsidP="003952EB">
            <w:pPr>
              <w:pStyle w:val="Paragraphedeliste"/>
              <w:autoSpaceDE w:val="0"/>
              <w:autoSpaceDN w:val="0"/>
              <w:adjustRightInd w:val="0"/>
              <w:ind w:left="0"/>
              <w:jc w:val="both"/>
              <w:rPr>
                <w:sz w:val="18"/>
              </w:rPr>
            </w:pPr>
            <w:r w:rsidRPr="00913B52">
              <w:rPr>
                <w:rFonts w:cstheme="minorHAnsi"/>
                <w:sz w:val="18"/>
                <w:szCs w:val="18"/>
              </w:rPr>
              <w:t>Le total de chaque indicateur est = à la somme des trois sous-ventilations géographiques associées (France, au sein de l’EEE et hors de l’EEE.</w:t>
            </w:r>
          </w:p>
        </w:tc>
      </w:tr>
      <w:tr w:rsidR="00C11DFD" w:rsidRPr="004E58CA" w14:paraId="32D28490" w14:textId="77777777" w:rsidTr="003952EB">
        <w:tc>
          <w:tcPr>
            <w:tcW w:w="9054" w:type="dxa"/>
          </w:tcPr>
          <w:p w14:paraId="0B400A29" w14:textId="77777777" w:rsidR="00C11DFD" w:rsidRPr="004E58CA" w:rsidRDefault="00C11DFD" w:rsidP="003952EB">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E23A7E" w:rsidRPr="00191426" w14:paraId="60174777" w14:textId="77777777" w:rsidTr="00E23A7E">
        <w:tc>
          <w:tcPr>
            <w:tcW w:w="9054" w:type="dxa"/>
          </w:tcPr>
          <w:p w14:paraId="2DD3DEFD" w14:textId="7F3A063E" w:rsidR="00E23A7E" w:rsidRPr="00C11DFD" w:rsidRDefault="00C11DFD" w:rsidP="00EF31EC">
            <w:pPr>
              <w:pStyle w:val="Paragraphedeliste"/>
              <w:autoSpaceDE w:val="0"/>
              <w:autoSpaceDN w:val="0"/>
              <w:adjustRightInd w:val="0"/>
              <w:ind w:left="0"/>
              <w:jc w:val="both"/>
              <w:rPr>
                <w:sz w:val="18"/>
                <w:highlight w:val="green"/>
              </w:rPr>
            </w:pPr>
            <w:r w:rsidRPr="00C11DFD">
              <w:rPr>
                <w:sz w:val="18"/>
              </w:rPr>
              <w:t>Le total de opérations</w:t>
            </w:r>
            <w:r>
              <w:rPr>
                <w:sz w:val="18"/>
              </w:rPr>
              <w:t xml:space="preserve"> est = </w:t>
            </w:r>
            <w:r w:rsidR="00EF31EC">
              <w:rPr>
                <w:sz w:val="18"/>
              </w:rPr>
              <w:t xml:space="preserve">au total </w:t>
            </w:r>
            <w:r>
              <w:rPr>
                <w:sz w:val="18"/>
              </w:rPr>
              <w:t>des retraits d’espèces aux GAB, des dépôts d’espèces aux GAB</w:t>
            </w:r>
            <w:r w:rsidR="00EF31EC">
              <w:rPr>
                <w:sz w:val="18"/>
              </w:rPr>
              <w:t xml:space="preserve"> + le total</w:t>
            </w:r>
            <w:r>
              <w:rPr>
                <w:sz w:val="18"/>
              </w:rPr>
              <w:t xml:space="preserve"> des autres opérations aux GAB</w:t>
            </w:r>
            <w:r w:rsidR="00EF31EC">
              <w:rPr>
                <w:sz w:val="18"/>
              </w:rPr>
              <w:t xml:space="preserve"> + le total des</w:t>
            </w:r>
            <w:r>
              <w:rPr>
                <w:sz w:val="18"/>
              </w:rPr>
              <w:t xml:space="preserve"> opérations à un TPV</w:t>
            </w:r>
            <w:r w:rsidR="00EF31EC">
              <w:rPr>
                <w:sz w:val="18"/>
              </w:rPr>
              <w:t xml:space="preserve"> + le total des opérations de</w:t>
            </w:r>
            <w:r>
              <w:rPr>
                <w:sz w:val="18"/>
              </w:rPr>
              <w:t xml:space="preserve"> chargement/déchargement monnaie électronique </w:t>
            </w:r>
            <w:r w:rsidR="00EF31EC">
              <w:rPr>
                <w:sz w:val="18"/>
              </w:rPr>
              <w:t xml:space="preserve">+ le total </w:t>
            </w:r>
            <w:r>
              <w:rPr>
                <w:sz w:val="18"/>
              </w:rPr>
              <w:t>des paiements en monnaie électronique avec des cartes ayant une fonction de monnaie électronique.</w:t>
            </w:r>
          </w:p>
        </w:tc>
      </w:tr>
    </w:tbl>
    <w:p w14:paraId="14ED4189" w14:textId="77777777" w:rsidR="00FE739D" w:rsidRPr="00996914" w:rsidRDefault="00FE739D" w:rsidP="00FE739D">
      <w:pPr>
        <w:pStyle w:val="Paragraphedeliste"/>
        <w:autoSpaceDE w:val="0"/>
        <w:autoSpaceDN w:val="0"/>
        <w:adjustRightInd w:val="0"/>
        <w:spacing w:after="0" w:line="240" w:lineRule="auto"/>
        <w:jc w:val="both"/>
        <w:rPr>
          <w:rFonts w:cstheme="minorHAnsi"/>
        </w:rPr>
      </w:pPr>
    </w:p>
    <w:p w14:paraId="4CAACAD6" w14:textId="77777777" w:rsidR="002E7B53" w:rsidRDefault="002E7B53" w:rsidP="00F735D7">
      <w:pPr>
        <w:spacing w:after="0" w:line="240" w:lineRule="auto"/>
        <w:rPr>
          <w:rFonts w:ascii="Calibri" w:eastAsia="Times New Roman" w:hAnsi="Calibri" w:cs="Calibri"/>
          <w:i/>
          <w:sz w:val="20"/>
          <w:szCs w:val="20"/>
          <w:lang w:eastAsia="fr-FR"/>
        </w:rPr>
      </w:pPr>
    </w:p>
    <w:p w14:paraId="27208151" w14:textId="4968A695" w:rsidR="007C403B" w:rsidRPr="00216C5D" w:rsidRDefault="00806E7F" w:rsidP="006B400E">
      <w:pPr>
        <w:pStyle w:val="Titre4"/>
        <w:numPr>
          <w:ilvl w:val="3"/>
          <w:numId w:val="20"/>
        </w:numPr>
      </w:pPr>
      <w:bookmarkStart w:id="34" w:name="_Toc222476865"/>
      <w:r w:rsidRPr="00216C5D">
        <w:t>O</w:t>
      </w:r>
      <w:r w:rsidR="00CD4692" w:rsidRPr="00216C5D">
        <w:t>pérations de retrait</w:t>
      </w:r>
      <w:bookmarkEnd w:id="34"/>
    </w:p>
    <w:p w14:paraId="16FCB0FF" w14:textId="77777777" w:rsidR="00B66673" w:rsidRDefault="00B66673" w:rsidP="00F735D7">
      <w:pPr>
        <w:spacing w:after="0" w:line="240" w:lineRule="auto"/>
        <w:rPr>
          <w:rFonts w:cstheme="minorHAnsi"/>
        </w:rPr>
      </w:pPr>
    </w:p>
    <w:p w14:paraId="5DE2DE70" w14:textId="16AD2AA4" w:rsidR="00BF3E5E" w:rsidRDefault="00B66673" w:rsidP="00B66673">
      <w:pPr>
        <w:spacing w:after="0" w:line="240" w:lineRule="auto"/>
        <w:jc w:val="both"/>
        <w:rPr>
          <w:rFonts w:cstheme="minorHAnsi"/>
        </w:rPr>
      </w:pPr>
      <w:r w:rsidRPr="00C714BD">
        <w:rPr>
          <w:rFonts w:cstheme="minorHAnsi"/>
        </w:rPr>
        <w:t>Il s</w:t>
      </w:r>
      <w:r>
        <w:rPr>
          <w:rFonts w:cstheme="minorHAnsi"/>
        </w:rPr>
        <w:t>’agit de déclarer, en nombre et valeur, les retraits d’espèces effectués à partir de cartes émises par l’établissement.</w:t>
      </w:r>
    </w:p>
    <w:p w14:paraId="0C4998F1" w14:textId="55C41EFC" w:rsidR="00564E26" w:rsidRDefault="00564E26" w:rsidP="00B66673">
      <w:pPr>
        <w:spacing w:after="0" w:line="240" w:lineRule="auto"/>
        <w:jc w:val="both"/>
        <w:rPr>
          <w:rFonts w:cstheme="minorHAnsi"/>
        </w:rPr>
      </w:pPr>
    </w:p>
    <w:p w14:paraId="5FE58256" w14:textId="25FD40A0" w:rsidR="00564E26" w:rsidRDefault="00564E26" w:rsidP="00B66673">
      <w:pPr>
        <w:spacing w:after="0" w:line="240" w:lineRule="auto"/>
        <w:jc w:val="both"/>
        <w:rPr>
          <w:rFonts w:cstheme="minorHAnsi"/>
        </w:rPr>
      </w:pPr>
      <w:r>
        <w:rPr>
          <w:rFonts w:cstheme="minorHAnsi"/>
          <w:u w:val="single"/>
        </w:rPr>
        <w:t>Remarques</w:t>
      </w:r>
      <w:r>
        <w:rPr>
          <w:rFonts w:cstheme="minorHAnsi"/>
        </w:rPr>
        <w:t> :</w:t>
      </w:r>
    </w:p>
    <w:p w14:paraId="7FA4F11E" w14:textId="3527120B" w:rsidR="00564E26" w:rsidRDefault="00564E26" w:rsidP="00B66673">
      <w:pPr>
        <w:spacing w:after="0" w:line="240" w:lineRule="auto"/>
        <w:jc w:val="both"/>
        <w:rPr>
          <w:rFonts w:cstheme="minorHAnsi"/>
        </w:rPr>
      </w:pPr>
    </w:p>
    <w:p w14:paraId="40FFEE5B" w14:textId="77777777" w:rsidR="00564E26" w:rsidRPr="00564E26" w:rsidRDefault="00564E26" w:rsidP="00564E26">
      <w:pPr>
        <w:pStyle w:val="Paragraphedeliste"/>
        <w:numPr>
          <w:ilvl w:val="0"/>
          <w:numId w:val="3"/>
        </w:numPr>
        <w:spacing w:after="0" w:line="240" w:lineRule="auto"/>
        <w:jc w:val="both"/>
        <w:rPr>
          <w:rFonts w:ascii="Calibri" w:eastAsia="Calibri" w:hAnsi="Calibri" w:cs="Calibri"/>
          <w:b/>
        </w:rPr>
      </w:pPr>
      <w:r w:rsidRPr="00564E26">
        <w:rPr>
          <w:rFonts w:ascii="Calibri" w:eastAsia="Calibri" w:hAnsi="Calibri" w:cs="Calibri"/>
          <w:b/>
        </w:rPr>
        <w:t>L’établissement ne renseigne que les seuls schémas de carte pour lesquels il a des transactions à déclarer.</w:t>
      </w:r>
    </w:p>
    <w:p w14:paraId="35C2C901" w14:textId="77777777" w:rsidR="00BF3E5E" w:rsidRPr="003B1F12" w:rsidRDefault="00BF3E5E" w:rsidP="00F735D7">
      <w:pPr>
        <w:spacing w:after="0" w:line="240" w:lineRule="auto"/>
        <w:rPr>
          <w:rFonts w:ascii="Calibri" w:eastAsia="Times New Roman" w:hAnsi="Calibri" w:cs="Calibri"/>
          <w:i/>
          <w:sz w:val="24"/>
          <w:szCs w:val="24"/>
          <w:lang w:eastAsia="fr-FR"/>
        </w:rPr>
      </w:pPr>
    </w:p>
    <w:p w14:paraId="3C35D0A1" w14:textId="77777777" w:rsidR="007578FE" w:rsidRDefault="007578FE" w:rsidP="007578FE">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779171F9" w14:textId="77777777" w:rsidR="007578FE" w:rsidRPr="003B1F12" w:rsidRDefault="007578FE" w:rsidP="00F735D7">
      <w:pPr>
        <w:spacing w:after="0" w:line="240" w:lineRule="auto"/>
        <w:rPr>
          <w:rFonts w:ascii="Calibri" w:eastAsia="Times New Roman" w:hAnsi="Calibri" w:cs="Calibri"/>
          <w:i/>
          <w:sz w:val="24"/>
          <w:szCs w:val="24"/>
          <w:lang w:eastAsia="fr-FR"/>
        </w:rPr>
      </w:pPr>
    </w:p>
    <w:tbl>
      <w:tblPr>
        <w:tblStyle w:val="Tableausimple2"/>
        <w:tblW w:w="0" w:type="auto"/>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37"/>
        <w:gridCol w:w="249"/>
        <w:gridCol w:w="2916"/>
        <w:gridCol w:w="2711"/>
        <w:gridCol w:w="1157"/>
        <w:gridCol w:w="900"/>
        <w:gridCol w:w="900"/>
      </w:tblGrid>
      <w:tr w:rsidR="00E23A7E" w:rsidRPr="00CF4EBE" w14:paraId="59E1E7BA" w14:textId="77777777" w:rsidTr="0070084C">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113" w:type="dxa"/>
            <w:gridSpan w:val="4"/>
            <w:tcBorders>
              <w:top w:val="single" w:sz="18" w:space="0" w:color="5B9BD5" w:themeColor="accent1"/>
              <w:bottom w:val="single" w:sz="18" w:space="0" w:color="5B9BD5" w:themeColor="accent1"/>
            </w:tcBorders>
            <w:noWrap/>
          </w:tcPr>
          <w:p w14:paraId="6AD3CC78" w14:textId="77777777" w:rsidR="00E23A7E" w:rsidRPr="002414A7" w:rsidRDefault="00E23A7E" w:rsidP="00E23A7E">
            <w:pPr>
              <w:jc w:val="both"/>
              <w:rPr>
                <w:rFonts w:ascii="Calibri" w:eastAsia="Times New Roman" w:hAnsi="Calibri" w:cs="Calibri"/>
                <w:b w:val="0"/>
                <w:sz w:val="18"/>
                <w:szCs w:val="18"/>
                <w:lang w:eastAsia="fr-FR"/>
              </w:rPr>
            </w:pPr>
          </w:p>
        </w:tc>
        <w:tc>
          <w:tcPr>
            <w:tcW w:w="1157"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5A5801FE" w14:textId="10EB505C" w:rsidR="00E23A7E" w:rsidRPr="00D451BB" w:rsidRDefault="007B28CF" w:rsidP="001D1CB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bCs w:val="0"/>
                <w:sz w:val="14"/>
                <w:szCs w:val="18"/>
              </w:rPr>
              <w:t>Pays de localisation du GAB</w:t>
            </w:r>
          </w:p>
        </w:tc>
        <w:tc>
          <w:tcPr>
            <w:tcW w:w="900"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D514469" w14:textId="0BDEAE3D" w:rsidR="00E23A7E" w:rsidRPr="00D451BB" w:rsidRDefault="00E23A7E" w:rsidP="001D1CB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900" w:type="dxa"/>
            <w:tcBorders>
              <w:top w:val="single" w:sz="18" w:space="0" w:color="5B9BD5" w:themeColor="accent1"/>
              <w:left w:val="single" w:sz="2" w:space="0" w:color="5B9BD5" w:themeColor="accent1"/>
              <w:bottom w:val="single" w:sz="18" w:space="0" w:color="5B9BD5" w:themeColor="accent1"/>
            </w:tcBorders>
            <w:shd w:val="solid" w:color="FFFFFF" w:fill="000000"/>
          </w:tcPr>
          <w:p w14:paraId="78CF10EE" w14:textId="77777777" w:rsidR="00E23A7E" w:rsidRPr="007D187B" w:rsidRDefault="00E23A7E" w:rsidP="001D1CB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31BA79DD" w14:textId="3AC97232" w:rsidR="00E23A7E" w:rsidRPr="00D451BB" w:rsidRDefault="00E23A7E" w:rsidP="001D1CB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sidRPr="007D187B">
              <w:rPr>
                <w:rFonts w:cstheme="minorHAnsi"/>
                <w:bCs w:val="0"/>
                <w:sz w:val="14"/>
                <w:szCs w:val="18"/>
              </w:rPr>
              <w:t>euros</w:t>
            </w:r>
            <w:proofErr w:type="gramEnd"/>
          </w:p>
        </w:tc>
      </w:tr>
      <w:tr w:rsidR="007B28CF" w:rsidRPr="00CF4EBE" w14:paraId="0FDBCF04" w14:textId="740019BA" w:rsidTr="0070084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02" w:type="dxa"/>
            <w:gridSpan w:val="3"/>
            <w:tcBorders>
              <w:top w:val="single" w:sz="18" w:space="0" w:color="5B9BD5" w:themeColor="accent1"/>
            </w:tcBorders>
            <w:noWrap/>
            <w:hideMark/>
          </w:tcPr>
          <w:p w14:paraId="1C9595BE" w14:textId="50D096C4" w:rsidR="007B28CF" w:rsidRPr="002414A7" w:rsidRDefault="007B28CF" w:rsidP="00136422">
            <w:pPr>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Retraits d'espèces sur GAB par cartes émises par votre établissement</w:t>
            </w:r>
          </w:p>
        </w:tc>
        <w:tc>
          <w:tcPr>
            <w:tcW w:w="2711" w:type="dxa"/>
            <w:tcBorders>
              <w:top w:val="single" w:sz="18" w:space="0" w:color="5B9BD5" w:themeColor="accent1"/>
            </w:tcBorders>
            <w:noWrap/>
            <w:hideMark/>
          </w:tcPr>
          <w:p w14:paraId="509E2BA2" w14:textId="6667FFF4" w:rsidR="007B28CF" w:rsidRPr="001277FB" w:rsidRDefault="007B28CF" w:rsidP="00B666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1277FB">
              <w:rPr>
                <w:rFonts w:ascii="Calibri" w:eastAsia="Times New Roman" w:hAnsi="Calibri" w:cs="Calibri"/>
                <w:sz w:val="18"/>
                <w:szCs w:val="18"/>
                <w:lang w:eastAsia="fr-FR"/>
              </w:rPr>
              <w:t>Retraits d’espèces effectués avec une carte ayant une fonction espèces.</w:t>
            </w:r>
          </w:p>
          <w:p w14:paraId="319E6879" w14:textId="41B87B1A" w:rsidR="007B28CF" w:rsidRPr="001277FB" w:rsidRDefault="007B28CF" w:rsidP="00AF38C2">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c>
          <w:tcPr>
            <w:tcW w:w="1157" w:type="dxa"/>
            <w:vMerge w:val="restart"/>
            <w:tcBorders>
              <w:top w:val="single" w:sz="18" w:space="0" w:color="5B9BD5" w:themeColor="accent1"/>
            </w:tcBorders>
            <w:noWrap/>
          </w:tcPr>
          <w:p w14:paraId="251ACA9E" w14:textId="2C5294A4" w:rsidR="007B28CF" w:rsidRPr="007B28CF" w:rsidRDefault="007B28CF" w:rsidP="001D1CB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7B28CF">
              <w:rPr>
                <w:rFonts w:ascii="Calibri" w:eastAsia="Times New Roman" w:hAnsi="Calibri" w:cs="Calibri"/>
                <w:sz w:val="14"/>
                <w:szCs w:val="18"/>
                <w:lang w:eastAsia="fr-FR"/>
              </w:rPr>
              <w:t xml:space="preserve">Selon ventilation géographique en section </w:t>
            </w:r>
            <w:r w:rsidR="000D4BE8">
              <w:rPr>
                <w:rFonts w:ascii="Calibri" w:eastAsia="Times New Roman" w:hAnsi="Calibri" w:cs="Calibri"/>
                <w:sz w:val="14"/>
                <w:szCs w:val="18"/>
                <w:lang w:eastAsia="fr-FR"/>
              </w:rPr>
              <w:t>5.2</w:t>
            </w:r>
          </w:p>
        </w:tc>
        <w:tc>
          <w:tcPr>
            <w:tcW w:w="900" w:type="dxa"/>
            <w:tcBorders>
              <w:top w:val="single" w:sz="18" w:space="0" w:color="5B9BD5" w:themeColor="accent1"/>
            </w:tcBorders>
          </w:tcPr>
          <w:p w14:paraId="0FA1A37E" w14:textId="77777777" w:rsidR="007B28CF" w:rsidRPr="00D451BB" w:rsidRDefault="007B28CF" w:rsidP="00D451B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00" w:type="dxa"/>
            <w:tcBorders>
              <w:top w:val="single" w:sz="18" w:space="0" w:color="5B9BD5" w:themeColor="accent1"/>
            </w:tcBorders>
          </w:tcPr>
          <w:p w14:paraId="42E7F8D2" w14:textId="77777777" w:rsidR="007B28CF" w:rsidRPr="00D451BB" w:rsidRDefault="007B28CF" w:rsidP="00D451B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7B28CF" w:rsidRPr="007E7836" w14:paraId="4C4C72E8" w14:textId="1938AB89" w:rsidTr="007B28CF">
        <w:trPr>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18" w:space="0" w:color="5B9BD5" w:themeColor="accent1"/>
              <w:bottom w:val="single" w:sz="4" w:space="0" w:color="5B9BD5" w:themeColor="accent1"/>
            </w:tcBorders>
            <w:noWrap/>
          </w:tcPr>
          <w:p w14:paraId="6489DC87" w14:textId="5722E589" w:rsidR="007B28CF" w:rsidRPr="002414A7" w:rsidRDefault="007B28CF" w:rsidP="00EE765A">
            <w:pPr>
              <w:rPr>
                <w:rFonts w:ascii="Calibri" w:eastAsia="Times New Roman" w:hAnsi="Calibri" w:cs="Calibri"/>
                <w:i/>
                <w:sz w:val="18"/>
                <w:szCs w:val="18"/>
                <w:lang w:eastAsia="fr-FR"/>
              </w:rPr>
            </w:pPr>
          </w:p>
        </w:tc>
        <w:tc>
          <w:tcPr>
            <w:tcW w:w="3165" w:type="dxa"/>
            <w:gridSpan w:val="2"/>
            <w:tcBorders>
              <w:top w:val="single" w:sz="18" w:space="0" w:color="5B9BD5" w:themeColor="accent1"/>
              <w:bottom w:val="single" w:sz="4" w:space="0" w:color="5B9BD5" w:themeColor="accent1"/>
            </w:tcBorders>
            <w:noWrap/>
            <w:hideMark/>
          </w:tcPr>
          <w:p w14:paraId="17DE13B1" w14:textId="5485BA59" w:rsidR="007B28CF" w:rsidRPr="00306CBB" w:rsidRDefault="007B28CF" w:rsidP="00E23A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306CBB">
              <w:rPr>
                <w:rFonts w:ascii="Calibri" w:eastAsia="Times New Roman" w:hAnsi="Calibri" w:cs="Calibri"/>
                <w:b/>
                <w:i/>
                <w:sz w:val="18"/>
                <w:szCs w:val="18"/>
                <w:lang w:eastAsia="fr-FR"/>
              </w:rPr>
              <w:t xml:space="preserve">Dont traités </w:t>
            </w:r>
            <w:r w:rsidR="006C5CF6" w:rsidRPr="00306CBB">
              <w:rPr>
                <w:rFonts w:ascii="Calibri" w:eastAsia="Times New Roman" w:hAnsi="Calibri" w:cs="Calibri"/>
                <w:b/>
                <w:i/>
                <w:sz w:val="18"/>
                <w:szCs w:val="18"/>
                <w:lang w:eastAsia="fr-FR"/>
              </w:rPr>
              <w:t>par le schéma</w:t>
            </w:r>
            <w:r w:rsidR="002775A9" w:rsidRPr="00306CBB">
              <w:rPr>
                <w:rFonts w:ascii="Calibri" w:eastAsia="Times New Roman" w:hAnsi="Calibri" w:cs="Calibri"/>
                <w:b/>
                <w:i/>
                <w:sz w:val="18"/>
                <w:szCs w:val="18"/>
                <w:lang w:eastAsia="fr-FR"/>
              </w:rPr>
              <w:t xml:space="preserve"> de carte X</w:t>
            </w:r>
          </w:p>
        </w:tc>
        <w:tc>
          <w:tcPr>
            <w:tcW w:w="2711" w:type="dxa"/>
            <w:tcBorders>
              <w:top w:val="single" w:sz="18" w:space="0" w:color="5B9BD5" w:themeColor="accent1"/>
              <w:bottom w:val="single" w:sz="4" w:space="0" w:color="5B9BD5" w:themeColor="accent1"/>
            </w:tcBorders>
            <w:noWrap/>
          </w:tcPr>
          <w:p w14:paraId="3DA62F50" w14:textId="793FCCCD" w:rsidR="007B28CF" w:rsidRPr="00306CBB" w:rsidRDefault="002319FC" w:rsidP="002775A9">
            <w:pPr>
              <w:jc w:val="both"/>
              <w:cnfStyle w:val="000000000000" w:firstRow="0" w:lastRow="0" w:firstColumn="0" w:lastColumn="0" w:oddVBand="0" w:evenVBand="0" w:oddHBand="0" w:evenHBand="0" w:firstRowFirstColumn="0" w:firstRowLastColumn="0" w:lastRowFirstColumn="0" w:lastRowLastColumn="0"/>
              <w:rPr>
                <w:rFonts w:ascii="Calibri" w:hAnsi="Calibri"/>
                <w:b/>
                <w:i/>
                <w:sz w:val="18"/>
              </w:rPr>
            </w:pPr>
            <w:r w:rsidRPr="00306CBB">
              <w:rPr>
                <w:rFonts w:ascii="Calibri" w:eastAsia="Times New Roman" w:hAnsi="Calibri" w:cs="Calibri"/>
                <w:sz w:val="18"/>
                <w:szCs w:val="18"/>
                <w:lang w:eastAsia="fr-FR"/>
              </w:rPr>
              <w:t xml:space="preserve">Transactions traitées par le schéma </w:t>
            </w:r>
            <w:r w:rsidR="002775A9" w:rsidRPr="00306CBB">
              <w:rPr>
                <w:rFonts w:ascii="Calibri" w:eastAsia="Times New Roman" w:hAnsi="Calibri" w:cs="Calibri"/>
                <w:sz w:val="18"/>
                <w:szCs w:val="18"/>
                <w:lang w:eastAsia="fr-FR"/>
              </w:rPr>
              <w:t>X.</w:t>
            </w:r>
          </w:p>
        </w:tc>
        <w:tc>
          <w:tcPr>
            <w:tcW w:w="1157" w:type="dxa"/>
            <w:vMerge/>
            <w:noWrap/>
          </w:tcPr>
          <w:p w14:paraId="2B71EAE1" w14:textId="0FB70E95" w:rsidR="007B28CF" w:rsidRPr="006C5CF6" w:rsidRDefault="007B28CF" w:rsidP="00EE765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top w:val="single" w:sz="18" w:space="0" w:color="5B9BD5" w:themeColor="accent1"/>
              <w:bottom w:val="single" w:sz="4" w:space="0" w:color="5B9BD5" w:themeColor="accent1"/>
            </w:tcBorders>
          </w:tcPr>
          <w:p w14:paraId="189795B3" w14:textId="77777777" w:rsidR="007B28CF" w:rsidRPr="006C5CF6" w:rsidRDefault="007B28CF" w:rsidP="00EE765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top w:val="single" w:sz="18" w:space="0" w:color="5B9BD5" w:themeColor="accent1"/>
              <w:bottom w:val="single" w:sz="4" w:space="0" w:color="5B9BD5" w:themeColor="accent1"/>
            </w:tcBorders>
          </w:tcPr>
          <w:p w14:paraId="2E195FB7" w14:textId="77777777" w:rsidR="007B28CF" w:rsidRPr="002414A7" w:rsidRDefault="007B28CF" w:rsidP="00EE765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7B28CF" w:rsidRPr="007E7836" w14:paraId="53C26E5B" w14:textId="1E79CB1F" w:rsidTr="001277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4" w:space="0" w:color="5B9BD5" w:themeColor="accent1"/>
            </w:tcBorders>
            <w:noWrap/>
          </w:tcPr>
          <w:p w14:paraId="2BE11ED3" w14:textId="0670D10C" w:rsidR="007B28CF" w:rsidRPr="002414A7" w:rsidRDefault="007B28CF" w:rsidP="0033599A">
            <w:pPr>
              <w:rPr>
                <w:rFonts w:ascii="Calibri" w:eastAsia="Times New Roman" w:hAnsi="Calibri" w:cs="Calibri"/>
                <w:i/>
                <w:sz w:val="18"/>
                <w:szCs w:val="18"/>
                <w:lang w:eastAsia="fr-FR"/>
              </w:rPr>
            </w:pPr>
          </w:p>
        </w:tc>
        <w:tc>
          <w:tcPr>
            <w:tcW w:w="249" w:type="dxa"/>
            <w:tcBorders>
              <w:top w:val="single" w:sz="4" w:space="0" w:color="5B9BD5" w:themeColor="accent1"/>
            </w:tcBorders>
            <w:noWrap/>
          </w:tcPr>
          <w:p w14:paraId="766857BF" w14:textId="31105D67" w:rsidR="007B28CF" w:rsidRPr="006C5CF6" w:rsidRDefault="007B28CF" w:rsidP="003359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916" w:type="dxa"/>
            <w:tcBorders>
              <w:top w:val="single" w:sz="4" w:space="0" w:color="5B9BD5" w:themeColor="accent1"/>
            </w:tcBorders>
            <w:noWrap/>
            <w:hideMark/>
          </w:tcPr>
          <w:p w14:paraId="1BFB2516" w14:textId="6260D09A" w:rsidR="007B28CF" w:rsidRPr="00306CBB" w:rsidRDefault="007B28CF" w:rsidP="00E23A7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par carte de débit</w:t>
            </w:r>
          </w:p>
        </w:tc>
        <w:tc>
          <w:tcPr>
            <w:tcW w:w="2711" w:type="dxa"/>
            <w:tcBorders>
              <w:top w:val="single" w:sz="4" w:space="0" w:color="5B9BD5" w:themeColor="accent1"/>
            </w:tcBorders>
            <w:noWrap/>
            <w:hideMark/>
          </w:tcPr>
          <w:p w14:paraId="0CCA89A6" w14:textId="376B9086" w:rsidR="007B28CF" w:rsidRPr="00306CBB" w:rsidRDefault="007B28CF"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157" w:type="dxa"/>
            <w:vMerge/>
            <w:noWrap/>
          </w:tcPr>
          <w:p w14:paraId="510F51D0" w14:textId="7CB7264B" w:rsidR="007B28CF" w:rsidRPr="006C5CF6" w:rsidRDefault="007B28CF"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top w:val="single" w:sz="4" w:space="0" w:color="5B9BD5" w:themeColor="accent1"/>
            </w:tcBorders>
          </w:tcPr>
          <w:p w14:paraId="3A6D45A3" w14:textId="77777777" w:rsidR="007B28CF" w:rsidRPr="006C5CF6" w:rsidRDefault="007B28CF"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top w:val="single" w:sz="4" w:space="0" w:color="5B9BD5" w:themeColor="accent1"/>
            </w:tcBorders>
          </w:tcPr>
          <w:p w14:paraId="41721D5B" w14:textId="77777777" w:rsidR="007B28CF" w:rsidRPr="002414A7" w:rsidRDefault="007B28CF"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7B28CF" w:rsidRPr="007E7836" w14:paraId="63E65BF6" w14:textId="51DD15A2" w:rsidTr="001277FB">
        <w:trPr>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4" w:space="0" w:color="7F7F7F" w:themeColor="text1" w:themeTint="80"/>
              <w:bottom w:val="single" w:sz="4" w:space="0" w:color="7F7F7F" w:themeColor="text1" w:themeTint="80"/>
              <w:right w:val="single" w:sz="6" w:space="0" w:color="5B9BD5" w:themeColor="accent1"/>
            </w:tcBorders>
            <w:noWrap/>
          </w:tcPr>
          <w:p w14:paraId="65107212" w14:textId="5BDBFA0E" w:rsidR="007B28CF" w:rsidRPr="002414A7" w:rsidRDefault="007B28CF" w:rsidP="0033599A">
            <w:pPr>
              <w:rPr>
                <w:rFonts w:ascii="Calibri" w:eastAsia="Times New Roman" w:hAnsi="Calibri" w:cs="Calibri"/>
                <w:i/>
                <w:sz w:val="18"/>
                <w:szCs w:val="18"/>
                <w:lang w:eastAsia="fr-FR"/>
              </w:rPr>
            </w:pPr>
          </w:p>
        </w:tc>
        <w:tc>
          <w:tcPr>
            <w:tcW w:w="249" w:type="dxa"/>
            <w:tcBorders>
              <w:top w:val="single" w:sz="4" w:space="0" w:color="7F7F7F" w:themeColor="text1" w:themeTint="80"/>
              <w:left w:val="single" w:sz="6" w:space="0" w:color="5B9BD5" w:themeColor="accent1"/>
              <w:bottom w:val="single" w:sz="4" w:space="0" w:color="7F7F7F" w:themeColor="text1" w:themeTint="80"/>
              <w:right w:val="single" w:sz="6" w:space="0" w:color="5B9BD5" w:themeColor="accent1"/>
            </w:tcBorders>
            <w:noWrap/>
          </w:tcPr>
          <w:p w14:paraId="42F514A6" w14:textId="2114C96C" w:rsidR="007B28CF" w:rsidRPr="006C5CF6" w:rsidRDefault="007B28CF" w:rsidP="003359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916" w:type="dxa"/>
            <w:tcBorders>
              <w:top w:val="single" w:sz="4" w:space="0" w:color="7F7F7F" w:themeColor="text1" w:themeTint="80"/>
              <w:left w:val="single" w:sz="6" w:space="0" w:color="5B9BD5" w:themeColor="accent1"/>
              <w:bottom w:val="single" w:sz="4" w:space="0" w:color="7F7F7F" w:themeColor="text1" w:themeTint="80"/>
              <w:right w:val="single" w:sz="6" w:space="0" w:color="5B9BD5" w:themeColor="accent1"/>
            </w:tcBorders>
            <w:noWrap/>
            <w:hideMark/>
          </w:tcPr>
          <w:p w14:paraId="4F2604A9" w14:textId="405A0046" w:rsidR="007B28CF" w:rsidRPr="00306CBB" w:rsidRDefault="007B28CF" w:rsidP="00E23A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par carte de débit différé</w:t>
            </w:r>
          </w:p>
        </w:tc>
        <w:tc>
          <w:tcPr>
            <w:tcW w:w="2711" w:type="dxa"/>
            <w:tcBorders>
              <w:top w:val="single" w:sz="4" w:space="0" w:color="7F7F7F" w:themeColor="text1" w:themeTint="80"/>
              <w:left w:val="single" w:sz="6" w:space="0" w:color="5B9BD5" w:themeColor="accent1"/>
              <w:bottom w:val="single" w:sz="4" w:space="0" w:color="7F7F7F" w:themeColor="text1" w:themeTint="80"/>
              <w:right w:val="single" w:sz="6" w:space="0" w:color="5B9BD5" w:themeColor="accent1"/>
            </w:tcBorders>
            <w:noWrap/>
            <w:hideMark/>
          </w:tcPr>
          <w:p w14:paraId="008DB7DE" w14:textId="17DCAED1" w:rsidR="007B28CF" w:rsidRPr="00306CBB" w:rsidRDefault="007B28CF" w:rsidP="0033599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157" w:type="dxa"/>
            <w:vMerge/>
            <w:tcBorders>
              <w:top w:val="single" w:sz="4" w:space="0" w:color="7F7F7F" w:themeColor="text1" w:themeTint="80"/>
              <w:left w:val="single" w:sz="6" w:space="0" w:color="5B9BD5" w:themeColor="accent1"/>
              <w:bottom w:val="single" w:sz="4" w:space="0" w:color="7F7F7F" w:themeColor="text1" w:themeTint="80"/>
              <w:right w:val="single" w:sz="6" w:space="0" w:color="5B9BD5" w:themeColor="accent1"/>
            </w:tcBorders>
            <w:noWrap/>
          </w:tcPr>
          <w:p w14:paraId="57D36569" w14:textId="194505FB" w:rsidR="007B28CF" w:rsidRPr="006C5CF6" w:rsidRDefault="007B28CF" w:rsidP="0033599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top w:val="single" w:sz="4" w:space="0" w:color="7F7F7F" w:themeColor="text1" w:themeTint="80"/>
              <w:left w:val="single" w:sz="6" w:space="0" w:color="5B9BD5" w:themeColor="accent1"/>
              <w:bottom w:val="single" w:sz="4" w:space="0" w:color="7F7F7F" w:themeColor="text1" w:themeTint="80"/>
              <w:right w:val="single" w:sz="6" w:space="0" w:color="5B9BD5" w:themeColor="accent1"/>
            </w:tcBorders>
          </w:tcPr>
          <w:p w14:paraId="077B1BC7" w14:textId="77777777" w:rsidR="007B28CF" w:rsidRPr="006C5CF6" w:rsidRDefault="007B28CF" w:rsidP="0033599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top w:val="single" w:sz="4" w:space="0" w:color="7F7F7F" w:themeColor="text1" w:themeTint="80"/>
              <w:left w:val="single" w:sz="6" w:space="0" w:color="5B9BD5" w:themeColor="accent1"/>
              <w:bottom w:val="single" w:sz="4" w:space="0" w:color="7F7F7F" w:themeColor="text1" w:themeTint="80"/>
            </w:tcBorders>
          </w:tcPr>
          <w:p w14:paraId="2993BF12" w14:textId="77777777" w:rsidR="007B28CF" w:rsidRPr="002414A7" w:rsidRDefault="007B28CF" w:rsidP="0033599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7B28CF" w:rsidRPr="007E7836" w14:paraId="1BB8DECA" w14:textId="2415D980" w:rsidTr="006C5CF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37" w:type="dxa"/>
            <w:tcBorders>
              <w:bottom w:val="none" w:sz="0" w:space="0" w:color="auto"/>
            </w:tcBorders>
            <w:noWrap/>
          </w:tcPr>
          <w:p w14:paraId="1762EA79" w14:textId="35800203" w:rsidR="007B28CF" w:rsidRPr="002414A7" w:rsidRDefault="007B28CF" w:rsidP="0033599A">
            <w:pPr>
              <w:rPr>
                <w:rFonts w:ascii="Calibri" w:eastAsia="Times New Roman" w:hAnsi="Calibri" w:cs="Calibri"/>
                <w:i/>
                <w:sz w:val="18"/>
                <w:szCs w:val="18"/>
                <w:lang w:eastAsia="fr-FR"/>
              </w:rPr>
            </w:pPr>
          </w:p>
        </w:tc>
        <w:tc>
          <w:tcPr>
            <w:tcW w:w="249" w:type="dxa"/>
            <w:tcBorders>
              <w:bottom w:val="none" w:sz="0" w:space="0" w:color="auto"/>
            </w:tcBorders>
            <w:noWrap/>
          </w:tcPr>
          <w:p w14:paraId="48C9F255" w14:textId="0AD9F566" w:rsidR="007B28CF" w:rsidRPr="006C5CF6" w:rsidRDefault="007B28CF" w:rsidP="003359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916" w:type="dxa"/>
            <w:tcBorders>
              <w:bottom w:val="none" w:sz="0" w:space="0" w:color="auto"/>
            </w:tcBorders>
            <w:noWrap/>
            <w:hideMark/>
          </w:tcPr>
          <w:p w14:paraId="06628092" w14:textId="17364349" w:rsidR="007B28CF" w:rsidRPr="00306CBB" w:rsidRDefault="007B28CF" w:rsidP="00E23A7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par carte de crédit</w:t>
            </w:r>
          </w:p>
        </w:tc>
        <w:tc>
          <w:tcPr>
            <w:tcW w:w="2711" w:type="dxa"/>
            <w:tcBorders>
              <w:bottom w:val="none" w:sz="0" w:space="0" w:color="auto"/>
            </w:tcBorders>
            <w:noWrap/>
            <w:hideMark/>
          </w:tcPr>
          <w:p w14:paraId="0BEB24C7" w14:textId="7CD8A909" w:rsidR="007B28CF" w:rsidRPr="00306CBB" w:rsidRDefault="007B28CF"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157" w:type="dxa"/>
            <w:vMerge/>
            <w:noWrap/>
          </w:tcPr>
          <w:p w14:paraId="56EEA18F" w14:textId="0803360B" w:rsidR="007B28CF" w:rsidRPr="006C5CF6" w:rsidRDefault="007B28CF"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bottom w:val="none" w:sz="0" w:space="0" w:color="auto"/>
            </w:tcBorders>
          </w:tcPr>
          <w:p w14:paraId="3205CED3" w14:textId="77777777" w:rsidR="007B28CF" w:rsidRPr="006C5CF6" w:rsidRDefault="007B28CF"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bottom w:val="none" w:sz="0" w:space="0" w:color="auto"/>
            </w:tcBorders>
          </w:tcPr>
          <w:p w14:paraId="7545D3AC" w14:textId="77777777" w:rsidR="007B28CF" w:rsidRPr="002414A7" w:rsidRDefault="007B28CF"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6C5CF6" w:rsidRPr="007E7836" w14:paraId="4C9B9F52" w14:textId="77777777" w:rsidTr="001277FB">
        <w:trPr>
          <w:trHeight w:val="255"/>
        </w:trPr>
        <w:tc>
          <w:tcPr>
            <w:cnfStyle w:val="001000000000" w:firstRow="0" w:lastRow="0" w:firstColumn="1" w:lastColumn="0" w:oddVBand="0" w:evenVBand="0" w:oddHBand="0" w:evenHBand="0" w:firstRowFirstColumn="0" w:firstRowLastColumn="0" w:lastRowFirstColumn="0" w:lastRowLastColumn="0"/>
            <w:tcW w:w="237" w:type="dxa"/>
            <w:tcBorders>
              <w:bottom w:val="single" w:sz="18" w:space="0" w:color="5B9BD5" w:themeColor="accent1"/>
            </w:tcBorders>
            <w:noWrap/>
          </w:tcPr>
          <w:p w14:paraId="6898BEA2" w14:textId="77777777" w:rsidR="006C5CF6" w:rsidRPr="002414A7" w:rsidRDefault="006C5CF6" w:rsidP="0033599A">
            <w:pPr>
              <w:rPr>
                <w:rFonts w:ascii="Calibri" w:eastAsia="Times New Roman" w:hAnsi="Calibri" w:cs="Calibri"/>
                <w:i/>
                <w:sz w:val="18"/>
                <w:szCs w:val="18"/>
                <w:lang w:eastAsia="fr-FR"/>
              </w:rPr>
            </w:pPr>
          </w:p>
        </w:tc>
        <w:tc>
          <w:tcPr>
            <w:tcW w:w="249" w:type="dxa"/>
            <w:tcBorders>
              <w:bottom w:val="single" w:sz="18" w:space="0" w:color="5B9BD5" w:themeColor="accent1"/>
            </w:tcBorders>
            <w:noWrap/>
          </w:tcPr>
          <w:p w14:paraId="46D645A3" w14:textId="77777777" w:rsidR="006C5CF6" w:rsidRPr="006C5CF6" w:rsidRDefault="006C5CF6" w:rsidP="003359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916" w:type="dxa"/>
            <w:tcBorders>
              <w:bottom w:val="single" w:sz="18" w:space="0" w:color="5B9BD5" w:themeColor="accent1"/>
            </w:tcBorders>
            <w:noWrap/>
          </w:tcPr>
          <w:p w14:paraId="253A5090" w14:textId="77777777" w:rsidR="006C5CF6" w:rsidRPr="00306CBB" w:rsidRDefault="006C5CF6" w:rsidP="00E23A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11" w:type="dxa"/>
            <w:tcBorders>
              <w:bottom w:val="single" w:sz="18" w:space="0" w:color="5B9BD5" w:themeColor="accent1"/>
            </w:tcBorders>
            <w:noWrap/>
          </w:tcPr>
          <w:p w14:paraId="49316FB1" w14:textId="77777777" w:rsidR="006C5CF6" w:rsidRPr="00306CBB" w:rsidRDefault="006C5CF6" w:rsidP="0033599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157" w:type="dxa"/>
            <w:noWrap/>
          </w:tcPr>
          <w:p w14:paraId="0896A8CE" w14:textId="77777777" w:rsidR="006C5CF6" w:rsidRPr="006C5CF6" w:rsidRDefault="006C5CF6" w:rsidP="0033599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bottom w:val="single" w:sz="18" w:space="0" w:color="5B9BD5" w:themeColor="accent1"/>
            </w:tcBorders>
          </w:tcPr>
          <w:p w14:paraId="16D68F9A" w14:textId="77777777" w:rsidR="006C5CF6" w:rsidRPr="006C5CF6" w:rsidRDefault="006C5CF6" w:rsidP="0033599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bottom w:val="single" w:sz="18" w:space="0" w:color="5B9BD5" w:themeColor="accent1"/>
            </w:tcBorders>
          </w:tcPr>
          <w:p w14:paraId="404FB33A" w14:textId="77777777" w:rsidR="006C5CF6" w:rsidRPr="002414A7" w:rsidRDefault="006C5CF6" w:rsidP="0033599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6C5CF6" w:rsidRPr="002414A7" w14:paraId="7814B4A7" w14:textId="77777777" w:rsidTr="0025744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18" w:space="0" w:color="5B9BD5" w:themeColor="accent1"/>
              <w:bottom w:val="single" w:sz="4" w:space="0" w:color="5B9BD5" w:themeColor="accent1"/>
            </w:tcBorders>
            <w:noWrap/>
          </w:tcPr>
          <w:p w14:paraId="4E33B1B2" w14:textId="77777777" w:rsidR="006C5CF6" w:rsidRPr="002414A7" w:rsidRDefault="006C5CF6" w:rsidP="0025744E">
            <w:pPr>
              <w:rPr>
                <w:rFonts w:ascii="Calibri" w:eastAsia="Times New Roman" w:hAnsi="Calibri" w:cs="Calibri"/>
                <w:i/>
                <w:sz w:val="18"/>
                <w:szCs w:val="18"/>
                <w:lang w:eastAsia="fr-FR"/>
              </w:rPr>
            </w:pPr>
          </w:p>
        </w:tc>
        <w:tc>
          <w:tcPr>
            <w:tcW w:w="3165" w:type="dxa"/>
            <w:gridSpan w:val="2"/>
            <w:tcBorders>
              <w:top w:val="single" w:sz="18" w:space="0" w:color="5B9BD5" w:themeColor="accent1"/>
              <w:bottom w:val="single" w:sz="4" w:space="0" w:color="5B9BD5" w:themeColor="accent1"/>
            </w:tcBorders>
            <w:noWrap/>
            <w:hideMark/>
          </w:tcPr>
          <w:p w14:paraId="3034DC0C" w14:textId="7796B439" w:rsidR="006C5CF6" w:rsidRPr="00306CBB" w:rsidRDefault="006C5CF6" w:rsidP="002574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306CBB">
              <w:rPr>
                <w:rFonts w:ascii="Calibri" w:eastAsia="Times New Roman" w:hAnsi="Calibri" w:cs="Calibri"/>
                <w:b/>
                <w:i/>
                <w:sz w:val="18"/>
                <w:szCs w:val="18"/>
                <w:lang w:eastAsia="fr-FR"/>
              </w:rPr>
              <w:t>Dont traités par le schéma de carte Y …</w:t>
            </w:r>
          </w:p>
        </w:tc>
        <w:tc>
          <w:tcPr>
            <w:tcW w:w="2711" w:type="dxa"/>
            <w:tcBorders>
              <w:top w:val="single" w:sz="18" w:space="0" w:color="5B9BD5" w:themeColor="accent1"/>
              <w:bottom w:val="single" w:sz="4" w:space="0" w:color="5B9BD5" w:themeColor="accent1"/>
            </w:tcBorders>
            <w:noWrap/>
          </w:tcPr>
          <w:p w14:paraId="76EA7ECA" w14:textId="77777777" w:rsidR="006C5CF6" w:rsidRPr="00306CBB" w:rsidRDefault="006C5CF6" w:rsidP="0025744E">
            <w:pPr>
              <w:jc w:val="both"/>
              <w:cnfStyle w:val="000000100000" w:firstRow="0" w:lastRow="0" w:firstColumn="0" w:lastColumn="0" w:oddVBand="0" w:evenVBand="0" w:oddHBand="1" w:evenHBand="0" w:firstRowFirstColumn="0" w:firstRowLastColumn="0" w:lastRowFirstColumn="0" w:lastRowLastColumn="0"/>
              <w:rPr>
                <w:rFonts w:ascii="Calibri" w:hAnsi="Calibri"/>
                <w:b/>
                <w:i/>
                <w:sz w:val="18"/>
              </w:rPr>
            </w:pPr>
            <w:r w:rsidRPr="00306CBB">
              <w:rPr>
                <w:rFonts w:ascii="Calibri" w:eastAsia="Times New Roman" w:hAnsi="Calibri" w:cs="Calibri"/>
                <w:sz w:val="18"/>
                <w:szCs w:val="18"/>
                <w:lang w:eastAsia="fr-FR"/>
              </w:rPr>
              <w:t>Transactions traitées par le schéma X.</w:t>
            </w:r>
          </w:p>
        </w:tc>
        <w:tc>
          <w:tcPr>
            <w:tcW w:w="1157" w:type="dxa"/>
            <w:noWrap/>
          </w:tcPr>
          <w:p w14:paraId="1D0F01B2" w14:textId="77777777" w:rsidR="006C5CF6" w:rsidRPr="006C5CF6" w:rsidRDefault="006C5CF6" w:rsidP="0025744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top w:val="single" w:sz="18" w:space="0" w:color="5B9BD5" w:themeColor="accent1"/>
              <w:bottom w:val="single" w:sz="4" w:space="0" w:color="5B9BD5" w:themeColor="accent1"/>
            </w:tcBorders>
          </w:tcPr>
          <w:p w14:paraId="63C0DC4F" w14:textId="77777777" w:rsidR="006C5CF6" w:rsidRPr="006C5CF6" w:rsidRDefault="006C5CF6" w:rsidP="0025744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top w:val="single" w:sz="18" w:space="0" w:color="5B9BD5" w:themeColor="accent1"/>
              <w:bottom w:val="single" w:sz="4" w:space="0" w:color="5B9BD5" w:themeColor="accent1"/>
            </w:tcBorders>
          </w:tcPr>
          <w:p w14:paraId="78D0A9F2" w14:textId="77777777" w:rsidR="006C5CF6" w:rsidRPr="002414A7" w:rsidRDefault="006C5CF6" w:rsidP="0025744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bl>
    <w:p w14:paraId="364917F0" w14:textId="77777777" w:rsidR="00E5611F" w:rsidRDefault="00E5611F" w:rsidP="00E5611F">
      <w:pPr>
        <w:pStyle w:val="Paragraphedeliste"/>
        <w:autoSpaceDE w:val="0"/>
        <w:autoSpaceDN w:val="0"/>
        <w:adjustRightInd w:val="0"/>
        <w:spacing w:after="0" w:line="240" w:lineRule="auto"/>
        <w:jc w:val="both"/>
        <w:rPr>
          <w:rFonts w:cstheme="minorHAnsi"/>
        </w:rPr>
      </w:pPr>
    </w:p>
    <w:p w14:paraId="2D2825A9" w14:textId="77777777" w:rsidR="00E5611F" w:rsidRPr="00C50A22" w:rsidRDefault="00E5611F" w:rsidP="00C50A22">
      <w:pPr>
        <w:spacing w:after="0" w:line="240" w:lineRule="auto"/>
        <w:jc w:val="both"/>
        <w:rPr>
          <w:rFonts w:ascii="Calibri" w:hAnsi="Calibri"/>
          <w:b/>
          <w:smallCaps/>
          <w:color w:val="2E74B5" w:themeColor="accent1" w:themeShade="BF"/>
          <w:sz w:val="24"/>
        </w:rPr>
      </w:pPr>
      <w:r w:rsidRPr="00C50A22">
        <w:rPr>
          <w:rFonts w:ascii="Calibri" w:hAnsi="Calibri"/>
          <w:b/>
          <w:smallCaps/>
          <w:color w:val="2E74B5" w:themeColor="accent1" w:themeShade="BF"/>
          <w:sz w:val="24"/>
        </w:rPr>
        <w:t>Contrôles :</w:t>
      </w:r>
    </w:p>
    <w:p w14:paraId="78398534" w14:textId="0351434D" w:rsidR="00E5611F" w:rsidRPr="0092064A" w:rsidRDefault="00E5611F" w:rsidP="00E5611F">
      <w:pPr>
        <w:pStyle w:val="Paragraphedeliste"/>
        <w:autoSpaceDE w:val="0"/>
        <w:autoSpaceDN w:val="0"/>
        <w:adjustRightInd w:val="0"/>
        <w:spacing w:after="0" w:line="240" w:lineRule="auto"/>
        <w:jc w:val="both"/>
        <w:rPr>
          <w:rFonts w:cstheme="minorHAnsi"/>
        </w:rPr>
      </w:pPr>
    </w:p>
    <w:p w14:paraId="5F8FA010" w14:textId="3A0ED540" w:rsidR="0030008C" w:rsidRDefault="0030008C" w:rsidP="002F77C9">
      <w:pPr>
        <w:autoSpaceDE w:val="0"/>
        <w:autoSpaceDN w:val="0"/>
        <w:adjustRightInd w:val="0"/>
        <w:spacing w:after="0" w:line="240" w:lineRule="auto"/>
        <w:jc w:val="both"/>
        <w:rPr>
          <w:rFonts w:cstheme="minorHAnsi"/>
        </w:rPr>
      </w:pPr>
      <w:r w:rsidRPr="002F77C9">
        <w:rPr>
          <w:rFonts w:cstheme="minorHAnsi"/>
        </w:rPr>
        <w:t>Les règles de contrôle suivantes doivent être app</w:t>
      </w:r>
      <w:r w:rsidR="00DA1236">
        <w:rPr>
          <w:rFonts w:cstheme="minorHAnsi"/>
        </w:rPr>
        <w:t>liquées en nombre et en valeur.</w:t>
      </w:r>
    </w:p>
    <w:p w14:paraId="6617D05D" w14:textId="77777777" w:rsidR="00E94FD4" w:rsidRPr="002F77C9" w:rsidRDefault="00E94FD4" w:rsidP="002F77C9">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0531AA" w:rsidRPr="00191426" w14:paraId="4A0B1003" w14:textId="77777777" w:rsidTr="003163A4">
        <w:tc>
          <w:tcPr>
            <w:tcW w:w="9054" w:type="dxa"/>
            <w:tcBorders>
              <w:bottom w:val="single" w:sz="18" w:space="0" w:color="5B9BD5" w:themeColor="accent1"/>
            </w:tcBorders>
          </w:tcPr>
          <w:p w14:paraId="51B820AA" w14:textId="64F3BE68" w:rsidR="000531AA" w:rsidRPr="00C50A22" w:rsidRDefault="00E94FD4">
            <w:pPr>
              <w:pStyle w:val="Paragraphedeliste"/>
              <w:autoSpaceDE w:val="0"/>
              <w:autoSpaceDN w:val="0"/>
              <w:adjustRightInd w:val="0"/>
              <w:ind w:left="0"/>
              <w:jc w:val="both"/>
              <w:rPr>
                <w:sz w:val="18"/>
              </w:rPr>
            </w:pPr>
            <w:r w:rsidRPr="00913B52">
              <w:rPr>
                <w:rFonts w:cstheme="minorHAnsi"/>
                <w:sz w:val="18"/>
                <w:szCs w:val="18"/>
              </w:rPr>
              <w:t>Le total de chaque indicateur est = à la somme des trois sous-ventilations géographiques associées (France, au sein de l’EEE et hors de l’EEE.</w:t>
            </w:r>
          </w:p>
        </w:tc>
      </w:tr>
      <w:tr w:rsidR="00E94FD4" w:rsidRPr="004E58CA" w14:paraId="48239C8A" w14:textId="77777777" w:rsidTr="003163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4"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F38911B" w14:textId="77777777" w:rsidR="00E94FD4" w:rsidRPr="004E58CA" w:rsidRDefault="00E94FD4" w:rsidP="003952EB">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0531AA" w:rsidRPr="00191426" w14:paraId="50FF0769" w14:textId="77777777" w:rsidTr="003163A4">
        <w:tc>
          <w:tcPr>
            <w:tcW w:w="9054" w:type="dxa"/>
            <w:tcBorders>
              <w:top w:val="single" w:sz="18" w:space="0" w:color="5B9BD5" w:themeColor="accent1"/>
            </w:tcBorders>
          </w:tcPr>
          <w:p w14:paraId="31F0B650" w14:textId="04CE6226" w:rsidR="000531AA" w:rsidRPr="00C50A22" w:rsidRDefault="000531AA" w:rsidP="00E44072">
            <w:pPr>
              <w:pStyle w:val="Paragraphedeliste"/>
              <w:autoSpaceDE w:val="0"/>
              <w:autoSpaceDN w:val="0"/>
              <w:adjustRightInd w:val="0"/>
              <w:ind w:left="0"/>
              <w:jc w:val="both"/>
              <w:rPr>
                <w:sz w:val="18"/>
              </w:rPr>
            </w:pPr>
            <w:r w:rsidRPr="0092064A">
              <w:rPr>
                <w:rFonts w:cstheme="minorHAnsi"/>
                <w:sz w:val="18"/>
                <w:szCs w:val="18"/>
              </w:rPr>
              <w:t>Le</w:t>
            </w:r>
            <w:r w:rsidR="00E94FD4">
              <w:rPr>
                <w:rFonts w:cstheme="minorHAnsi"/>
                <w:sz w:val="18"/>
                <w:szCs w:val="18"/>
              </w:rPr>
              <w:t xml:space="preserve"> total de</w:t>
            </w:r>
            <w:r w:rsidRPr="0092064A">
              <w:rPr>
                <w:rFonts w:cstheme="minorHAnsi"/>
                <w:sz w:val="18"/>
                <w:szCs w:val="18"/>
              </w:rPr>
              <w:t xml:space="preserve">s </w:t>
            </w:r>
            <w:r w:rsidRPr="00A675AF">
              <w:rPr>
                <w:rFonts w:cstheme="minorHAnsi"/>
                <w:sz w:val="18"/>
                <w:szCs w:val="18"/>
              </w:rPr>
              <w:t xml:space="preserve">retraits </w:t>
            </w:r>
            <w:r w:rsidR="00E94FD4">
              <w:rPr>
                <w:rFonts w:cstheme="minorHAnsi"/>
                <w:sz w:val="18"/>
                <w:szCs w:val="18"/>
              </w:rPr>
              <w:t xml:space="preserve">par carte est = à la somme de ces retraits ventilés par schéma de </w:t>
            </w:r>
            <w:r w:rsidR="00E44072">
              <w:rPr>
                <w:rFonts w:cstheme="minorHAnsi"/>
                <w:sz w:val="18"/>
                <w:szCs w:val="18"/>
              </w:rPr>
              <w:t>carte</w:t>
            </w:r>
            <w:r w:rsidRPr="0092064A">
              <w:rPr>
                <w:rFonts w:cstheme="minorHAnsi"/>
                <w:sz w:val="18"/>
                <w:szCs w:val="18"/>
              </w:rPr>
              <w:t>.</w:t>
            </w:r>
          </w:p>
        </w:tc>
      </w:tr>
      <w:tr w:rsidR="000531AA" w:rsidRPr="00191426" w14:paraId="5F757433" w14:textId="77777777" w:rsidTr="00E94FD4">
        <w:tc>
          <w:tcPr>
            <w:tcW w:w="9054" w:type="dxa"/>
          </w:tcPr>
          <w:p w14:paraId="62CC1EA9" w14:textId="4E364A3D" w:rsidR="000531AA" w:rsidRPr="00C50A22" w:rsidRDefault="00E94FD4" w:rsidP="00E44072">
            <w:pPr>
              <w:pStyle w:val="Paragraphedeliste"/>
              <w:autoSpaceDE w:val="0"/>
              <w:autoSpaceDN w:val="0"/>
              <w:adjustRightInd w:val="0"/>
              <w:ind w:left="0"/>
              <w:jc w:val="both"/>
              <w:rPr>
                <w:sz w:val="18"/>
              </w:rPr>
            </w:pPr>
            <w:r>
              <w:rPr>
                <w:rFonts w:cstheme="minorHAnsi"/>
                <w:sz w:val="18"/>
                <w:szCs w:val="18"/>
              </w:rPr>
              <w:t xml:space="preserve">Le total des </w:t>
            </w:r>
            <w:r w:rsidR="00EA534D">
              <w:rPr>
                <w:rFonts w:cstheme="minorHAnsi"/>
                <w:sz w:val="18"/>
                <w:szCs w:val="18"/>
              </w:rPr>
              <w:t xml:space="preserve">retraits </w:t>
            </w:r>
            <w:r>
              <w:rPr>
                <w:rFonts w:cstheme="minorHAnsi"/>
                <w:sz w:val="18"/>
                <w:szCs w:val="18"/>
              </w:rPr>
              <w:t xml:space="preserve">par carte initiés pour chaque schéma de </w:t>
            </w:r>
            <w:r w:rsidR="00E44072">
              <w:rPr>
                <w:rFonts w:cstheme="minorHAnsi"/>
                <w:sz w:val="18"/>
                <w:szCs w:val="18"/>
              </w:rPr>
              <w:t>carte</w:t>
            </w:r>
            <w:r>
              <w:rPr>
                <w:rFonts w:cstheme="minorHAnsi"/>
                <w:sz w:val="18"/>
                <w:szCs w:val="18"/>
              </w:rPr>
              <w:t xml:space="preserve"> est = à la somme de ces </w:t>
            </w:r>
            <w:r w:rsidR="00EA534D">
              <w:rPr>
                <w:rFonts w:cstheme="minorHAnsi"/>
                <w:sz w:val="18"/>
                <w:szCs w:val="18"/>
              </w:rPr>
              <w:t xml:space="preserve">retraits </w:t>
            </w:r>
            <w:r>
              <w:rPr>
                <w:rFonts w:cstheme="minorHAnsi"/>
                <w:sz w:val="18"/>
                <w:szCs w:val="18"/>
              </w:rPr>
              <w:t>ventilés par fonction de carte.</w:t>
            </w:r>
          </w:p>
        </w:tc>
      </w:tr>
    </w:tbl>
    <w:p w14:paraId="0291B868" w14:textId="6A0733EF" w:rsidR="00E5611F" w:rsidRPr="00045D76" w:rsidRDefault="00E5611F" w:rsidP="00E5611F">
      <w:pPr>
        <w:pStyle w:val="Paragraphedeliste"/>
        <w:autoSpaceDE w:val="0"/>
        <w:autoSpaceDN w:val="0"/>
        <w:adjustRightInd w:val="0"/>
        <w:spacing w:after="0" w:line="240" w:lineRule="auto"/>
        <w:jc w:val="both"/>
      </w:pPr>
    </w:p>
    <w:p w14:paraId="31603E8D" w14:textId="77777777" w:rsidR="00FA4AF6" w:rsidRPr="00045D76" w:rsidRDefault="00FA4AF6" w:rsidP="00E5611F">
      <w:pPr>
        <w:pStyle w:val="Paragraphedeliste"/>
        <w:autoSpaceDE w:val="0"/>
        <w:autoSpaceDN w:val="0"/>
        <w:adjustRightInd w:val="0"/>
        <w:spacing w:after="0" w:line="240" w:lineRule="auto"/>
        <w:jc w:val="both"/>
      </w:pPr>
    </w:p>
    <w:p w14:paraId="2DEDA054" w14:textId="1B37B96F" w:rsidR="008C4B87" w:rsidRPr="00C50A22" w:rsidRDefault="00711636" w:rsidP="006B400E">
      <w:pPr>
        <w:pStyle w:val="Titre4"/>
        <w:numPr>
          <w:ilvl w:val="3"/>
          <w:numId w:val="20"/>
        </w:numPr>
      </w:pPr>
      <w:bookmarkStart w:id="35" w:name="_Toc222476866"/>
      <w:r w:rsidRPr="00C50A22">
        <w:t>O</w:t>
      </w:r>
      <w:r w:rsidR="00CD4692" w:rsidRPr="00C50A22">
        <w:t xml:space="preserve">pérations de retrait </w:t>
      </w:r>
      <w:r w:rsidRPr="00C50A22">
        <w:t xml:space="preserve">ventilées </w:t>
      </w:r>
      <w:r w:rsidR="00CD4692" w:rsidRPr="00C50A22">
        <w:t xml:space="preserve">par </w:t>
      </w:r>
      <w:r w:rsidR="00DE0E17" w:rsidRPr="00C50A22">
        <w:t>canal d’échange</w:t>
      </w:r>
      <w:bookmarkEnd w:id="35"/>
    </w:p>
    <w:p w14:paraId="2E7D3883" w14:textId="14EDCEC9" w:rsidR="00B66673" w:rsidRDefault="00B66673" w:rsidP="008C4B87">
      <w:pPr>
        <w:spacing w:after="0" w:line="240" w:lineRule="auto"/>
        <w:rPr>
          <w:rFonts w:ascii="Calibri" w:eastAsia="Times New Roman" w:hAnsi="Calibri" w:cs="Calibri"/>
          <w:b/>
          <w:smallCaps/>
          <w:sz w:val="24"/>
          <w:szCs w:val="24"/>
          <w:lang w:eastAsia="fr-FR"/>
        </w:rPr>
      </w:pPr>
    </w:p>
    <w:p w14:paraId="09AC1F06" w14:textId="0372DD25" w:rsidR="00B66673" w:rsidRDefault="00B66673" w:rsidP="00EE765A">
      <w:pPr>
        <w:spacing w:after="0" w:line="240" w:lineRule="auto"/>
        <w:jc w:val="both"/>
        <w:rPr>
          <w:rFonts w:cstheme="minorHAnsi"/>
        </w:rPr>
      </w:pPr>
      <w:r w:rsidRPr="00C714BD">
        <w:rPr>
          <w:rFonts w:cstheme="minorHAnsi"/>
        </w:rPr>
        <w:t>Il s</w:t>
      </w:r>
      <w:r>
        <w:rPr>
          <w:rFonts w:cstheme="minorHAnsi"/>
        </w:rPr>
        <w:t xml:space="preserve">’agit de déclarer, en nombre et valeur, les </w:t>
      </w:r>
      <w:r w:rsidR="003D06DD">
        <w:rPr>
          <w:rFonts w:cstheme="minorHAnsi"/>
        </w:rPr>
        <w:t xml:space="preserve">opérations de retrait </w:t>
      </w:r>
      <w:r>
        <w:rPr>
          <w:rFonts w:cstheme="minorHAnsi"/>
        </w:rPr>
        <w:t>effectuées à partir de cartes émises par l’établissement avec une ven</w:t>
      </w:r>
      <w:r w:rsidR="00711636">
        <w:rPr>
          <w:rFonts w:cstheme="minorHAnsi"/>
        </w:rPr>
        <w:t>tilation par circuit d’échange utilisé pour effectuer le transfert des fonds</w:t>
      </w:r>
      <w:r>
        <w:rPr>
          <w:rFonts w:cstheme="minorHAnsi"/>
        </w:rPr>
        <w:t>.</w:t>
      </w:r>
    </w:p>
    <w:p w14:paraId="0222BCA8" w14:textId="77777777" w:rsidR="00B66673" w:rsidRPr="003B1F12" w:rsidRDefault="00B66673" w:rsidP="008C4B87">
      <w:pPr>
        <w:spacing w:after="0" w:line="240" w:lineRule="auto"/>
        <w:rPr>
          <w:rFonts w:ascii="Calibri" w:eastAsia="Times New Roman" w:hAnsi="Calibri" w:cs="Calibri"/>
          <w:b/>
          <w:smallCaps/>
          <w:sz w:val="24"/>
          <w:szCs w:val="24"/>
          <w:lang w:eastAsia="fr-FR"/>
        </w:rPr>
      </w:pPr>
    </w:p>
    <w:p w14:paraId="6705C35E" w14:textId="77777777" w:rsidR="007578FE" w:rsidRDefault="007578FE" w:rsidP="007578FE">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54167ADD" w14:textId="07B8972A" w:rsidR="007C403B" w:rsidRDefault="007C403B" w:rsidP="00F735D7">
      <w:pPr>
        <w:spacing w:after="0" w:line="240" w:lineRule="auto"/>
        <w:rPr>
          <w:rFonts w:ascii="Calibri" w:eastAsia="Times New Roman" w:hAnsi="Calibri" w:cs="Calibri"/>
          <w:i/>
          <w:sz w:val="20"/>
          <w:szCs w:val="20"/>
          <w:lang w:eastAsia="fr-FR"/>
        </w:rPr>
      </w:pPr>
    </w:p>
    <w:tbl>
      <w:tblPr>
        <w:tblStyle w:val="Tableausimple2"/>
        <w:tblW w:w="9070" w:type="dxa"/>
        <w:tblLook w:val="04A0" w:firstRow="1" w:lastRow="0" w:firstColumn="1" w:lastColumn="0" w:noHBand="0" w:noVBand="1"/>
      </w:tblPr>
      <w:tblGrid>
        <w:gridCol w:w="280"/>
        <w:gridCol w:w="714"/>
        <w:gridCol w:w="1701"/>
        <w:gridCol w:w="2693"/>
        <w:gridCol w:w="1276"/>
        <w:gridCol w:w="1203"/>
        <w:gridCol w:w="1203"/>
      </w:tblGrid>
      <w:tr w:rsidR="006A0188" w:rsidRPr="00006943" w14:paraId="5AFE3CF5" w14:textId="77777777" w:rsidTr="007B28CF">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0" w:type="dxa"/>
            <w:tcBorders>
              <w:top w:val="single" w:sz="18" w:space="0" w:color="5B9BD5" w:themeColor="accent1"/>
              <w:bottom w:val="single" w:sz="4" w:space="0" w:color="5B9BD5" w:themeColor="accent1"/>
            </w:tcBorders>
            <w:noWrap/>
          </w:tcPr>
          <w:p w14:paraId="4729C435" w14:textId="77777777" w:rsidR="006A0188" w:rsidRPr="00006943" w:rsidRDefault="006A0188" w:rsidP="000531AA">
            <w:pPr>
              <w:rPr>
                <w:rFonts w:ascii="Calibri" w:eastAsia="Times New Roman" w:hAnsi="Calibri" w:cs="Calibri"/>
                <w:i/>
                <w:sz w:val="20"/>
                <w:szCs w:val="20"/>
                <w:lang w:eastAsia="fr-FR"/>
              </w:rPr>
            </w:pPr>
          </w:p>
        </w:tc>
        <w:tc>
          <w:tcPr>
            <w:tcW w:w="5108" w:type="dxa"/>
            <w:gridSpan w:val="3"/>
            <w:tcBorders>
              <w:top w:val="single" w:sz="18" w:space="0" w:color="5B9BD5" w:themeColor="accent1"/>
              <w:bottom w:val="single" w:sz="4" w:space="0" w:color="5B9BD5" w:themeColor="accent1"/>
              <w:right w:val="single" w:sz="4" w:space="0" w:color="5B9BD5" w:themeColor="accent1"/>
            </w:tcBorders>
            <w:noWrap/>
          </w:tcPr>
          <w:p w14:paraId="76FA6783" w14:textId="77777777" w:rsidR="006A0188" w:rsidRPr="0027653B" w:rsidRDefault="006A0188" w:rsidP="000531A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18"/>
                <w:szCs w:val="18"/>
                <w:lang w:eastAsia="fr-FR"/>
              </w:rPr>
            </w:pPr>
          </w:p>
        </w:tc>
        <w:tc>
          <w:tcPr>
            <w:tcW w:w="1276"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A6A6A6" w:themeFill="background1" w:themeFillShade="A6"/>
            <w:noWrap/>
          </w:tcPr>
          <w:p w14:paraId="7F6200CD" w14:textId="5EC39957" w:rsidR="006A0188" w:rsidRPr="00EE765A" w:rsidRDefault="006A0188" w:rsidP="000531A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1203"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6DC5AE2F" w14:textId="42F18AEA" w:rsidR="006A0188" w:rsidRPr="00EE765A" w:rsidRDefault="006A0188" w:rsidP="000531A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1203" w:type="dxa"/>
            <w:tcBorders>
              <w:top w:val="single" w:sz="18" w:space="0" w:color="5B9BD5" w:themeColor="accent1"/>
              <w:left w:val="single" w:sz="2" w:space="0" w:color="5B9BD5" w:themeColor="accent1"/>
              <w:bottom w:val="single" w:sz="2" w:space="0" w:color="5B9BD5" w:themeColor="accent1"/>
            </w:tcBorders>
            <w:shd w:val="solid" w:color="FFFFFF" w:fill="000000"/>
          </w:tcPr>
          <w:p w14:paraId="476B0D39" w14:textId="77777777" w:rsidR="006A0188" w:rsidRPr="007D187B" w:rsidRDefault="006A0188" w:rsidP="000531A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53B828B3" w14:textId="70E711DB" w:rsidR="006A0188" w:rsidRPr="00EE765A" w:rsidRDefault="006A0188" w:rsidP="000531A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sidRPr="007D187B">
              <w:rPr>
                <w:rFonts w:cstheme="minorHAnsi"/>
                <w:bCs w:val="0"/>
                <w:sz w:val="14"/>
                <w:szCs w:val="18"/>
              </w:rPr>
              <w:t>euros</w:t>
            </w:r>
            <w:proofErr w:type="gramEnd"/>
          </w:p>
        </w:tc>
      </w:tr>
      <w:tr w:rsidR="000531AA" w:rsidRPr="00006943" w14:paraId="46DB13DD" w14:textId="241E8A8A" w:rsidTr="000531A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0" w:type="dxa"/>
            <w:tcBorders>
              <w:top w:val="single" w:sz="18" w:space="0" w:color="5B9BD5" w:themeColor="accent1"/>
              <w:bottom w:val="single" w:sz="4" w:space="0" w:color="5B9BD5" w:themeColor="accent1"/>
            </w:tcBorders>
            <w:noWrap/>
          </w:tcPr>
          <w:p w14:paraId="2EE40C6B" w14:textId="3256C0F6" w:rsidR="000531AA" w:rsidRPr="00006943" w:rsidRDefault="000531AA" w:rsidP="003730FE">
            <w:pPr>
              <w:rPr>
                <w:rFonts w:ascii="Calibri" w:eastAsia="Times New Roman" w:hAnsi="Calibri" w:cs="Calibri"/>
                <w:i/>
                <w:sz w:val="20"/>
                <w:szCs w:val="20"/>
                <w:lang w:eastAsia="fr-FR"/>
              </w:rPr>
            </w:pPr>
          </w:p>
        </w:tc>
        <w:tc>
          <w:tcPr>
            <w:tcW w:w="2415" w:type="dxa"/>
            <w:gridSpan w:val="2"/>
            <w:tcBorders>
              <w:top w:val="single" w:sz="18" w:space="0" w:color="5B9BD5" w:themeColor="accent1"/>
              <w:bottom w:val="single" w:sz="4" w:space="0" w:color="5B9BD5" w:themeColor="accent1"/>
              <w:right w:val="single" w:sz="4" w:space="0" w:color="5B9BD5" w:themeColor="accent1"/>
            </w:tcBorders>
            <w:noWrap/>
            <w:hideMark/>
          </w:tcPr>
          <w:p w14:paraId="7DBD386A" w14:textId="453574A9" w:rsidR="000531AA" w:rsidRPr="006D4A9B" w:rsidRDefault="000531AA" w:rsidP="003730F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6D4A9B">
              <w:rPr>
                <w:rFonts w:ascii="Calibri" w:eastAsia="Times New Roman" w:hAnsi="Calibri" w:cs="Calibri"/>
                <w:b/>
                <w:i/>
                <w:sz w:val="18"/>
                <w:szCs w:val="18"/>
                <w:lang w:eastAsia="fr-FR"/>
              </w:rPr>
              <w:t>Dont transactions interbancaires</w:t>
            </w:r>
          </w:p>
        </w:tc>
        <w:tc>
          <w:tcPr>
            <w:tcW w:w="269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5F2A28A7" w14:textId="6D9DA47C" w:rsidR="000531AA" w:rsidRPr="002414A7" w:rsidRDefault="000531AA" w:rsidP="003730F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7653B">
              <w:rPr>
                <w:rFonts w:ascii="Calibri" w:eastAsia="Times New Roman" w:hAnsi="Calibri" w:cs="Calibri"/>
                <w:b/>
                <w:bCs/>
                <w:sz w:val="18"/>
                <w:szCs w:val="18"/>
                <w:lang w:eastAsia="fr-FR"/>
              </w:rPr>
              <w:t>Transfert de fonds effectué via un système de paiement.</w:t>
            </w:r>
          </w:p>
        </w:tc>
        <w:tc>
          <w:tcPr>
            <w:tcW w:w="1276"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6F66691B" w14:textId="2F4A337F" w:rsidR="000531AA" w:rsidRPr="00EE765A" w:rsidRDefault="000531AA" w:rsidP="003730F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20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C830D65" w14:textId="77777777" w:rsidR="000531AA" w:rsidRPr="00EE765A" w:rsidRDefault="000531AA" w:rsidP="003730F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203" w:type="dxa"/>
            <w:tcBorders>
              <w:top w:val="single" w:sz="18" w:space="0" w:color="5B9BD5" w:themeColor="accent1"/>
              <w:left w:val="single" w:sz="4" w:space="0" w:color="5B9BD5" w:themeColor="accent1"/>
              <w:bottom w:val="single" w:sz="4" w:space="0" w:color="5B9BD5" w:themeColor="accent1"/>
            </w:tcBorders>
          </w:tcPr>
          <w:p w14:paraId="42B5A015" w14:textId="572E0BAF" w:rsidR="000531AA" w:rsidRPr="00EE765A" w:rsidRDefault="000531AA" w:rsidP="003730F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0531AA" w:rsidRPr="00006943" w14:paraId="13E0CB45" w14:textId="4CCB1833" w:rsidTr="000531AA">
        <w:trPr>
          <w:trHeight w:val="255"/>
        </w:trPr>
        <w:tc>
          <w:tcPr>
            <w:cnfStyle w:val="001000000000" w:firstRow="0" w:lastRow="0" w:firstColumn="1" w:lastColumn="0" w:oddVBand="0" w:evenVBand="0" w:oddHBand="0" w:evenHBand="0" w:firstRowFirstColumn="0" w:firstRowLastColumn="0" w:lastRowFirstColumn="0" w:lastRowLastColumn="0"/>
            <w:tcW w:w="280" w:type="dxa"/>
            <w:tcBorders>
              <w:top w:val="single" w:sz="4" w:space="0" w:color="5B9BD5" w:themeColor="accent1"/>
              <w:bottom w:val="single" w:sz="4" w:space="0" w:color="5B9BD5" w:themeColor="accent1"/>
            </w:tcBorders>
            <w:noWrap/>
          </w:tcPr>
          <w:p w14:paraId="5D95E438" w14:textId="2EC94253" w:rsidR="000531AA" w:rsidRPr="00006943" w:rsidRDefault="000531AA" w:rsidP="003730FE">
            <w:pPr>
              <w:rPr>
                <w:rFonts w:ascii="Calibri" w:eastAsia="Times New Roman" w:hAnsi="Calibri" w:cs="Calibri"/>
                <w:i/>
                <w:sz w:val="20"/>
                <w:szCs w:val="20"/>
                <w:lang w:eastAsia="fr-FR"/>
              </w:rPr>
            </w:pPr>
          </w:p>
        </w:tc>
        <w:tc>
          <w:tcPr>
            <w:tcW w:w="714" w:type="dxa"/>
            <w:tcBorders>
              <w:top w:val="single" w:sz="4" w:space="0" w:color="5B9BD5" w:themeColor="accent1"/>
              <w:bottom w:val="single" w:sz="4" w:space="0" w:color="5B9BD5" w:themeColor="accent1"/>
              <w:right w:val="single" w:sz="4" w:space="0" w:color="5B9BD5" w:themeColor="accent1"/>
            </w:tcBorders>
            <w:noWrap/>
          </w:tcPr>
          <w:p w14:paraId="5A611780" w14:textId="7A023634" w:rsidR="000531AA" w:rsidRPr="002414A7" w:rsidRDefault="000531AA" w:rsidP="003730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9CF7D90" w14:textId="389406A3" w:rsidR="000531AA" w:rsidRPr="002414A7"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Dont STET</w:t>
            </w:r>
            <w:r>
              <w:rPr>
                <w:rFonts w:ascii="Calibri" w:eastAsia="Times New Roman" w:hAnsi="Calibri" w:cs="Calibri"/>
                <w:i/>
                <w:sz w:val="18"/>
                <w:szCs w:val="18"/>
                <w:lang w:eastAsia="fr-FR"/>
              </w:rPr>
              <w:t xml:space="preserve"> (</w:t>
            </w:r>
            <w:r w:rsidRPr="002414A7">
              <w:rPr>
                <w:rFonts w:ascii="Calibri" w:eastAsia="Times New Roman" w:hAnsi="Calibri" w:cs="Calibri"/>
                <w:i/>
                <w:sz w:val="18"/>
                <w:szCs w:val="18"/>
                <w:lang w:eastAsia="fr-FR"/>
              </w:rPr>
              <w:t>CORE</w:t>
            </w:r>
            <w:r>
              <w:rPr>
                <w:rFonts w:ascii="Calibri" w:eastAsia="Times New Roman" w:hAnsi="Calibri" w:cs="Calibri"/>
                <w:i/>
                <w:sz w:val="18"/>
                <w:szCs w:val="18"/>
                <w:lang w:eastAsia="fr-FR"/>
              </w:rPr>
              <w:t xml:space="preserve"> FR et SEPA EU)</w:t>
            </w:r>
          </w:p>
        </w:tc>
        <w:tc>
          <w:tcPr>
            <w:tcW w:w="26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810E504" w14:textId="6BA49569" w:rsidR="000531AA" w:rsidRPr="0027653B" w:rsidRDefault="000531AA" w:rsidP="003730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27653B">
              <w:rPr>
                <w:rFonts w:ascii="Calibri" w:eastAsia="Times New Roman" w:hAnsi="Calibri" w:cs="Calibri"/>
                <w:sz w:val="18"/>
                <w:szCs w:val="18"/>
                <w:lang w:eastAsia="fr-FR"/>
              </w:rPr>
              <w:t>Système de paiement de détail</w:t>
            </w:r>
            <w:r>
              <w:rPr>
                <w:rFonts w:ascii="Calibri" w:eastAsia="Times New Roman" w:hAnsi="Calibri" w:cs="Calibri"/>
                <w:sz w:val="18"/>
                <w:szCs w:val="18"/>
                <w:lang w:eastAsia="fr-FR"/>
              </w:rPr>
              <w:t xml:space="preserve"> implanté en France</w:t>
            </w:r>
            <w:r w:rsidRPr="0027653B">
              <w:rPr>
                <w:rFonts w:ascii="Calibri" w:eastAsia="Times New Roman" w:hAnsi="Calibri" w:cs="Calibri"/>
                <w:sz w:val="18"/>
                <w:szCs w:val="18"/>
                <w:lang w:eastAsia="fr-FR"/>
              </w:rPr>
              <w:t>.</w:t>
            </w:r>
          </w:p>
        </w:tc>
        <w:tc>
          <w:tcPr>
            <w:tcW w:w="1276"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0B2E8CEB" w14:textId="4CA66EAC" w:rsidR="000531AA" w:rsidRPr="002414A7" w:rsidRDefault="000531AA" w:rsidP="003730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FE8D6C" w14:textId="77777777" w:rsidR="000531AA" w:rsidRPr="002414A7" w:rsidRDefault="000531AA" w:rsidP="003730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4" w:space="0" w:color="5B9BD5" w:themeColor="accent1"/>
            </w:tcBorders>
          </w:tcPr>
          <w:p w14:paraId="266C3CD0" w14:textId="6AA5A6D8" w:rsidR="000531AA" w:rsidRPr="002414A7" w:rsidRDefault="000531AA" w:rsidP="003730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531AA" w:rsidRPr="00006943" w14:paraId="56DC0CA0" w14:textId="2165BAB3" w:rsidTr="000531A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0" w:type="dxa"/>
            <w:tcBorders>
              <w:top w:val="single" w:sz="4" w:space="0" w:color="5B9BD5" w:themeColor="accent1"/>
              <w:bottom w:val="single" w:sz="4" w:space="0" w:color="5B9BD5" w:themeColor="accent1"/>
            </w:tcBorders>
            <w:noWrap/>
          </w:tcPr>
          <w:p w14:paraId="31E2DCE0" w14:textId="41E650BE" w:rsidR="000531AA" w:rsidRPr="00006943" w:rsidRDefault="000531AA" w:rsidP="00DE0E17">
            <w:pPr>
              <w:rPr>
                <w:rFonts w:ascii="Calibri" w:eastAsia="Times New Roman" w:hAnsi="Calibri" w:cs="Calibri"/>
                <w:i/>
                <w:sz w:val="20"/>
                <w:szCs w:val="20"/>
                <w:lang w:eastAsia="fr-FR"/>
              </w:rPr>
            </w:pPr>
          </w:p>
        </w:tc>
        <w:tc>
          <w:tcPr>
            <w:tcW w:w="714" w:type="dxa"/>
            <w:tcBorders>
              <w:top w:val="single" w:sz="4" w:space="0" w:color="5B9BD5" w:themeColor="accent1"/>
              <w:bottom w:val="single" w:sz="4" w:space="0" w:color="5B9BD5" w:themeColor="accent1"/>
              <w:right w:val="single" w:sz="4" w:space="0" w:color="5B9BD5" w:themeColor="accent1"/>
            </w:tcBorders>
            <w:noWrap/>
          </w:tcPr>
          <w:p w14:paraId="674049CD" w14:textId="3BB45992"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285C21CE" w14:textId="77777777"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Dont autres systèmes</w:t>
            </w:r>
          </w:p>
        </w:tc>
        <w:tc>
          <w:tcPr>
            <w:tcW w:w="26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18997A0" w14:textId="6D266341" w:rsidR="000531AA" w:rsidRPr="002414A7" w:rsidRDefault="000531AA" w:rsidP="00FA5C8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7653B">
              <w:rPr>
                <w:rFonts w:ascii="Calibri" w:eastAsia="Times New Roman" w:hAnsi="Calibri" w:cs="Calibri"/>
                <w:sz w:val="18"/>
                <w:szCs w:val="18"/>
                <w:lang w:eastAsia="fr-FR"/>
              </w:rPr>
              <w:t>Système</w:t>
            </w:r>
            <w:r>
              <w:rPr>
                <w:rFonts w:ascii="Calibri" w:eastAsia="Times New Roman" w:hAnsi="Calibri" w:cs="Calibri"/>
                <w:sz w:val="18"/>
                <w:szCs w:val="18"/>
                <w:lang w:eastAsia="fr-FR"/>
              </w:rPr>
              <w:t>s</w:t>
            </w:r>
            <w:r w:rsidRPr="0027653B">
              <w:rPr>
                <w:rFonts w:ascii="Calibri" w:eastAsia="Times New Roman" w:hAnsi="Calibri" w:cs="Calibri"/>
                <w:sz w:val="18"/>
                <w:szCs w:val="18"/>
                <w:lang w:eastAsia="fr-FR"/>
              </w:rPr>
              <w:t xml:space="preserve"> de paiement de détail</w:t>
            </w:r>
            <w:r>
              <w:rPr>
                <w:rFonts w:ascii="Calibri" w:eastAsia="Times New Roman" w:hAnsi="Calibri" w:cs="Calibri"/>
                <w:sz w:val="18"/>
                <w:szCs w:val="18"/>
                <w:lang w:eastAsia="fr-FR"/>
              </w:rPr>
              <w:t xml:space="preserve"> non implantés en France</w:t>
            </w:r>
            <w:r w:rsidRPr="0027653B">
              <w:rPr>
                <w:rFonts w:ascii="Calibri" w:eastAsia="Times New Roman" w:hAnsi="Calibri" w:cs="Calibri"/>
                <w:sz w:val="18"/>
                <w:szCs w:val="18"/>
                <w:lang w:eastAsia="fr-FR"/>
              </w:rPr>
              <w:t>.</w:t>
            </w:r>
          </w:p>
        </w:tc>
        <w:tc>
          <w:tcPr>
            <w:tcW w:w="1276"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468AD361" w14:textId="27F09DAB"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E69F96" w14:textId="77777777"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4" w:space="0" w:color="5B9BD5" w:themeColor="accent1"/>
            </w:tcBorders>
          </w:tcPr>
          <w:p w14:paraId="56B83546" w14:textId="13846A17"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531AA" w:rsidRPr="00006943" w14:paraId="74A5C973" w14:textId="73E0ACDF" w:rsidTr="000531AA">
        <w:trPr>
          <w:trHeight w:val="255"/>
        </w:trPr>
        <w:tc>
          <w:tcPr>
            <w:cnfStyle w:val="001000000000" w:firstRow="0" w:lastRow="0" w:firstColumn="1" w:lastColumn="0" w:oddVBand="0" w:evenVBand="0" w:oddHBand="0" w:evenHBand="0" w:firstRowFirstColumn="0" w:firstRowLastColumn="0" w:lastRowFirstColumn="0" w:lastRowLastColumn="0"/>
            <w:tcW w:w="280" w:type="dxa"/>
            <w:tcBorders>
              <w:top w:val="single" w:sz="4" w:space="0" w:color="5B9BD5" w:themeColor="accent1"/>
              <w:bottom w:val="single" w:sz="4" w:space="0" w:color="5B9BD5" w:themeColor="accent1"/>
            </w:tcBorders>
            <w:noWrap/>
          </w:tcPr>
          <w:p w14:paraId="52DD2E8A" w14:textId="10DD19FF" w:rsidR="000531AA" w:rsidRPr="00006943" w:rsidRDefault="000531AA" w:rsidP="00DE0E17">
            <w:pPr>
              <w:rPr>
                <w:rFonts w:ascii="Calibri" w:eastAsia="Times New Roman" w:hAnsi="Calibri" w:cs="Calibri"/>
                <w:i/>
                <w:sz w:val="20"/>
                <w:szCs w:val="20"/>
                <w:lang w:eastAsia="fr-FR"/>
              </w:rPr>
            </w:pPr>
          </w:p>
        </w:tc>
        <w:tc>
          <w:tcPr>
            <w:tcW w:w="714" w:type="dxa"/>
            <w:tcBorders>
              <w:top w:val="single" w:sz="4" w:space="0" w:color="5B9BD5" w:themeColor="accent1"/>
              <w:bottom w:val="single" w:sz="4" w:space="0" w:color="5B9BD5" w:themeColor="accent1"/>
              <w:right w:val="single" w:sz="4" w:space="0" w:color="5B9BD5" w:themeColor="accent1"/>
            </w:tcBorders>
            <w:noWrap/>
          </w:tcPr>
          <w:p w14:paraId="0A4F4ADD" w14:textId="0D3B0AF4" w:rsidR="000531AA" w:rsidRPr="002414A7"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1EF7B4E3" w14:textId="77777777" w:rsidR="000531AA" w:rsidRPr="002414A7"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Dont hors système</w:t>
            </w:r>
          </w:p>
        </w:tc>
        <w:tc>
          <w:tcPr>
            <w:tcW w:w="26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FE32F93" w14:textId="59A35F34" w:rsidR="000531AA" w:rsidRPr="002414A7"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A707C6">
              <w:rPr>
                <w:rFonts w:ascii="Calibri" w:eastAsia="Times New Roman" w:hAnsi="Calibri" w:cs="Calibri"/>
                <w:sz w:val="18"/>
                <w:szCs w:val="18"/>
                <w:lang w:eastAsia="fr-FR"/>
              </w:rPr>
              <w:t xml:space="preserve">Transfert des fonds effectué </w:t>
            </w:r>
            <w:r>
              <w:rPr>
                <w:rFonts w:ascii="Calibri" w:eastAsia="Times New Roman" w:hAnsi="Calibri" w:cs="Calibri"/>
                <w:sz w:val="18"/>
                <w:szCs w:val="18"/>
                <w:lang w:eastAsia="fr-FR"/>
              </w:rPr>
              <w:t xml:space="preserve">hors </w:t>
            </w:r>
            <w:r w:rsidRPr="00A707C6">
              <w:rPr>
                <w:rFonts w:ascii="Calibri" w:eastAsia="Times New Roman" w:hAnsi="Calibri" w:cs="Calibri"/>
                <w:sz w:val="18"/>
                <w:szCs w:val="18"/>
                <w:lang w:eastAsia="fr-FR"/>
              </w:rPr>
              <w:t>système de paiement.</w:t>
            </w:r>
          </w:p>
        </w:tc>
        <w:tc>
          <w:tcPr>
            <w:tcW w:w="1276"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69A4DC56" w14:textId="54DD7326" w:rsidR="000531AA" w:rsidRPr="002414A7"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801424" w14:textId="77777777" w:rsidR="000531AA" w:rsidRPr="002414A7"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4" w:space="0" w:color="5B9BD5" w:themeColor="accent1"/>
            </w:tcBorders>
          </w:tcPr>
          <w:p w14:paraId="0D54DD2D" w14:textId="7F853646" w:rsidR="000531AA" w:rsidRPr="002414A7"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531AA" w:rsidRPr="00006943" w14:paraId="77547181" w14:textId="0BB5CC0F" w:rsidTr="000531A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0" w:type="dxa"/>
            <w:tcBorders>
              <w:top w:val="single" w:sz="4" w:space="0" w:color="5B9BD5" w:themeColor="accent1"/>
              <w:bottom w:val="single" w:sz="4" w:space="0" w:color="5B9BD5" w:themeColor="accent1"/>
            </w:tcBorders>
            <w:noWrap/>
          </w:tcPr>
          <w:p w14:paraId="172E246F" w14:textId="6B882CAC" w:rsidR="000531AA" w:rsidRPr="00006943" w:rsidRDefault="000531AA" w:rsidP="00DE0E17">
            <w:pPr>
              <w:rPr>
                <w:rFonts w:ascii="Calibri" w:eastAsia="Times New Roman" w:hAnsi="Calibri" w:cs="Calibri"/>
                <w:i/>
                <w:sz w:val="20"/>
                <w:szCs w:val="20"/>
                <w:lang w:eastAsia="fr-FR"/>
              </w:rPr>
            </w:pPr>
          </w:p>
        </w:tc>
        <w:tc>
          <w:tcPr>
            <w:tcW w:w="2415" w:type="dxa"/>
            <w:gridSpan w:val="2"/>
            <w:tcBorders>
              <w:top w:val="single" w:sz="4" w:space="0" w:color="5B9BD5" w:themeColor="accent1"/>
              <w:bottom w:val="single" w:sz="4" w:space="0" w:color="5B9BD5" w:themeColor="accent1"/>
              <w:right w:val="single" w:sz="4" w:space="0" w:color="5B9BD5" w:themeColor="accent1"/>
            </w:tcBorders>
            <w:noWrap/>
            <w:hideMark/>
          </w:tcPr>
          <w:p w14:paraId="60388047" w14:textId="6226BA11" w:rsidR="000531AA" w:rsidRPr="00224A5A"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24A5A">
              <w:rPr>
                <w:rFonts w:ascii="Calibri" w:eastAsia="Times New Roman" w:hAnsi="Calibri" w:cs="Calibri"/>
                <w:b/>
                <w:i/>
                <w:sz w:val="18"/>
                <w:szCs w:val="18"/>
                <w:lang w:eastAsia="fr-FR"/>
              </w:rPr>
              <w:t xml:space="preserve">Dont transactions </w:t>
            </w:r>
            <w:proofErr w:type="spellStart"/>
            <w:r w:rsidRPr="00224A5A">
              <w:rPr>
                <w:rFonts w:ascii="Calibri" w:eastAsia="Times New Roman" w:hAnsi="Calibri" w:cs="Calibri"/>
                <w:b/>
                <w:i/>
                <w:sz w:val="18"/>
                <w:szCs w:val="18"/>
                <w:lang w:eastAsia="fr-FR"/>
              </w:rPr>
              <w:t>intrabancaires</w:t>
            </w:r>
            <w:proofErr w:type="spellEnd"/>
          </w:p>
        </w:tc>
        <w:tc>
          <w:tcPr>
            <w:tcW w:w="26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29E0858" w14:textId="478D8150"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Transfert des fonds entre 2 comptes de paiement tenus au sein de l’établissement sans recours à un système de paiement.</w:t>
            </w:r>
          </w:p>
        </w:tc>
        <w:tc>
          <w:tcPr>
            <w:tcW w:w="1276"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33B30F08" w14:textId="4E976454"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305BDF" w14:textId="77777777"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4" w:space="0" w:color="5B9BD5" w:themeColor="accent1"/>
            </w:tcBorders>
          </w:tcPr>
          <w:p w14:paraId="58622494" w14:textId="30917488"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531AA" w:rsidRPr="007A68C6" w14:paraId="69993EA5" w14:textId="48222665" w:rsidTr="000531AA">
        <w:trPr>
          <w:trHeight w:val="255"/>
        </w:trPr>
        <w:tc>
          <w:tcPr>
            <w:cnfStyle w:val="001000000000" w:firstRow="0" w:lastRow="0" w:firstColumn="1" w:lastColumn="0" w:oddVBand="0" w:evenVBand="0" w:oddHBand="0" w:evenHBand="0" w:firstRowFirstColumn="0" w:firstRowLastColumn="0" w:lastRowFirstColumn="0" w:lastRowLastColumn="0"/>
            <w:tcW w:w="280" w:type="dxa"/>
            <w:tcBorders>
              <w:top w:val="single" w:sz="4" w:space="0" w:color="5B9BD5" w:themeColor="accent1"/>
              <w:bottom w:val="single" w:sz="18" w:space="0" w:color="5B9BD5" w:themeColor="accent1"/>
            </w:tcBorders>
            <w:noWrap/>
          </w:tcPr>
          <w:p w14:paraId="7D936CA1" w14:textId="02BD1A7C" w:rsidR="000531AA" w:rsidRPr="00006943" w:rsidRDefault="000531AA" w:rsidP="00DE0E17">
            <w:pPr>
              <w:rPr>
                <w:rFonts w:ascii="Calibri" w:eastAsia="Times New Roman" w:hAnsi="Calibri" w:cs="Calibri"/>
                <w:i/>
                <w:sz w:val="20"/>
                <w:szCs w:val="20"/>
                <w:lang w:eastAsia="fr-FR"/>
              </w:rPr>
            </w:pPr>
          </w:p>
        </w:tc>
        <w:tc>
          <w:tcPr>
            <w:tcW w:w="2415" w:type="dxa"/>
            <w:gridSpan w:val="2"/>
            <w:tcBorders>
              <w:top w:val="single" w:sz="4" w:space="0" w:color="5B9BD5" w:themeColor="accent1"/>
              <w:bottom w:val="single" w:sz="18" w:space="0" w:color="5B9BD5" w:themeColor="accent1"/>
              <w:right w:val="single" w:sz="4" w:space="0" w:color="5B9BD5" w:themeColor="accent1"/>
            </w:tcBorders>
            <w:noWrap/>
            <w:hideMark/>
          </w:tcPr>
          <w:p w14:paraId="1BBB459D" w14:textId="2BADC7A3" w:rsidR="000531AA" w:rsidRPr="007A68C6"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7A68C6">
              <w:rPr>
                <w:rFonts w:ascii="Calibri" w:eastAsia="Times New Roman" w:hAnsi="Calibri" w:cs="Calibri"/>
                <w:b/>
                <w:i/>
                <w:sz w:val="18"/>
                <w:szCs w:val="18"/>
                <w:lang w:eastAsia="fr-FR"/>
              </w:rPr>
              <w:t>Dont transactions intragroupes</w:t>
            </w:r>
          </w:p>
        </w:tc>
        <w:tc>
          <w:tcPr>
            <w:tcW w:w="269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noWrap/>
            <w:hideMark/>
          </w:tcPr>
          <w:p w14:paraId="7A6A6BE0" w14:textId="5B6C2518" w:rsidR="000531AA" w:rsidRPr="007A68C6"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7A68C6">
              <w:rPr>
                <w:rFonts w:ascii="Calibri" w:eastAsia="Times New Roman" w:hAnsi="Calibri" w:cs="Calibri"/>
                <w:sz w:val="18"/>
                <w:szCs w:val="18"/>
                <w:lang w:eastAsia="fr-FR"/>
              </w:rPr>
              <w:t>Transfert des fonds entre 2 comptes</w:t>
            </w:r>
            <w:r>
              <w:rPr>
                <w:rFonts w:ascii="Calibri" w:eastAsia="Times New Roman" w:hAnsi="Calibri" w:cs="Calibri"/>
                <w:sz w:val="18"/>
                <w:szCs w:val="18"/>
                <w:lang w:eastAsia="fr-FR"/>
              </w:rPr>
              <w:t xml:space="preserve"> de paiement</w:t>
            </w:r>
            <w:r w:rsidRPr="007A68C6">
              <w:rPr>
                <w:rFonts w:ascii="Calibri" w:eastAsia="Times New Roman" w:hAnsi="Calibri" w:cs="Calibri"/>
                <w:sz w:val="18"/>
                <w:szCs w:val="18"/>
                <w:lang w:eastAsia="fr-FR"/>
              </w:rPr>
              <w:t xml:space="preserve"> tenus au sein d’un même groupe bancaire sans recours à un système de paiement.</w:t>
            </w:r>
          </w:p>
        </w:tc>
        <w:tc>
          <w:tcPr>
            <w:tcW w:w="1276"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noWrap/>
          </w:tcPr>
          <w:p w14:paraId="5FB97A64" w14:textId="20F0B718" w:rsidR="000531AA" w:rsidRPr="007A68C6" w:rsidRDefault="000531A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69C13B42" w14:textId="77777777" w:rsidR="000531AA" w:rsidRPr="007A68C6" w:rsidRDefault="000531A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18" w:space="0" w:color="5B9BD5" w:themeColor="accent1"/>
            </w:tcBorders>
          </w:tcPr>
          <w:p w14:paraId="6127C85B" w14:textId="75416B60" w:rsidR="000531AA" w:rsidRPr="007A68C6" w:rsidRDefault="000531A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44797AA5" w14:textId="77777777" w:rsidR="00E5611F" w:rsidRPr="007A68C6" w:rsidRDefault="00E5611F" w:rsidP="00E5611F">
      <w:pPr>
        <w:pStyle w:val="Paragraphedeliste"/>
        <w:autoSpaceDE w:val="0"/>
        <w:autoSpaceDN w:val="0"/>
        <w:adjustRightInd w:val="0"/>
        <w:spacing w:after="0" w:line="240" w:lineRule="auto"/>
        <w:jc w:val="both"/>
        <w:rPr>
          <w:rFonts w:cstheme="minorHAnsi"/>
        </w:rPr>
      </w:pPr>
    </w:p>
    <w:p w14:paraId="0362D6CC" w14:textId="77777777" w:rsidR="00E5611F" w:rsidRPr="00C50A22" w:rsidRDefault="00E5611F" w:rsidP="00C50A22">
      <w:pPr>
        <w:spacing w:after="0" w:line="240" w:lineRule="auto"/>
        <w:jc w:val="both"/>
        <w:rPr>
          <w:rFonts w:ascii="Calibri" w:hAnsi="Calibri"/>
          <w:b/>
          <w:smallCaps/>
          <w:color w:val="2E74B5" w:themeColor="accent1" w:themeShade="BF"/>
          <w:sz w:val="24"/>
        </w:rPr>
      </w:pPr>
      <w:r w:rsidRPr="00C50A22">
        <w:rPr>
          <w:rFonts w:ascii="Calibri" w:hAnsi="Calibri"/>
          <w:b/>
          <w:smallCaps/>
          <w:color w:val="2E74B5" w:themeColor="accent1" w:themeShade="BF"/>
          <w:sz w:val="24"/>
        </w:rPr>
        <w:t>Contrôles :</w:t>
      </w:r>
    </w:p>
    <w:p w14:paraId="29FD3F02" w14:textId="77777777" w:rsidR="007A68C6" w:rsidRDefault="007A68C6" w:rsidP="007A68C6">
      <w:pPr>
        <w:pStyle w:val="Paragraphedeliste"/>
        <w:autoSpaceDE w:val="0"/>
        <w:autoSpaceDN w:val="0"/>
        <w:adjustRightInd w:val="0"/>
        <w:spacing w:after="0" w:line="240" w:lineRule="auto"/>
        <w:jc w:val="both"/>
        <w:rPr>
          <w:rFonts w:cstheme="minorHAnsi"/>
        </w:rPr>
      </w:pPr>
    </w:p>
    <w:p w14:paraId="6FCF6880" w14:textId="50AFC2EB" w:rsidR="007A68C6" w:rsidRDefault="007A68C6" w:rsidP="009D01A4">
      <w:pPr>
        <w:autoSpaceDE w:val="0"/>
        <w:autoSpaceDN w:val="0"/>
        <w:adjustRightInd w:val="0"/>
        <w:spacing w:after="0" w:line="240" w:lineRule="auto"/>
        <w:jc w:val="both"/>
        <w:rPr>
          <w:rFonts w:cstheme="minorHAnsi"/>
        </w:rPr>
      </w:pPr>
      <w:r w:rsidRPr="009D01A4">
        <w:rPr>
          <w:rFonts w:cstheme="minorHAnsi"/>
        </w:rPr>
        <w:t>Les règles de contrôle suivantes doivent être app</w:t>
      </w:r>
      <w:r w:rsidR="00DA1236">
        <w:rPr>
          <w:rFonts w:cstheme="minorHAnsi"/>
        </w:rPr>
        <w:t>liquées en nombre et en valeur.</w:t>
      </w:r>
    </w:p>
    <w:p w14:paraId="01D59EEC" w14:textId="29194D4F" w:rsidR="000531AA" w:rsidRDefault="000531AA" w:rsidP="009D01A4">
      <w:pPr>
        <w:autoSpaceDE w:val="0"/>
        <w:autoSpaceDN w:val="0"/>
        <w:adjustRightInd w:val="0"/>
        <w:spacing w:after="0" w:line="240" w:lineRule="auto"/>
        <w:jc w:val="both"/>
        <w:rPr>
          <w:rFonts w:cstheme="minorHAnsi"/>
        </w:rPr>
      </w:pPr>
    </w:p>
    <w:tbl>
      <w:tblPr>
        <w:tblStyle w:val="Grilledutableau"/>
        <w:tblW w:w="8913"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8913"/>
      </w:tblGrid>
      <w:tr w:rsidR="000531AA" w:rsidRPr="00191426" w14:paraId="35589780" w14:textId="77777777" w:rsidTr="006D4A9B">
        <w:tc>
          <w:tcPr>
            <w:tcW w:w="8913" w:type="dxa"/>
          </w:tcPr>
          <w:p w14:paraId="3F72E218" w14:textId="3B758432" w:rsidR="000531AA" w:rsidRPr="00C50A22" w:rsidRDefault="000531AA" w:rsidP="000531AA">
            <w:pPr>
              <w:pStyle w:val="Paragraphedeliste"/>
              <w:autoSpaceDE w:val="0"/>
              <w:autoSpaceDN w:val="0"/>
              <w:adjustRightInd w:val="0"/>
              <w:ind w:left="0"/>
              <w:jc w:val="both"/>
              <w:rPr>
                <w:sz w:val="18"/>
              </w:rPr>
            </w:pPr>
            <w:r>
              <w:rPr>
                <w:sz w:val="18"/>
              </w:rPr>
              <w:t xml:space="preserve">Le total des opérations de retrait par carte est = à la </w:t>
            </w:r>
            <w:r w:rsidRPr="00A675AF">
              <w:rPr>
                <w:rFonts w:cstheme="minorHAnsi"/>
                <w:sz w:val="18"/>
                <w:szCs w:val="18"/>
              </w:rPr>
              <w:t>somme de</w:t>
            </w:r>
            <w:r>
              <w:rPr>
                <w:rFonts w:cstheme="minorHAnsi"/>
                <w:sz w:val="18"/>
                <w:szCs w:val="18"/>
              </w:rPr>
              <w:t xml:space="preserve">s transactions interbancaires, </w:t>
            </w:r>
            <w:proofErr w:type="spellStart"/>
            <w:r>
              <w:rPr>
                <w:rFonts w:cstheme="minorHAnsi"/>
                <w:sz w:val="18"/>
                <w:szCs w:val="18"/>
              </w:rPr>
              <w:t>intrabancaires</w:t>
            </w:r>
            <w:proofErr w:type="spellEnd"/>
            <w:r>
              <w:rPr>
                <w:rFonts w:cstheme="minorHAnsi"/>
                <w:sz w:val="18"/>
                <w:szCs w:val="18"/>
              </w:rPr>
              <w:t xml:space="preserve"> et intragroupes</w:t>
            </w:r>
          </w:p>
        </w:tc>
      </w:tr>
      <w:tr w:rsidR="000531AA" w:rsidRPr="00191426" w14:paraId="25F9E031" w14:textId="77777777" w:rsidTr="006D4A9B">
        <w:tc>
          <w:tcPr>
            <w:tcW w:w="8913" w:type="dxa"/>
          </w:tcPr>
          <w:p w14:paraId="22B8C8BE" w14:textId="7A5AC875" w:rsidR="000531AA" w:rsidRPr="00C50A22" w:rsidRDefault="000531AA" w:rsidP="00880B34">
            <w:pPr>
              <w:pStyle w:val="Paragraphedeliste"/>
              <w:autoSpaceDE w:val="0"/>
              <w:autoSpaceDN w:val="0"/>
              <w:adjustRightInd w:val="0"/>
              <w:ind w:left="0"/>
              <w:jc w:val="both"/>
              <w:rPr>
                <w:sz w:val="18"/>
              </w:rPr>
            </w:pPr>
            <w:r w:rsidRPr="00A675AF">
              <w:rPr>
                <w:rFonts w:cstheme="minorHAnsi"/>
                <w:sz w:val="18"/>
                <w:szCs w:val="18"/>
              </w:rPr>
              <w:t>Le</w:t>
            </w:r>
            <w:r>
              <w:rPr>
                <w:rFonts w:cstheme="minorHAnsi"/>
                <w:sz w:val="18"/>
                <w:szCs w:val="18"/>
              </w:rPr>
              <w:t xml:space="preserve"> total de</w:t>
            </w:r>
            <w:r w:rsidRPr="00A675AF">
              <w:rPr>
                <w:rFonts w:cstheme="minorHAnsi"/>
                <w:sz w:val="18"/>
                <w:szCs w:val="18"/>
              </w:rPr>
              <w:t xml:space="preserve">s </w:t>
            </w:r>
            <w:r>
              <w:rPr>
                <w:rFonts w:cstheme="minorHAnsi"/>
                <w:sz w:val="18"/>
                <w:szCs w:val="18"/>
              </w:rPr>
              <w:t xml:space="preserve">transactions interbancaires est = la somme des ventilations </w:t>
            </w:r>
            <w:r w:rsidRPr="00A675AF">
              <w:rPr>
                <w:rFonts w:cstheme="minorHAnsi"/>
                <w:sz w:val="18"/>
                <w:szCs w:val="18"/>
              </w:rPr>
              <w:t xml:space="preserve">par </w:t>
            </w:r>
            <w:r w:rsidR="00880B34">
              <w:rPr>
                <w:rFonts w:cstheme="minorHAnsi"/>
                <w:sz w:val="18"/>
                <w:szCs w:val="18"/>
              </w:rPr>
              <w:t>système de paiement</w:t>
            </w:r>
            <w:r w:rsidRPr="00A675AF">
              <w:rPr>
                <w:rFonts w:cstheme="minorHAnsi"/>
                <w:sz w:val="18"/>
                <w:szCs w:val="18"/>
              </w:rPr>
              <w:t>.</w:t>
            </w:r>
          </w:p>
        </w:tc>
      </w:tr>
    </w:tbl>
    <w:p w14:paraId="02E8EF5D" w14:textId="77777777" w:rsidR="007A68C6" w:rsidRPr="00C26B94" w:rsidRDefault="007A68C6" w:rsidP="007A68C6">
      <w:pPr>
        <w:pStyle w:val="Paragraphedeliste"/>
        <w:autoSpaceDE w:val="0"/>
        <w:autoSpaceDN w:val="0"/>
        <w:adjustRightInd w:val="0"/>
        <w:spacing w:after="0" w:line="240" w:lineRule="auto"/>
        <w:jc w:val="both"/>
        <w:rPr>
          <w:rFonts w:cstheme="minorHAnsi"/>
        </w:rPr>
      </w:pPr>
    </w:p>
    <w:p w14:paraId="0BE77D05" w14:textId="77777777" w:rsidR="00DA1236" w:rsidRDefault="00DA1236" w:rsidP="007A68C6">
      <w:pPr>
        <w:pStyle w:val="Paragraphedeliste"/>
        <w:autoSpaceDE w:val="0"/>
        <w:autoSpaceDN w:val="0"/>
        <w:adjustRightInd w:val="0"/>
        <w:spacing w:after="0" w:line="240" w:lineRule="auto"/>
        <w:jc w:val="both"/>
        <w:rPr>
          <w:rFonts w:cstheme="minorHAnsi"/>
        </w:rPr>
      </w:pPr>
    </w:p>
    <w:p w14:paraId="206D184C" w14:textId="20B44781" w:rsidR="00E329B5" w:rsidRPr="004E58CA" w:rsidRDefault="00E329B5" w:rsidP="006B400E">
      <w:pPr>
        <w:pStyle w:val="Titre4"/>
        <w:numPr>
          <w:ilvl w:val="3"/>
          <w:numId w:val="20"/>
        </w:numPr>
      </w:pPr>
      <w:bookmarkStart w:id="36" w:name="_Toc222476867"/>
      <w:r w:rsidRPr="004E58CA">
        <w:t>Commentaires sur l</w:t>
      </w:r>
      <w:r w:rsidR="00BA065E" w:rsidRPr="004E58CA">
        <w:t>es cartes (vue émetteur)</w:t>
      </w:r>
      <w:bookmarkEnd w:id="36"/>
    </w:p>
    <w:p w14:paraId="4726934C" w14:textId="1816FD6E" w:rsidR="008C4B87" w:rsidRPr="004E58CA" w:rsidRDefault="008C4B87" w:rsidP="004E58CA">
      <w:pPr>
        <w:autoSpaceDE w:val="0"/>
        <w:autoSpaceDN w:val="0"/>
        <w:adjustRightInd w:val="0"/>
        <w:spacing w:after="0" w:line="240" w:lineRule="auto"/>
        <w:jc w:val="both"/>
        <w:rPr>
          <w:b/>
          <w:smallCaps/>
          <w:sz w:val="28"/>
        </w:rPr>
      </w:pPr>
    </w:p>
    <w:p w14:paraId="230A4076" w14:textId="77777777" w:rsidR="007578FE" w:rsidRDefault="007578FE" w:rsidP="007578FE">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5B57A377" w14:textId="77777777" w:rsidR="008C4B87" w:rsidRDefault="008C4B87" w:rsidP="00F735D7">
      <w:pPr>
        <w:spacing w:after="0" w:line="240" w:lineRule="auto"/>
        <w:rPr>
          <w:rFonts w:ascii="Calibri" w:eastAsia="Times New Roman" w:hAnsi="Calibri" w:cs="Calibri"/>
          <w:i/>
          <w:sz w:val="20"/>
          <w:szCs w:val="20"/>
          <w:lang w:eastAsia="fr-FR"/>
        </w:rPr>
      </w:pPr>
    </w:p>
    <w:tbl>
      <w:tblPr>
        <w:tblStyle w:val="Tableausimple2"/>
        <w:tblW w:w="8931"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443"/>
        <w:gridCol w:w="4488"/>
      </w:tblGrid>
      <w:tr w:rsidR="006D4A9B" w:rsidRPr="005A160E" w14:paraId="1C712B10" w14:textId="77777777" w:rsidTr="007B28CF">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443" w:type="dxa"/>
            <w:tcBorders>
              <w:bottom w:val="none" w:sz="0" w:space="0" w:color="auto"/>
            </w:tcBorders>
            <w:noWrap/>
            <w:hideMark/>
          </w:tcPr>
          <w:p w14:paraId="1F02595B" w14:textId="77777777" w:rsidR="006D4A9B" w:rsidRDefault="006D4A9B" w:rsidP="00E329B5">
            <w:pPr>
              <w:rPr>
                <w:rFonts w:ascii="Calibri" w:eastAsia="Times New Roman" w:hAnsi="Calibri" w:cs="Calibri"/>
                <w:i/>
                <w:sz w:val="18"/>
                <w:szCs w:val="18"/>
                <w:lang w:eastAsia="fr-FR"/>
              </w:rPr>
            </w:pPr>
          </w:p>
          <w:p w14:paraId="5C8CC431" w14:textId="4C26F9B3" w:rsidR="006D4A9B" w:rsidRDefault="006D4A9B" w:rsidP="00E329B5">
            <w:pPr>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Commentaires</w:t>
            </w:r>
            <w:r>
              <w:rPr>
                <w:rFonts w:ascii="Calibri" w:eastAsia="Times New Roman" w:hAnsi="Calibri" w:cs="Calibri"/>
                <w:i/>
                <w:sz w:val="18"/>
                <w:szCs w:val="18"/>
                <w:lang w:eastAsia="fr-FR"/>
              </w:rPr>
              <w:t xml:space="preserve"> sur l’activité cartes – vue émetteur</w:t>
            </w:r>
          </w:p>
          <w:p w14:paraId="73C8C158" w14:textId="382AC9CE" w:rsidR="006D4A9B" w:rsidRPr="002414A7" w:rsidRDefault="006D4A9B" w:rsidP="00E329B5">
            <w:pPr>
              <w:rPr>
                <w:rFonts w:ascii="Calibri" w:eastAsia="Times New Roman" w:hAnsi="Calibri" w:cs="Calibri"/>
                <w:i/>
                <w:sz w:val="18"/>
                <w:szCs w:val="18"/>
                <w:lang w:eastAsia="fr-FR"/>
              </w:rPr>
            </w:pPr>
          </w:p>
        </w:tc>
        <w:tc>
          <w:tcPr>
            <w:tcW w:w="4488" w:type="dxa"/>
            <w:tcBorders>
              <w:bottom w:val="none" w:sz="0" w:space="0" w:color="auto"/>
            </w:tcBorders>
          </w:tcPr>
          <w:p w14:paraId="70A8F2A2" w14:textId="1738BF1D" w:rsidR="006D4A9B" w:rsidRPr="00D7057C" w:rsidRDefault="006D4A9B" w:rsidP="0022370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20"/>
                <w:szCs w:val="20"/>
                <w:highlight w:val="yellow"/>
                <w:lang w:eastAsia="fr-FR"/>
              </w:rPr>
            </w:pPr>
          </w:p>
        </w:tc>
      </w:tr>
    </w:tbl>
    <w:p w14:paraId="450534D6" w14:textId="77777777" w:rsidR="00E329B5" w:rsidRDefault="00E329B5" w:rsidP="00F735D7">
      <w:pPr>
        <w:spacing w:after="0" w:line="240" w:lineRule="auto"/>
        <w:rPr>
          <w:rFonts w:ascii="Calibri" w:eastAsia="Times New Roman" w:hAnsi="Calibri" w:cs="Calibri"/>
          <w:i/>
          <w:sz w:val="20"/>
          <w:szCs w:val="20"/>
          <w:lang w:eastAsia="fr-FR"/>
        </w:rPr>
      </w:pPr>
    </w:p>
    <w:p w14:paraId="7D744972" w14:textId="77777777" w:rsidR="007C403B" w:rsidRDefault="007C403B" w:rsidP="00F735D7">
      <w:pPr>
        <w:spacing w:after="0" w:line="240" w:lineRule="auto"/>
        <w:rPr>
          <w:rFonts w:ascii="Calibri" w:eastAsia="Times New Roman" w:hAnsi="Calibri" w:cs="Calibri"/>
          <w:i/>
          <w:sz w:val="20"/>
          <w:szCs w:val="20"/>
          <w:lang w:eastAsia="fr-FR"/>
        </w:rPr>
      </w:pPr>
    </w:p>
    <w:p w14:paraId="3E42A70F" w14:textId="4C68D9C9" w:rsidR="002E7B53" w:rsidRPr="00E022F3" w:rsidRDefault="008153FA" w:rsidP="006B400E">
      <w:pPr>
        <w:pStyle w:val="Titre3"/>
        <w:numPr>
          <w:ilvl w:val="2"/>
          <w:numId w:val="20"/>
        </w:numPr>
        <w:jc w:val="both"/>
      </w:pPr>
      <w:r>
        <w:t xml:space="preserve"> </w:t>
      </w:r>
      <w:bookmarkStart w:id="37" w:name="_Toc222476868"/>
      <w:r w:rsidR="009D384F" w:rsidRPr="00E022F3">
        <w:t>Op</w:t>
      </w:r>
      <w:r w:rsidR="000E78CE" w:rsidRPr="00E022F3">
        <w:t xml:space="preserve">érations </w:t>
      </w:r>
      <w:r w:rsidR="00E022F3" w:rsidRPr="00E022F3">
        <w:t>par</w:t>
      </w:r>
      <w:r w:rsidR="000E78CE" w:rsidRPr="00E022F3">
        <w:t xml:space="preserve"> carte</w:t>
      </w:r>
      <w:r w:rsidR="00CD4692" w:rsidRPr="00E022F3">
        <w:t xml:space="preserve"> </w:t>
      </w:r>
      <w:r w:rsidR="000E78CE" w:rsidRPr="00E022F3">
        <w:t>acquises par l’établissement (</w:t>
      </w:r>
      <w:r w:rsidR="006B3BD1" w:rsidRPr="00E022F3">
        <w:t>vue acquéreur)</w:t>
      </w:r>
      <w:bookmarkEnd w:id="37"/>
    </w:p>
    <w:p w14:paraId="5364C4F3" w14:textId="08F6567C" w:rsidR="00E022F3" w:rsidRDefault="00E022F3" w:rsidP="00DC5B24">
      <w:pPr>
        <w:autoSpaceDE w:val="0"/>
        <w:autoSpaceDN w:val="0"/>
        <w:adjustRightInd w:val="0"/>
        <w:spacing w:after="0" w:line="240" w:lineRule="auto"/>
        <w:jc w:val="both"/>
        <w:rPr>
          <w:rFonts w:ascii="Calibri" w:eastAsia="Times New Roman" w:hAnsi="Calibri" w:cs="Calibri"/>
          <w:i/>
          <w:smallCaps/>
          <w:sz w:val="28"/>
          <w:szCs w:val="28"/>
          <w:lang w:eastAsia="fr-FR"/>
        </w:rPr>
      </w:pPr>
    </w:p>
    <w:p w14:paraId="2DCD350E" w14:textId="1A418C47" w:rsidR="0072297A" w:rsidRDefault="0072297A" w:rsidP="0072297A">
      <w:pPr>
        <w:spacing w:after="0" w:line="240" w:lineRule="auto"/>
        <w:jc w:val="both"/>
        <w:rPr>
          <w:rFonts w:cstheme="minorHAnsi"/>
        </w:rPr>
      </w:pPr>
      <w:r w:rsidRPr="00C714BD">
        <w:rPr>
          <w:rFonts w:cstheme="minorHAnsi"/>
        </w:rPr>
        <w:t>Il s</w:t>
      </w:r>
      <w:r>
        <w:rPr>
          <w:rFonts w:cstheme="minorHAnsi"/>
        </w:rPr>
        <w:t>’agit de déclarer, en nombre et valeur</w:t>
      </w:r>
      <w:r w:rsidRPr="00A05E4B">
        <w:rPr>
          <w:rFonts w:cstheme="minorHAnsi"/>
        </w:rPr>
        <w:t xml:space="preserve">, les opérations de paiement </w:t>
      </w:r>
      <w:r w:rsidR="00660A12" w:rsidRPr="00A05E4B">
        <w:rPr>
          <w:rFonts w:cstheme="minorHAnsi"/>
        </w:rPr>
        <w:t xml:space="preserve">et </w:t>
      </w:r>
      <w:r w:rsidR="00A05E4B">
        <w:rPr>
          <w:rFonts w:cstheme="minorHAnsi"/>
        </w:rPr>
        <w:t xml:space="preserve">de retrait/dépôts d’espèces </w:t>
      </w:r>
      <w:r w:rsidRPr="00A05E4B">
        <w:rPr>
          <w:rFonts w:cstheme="minorHAnsi"/>
        </w:rPr>
        <w:t>acquises</w:t>
      </w:r>
      <w:r>
        <w:rPr>
          <w:rFonts w:cstheme="minorHAnsi"/>
        </w:rPr>
        <w:t xml:space="preserve"> par l’établissement pour le compte de ses accepteurs (commerçants, associations, …).</w:t>
      </w:r>
    </w:p>
    <w:p w14:paraId="5FAF4A58" w14:textId="49CD328B" w:rsidR="006C443E" w:rsidRDefault="006C443E" w:rsidP="0072297A">
      <w:pPr>
        <w:spacing w:after="0" w:line="240" w:lineRule="auto"/>
        <w:jc w:val="both"/>
        <w:rPr>
          <w:rFonts w:cstheme="minorHAnsi"/>
        </w:rPr>
      </w:pPr>
    </w:p>
    <w:tbl>
      <w:tblPr>
        <w:tblW w:w="9638" w:type="dxa"/>
        <w:tblInd w:w="8"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671"/>
        <w:gridCol w:w="6967"/>
      </w:tblGrid>
      <w:tr w:rsidR="00B7021B" w:rsidRPr="004B729A" w14:paraId="45C4572F" w14:textId="77777777" w:rsidTr="00D012A8">
        <w:trPr>
          <w:trHeight w:val="226"/>
        </w:trPr>
        <w:tc>
          <w:tcPr>
            <w:tcW w:w="2671" w:type="dxa"/>
            <w:tcMar>
              <w:top w:w="85" w:type="dxa"/>
              <w:left w:w="0" w:type="dxa"/>
              <w:bottom w:w="57" w:type="dxa"/>
              <w:right w:w="0" w:type="dxa"/>
            </w:tcMar>
            <w:hideMark/>
          </w:tcPr>
          <w:p w14:paraId="7F0909EB" w14:textId="25D945BB"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GCB</w:t>
            </w:r>
          </w:p>
        </w:tc>
        <w:tc>
          <w:tcPr>
            <w:tcW w:w="6967" w:type="dxa"/>
          </w:tcPr>
          <w:p w14:paraId="18CE84AB" w14:textId="23669BF5"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Transaction par carte traitée par le schéma national Groupement Carte Bancaire.</w:t>
            </w:r>
          </w:p>
        </w:tc>
      </w:tr>
      <w:tr w:rsidR="00B7021B" w:rsidRPr="004B729A" w14:paraId="680E53C3" w14:textId="77777777" w:rsidTr="00D012A8">
        <w:trPr>
          <w:trHeight w:val="226"/>
        </w:trPr>
        <w:tc>
          <w:tcPr>
            <w:tcW w:w="2671" w:type="dxa"/>
            <w:tcMar>
              <w:top w:w="57" w:type="dxa"/>
              <w:left w:w="0" w:type="dxa"/>
              <w:bottom w:w="57" w:type="dxa"/>
              <w:right w:w="0" w:type="dxa"/>
            </w:tcMar>
          </w:tcPr>
          <w:p w14:paraId="18516F5B" w14:textId="080BD8F7"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 xml:space="preserve">VISA </w:t>
            </w:r>
          </w:p>
        </w:tc>
        <w:tc>
          <w:tcPr>
            <w:tcW w:w="6967" w:type="dxa"/>
          </w:tcPr>
          <w:p w14:paraId="0729C244" w14:textId="140D41B3"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Transaction par carte traitée par le schéma international VISA.</w:t>
            </w:r>
          </w:p>
        </w:tc>
      </w:tr>
      <w:tr w:rsidR="00B7021B" w:rsidRPr="004B729A" w14:paraId="15837651" w14:textId="77777777" w:rsidTr="00D012A8">
        <w:trPr>
          <w:trHeight w:val="226"/>
        </w:trPr>
        <w:tc>
          <w:tcPr>
            <w:tcW w:w="2671" w:type="dxa"/>
            <w:tcMar>
              <w:top w:w="57" w:type="dxa"/>
              <w:left w:w="0" w:type="dxa"/>
              <w:bottom w:w="57" w:type="dxa"/>
              <w:right w:w="0" w:type="dxa"/>
            </w:tcMar>
          </w:tcPr>
          <w:p w14:paraId="08B04E5D" w14:textId="5B690D2F"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MASTERCARD</w:t>
            </w:r>
          </w:p>
        </w:tc>
        <w:tc>
          <w:tcPr>
            <w:tcW w:w="6967" w:type="dxa"/>
          </w:tcPr>
          <w:p w14:paraId="6EBAF630" w14:textId="6C41CC95"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Transaction par carte traitée par le schéma international MasterCard.</w:t>
            </w:r>
          </w:p>
        </w:tc>
      </w:tr>
      <w:tr w:rsidR="00B7021B" w:rsidRPr="004B729A" w14:paraId="31A7AF29" w14:textId="77777777" w:rsidTr="00D012A8">
        <w:trPr>
          <w:trHeight w:val="226"/>
        </w:trPr>
        <w:tc>
          <w:tcPr>
            <w:tcW w:w="2671" w:type="dxa"/>
            <w:tcMar>
              <w:top w:w="57" w:type="dxa"/>
              <w:left w:w="0" w:type="dxa"/>
              <w:bottom w:w="57" w:type="dxa"/>
              <w:right w:w="0" w:type="dxa"/>
            </w:tcMar>
          </w:tcPr>
          <w:p w14:paraId="6F5EC409" w14:textId="7B2DEFE6"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AMERICAN EXPRESS</w:t>
            </w:r>
            <w:r w:rsidRPr="00283A0C">
              <w:rPr>
                <w:rFonts w:cstheme="minorHAnsi"/>
              </w:rPr>
              <w:tab/>
            </w:r>
          </w:p>
        </w:tc>
        <w:tc>
          <w:tcPr>
            <w:tcW w:w="6967" w:type="dxa"/>
          </w:tcPr>
          <w:p w14:paraId="21937978" w14:textId="7681FE38"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Transaction par carte traitée par le schéma international American Express.</w:t>
            </w:r>
          </w:p>
        </w:tc>
      </w:tr>
      <w:tr w:rsidR="00B7021B" w:rsidRPr="004B729A" w14:paraId="4195DDF6" w14:textId="77777777" w:rsidTr="00D012A8">
        <w:trPr>
          <w:trHeight w:val="226"/>
        </w:trPr>
        <w:tc>
          <w:tcPr>
            <w:tcW w:w="2671" w:type="dxa"/>
            <w:tcMar>
              <w:top w:w="57" w:type="dxa"/>
              <w:left w:w="0" w:type="dxa"/>
              <w:bottom w:w="57" w:type="dxa"/>
              <w:right w:w="0" w:type="dxa"/>
            </w:tcMar>
          </w:tcPr>
          <w:p w14:paraId="08F78513" w14:textId="26A01FCF"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ONEY BANK</w:t>
            </w:r>
          </w:p>
        </w:tc>
        <w:tc>
          <w:tcPr>
            <w:tcW w:w="6967" w:type="dxa"/>
          </w:tcPr>
          <w:p w14:paraId="1AB8E0D4" w14:textId="28B3AB4E"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 xml:space="preserve">Transaction par carte traitée par le schéma </w:t>
            </w:r>
            <w:r>
              <w:rPr>
                <w:rFonts w:cstheme="minorHAnsi"/>
              </w:rPr>
              <w:t>privatif Oney</w:t>
            </w:r>
            <w:r w:rsidRPr="00283A0C">
              <w:rPr>
                <w:rFonts w:cstheme="minorHAnsi"/>
              </w:rPr>
              <w:t xml:space="preserve"> Bank.</w:t>
            </w:r>
          </w:p>
        </w:tc>
      </w:tr>
      <w:tr w:rsidR="00B7021B" w:rsidRPr="004B729A" w14:paraId="77D9C4DC" w14:textId="77777777" w:rsidTr="00D012A8">
        <w:trPr>
          <w:trHeight w:val="226"/>
        </w:trPr>
        <w:tc>
          <w:tcPr>
            <w:tcW w:w="2671" w:type="dxa"/>
            <w:tcMar>
              <w:top w:w="57" w:type="dxa"/>
              <w:left w:w="0" w:type="dxa"/>
              <w:bottom w:w="57" w:type="dxa"/>
              <w:right w:w="0" w:type="dxa"/>
            </w:tcMar>
          </w:tcPr>
          <w:p w14:paraId="2D710202" w14:textId="46B8B5CC"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CRÉDIT AGRICOLE CONSUMER FINANCE</w:t>
            </w:r>
          </w:p>
        </w:tc>
        <w:tc>
          <w:tcPr>
            <w:tcW w:w="6967" w:type="dxa"/>
          </w:tcPr>
          <w:p w14:paraId="6366BFD2" w14:textId="5963D043"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 xml:space="preserve">Transaction par carte traitée par le schéma </w:t>
            </w:r>
            <w:r>
              <w:rPr>
                <w:rFonts w:cstheme="minorHAnsi"/>
              </w:rPr>
              <w:t>privatif</w:t>
            </w:r>
            <w:r w:rsidRPr="00283A0C">
              <w:rPr>
                <w:rFonts w:cstheme="minorHAnsi"/>
              </w:rPr>
              <w:t xml:space="preserve"> Crédit Agricole Consumer Finance.</w:t>
            </w:r>
          </w:p>
        </w:tc>
      </w:tr>
      <w:tr w:rsidR="00B7021B" w:rsidRPr="004B729A" w14:paraId="4DBC57E6" w14:textId="77777777" w:rsidTr="00D012A8">
        <w:trPr>
          <w:trHeight w:val="226"/>
        </w:trPr>
        <w:tc>
          <w:tcPr>
            <w:tcW w:w="2671" w:type="dxa"/>
            <w:tcMar>
              <w:top w:w="57" w:type="dxa"/>
              <w:left w:w="0" w:type="dxa"/>
              <w:bottom w:w="57" w:type="dxa"/>
              <w:right w:w="0" w:type="dxa"/>
            </w:tcMar>
          </w:tcPr>
          <w:p w14:paraId="78622980" w14:textId="69390E39"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COFIDIS</w:t>
            </w:r>
          </w:p>
        </w:tc>
        <w:tc>
          <w:tcPr>
            <w:tcW w:w="6967" w:type="dxa"/>
          </w:tcPr>
          <w:p w14:paraId="68DEFDD2" w14:textId="52FFE38F"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 xml:space="preserve">Transaction par carte traitée par le schéma </w:t>
            </w:r>
            <w:r>
              <w:rPr>
                <w:rFonts w:cstheme="minorHAnsi"/>
              </w:rPr>
              <w:t>privatif Cofidis</w:t>
            </w:r>
            <w:r w:rsidRPr="00283A0C">
              <w:rPr>
                <w:rFonts w:cstheme="minorHAnsi"/>
              </w:rPr>
              <w:t>.</w:t>
            </w:r>
          </w:p>
        </w:tc>
      </w:tr>
      <w:tr w:rsidR="00B7021B" w:rsidRPr="004B729A" w14:paraId="23B7791C" w14:textId="77777777" w:rsidTr="00D012A8">
        <w:trPr>
          <w:trHeight w:val="226"/>
        </w:trPr>
        <w:tc>
          <w:tcPr>
            <w:tcW w:w="2671" w:type="dxa"/>
            <w:tcMar>
              <w:top w:w="57" w:type="dxa"/>
              <w:left w:w="0" w:type="dxa"/>
              <w:bottom w:w="57" w:type="dxa"/>
              <w:right w:w="0" w:type="dxa"/>
            </w:tcMar>
          </w:tcPr>
          <w:p w14:paraId="4D850100" w14:textId="7FAEDCCB"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FRANFINANCE</w:t>
            </w:r>
          </w:p>
        </w:tc>
        <w:tc>
          <w:tcPr>
            <w:tcW w:w="6967" w:type="dxa"/>
          </w:tcPr>
          <w:p w14:paraId="02842CCD" w14:textId="67426606"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 xml:space="preserve">Transaction par carte traitée par le schéma </w:t>
            </w:r>
            <w:r>
              <w:rPr>
                <w:rFonts w:cstheme="minorHAnsi"/>
              </w:rPr>
              <w:t>privatif</w:t>
            </w:r>
            <w:r w:rsidRPr="00283A0C">
              <w:rPr>
                <w:rFonts w:cstheme="minorHAnsi"/>
              </w:rPr>
              <w:t xml:space="preserve"> Franfinance.</w:t>
            </w:r>
          </w:p>
        </w:tc>
      </w:tr>
      <w:tr w:rsidR="00B7021B" w:rsidRPr="004B729A" w14:paraId="59F75213" w14:textId="77777777" w:rsidTr="00D012A8">
        <w:trPr>
          <w:trHeight w:val="226"/>
        </w:trPr>
        <w:tc>
          <w:tcPr>
            <w:tcW w:w="2671" w:type="dxa"/>
            <w:tcMar>
              <w:top w:w="57" w:type="dxa"/>
              <w:left w:w="0" w:type="dxa"/>
              <w:bottom w:w="57" w:type="dxa"/>
              <w:right w:w="0" w:type="dxa"/>
            </w:tcMar>
          </w:tcPr>
          <w:p w14:paraId="50ADE956" w14:textId="2F9FBD97"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JCB</w:t>
            </w:r>
          </w:p>
        </w:tc>
        <w:tc>
          <w:tcPr>
            <w:tcW w:w="6967" w:type="dxa"/>
          </w:tcPr>
          <w:p w14:paraId="3ADD61A2" w14:textId="0C6F6B24"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Transaction par carte traitée par le schéma international JCB.</w:t>
            </w:r>
          </w:p>
        </w:tc>
      </w:tr>
      <w:tr w:rsidR="00B7021B" w:rsidRPr="004B729A" w14:paraId="5EE2C8A1" w14:textId="77777777" w:rsidTr="00D012A8">
        <w:trPr>
          <w:trHeight w:val="226"/>
        </w:trPr>
        <w:tc>
          <w:tcPr>
            <w:tcW w:w="2671" w:type="dxa"/>
            <w:tcMar>
              <w:top w:w="57" w:type="dxa"/>
              <w:left w:w="0" w:type="dxa"/>
              <w:bottom w:w="57" w:type="dxa"/>
              <w:right w:w="0" w:type="dxa"/>
            </w:tcMar>
          </w:tcPr>
          <w:p w14:paraId="00149506" w14:textId="78E1A9B9"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UNION PAY</w:t>
            </w:r>
          </w:p>
        </w:tc>
        <w:tc>
          <w:tcPr>
            <w:tcW w:w="6967" w:type="dxa"/>
          </w:tcPr>
          <w:p w14:paraId="30A5ACCC" w14:textId="1D47FFCB"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 xml:space="preserve">Transaction par carte traitée par le schéma international Union </w:t>
            </w:r>
            <w:proofErr w:type="spellStart"/>
            <w:r w:rsidRPr="00283A0C">
              <w:rPr>
                <w:rFonts w:cstheme="minorHAnsi"/>
              </w:rPr>
              <w:t>Pay</w:t>
            </w:r>
            <w:proofErr w:type="spellEnd"/>
            <w:r w:rsidRPr="00283A0C">
              <w:rPr>
                <w:rFonts w:cstheme="minorHAnsi"/>
              </w:rPr>
              <w:t>.</w:t>
            </w:r>
          </w:p>
        </w:tc>
      </w:tr>
      <w:tr w:rsidR="00B7021B" w:rsidRPr="004B729A" w14:paraId="0A8EEEB2" w14:textId="77777777" w:rsidTr="00D012A8">
        <w:trPr>
          <w:trHeight w:val="226"/>
        </w:trPr>
        <w:tc>
          <w:tcPr>
            <w:tcW w:w="2671" w:type="dxa"/>
            <w:tcMar>
              <w:top w:w="57" w:type="dxa"/>
              <w:left w:w="0" w:type="dxa"/>
              <w:bottom w:w="57" w:type="dxa"/>
              <w:right w:w="0" w:type="dxa"/>
            </w:tcMar>
          </w:tcPr>
          <w:p w14:paraId="3D37AAA5" w14:textId="467172E3"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B7021B">
              <w:rPr>
                <w:rFonts w:cstheme="minorHAnsi"/>
              </w:rPr>
              <w:t>DINERS</w:t>
            </w:r>
          </w:p>
        </w:tc>
        <w:tc>
          <w:tcPr>
            <w:tcW w:w="6967" w:type="dxa"/>
          </w:tcPr>
          <w:p w14:paraId="1B9A53D6" w14:textId="0ED3E410"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B7021B">
              <w:rPr>
                <w:rFonts w:cstheme="minorHAnsi"/>
              </w:rPr>
              <w:t>Transaction par carte traitée par le schéma international Diners.</w:t>
            </w:r>
          </w:p>
        </w:tc>
      </w:tr>
      <w:tr w:rsidR="00B7021B" w:rsidRPr="004B729A" w14:paraId="7281EF62" w14:textId="77777777" w:rsidTr="00D012A8">
        <w:trPr>
          <w:trHeight w:val="226"/>
        </w:trPr>
        <w:tc>
          <w:tcPr>
            <w:tcW w:w="2671" w:type="dxa"/>
            <w:tcMar>
              <w:top w:w="57" w:type="dxa"/>
              <w:left w:w="0" w:type="dxa"/>
              <w:bottom w:w="57" w:type="dxa"/>
              <w:right w:w="0" w:type="dxa"/>
            </w:tcMar>
          </w:tcPr>
          <w:p w14:paraId="2867CDC0" w14:textId="5D40FE73"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B7021B">
              <w:rPr>
                <w:rFonts w:cstheme="minorHAnsi"/>
              </w:rPr>
              <w:t>DISCOVER</w:t>
            </w:r>
          </w:p>
        </w:tc>
        <w:tc>
          <w:tcPr>
            <w:tcW w:w="6967" w:type="dxa"/>
          </w:tcPr>
          <w:p w14:paraId="314D033C" w14:textId="241EF2A8"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B7021B">
              <w:rPr>
                <w:rFonts w:cstheme="minorHAnsi"/>
              </w:rPr>
              <w:t>Transaction par carte traitée par le schéma international Discover.</w:t>
            </w:r>
          </w:p>
        </w:tc>
      </w:tr>
      <w:tr w:rsidR="00B7021B" w:rsidRPr="004B729A" w14:paraId="0A7A5EE4" w14:textId="77777777" w:rsidTr="00D012A8">
        <w:trPr>
          <w:trHeight w:val="226"/>
        </w:trPr>
        <w:tc>
          <w:tcPr>
            <w:tcW w:w="2671" w:type="dxa"/>
            <w:tcMar>
              <w:top w:w="57" w:type="dxa"/>
              <w:left w:w="0" w:type="dxa"/>
              <w:bottom w:w="57" w:type="dxa"/>
              <w:right w:w="0" w:type="dxa"/>
            </w:tcMar>
          </w:tcPr>
          <w:p w14:paraId="7DC97397" w14:textId="5B54E0AC"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AURORE</w:t>
            </w:r>
          </w:p>
        </w:tc>
        <w:tc>
          <w:tcPr>
            <w:tcW w:w="6967" w:type="dxa"/>
          </w:tcPr>
          <w:p w14:paraId="346464C3" w14:textId="33E23672"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 xml:space="preserve">Transaction par carte traitée par le schéma </w:t>
            </w:r>
            <w:r>
              <w:rPr>
                <w:rFonts w:cstheme="minorHAnsi"/>
              </w:rPr>
              <w:t xml:space="preserve">privatif </w:t>
            </w:r>
            <w:r w:rsidRPr="00283A0C">
              <w:rPr>
                <w:rFonts w:cstheme="minorHAnsi"/>
              </w:rPr>
              <w:t>Aurore</w:t>
            </w:r>
            <w:r>
              <w:rPr>
                <w:rFonts w:cstheme="minorHAnsi"/>
              </w:rPr>
              <w:t>.</w:t>
            </w:r>
          </w:p>
        </w:tc>
      </w:tr>
      <w:tr w:rsidR="00DF446B" w:rsidRPr="004B729A" w14:paraId="18703E3E" w14:textId="77777777" w:rsidTr="00D012A8">
        <w:trPr>
          <w:trHeight w:val="226"/>
        </w:trPr>
        <w:tc>
          <w:tcPr>
            <w:tcW w:w="2671" w:type="dxa"/>
            <w:tcMar>
              <w:top w:w="57" w:type="dxa"/>
              <w:left w:w="0" w:type="dxa"/>
              <w:bottom w:w="57" w:type="dxa"/>
              <w:right w:w="0" w:type="dxa"/>
            </w:tcMar>
          </w:tcPr>
          <w:p w14:paraId="4F259FA5" w14:textId="19BDA937" w:rsidR="00DF446B" w:rsidRPr="00831BD5" w:rsidRDefault="00DF446B" w:rsidP="00DF446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831BD5">
              <w:rPr>
                <w:rFonts w:cstheme="minorHAnsi"/>
                <w:highlight w:val="yellow"/>
              </w:rPr>
              <w:lastRenderedPageBreak/>
              <w:t>AUTRES</w:t>
            </w:r>
          </w:p>
        </w:tc>
        <w:tc>
          <w:tcPr>
            <w:tcW w:w="6967" w:type="dxa"/>
          </w:tcPr>
          <w:p w14:paraId="716A5C9F" w14:textId="1C115B41" w:rsidR="00DF446B" w:rsidRPr="00831BD5" w:rsidRDefault="00DF446B" w:rsidP="00DF446B">
            <w:pPr>
              <w:suppressAutoHyphens/>
              <w:autoSpaceDE w:val="0"/>
              <w:autoSpaceDN w:val="0"/>
              <w:adjustRightInd w:val="0"/>
              <w:spacing w:after="0" w:line="288" w:lineRule="auto"/>
              <w:ind w:left="57" w:right="57"/>
              <w:textAlignment w:val="center"/>
              <w:rPr>
                <w:rFonts w:cstheme="minorHAnsi"/>
                <w:highlight w:val="yellow"/>
              </w:rPr>
            </w:pPr>
            <w:r w:rsidRPr="00831BD5">
              <w:rPr>
                <w:rFonts w:cstheme="minorHAnsi"/>
                <w:highlight w:val="yellow"/>
              </w:rPr>
              <w:t>Transaction par carte traitée par un schéma ne figurant pas dans la liste ci-dessus.</w:t>
            </w:r>
          </w:p>
        </w:tc>
      </w:tr>
    </w:tbl>
    <w:p w14:paraId="6018DE1A" w14:textId="77777777" w:rsidR="006C443E" w:rsidRDefault="006C443E" w:rsidP="0072297A">
      <w:pPr>
        <w:spacing w:after="0" w:line="240" w:lineRule="auto"/>
        <w:jc w:val="both"/>
        <w:rPr>
          <w:rFonts w:cstheme="minorHAnsi"/>
        </w:rPr>
      </w:pPr>
    </w:p>
    <w:p w14:paraId="403ED99B" w14:textId="544C822F" w:rsidR="0072297A" w:rsidRDefault="0072297A" w:rsidP="0072297A">
      <w:pPr>
        <w:spacing w:after="0" w:line="240" w:lineRule="auto"/>
        <w:jc w:val="both"/>
        <w:rPr>
          <w:rFonts w:cstheme="minorHAnsi"/>
        </w:rPr>
      </w:pPr>
    </w:p>
    <w:p w14:paraId="162B328C" w14:textId="77777777" w:rsidR="00FA4AF6" w:rsidRDefault="00FA4AF6" w:rsidP="0072297A">
      <w:pPr>
        <w:spacing w:after="0" w:line="240" w:lineRule="auto"/>
        <w:jc w:val="both"/>
        <w:rPr>
          <w:rFonts w:cstheme="minorHAnsi"/>
        </w:rPr>
      </w:pPr>
    </w:p>
    <w:p w14:paraId="1E0FBC59" w14:textId="6853158F" w:rsidR="002E7B53" w:rsidRPr="00594FDC" w:rsidRDefault="005878EE" w:rsidP="006B400E">
      <w:pPr>
        <w:pStyle w:val="Titre4"/>
        <w:numPr>
          <w:ilvl w:val="3"/>
          <w:numId w:val="20"/>
        </w:numPr>
      </w:pPr>
      <w:bookmarkStart w:id="38" w:name="_Toc222476869"/>
      <w:r w:rsidRPr="00594FDC">
        <w:t>O</w:t>
      </w:r>
      <w:r w:rsidR="00E022F3" w:rsidRPr="00594FDC">
        <w:t>pérations de paiement</w:t>
      </w:r>
      <w:r w:rsidRPr="00594FDC">
        <w:t xml:space="preserve"> ventilées</w:t>
      </w:r>
      <w:r w:rsidR="00E022F3" w:rsidRPr="00594FDC">
        <w:t xml:space="preserve"> par </w:t>
      </w:r>
      <w:r w:rsidR="002E4306">
        <w:t>canal</w:t>
      </w:r>
      <w:r w:rsidR="00E022F3" w:rsidRPr="00594FDC">
        <w:t xml:space="preserve"> d’initiation, </w:t>
      </w:r>
      <w:r w:rsidR="0021028B" w:rsidRPr="0021028B">
        <w:t>schéma de carte</w:t>
      </w:r>
      <w:r w:rsidR="0021028B">
        <w:t xml:space="preserve">, </w:t>
      </w:r>
      <w:r w:rsidR="002E4306">
        <w:t xml:space="preserve">fonction de carte, </w:t>
      </w:r>
      <w:r w:rsidR="00C9387D" w:rsidRPr="00594FDC">
        <w:t xml:space="preserve">zone géographique, </w:t>
      </w:r>
      <w:r w:rsidR="00E022F3" w:rsidRPr="00594FDC">
        <w:t>méthode d’authentification</w:t>
      </w:r>
      <w:r w:rsidR="0021761B">
        <w:t xml:space="preserve"> et</w:t>
      </w:r>
      <w:r w:rsidR="00E022F3" w:rsidRPr="00594FDC">
        <w:t xml:space="preserve"> motif d</w:t>
      </w:r>
      <w:r w:rsidR="0021761B">
        <w:t xml:space="preserve">’exemption </w:t>
      </w:r>
      <w:r w:rsidR="00E022F3" w:rsidRPr="00594FDC">
        <w:t>à l’application de l’authentification forte</w:t>
      </w:r>
      <w:bookmarkEnd w:id="38"/>
    </w:p>
    <w:p w14:paraId="0667F8C4" w14:textId="0CADB73B" w:rsidR="00E022F3" w:rsidRPr="00A675AF" w:rsidRDefault="00E022F3" w:rsidP="00F735D7">
      <w:pPr>
        <w:spacing w:after="0" w:line="240" w:lineRule="auto"/>
        <w:rPr>
          <w:rFonts w:ascii="Calibri" w:eastAsia="Times New Roman" w:hAnsi="Calibri" w:cs="Calibri"/>
          <w:b/>
          <w:smallCaps/>
          <w:lang w:eastAsia="fr-FR"/>
        </w:rPr>
      </w:pPr>
    </w:p>
    <w:p w14:paraId="77D5ECBB" w14:textId="2BEC59E8" w:rsidR="00660A12" w:rsidRDefault="00660A12" w:rsidP="00660A12">
      <w:pPr>
        <w:spacing w:after="0" w:line="240" w:lineRule="auto"/>
        <w:jc w:val="both"/>
        <w:rPr>
          <w:rFonts w:cstheme="minorHAnsi"/>
        </w:rPr>
      </w:pPr>
      <w:r w:rsidRPr="00C714BD">
        <w:rPr>
          <w:rFonts w:cstheme="minorHAnsi"/>
        </w:rPr>
        <w:t>Il s</w:t>
      </w:r>
      <w:r>
        <w:rPr>
          <w:rFonts w:cstheme="minorHAnsi"/>
        </w:rPr>
        <w:t xml:space="preserve">’agit de déclarer, en nombre et valeur, les opérations de paiement effectuées à partir de cartes émises </w:t>
      </w:r>
      <w:r w:rsidR="00AF38C2">
        <w:rPr>
          <w:rFonts w:cstheme="minorHAnsi"/>
        </w:rPr>
        <w:t>tout</w:t>
      </w:r>
      <w:r w:rsidR="00C32CAA">
        <w:rPr>
          <w:rFonts w:cstheme="minorHAnsi"/>
        </w:rPr>
        <w:t xml:space="preserve"> PSP</w:t>
      </w:r>
      <w:r w:rsidR="00AF38C2">
        <w:rPr>
          <w:rFonts w:cstheme="minorHAnsi"/>
        </w:rPr>
        <w:t xml:space="preserve"> (y compris l’établissement lui-même)</w:t>
      </w:r>
      <w:r w:rsidR="00C32CAA">
        <w:rPr>
          <w:rFonts w:cstheme="minorHAnsi"/>
        </w:rPr>
        <w:t xml:space="preserve"> et acquises par </w:t>
      </w:r>
      <w:r>
        <w:rPr>
          <w:rFonts w:cstheme="minorHAnsi"/>
        </w:rPr>
        <w:t>l’établissement.</w:t>
      </w:r>
    </w:p>
    <w:p w14:paraId="56456F06" w14:textId="77777777" w:rsidR="00660A12" w:rsidRDefault="00660A12" w:rsidP="00D43D5F">
      <w:pPr>
        <w:spacing w:after="0" w:line="240" w:lineRule="auto"/>
        <w:jc w:val="both"/>
        <w:rPr>
          <w:rFonts w:cstheme="minorHAnsi"/>
        </w:rPr>
      </w:pPr>
    </w:p>
    <w:p w14:paraId="10CB4712" w14:textId="77777777" w:rsidR="00E80F4B" w:rsidRPr="00D63756" w:rsidRDefault="00E80F4B" w:rsidP="00E80F4B">
      <w:pPr>
        <w:spacing w:after="0" w:line="240" w:lineRule="auto"/>
        <w:jc w:val="both"/>
        <w:rPr>
          <w:rFonts w:cstheme="minorHAnsi"/>
          <w:u w:val="single"/>
        </w:rPr>
      </w:pPr>
      <w:r w:rsidRPr="00D63756">
        <w:rPr>
          <w:rFonts w:cstheme="minorHAnsi"/>
          <w:u w:val="single"/>
        </w:rPr>
        <w:t>Remarques :</w:t>
      </w:r>
    </w:p>
    <w:p w14:paraId="617234FC" w14:textId="77777777" w:rsidR="00E80F4B" w:rsidRDefault="00E80F4B" w:rsidP="00E80F4B">
      <w:pPr>
        <w:spacing w:after="0" w:line="240" w:lineRule="auto"/>
        <w:jc w:val="both"/>
        <w:rPr>
          <w:rFonts w:cstheme="minorHAnsi"/>
          <w:b/>
          <w:smallCaps/>
        </w:rPr>
      </w:pPr>
    </w:p>
    <w:p w14:paraId="75679145" w14:textId="77131BB0" w:rsidR="00E80F4B" w:rsidRDefault="00E80F4B" w:rsidP="00594FDC">
      <w:pPr>
        <w:pStyle w:val="Paragraphedeliste"/>
        <w:numPr>
          <w:ilvl w:val="0"/>
          <w:numId w:val="3"/>
        </w:numPr>
        <w:spacing w:after="0" w:line="240" w:lineRule="auto"/>
        <w:jc w:val="both"/>
        <w:rPr>
          <w:rFonts w:cstheme="minorHAnsi"/>
        </w:rPr>
      </w:pPr>
      <w:r w:rsidRPr="00C46D12">
        <w:rPr>
          <w:rFonts w:cstheme="minorHAnsi"/>
        </w:rPr>
        <w:t>Sont exclues</w:t>
      </w:r>
      <w:r w:rsidR="00844883">
        <w:rPr>
          <w:rFonts w:cstheme="minorHAnsi"/>
        </w:rPr>
        <w:t>,</w:t>
      </w:r>
      <w:r w:rsidRPr="00C46D12">
        <w:rPr>
          <w:rFonts w:cstheme="minorHAnsi"/>
        </w:rPr>
        <w:t xml:space="preserve"> les</w:t>
      </w:r>
      <w:r>
        <w:rPr>
          <w:rFonts w:cstheme="minorHAnsi"/>
        </w:rPr>
        <w:t xml:space="preserve"> opérations</w:t>
      </w:r>
      <w:r w:rsidRPr="00C46D12">
        <w:rPr>
          <w:rFonts w:cstheme="minorHAnsi"/>
        </w:rPr>
        <w:t xml:space="preserve"> effectuées à partir de cartes ayant uniquement une fonction de monnaie électronique</w:t>
      </w:r>
      <w:r w:rsidR="00D451BB">
        <w:rPr>
          <w:rFonts w:cstheme="minorHAnsi"/>
        </w:rPr>
        <w:t xml:space="preserve"> (par exemple, les cartes prépayées)</w:t>
      </w:r>
      <w:r w:rsidRPr="00C46D12">
        <w:rPr>
          <w:rFonts w:cstheme="minorHAnsi"/>
        </w:rPr>
        <w:t>.</w:t>
      </w:r>
    </w:p>
    <w:p w14:paraId="23705ABB" w14:textId="1B088867" w:rsidR="00DD1775" w:rsidRPr="00B6576E" w:rsidRDefault="00DD1775" w:rsidP="00DD1775">
      <w:pPr>
        <w:pStyle w:val="Paragraphedeliste"/>
        <w:numPr>
          <w:ilvl w:val="0"/>
          <w:numId w:val="3"/>
        </w:numPr>
        <w:spacing w:after="0" w:line="240" w:lineRule="auto"/>
        <w:jc w:val="both"/>
        <w:rPr>
          <w:rFonts w:ascii="Calibri" w:eastAsia="Calibri" w:hAnsi="Calibri" w:cs="Calibri"/>
          <w:color w:val="1F497D"/>
        </w:rPr>
      </w:pPr>
      <w:r w:rsidRPr="00DD1775">
        <w:rPr>
          <w:rFonts w:ascii="Calibri" w:eastAsia="Calibri" w:hAnsi="Calibri" w:cs="Calibri"/>
        </w:rPr>
        <w:t xml:space="preserve">Si l’établissement acquéreur n’est pas en mesure de ventiler les opérations de paiement et de retrait par fonction de cartes (débit, crédit), il </w:t>
      </w:r>
      <w:r>
        <w:rPr>
          <w:rFonts w:ascii="Calibri" w:eastAsia="Calibri" w:hAnsi="Calibri" w:cs="Calibri"/>
        </w:rPr>
        <w:t>peut</w:t>
      </w:r>
      <w:r w:rsidRPr="00DD1775">
        <w:rPr>
          <w:rFonts w:ascii="Calibri" w:eastAsia="Calibri" w:hAnsi="Calibri" w:cs="Calibri"/>
        </w:rPr>
        <w:t xml:space="preserve"> fournir des données estimées en précisant, dans ce cas, la méthode d’estimation qu’il a utilisée en commentaires</w:t>
      </w:r>
      <w:r>
        <w:rPr>
          <w:rFonts w:ascii="Calibri" w:eastAsia="Calibri" w:hAnsi="Calibri" w:cs="Calibri"/>
        </w:rPr>
        <w:t>.</w:t>
      </w:r>
    </w:p>
    <w:p w14:paraId="036A8817" w14:textId="4AD0C0E7" w:rsidR="00B6576E" w:rsidRPr="00564E26" w:rsidRDefault="00B6576E" w:rsidP="00B6576E">
      <w:pPr>
        <w:pStyle w:val="Paragraphedeliste"/>
        <w:numPr>
          <w:ilvl w:val="0"/>
          <w:numId w:val="3"/>
        </w:numPr>
        <w:spacing w:after="0" w:line="240" w:lineRule="auto"/>
        <w:jc w:val="both"/>
        <w:rPr>
          <w:rFonts w:ascii="Calibri" w:eastAsia="Calibri" w:hAnsi="Calibri" w:cs="Calibri"/>
          <w:b/>
        </w:rPr>
      </w:pPr>
      <w:r w:rsidRPr="00564E26">
        <w:rPr>
          <w:rFonts w:ascii="Calibri" w:eastAsia="Calibri" w:hAnsi="Calibri" w:cs="Calibri"/>
          <w:b/>
        </w:rPr>
        <w:t>L’établissement ne renseigne que les seuls schémas de carte pour lesquels il a des transactions à déclarer.</w:t>
      </w:r>
    </w:p>
    <w:p w14:paraId="0F9DDF14" w14:textId="77777777" w:rsidR="006B41DD" w:rsidRDefault="006B41DD" w:rsidP="006B41DD">
      <w:pPr>
        <w:pStyle w:val="Paragraphedeliste"/>
        <w:spacing w:after="0" w:line="240" w:lineRule="auto"/>
        <w:jc w:val="both"/>
        <w:rPr>
          <w:rFonts w:cstheme="minorHAnsi"/>
        </w:rPr>
      </w:pPr>
    </w:p>
    <w:p w14:paraId="45ABD49F" w14:textId="6C08A17D" w:rsidR="00FA4AF6" w:rsidRDefault="00FA4AF6" w:rsidP="007578FE">
      <w:pPr>
        <w:spacing w:after="0" w:line="240" w:lineRule="auto"/>
        <w:jc w:val="both"/>
        <w:rPr>
          <w:rFonts w:cstheme="minorHAnsi"/>
        </w:rPr>
      </w:pPr>
    </w:p>
    <w:p w14:paraId="5C259A23" w14:textId="77777777" w:rsidR="007578FE" w:rsidRDefault="007578FE" w:rsidP="007578FE">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0B6C03E0" w14:textId="77777777" w:rsidR="00D43D5F" w:rsidRPr="00A675AF" w:rsidRDefault="00D43D5F" w:rsidP="00F735D7">
      <w:pPr>
        <w:spacing w:after="0" w:line="240" w:lineRule="auto"/>
        <w:rPr>
          <w:rFonts w:ascii="Calibri" w:eastAsia="Times New Roman" w:hAnsi="Calibri" w:cs="Calibri"/>
          <w:b/>
          <w:smallCaps/>
          <w:lang w:eastAsia="fr-FR"/>
        </w:rPr>
      </w:pPr>
    </w:p>
    <w:tbl>
      <w:tblPr>
        <w:tblStyle w:val="Tableausimple2"/>
        <w:tblW w:w="9070"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76"/>
        <w:gridCol w:w="347"/>
        <w:gridCol w:w="292"/>
        <w:gridCol w:w="236"/>
        <w:gridCol w:w="267"/>
        <w:gridCol w:w="1843"/>
        <w:gridCol w:w="3260"/>
        <w:gridCol w:w="1019"/>
        <w:gridCol w:w="780"/>
        <w:gridCol w:w="750"/>
      </w:tblGrid>
      <w:tr w:rsidR="00A9350C" w:rsidRPr="005A160E" w14:paraId="46565A98" w14:textId="409B1F3D" w:rsidTr="00A9350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21" w:type="dxa"/>
            <w:gridSpan w:val="7"/>
            <w:tcBorders>
              <w:top w:val="single" w:sz="18" w:space="0" w:color="5B9BD5" w:themeColor="accent1"/>
              <w:bottom w:val="single" w:sz="18" w:space="0" w:color="5B9BD5" w:themeColor="accent1"/>
            </w:tcBorders>
            <w:noWrap/>
          </w:tcPr>
          <w:p w14:paraId="1FDA3FEC" w14:textId="77777777" w:rsidR="00A9350C" w:rsidRDefault="00A9350C" w:rsidP="00A9350C">
            <w:pPr>
              <w:jc w:val="both"/>
              <w:rPr>
                <w:rFonts w:ascii="Calibri" w:eastAsia="Times New Roman" w:hAnsi="Calibri" w:cs="Calibri"/>
                <w:sz w:val="18"/>
                <w:szCs w:val="18"/>
                <w:lang w:eastAsia="fr-FR"/>
              </w:rPr>
            </w:pPr>
          </w:p>
        </w:tc>
        <w:tc>
          <w:tcPr>
            <w:tcW w:w="101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13B57117" w14:textId="5F951096" w:rsidR="00A9350C" w:rsidRDefault="00A9350C" w:rsidP="00A9350C">
            <w:pPr>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Pr>
                <w:rFonts w:cstheme="minorHAnsi"/>
                <w:bCs w:val="0"/>
                <w:sz w:val="14"/>
                <w:szCs w:val="18"/>
              </w:rPr>
              <w:t>Pays du PSP de l’</w:t>
            </w:r>
            <w:r w:rsidR="006D3989">
              <w:rPr>
                <w:rFonts w:cstheme="minorHAnsi"/>
                <w:bCs w:val="0"/>
                <w:sz w:val="14"/>
                <w:szCs w:val="18"/>
              </w:rPr>
              <w:t>émetteu</w:t>
            </w:r>
            <w:r>
              <w:rPr>
                <w:rFonts w:cstheme="minorHAnsi"/>
                <w:bCs w:val="0"/>
                <w:sz w:val="14"/>
                <w:szCs w:val="18"/>
              </w:rPr>
              <w:t xml:space="preserve">r </w:t>
            </w:r>
          </w:p>
          <w:p w14:paraId="32C03B99" w14:textId="77777777" w:rsidR="00A9350C" w:rsidRDefault="00A9350C" w:rsidP="00A9350C">
            <w:pPr>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proofErr w:type="gramStart"/>
            <w:r w:rsidRPr="00A9350C">
              <w:rPr>
                <w:rFonts w:cstheme="minorHAnsi"/>
                <w:bCs w:val="0"/>
                <w:sz w:val="14"/>
                <w:szCs w:val="18"/>
                <w:u w:val="single"/>
              </w:rPr>
              <w:t>et</w:t>
            </w:r>
            <w:proofErr w:type="gramEnd"/>
            <w:r>
              <w:rPr>
                <w:rFonts w:cstheme="minorHAnsi"/>
                <w:bCs w:val="0"/>
                <w:sz w:val="14"/>
                <w:szCs w:val="18"/>
              </w:rPr>
              <w:t xml:space="preserve"> </w:t>
            </w:r>
          </w:p>
          <w:p w14:paraId="12D31196" w14:textId="13BB37EC" w:rsidR="00A9350C" w:rsidRPr="002414A7" w:rsidRDefault="00A9350C" w:rsidP="00A9350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Pr>
                <w:rFonts w:cstheme="minorHAnsi"/>
                <w:bCs w:val="0"/>
                <w:sz w:val="14"/>
                <w:szCs w:val="18"/>
              </w:rPr>
              <w:t>pays</w:t>
            </w:r>
            <w:proofErr w:type="gramEnd"/>
            <w:r>
              <w:rPr>
                <w:rFonts w:cstheme="minorHAnsi"/>
                <w:bCs w:val="0"/>
                <w:sz w:val="14"/>
                <w:szCs w:val="18"/>
              </w:rPr>
              <w:t xml:space="preserve"> de localisation du terminal (physique ou virtuel)</w:t>
            </w:r>
          </w:p>
        </w:tc>
        <w:tc>
          <w:tcPr>
            <w:tcW w:w="780"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01FBF5C5" w14:textId="0A057E50" w:rsidR="00A9350C" w:rsidRPr="002414A7" w:rsidRDefault="00A9350C" w:rsidP="00A9350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750" w:type="dxa"/>
            <w:tcBorders>
              <w:top w:val="single" w:sz="18" w:space="0" w:color="5B9BD5" w:themeColor="accent1"/>
              <w:left w:val="single" w:sz="2" w:space="0" w:color="5B9BD5" w:themeColor="accent1"/>
              <w:bottom w:val="single" w:sz="18" w:space="0" w:color="5B9BD5" w:themeColor="accent1"/>
            </w:tcBorders>
            <w:shd w:val="solid" w:color="FFFFFF" w:fill="000000"/>
          </w:tcPr>
          <w:p w14:paraId="0FCB87A0" w14:textId="77777777" w:rsidR="00A9350C" w:rsidRPr="007D187B" w:rsidRDefault="00A9350C" w:rsidP="00A9350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1A0A2F65" w14:textId="0E1EC052" w:rsidR="00A9350C" w:rsidRPr="002414A7" w:rsidRDefault="00A9350C" w:rsidP="00A9350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sidRPr="007D187B">
              <w:rPr>
                <w:rFonts w:cstheme="minorHAnsi"/>
                <w:bCs w:val="0"/>
                <w:sz w:val="14"/>
                <w:szCs w:val="18"/>
              </w:rPr>
              <w:t>euros</w:t>
            </w:r>
            <w:proofErr w:type="gramEnd"/>
          </w:p>
        </w:tc>
      </w:tr>
      <w:tr w:rsidR="00A9350C" w:rsidRPr="005A160E" w14:paraId="62D427FF" w14:textId="13C8ED11" w:rsidTr="00A935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gridSpan w:val="6"/>
            <w:tcBorders>
              <w:top w:val="single" w:sz="18" w:space="0" w:color="5B9BD5" w:themeColor="accent1"/>
            </w:tcBorders>
            <w:noWrap/>
            <w:hideMark/>
          </w:tcPr>
          <w:p w14:paraId="5CB96A43" w14:textId="1959B61B" w:rsidR="00A9350C" w:rsidRPr="002414A7" w:rsidRDefault="00A9350C" w:rsidP="007A0477">
            <w:pPr>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Paiements par carte acquis par l’établissement</w:t>
            </w:r>
          </w:p>
        </w:tc>
        <w:tc>
          <w:tcPr>
            <w:tcW w:w="3260" w:type="dxa"/>
            <w:tcBorders>
              <w:top w:val="single" w:sz="18" w:space="0" w:color="5B9BD5" w:themeColor="accent1"/>
            </w:tcBorders>
          </w:tcPr>
          <w:p w14:paraId="502E7490" w14:textId="778C68D5" w:rsidR="00A9350C" w:rsidRPr="004E58CA" w:rsidRDefault="00A9350C" w:rsidP="008022D3">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c>
          <w:tcPr>
            <w:tcW w:w="1019" w:type="dxa"/>
            <w:vMerge w:val="restart"/>
            <w:tcBorders>
              <w:top w:val="single" w:sz="18" w:space="0" w:color="5B9BD5" w:themeColor="accent1"/>
            </w:tcBorders>
            <w:noWrap/>
          </w:tcPr>
          <w:p w14:paraId="213AAB8E" w14:textId="1075CC79" w:rsidR="00A9350C" w:rsidRPr="002262D6" w:rsidRDefault="00A9350C" w:rsidP="002262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4"/>
                <w:szCs w:val="18"/>
                <w:lang w:eastAsia="fr-FR"/>
              </w:rPr>
            </w:pPr>
            <w:r w:rsidRPr="002262D6">
              <w:rPr>
                <w:rFonts w:ascii="Calibri" w:eastAsia="Times New Roman" w:hAnsi="Calibri" w:cs="Calibri"/>
                <w:b/>
                <w:sz w:val="14"/>
                <w:szCs w:val="18"/>
                <w:lang w:eastAsia="fr-FR"/>
              </w:rPr>
              <w:t xml:space="preserve">Selon ventilation </w:t>
            </w:r>
            <w:r w:rsidR="001277FB" w:rsidRPr="002262D6">
              <w:rPr>
                <w:rFonts w:ascii="Calibri" w:eastAsia="Times New Roman" w:hAnsi="Calibri" w:cs="Calibri"/>
                <w:b/>
                <w:sz w:val="14"/>
                <w:szCs w:val="18"/>
                <w:lang w:eastAsia="fr-FR"/>
              </w:rPr>
              <w:t>géographique en section 5.2</w:t>
            </w:r>
          </w:p>
        </w:tc>
        <w:tc>
          <w:tcPr>
            <w:tcW w:w="780" w:type="dxa"/>
            <w:tcBorders>
              <w:top w:val="single" w:sz="18" w:space="0" w:color="5B9BD5" w:themeColor="accent1"/>
            </w:tcBorders>
          </w:tcPr>
          <w:p w14:paraId="1D3336CB" w14:textId="77777777" w:rsidR="00A9350C" w:rsidRPr="002414A7" w:rsidRDefault="00A9350C" w:rsidP="005A1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750" w:type="dxa"/>
            <w:tcBorders>
              <w:top w:val="single" w:sz="18" w:space="0" w:color="5B9BD5" w:themeColor="accent1"/>
            </w:tcBorders>
          </w:tcPr>
          <w:p w14:paraId="1E3B6192" w14:textId="77777777" w:rsidR="00A9350C" w:rsidRPr="002414A7" w:rsidRDefault="00A9350C" w:rsidP="005A1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2E4306" w:rsidRPr="005A160E" w14:paraId="2F1D8300" w14:textId="1BF35DF5" w:rsidTr="00424E7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18" w:space="0" w:color="5B9BD5" w:themeColor="accent1"/>
              <w:bottom w:val="single" w:sz="4" w:space="0" w:color="5B9BD5" w:themeColor="accent1"/>
            </w:tcBorders>
            <w:noWrap/>
          </w:tcPr>
          <w:p w14:paraId="65A34FBB" w14:textId="3C0369CE" w:rsidR="002E4306" w:rsidRPr="002414A7" w:rsidRDefault="002E4306" w:rsidP="002E4306">
            <w:pPr>
              <w:rPr>
                <w:rFonts w:ascii="Calibri" w:eastAsia="Times New Roman" w:hAnsi="Calibri" w:cs="Calibri"/>
                <w:i/>
                <w:sz w:val="18"/>
                <w:szCs w:val="18"/>
                <w:lang w:eastAsia="fr-FR"/>
              </w:rPr>
            </w:pPr>
          </w:p>
        </w:tc>
        <w:tc>
          <w:tcPr>
            <w:tcW w:w="2985" w:type="dxa"/>
            <w:gridSpan w:val="5"/>
            <w:tcBorders>
              <w:top w:val="single" w:sz="18" w:space="0" w:color="5B9BD5" w:themeColor="accent1"/>
              <w:bottom w:val="single" w:sz="4" w:space="0" w:color="5B9BD5" w:themeColor="accent1"/>
            </w:tcBorders>
            <w:noWrap/>
            <w:hideMark/>
          </w:tcPr>
          <w:p w14:paraId="4536964B" w14:textId="3CAB6D5A"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4E58CA">
              <w:rPr>
                <w:rFonts w:ascii="Calibri" w:hAnsi="Calibri"/>
                <w:b/>
                <w:i/>
                <w:sz w:val="18"/>
              </w:rPr>
              <w:t>Dont paiements initiés par voie non électronique</w:t>
            </w:r>
            <w:r>
              <w:rPr>
                <w:rFonts w:ascii="Calibri" w:hAnsi="Calibri"/>
                <w:b/>
                <w:i/>
                <w:sz w:val="18"/>
              </w:rPr>
              <w:t xml:space="preserve"> (MOTO)</w:t>
            </w:r>
          </w:p>
        </w:tc>
        <w:tc>
          <w:tcPr>
            <w:tcW w:w="3260" w:type="dxa"/>
            <w:tcBorders>
              <w:top w:val="single" w:sz="18" w:space="0" w:color="5B9BD5" w:themeColor="accent1"/>
              <w:bottom w:val="single" w:sz="4" w:space="0" w:color="5B9BD5" w:themeColor="accent1"/>
            </w:tcBorders>
          </w:tcPr>
          <w:p w14:paraId="5A30A186" w14:textId="6E8E4442" w:rsidR="002E4306" w:rsidRPr="002414A7" w:rsidRDefault="002E4306" w:rsidP="002E430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46EB3">
              <w:rPr>
                <w:rFonts w:ascii="Calibri" w:eastAsia="Times New Roman" w:hAnsi="Calibri" w:cs="Calibri"/>
                <w:sz w:val="18"/>
                <w:szCs w:val="18"/>
                <w:lang w:eastAsia="fr-FR"/>
              </w:rPr>
              <w:t xml:space="preserve">Opérations de paiement initiées par </w:t>
            </w:r>
            <w:r>
              <w:rPr>
                <w:rFonts w:ascii="Calibri" w:eastAsia="Times New Roman" w:hAnsi="Calibri" w:cs="Calibri"/>
                <w:sz w:val="18"/>
                <w:szCs w:val="18"/>
                <w:lang w:eastAsia="fr-FR"/>
              </w:rPr>
              <w:t>voie non électronique à distance et en proximité (cf. ci-dessous).</w:t>
            </w:r>
          </w:p>
        </w:tc>
        <w:tc>
          <w:tcPr>
            <w:tcW w:w="1019" w:type="dxa"/>
            <w:vMerge/>
            <w:noWrap/>
          </w:tcPr>
          <w:p w14:paraId="16B16933" w14:textId="04F6AB88"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18" w:space="0" w:color="5B9BD5" w:themeColor="accent1"/>
              <w:bottom w:val="single" w:sz="4" w:space="0" w:color="5B9BD5" w:themeColor="accent1"/>
            </w:tcBorders>
          </w:tcPr>
          <w:p w14:paraId="1B6130DA"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18" w:space="0" w:color="5B9BD5" w:themeColor="accent1"/>
              <w:bottom w:val="single" w:sz="4" w:space="0" w:color="5B9BD5" w:themeColor="accent1"/>
            </w:tcBorders>
          </w:tcPr>
          <w:p w14:paraId="62683F64"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6F4619B2" w14:textId="5454D2CB" w:rsidTr="00424E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4" w:space="0" w:color="5B9BD5" w:themeColor="accent1"/>
              <w:bottom w:val="single" w:sz="4" w:space="0" w:color="5B9BD5" w:themeColor="accent1"/>
            </w:tcBorders>
            <w:noWrap/>
          </w:tcPr>
          <w:p w14:paraId="1A3756B1" w14:textId="4926730A" w:rsidR="002E4306" w:rsidRPr="002414A7" w:rsidRDefault="002E4306" w:rsidP="002E4306">
            <w:pPr>
              <w:rPr>
                <w:rFonts w:ascii="Calibri" w:eastAsia="Times New Roman" w:hAnsi="Calibri" w:cs="Calibri"/>
                <w:i/>
                <w:sz w:val="18"/>
                <w:szCs w:val="18"/>
                <w:lang w:eastAsia="fr-FR"/>
              </w:rPr>
            </w:pPr>
          </w:p>
        </w:tc>
        <w:tc>
          <w:tcPr>
            <w:tcW w:w="347" w:type="dxa"/>
            <w:tcBorders>
              <w:top w:val="single" w:sz="4" w:space="0" w:color="5B9BD5" w:themeColor="accent1"/>
              <w:bottom w:val="single" w:sz="4" w:space="0" w:color="5B9BD5" w:themeColor="accent1"/>
            </w:tcBorders>
            <w:noWrap/>
          </w:tcPr>
          <w:p w14:paraId="580586E9" w14:textId="63181814"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38" w:type="dxa"/>
            <w:gridSpan w:val="4"/>
            <w:tcBorders>
              <w:top w:val="single" w:sz="4" w:space="0" w:color="5B9BD5" w:themeColor="accent1"/>
              <w:bottom w:val="single" w:sz="4" w:space="0" w:color="5B9BD5" w:themeColor="accent1"/>
            </w:tcBorders>
            <w:noWrap/>
            <w:hideMark/>
          </w:tcPr>
          <w:p w14:paraId="671584D7" w14:textId="6E81F008"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 xml:space="preserve">Dont </w:t>
            </w:r>
            <w:r>
              <w:rPr>
                <w:rFonts w:ascii="Calibri" w:eastAsia="Times New Roman" w:hAnsi="Calibri" w:cs="Calibri"/>
                <w:i/>
                <w:sz w:val="18"/>
                <w:szCs w:val="18"/>
                <w:lang w:eastAsia="fr-FR"/>
              </w:rPr>
              <w:t>à distance</w:t>
            </w:r>
          </w:p>
        </w:tc>
        <w:tc>
          <w:tcPr>
            <w:tcW w:w="3260" w:type="dxa"/>
            <w:tcBorders>
              <w:top w:val="single" w:sz="4" w:space="0" w:color="5B9BD5" w:themeColor="accent1"/>
              <w:bottom w:val="single" w:sz="4" w:space="0" w:color="5B9BD5" w:themeColor="accent1"/>
            </w:tcBorders>
          </w:tcPr>
          <w:p w14:paraId="3F961109" w14:textId="557F65F2" w:rsidR="002E4306" w:rsidRPr="009A28AD" w:rsidRDefault="002E4306" w:rsidP="002E430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Opérations de paiement par carte (sans carte présente) initiées par correspondance ou par téléphone (MOTO).</w:t>
            </w:r>
          </w:p>
        </w:tc>
        <w:tc>
          <w:tcPr>
            <w:tcW w:w="1019" w:type="dxa"/>
            <w:vMerge/>
            <w:noWrap/>
          </w:tcPr>
          <w:p w14:paraId="7B185371" w14:textId="061F232D"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4" w:space="0" w:color="5B9BD5" w:themeColor="accent1"/>
              <w:bottom w:val="single" w:sz="4" w:space="0" w:color="5B9BD5" w:themeColor="accent1"/>
            </w:tcBorders>
          </w:tcPr>
          <w:p w14:paraId="491A6E36"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4" w:space="0" w:color="5B9BD5" w:themeColor="accent1"/>
              <w:bottom w:val="single" w:sz="4" w:space="0" w:color="5B9BD5" w:themeColor="accent1"/>
            </w:tcBorders>
          </w:tcPr>
          <w:p w14:paraId="55278C10"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4792F62D" w14:textId="6935253D" w:rsidTr="00424E7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4" w:space="0" w:color="5B9BD5" w:themeColor="accent1"/>
              <w:bottom w:val="single" w:sz="4" w:space="0" w:color="5B9BD5" w:themeColor="accent1"/>
            </w:tcBorders>
            <w:noWrap/>
          </w:tcPr>
          <w:p w14:paraId="6F54C769" w14:textId="2E60A21D" w:rsidR="002E4306" w:rsidRPr="002414A7" w:rsidRDefault="002E4306" w:rsidP="002E4306">
            <w:pPr>
              <w:rPr>
                <w:rFonts w:ascii="Calibri" w:eastAsia="Times New Roman" w:hAnsi="Calibri" w:cs="Calibri"/>
                <w:i/>
                <w:sz w:val="18"/>
                <w:szCs w:val="18"/>
                <w:lang w:eastAsia="fr-FR"/>
              </w:rPr>
            </w:pPr>
          </w:p>
        </w:tc>
        <w:tc>
          <w:tcPr>
            <w:tcW w:w="347" w:type="dxa"/>
            <w:tcBorders>
              <w:top w:val="single" w:sz="4" w:space="0" w:color="5B9BD5" w:themeColor="accent1"/>
              <w:bottom w:val="single" w:sz="4" w:space="0" w:color="5B9BD5" w:themeColor="accent1"/>
            </w:tcBorders>
            <w:noWrap/>
          </w:tcPr>
          <w:p w14:paraId="2272E9D4" w14:textId="4C380D1F"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38" w:type="dxa"/>
            <w:gridSpan w:val="4"/>
            <w:tcBorders>
              <w:top w:val="single" w:sz="4" w:space="0" w:color="5B9BD5" w:themeColor="accent1"/>
              <w:bottom w:val="single" w:sz="4" w:space="0" w:color="5B9BD5" w:themeColor="accent1"/>
            </w:tcBorders>
            <w:noWrap/>
            <w:hideMark/>
          </w:tcPr>
          <w:p w14:paraId="2D812609" w14:textId="33A4838C"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 xml:space="preserve">Dont </w:t>
            </w:r>
            <w:r>
              <w:rPr>
                <w:rFonts w:ascii="Calibri" w:eastAsia="Times New Roman" w:hAnsi="Calibri" w:cs="Calibri"/>
                <w:i/>
                <w:sz w:val="18"/>
                <w:szCs w:val="18"/>
                <w:lang w:eastAsia="fr-FR"/>
              </w:rPr>
              <w:t>en proximité</w:t>
            </w:r>
          </w:p>
        </w:tc>
        <w:tc>
          <w:tcPr>
            <w:tcW w:w="3260" w:type="dxa"/>
            <w:tcBorders>
              <w:top w:val="single" w:sz="4" w:space="0" w:color="5B9BD5" w:themeColor="accent1"/>
              <w:bottom w:val="single" w:sz="4" w:space="0" w:color="5B9BD5" w:themeColor="accent1"/>
            </w:tcBorders>
          </w:tcPr>
          <w:p w14:paraId="4E9CEDB4" w14:textId="2571FEC1" w:rsidR="002E4306" w:rsidRPr="009A28AD" w:rsidRDefault="002E4306" w:rsidP="002E430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Opérations de paiement par carte (avec carte présente) initiés à un terminal physique par une procédure d’autorisation manuelle (de type « Fer à repasser »).</w:t>
            </w:r>
          </w:p>
        </w:tc>
        <w:tc>
          <w:tcPr>
            <w:tcW w:w="1019" w:type="dxa"/>
            <w:vMerge/>
            <w:noWrap/>
          </w:tcPr>
          <w:p w14:paraId="7557E256" w14:textId="7395339C"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4" w:space="0" w:color="5B9BD5" w:themeColor="accent1"/>
              <w:bottom w:val="single" w:sz="4" w:space="0" w:color="5B9BD5" w:themeColor="accent1"/>
            </w:tcBorders>
          </w:tcPr>
          <w:p w14:paraId="0B16E6EB"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4" w:space="0" w:color="5B9BD5" w:themeColor="accent1"/>
              <w:bottom w:val="single" w:sz="4" w:space="0" w:color="5B9BD5" w:themeColor="accent1"/>
            </w:tcBorders>
          </w:tcPr>
          <w:p w14:paraId="36E296C9"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7B4BB8F7" w14:textId="239BC245"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18" w:space="0" w:color="5B9BD5" w:themeColor="accent1"/>
              <w:bottom w:val="single" w:sz="4" w:space="0" w:color="5B9BD5" w:themeColor="accent1"/>
            </w:tcBorders>
            <w:noWrap/>
          </w:tcPr>
          <w:p w14:paraId="7F3CA30B" w14:textId="339A46C3" w:rsidR="002E4306" w:rsidRPr="002414A7" w:rsidRDefault="002E4306" w:rsidP="002E4306">
            <w:pPr>
              <w:rPr>
                <w:rFonts w:ascii="Calibri" w:eastAsia="Times New Roman" w:hAnsi="Calibri" w:cs="Calibri"/>
                <w:i/>
                <w:sz w:val="18"/>
                <w:szCs w:val="18"/>
                <w:lang w:eastAsia="fr-FR"/>
              </w:rPr>
            </w:pPr>
          </w:p>
        </w:tc>
        <w:tc>
          <w:tcPr>
            <w:tcW w:w="2985" w:type="dxa"/>
            <w:gridSpan w:val="5"/>
            <w:tcBorders>
              <w:top w:val="single" w:sz="18" w:space="0" w:color="5B9BD5" w:themeColor="accent1"/>
              <w:bottom w:val="single" w:sz="4" w:space="0" w:color="5B9BD5" w:themeColor="accent1"/>
            </w:tcBorders>
            <w:noWrap/>
            <w:hideMark/>
          </w:tcPr>
          <w:p w14:paraId="5447C6CB" w14:textId="409972D1"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initiés par voie électronique</w:t>
            </w:r>
          </w:p>
        </w:tc>
        <w:tc>
          <w:tcPr>
            <w:tcW w:w="3260" w:type="dxa"/>
            <w:tcBorders>
              <w:top w:val="single" w:sz="18" w:space="0" w:color="5B9BD5" w:themeColor="accent1"/>
              <w:bottom w:val="single" w:sz="4" w:space="0" w:color="5B9BD5" w:themeColor="accent1"/>
            </w:tcBorders>
          </w:tcPr>
          <w:p w14:paraId="60A245DE" w14:textId="188E2DE8" w:rsidR="002E4306" w:rsidRPr="002414A7" w:rsidRDefault="002E4306" w:rsidP="002E430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sz w:val="18"/>
                <w:szCs w:val="18"/>
                <w:lang w:eastAsia="fr-FR"/>
              </w:rPr>
              <w:t>Opérations de paiement initiées</w:t>
            </w:r>
            <w:r>
              <w:rPr>
                <w:rFonts w:ascii="Calibri" w:eastAsia="Times New Roman" w:hAnsi="Calibri" w:cs="Calibri"/>
                <w:sz w:val="18"/>
                <w:szCs w:val="18"/>
                <w:lang w:eastAsia="fr-FR"/>
              </w:rPr>
              <w:t xml:space="preserve"> de manière électronique</w:t>
            </w:r>
            <w:r w:rsidRPr="002414A7">
              <w:rPr>
                <w:rFonts w:ascii="Calibri" w:eastAsia="Times New Roman" w:hAnsi="Calibri" w:cs="Calibri"/>
                <w:sz w:val="18"/>
                <w:szCs w:val="18"/>
                <w:lang w:eastAsia="fr-FR"/>
              </w:rPr>
              <w:t xml:space="preserve"> à distance sur internet et en proximité</w:t>
            </w:r>
            <w:r>
              <w:rPr>
                <w:rFonts w:ascii="Calibri" w:eastAsia="Times New Roman" w:hAnsi="Calibri" w:cs="Calibri"/>
                <w:sz w:val="18"/>
                <w:szCs w:val="18"/>
                <w:lang w:eastAsia="fr-FR"/>
              </w:rPr>
              <w:t xml:space="preserve"> (Cf. infra)</w:t>
            </w:r>
            <w:r w:rsidRPr="002414A7">
              <w:rPr>
                <w:rFonts w:ascii="Calibri" w:eastAsia="Times New Roman" w:hAnsi="Calibri" w:cs="Calibri"/>
                <w:sz w:val="18"/>
                <w:szCs w:val="18"/>
                <w:lang w:eastAsia="fr-FR"/>
              </w:rPr>
              <w:t>.</w:t>
            </w:r>
          </w:p>
        </w:tc>
        <w:tc>
          <w:tcPr>
            <w:tcW w:w="1019" w:type="dxa"/>
            <w:vMerge/>
            <w:noWrap/>
          </w:tcPr>
          <w:p w14:paraId="4C5F339C" w14:textId="511DF1F2"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18" w:space="0" w:color="5B9BD5" w:themeColor="accent1"/>
              <w:bottom w:val="single" w:sz="4" w:space="0" w:color="5B9BD5" w:themeColor="accent1"/>
            </w:tcBorders>
          </w:tcPr>
          <w:p w14:paraId="1405506E"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18" w:space="0" w:color="5B9BD5" w:themeColor="accent1"/>
              <w:bottom w:val="single" w:sz="4" w:space="0" w:color="5B9BD5" w:themeColor="accent1"/>
            </w:tcBorders>
          </w:tcPr>
          <w:p w14:paraId="2978A6A3"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6B762212" w14:textId="54A903EA" w:rsidTr="004E68CF">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18" w:space="0" w:color="5B9BD5" w:themeColor="accent1"/>
              <w:bottom w:val="single" w:sz="4" w:space="0" w:color="5B9BD5" w:themeColor="accent1"/>
            </w:tcBorders>
            <w:noWrap/>
          </w:tcPr>
          <w:p w14:paraId="104586F9" w14:textId="05F8A9D0" w:rsidR="002E4306" w:rsidRPr="002414A7" w:rsidRDefault="002E4306" w:rsidP="002E4306">
            <w:pPr>
              <w:rPr>
                <w:rFonts w:ascii="Calibri" w:eastAsia="Times New Roman" w:hAnsi="Calibri" w:cs="Calibri"/>
                <w:i/>
                <w:sz w:val="18"/>
                <w:szCs w:val="18"/>
                <w:lang w:eastAsia="fr-FR"/>
              </w:rPr>
            </w:pPr>
          </w:p>
        </w:tc>
        <w:tc>
          <w:tcPr>
            <w:tcW w:w="347" w:type="dxa"/>
            <w:tcBorders>
              <w:top w:val="single" w:sz="18" w:space="0" w:color="5B9BD5" w:themeColor="accent1"/>
              <w:bottom w:val="single" w:sz="4" w:space="0" w:color="5B9BD5" w:themeColor="accent1"/>
            </w:tcBorders>
            <w:noWrap/>
          </w:tcPr>
          <w:p w14:paraId="5657B035" w14:textId="2F974696"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38" w:type="dxa"/>
            <w:gridSpan w:val="4"/>
            <w:tcBorders>
              <w:top w:val="single" w:sz="18" w:space="0" w:color="5B9BD5" w:themeColor="accent1"/>
              <w:bottom w:val="single" w:sz="4" w:space="0" w:color="5B9BD5" w:themeColor="accent1"/>
            </w:tcBorders>
            <w:noWrap/>
            <w:hideMark/>
          </w:tcPr>
          <w:p w14:paraId="7D0FD278" w14:textId="505BCE18" w:rsidR="002E4306" w:rsidRPr="007C4ED0"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7C4ED0">
              <w:rPr>
                <w:rFonts w:ascii="Calibri" w:eastAsia="Times New Roman" w:hAnsi="Calibri" w:cs="Calibri"/>
                <w:b/>
                <w:i/>
                <w:sz w:val="18"/>
                <w:szCs w:val="18"/>
                <w:lang w:eastAsia="fr-FR"/>
              </w:rPr>
              <w:t xml:space="preserve">Dont paiements initiés à distance </w:t>
            </w:r>
          </w:p>
        </w:tc>
        <w:tc>
          <w:tcPr>
            <w:tcW w:w="3260" w:type="dxa"/>
            <w:tcBorders>
              <w:top w:val="single" w:sz="18" w:space="0" w:color="5B9BD5" w:themeColor="accent1"/>
              <w:bottom w:val="single" w:sz="4" w:space="0" w:color="5B9BD5" w:themeColor="accent1"/>
            </w:tcBorders>
          </w:tcPr>
          <w:p w14:paraId="630A310A" w14:textId="2202953F" w:rsidR="002E4306" w:rsidRPr="00276223" w:rsidRDefault="002E4306" w:rsidP="002E430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276223">
              <w:rPr>
                <w:rFonts w:ascii="Calibri" w:eastAsia="Times New Roman" w:hAnsi="Calibri" w:cs="Calibri"/>
                <w:sz w:val="18"/>
                <w:szCs w:val="18"/>
                <w:lang w:eastAsia="fr-FR"/>
              </w:rPr>
              <w:t>Opéra</w:t>
            </w:r>
            <w:r>
              <w:rPr>
                <w:rFonts w:ascii="Calibri" w:eastAsia="Times New Roman" w:hAnsi="Calibri" w:cs="Calibri"/>
                <w:sz w:val="18"/>
                <w:szCs w:val="18"/>
                <w:lang w:eastAsia="fr-FR"/>
              </w:rPr>
              <w:t>tions de paiement initiées sur internet à partir d’un ordinateur ou d’un téléphone portable.</w:t>
            </w:r>
          </w:p>
        </w:tc>
        <w:tc>
          <w:tcPr>
            <w:tcW w:w="1019" w:type="dxa"/>
            <w:vMerge/>
            <w:noWrap/>
          </w:tcPr>
          <w:p w14:paraId="190838C2" w14:textId="491C39D5"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18" w:space="0" w:color="5B9BD5" w:themeColor="accent1"/>
              <w:bottom w:val="single" w:sz="4" w:space="0" w:color="5B9BD5" w:themeColor="accent1"/>
            </w:tcBorders>
          </w:tcPr>
          <w:p w14:paraId="1AEAB19B"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18" w:space="0" w:color="5B9BD5" w:themeColor="accent1"/>
              <w:bottom w:val="single" w:sz="4" w:space="0" w:color="5B9BD5" w:themeColor="accent1"/>
            </w:tcBorders>
          </w:tcPr>
          <w:p w14:paraId="7307FD80"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C570DA" w14:paraId="14A3582D" w14:textId="1494FB02" w:rsidTr="00B70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4" w:space="0" w:color="5B9BD5" w:themeColor="accent1"/>
              <w:bottom w:val="single" w:sz="6" w:space="0" w:color="5B9BD5" w:themeColor="accent1"/>
              <w:right w:val="single" w:sz="6" w:space="0" w:color="5B9BD5" w:themeColor="accent1"/>
            </w:tcBorders>
            <w:noWrap/>
          </w:tcPr>
          <w:p w14:paraId="2E060433" w14:textId="7BA46B01" w:rsidR="002E4306" w:rsidRPr="00C570DA" w:rsidRDefault="002E4306" w:rsidP="002E4306">
            <w:pPr>
              <w:rPr>
                <w:rFonts w:ascii="Calibri" w:eastAsia="Times New Roman" w:hAnsi="Calibri" w:cs="Calibri"/>
                <w:i/>
                <w:sz w:val="18"/>
                <w:szCs w:val="18"/>
                <w:lang w:eastAsia="fr-FR"/>
              </w:rPr>
            </w:pPr>
          </w:p>
        </w:tc>
        <w:tc>
          <w:tcPr>
            <w:tcW w:w="347"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noWrap/>
          </w:tcPr>
          <w:p w14:paraId="37DBF584" w14:textId="6DAA06B0" w:rsidR="002E4306" w:rsidRPr="00C570DA"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292"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noWrap/>
          </w:tcPr>
          <w:p w14:paraId="0C668C64" w14:textId="2ECF7B8F" w:rsidR="002E4306" w:rsidRPr="00C570DA"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2346" w:type="dxa"/>
            <w:gridSpan w:val="3"/>
            <w:tcBorders>
              <w:top w:val="single" w:sz="4"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hideMark/>
          </w:tcPr>
          <w:p w14:paraId="55249E16" w14:textId="22EDE2DF"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sz w:val="18"/>
                <w:szCs w:val="18"/>
                <w:lang w:eastAsia="fr-FR"/>
              </w:rPr>
            </w:pPr>
            <w:r w:rsidRPr="00B7021B">
              <w:rPr>
                <w:rFonts w:ascii="Calibri" w:eastAsia="Times New Roman" w:hAnsi="Calibri" w:cs="Calibri"/>
                <w:b/>
                <w:i/>
                <w:sz w:val="18"/>
                <w:szCs w:val="18"/>
                <w:lang w:eastAsia="fr-FR"/>
              </w:rPr>
              <w:t xml:space="preserve">Dont traités </w:t>
            </w:r>
            <w:r w:rsidR="00CB5C37" w:rsidRPr="00B7021B">
              <w:rPr>
                <w:rFonts w:ascii="Calibri" w:eastAsia="Times New Roman" w:hAnsi="Calibri" w:cs="Calibri"/>
                <w:b/>
                <w:i/>
                <w:sz w:val="18"/>
                <w:szCs w:val="18"/>
                <w:lang w:eastAsia="fr-FR"/>
              </w:rPr>
              <w:t>par le schéma</w:t>
            </w:r>
            <w:r w:rsidR="002775A9" w:rsidRPr="00B7021B">
              <w:rPr>
                <w:rFonts w:ascii="Calibri" w:eastAsia="Times New Roman" w:hAnsi="Calibri" w:cs="Calibri"/>
                <w:b/>
                <w:i/>
                <w:sz w:val="18"/>
                <w:szCs w:val="18"/>
                <w:lang w:eastAsia="fr-FR"/>
              </w:rPr>
              <w:t xml:space="preserve"> de carte X</w:t>
            </w:r>
          </w:p>
        </w:tc>
        <w:tc>
          <w:tcPr>
            <w:tcW w:w="3260"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78D18FF3" w14:textId="348EFE00" w:rsidR="002E4306" w:rsidRPr="00B7021B" w:rsidRDefault="002319FC" w:rsidP="002775A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B7021B">
              <w:rPr>
                <w:rFonts w:ascii="Calibri" w:eastAsia="Times New Roman" w:hAnsi="Calibri" w:cs="Calibri"/>
                <w:sz w:val="18"/>
                <w:szCs w:val="18"/>
                <w:lang w:eastAsia="fr-FR"/>
              </w:rPr>
              <w:t xml:space="preserve">Transactions traitées par le schéma </w:t>
            </w:r>
            <w:r w:rsidR="002775A9" w:rsidRPr="00B7021B">
              <w:rPr>
                <w:rFonts w:ascii="Calibri" w:eastAsia="Times New Roman" w:hAnsi="Calibri" w:cs="Calibri"/>
                <w:sz w:val="18"/>
                <w:szCs w:val="18"/>
                <w:lang w:eastAsia="fr-FR"/>
              </w:rPr>
              <w:t>X</w:t>
            </w:r>
            <w:r w:rsidRPr="00B7021B">
              <w:rPr>
                <w:rFonts w:ascii="Calibri" w:eastAsia="Times New Roman" w:hAnsi="Calibri" w:cs="Calibri"/>
                <w:sz w:val="18"/>
                <w:szCs w:val="18"/>
                <w:lang w:eastAsia="fr-FR"/>
              </w:rPr>
              <w:t>.</w:t>
            </w:r>
          </w:p>
        </w:tc>
        <w:tc>
          <w:tcPr>
            <w:tcW w:w="1019" w:type="dxa"/>
            <w:vMerge/>
            <w:tcBorders>
              <w:left w:val="single" w:sz="6" w:space="0" w:color="5B9BD5" w:themeColor="accent1"/>
              <w:bottom w:val="single" w:sz="6" w:space="0" w:color="5B9BD5" w:themeColor="accent1"/>
              <w:right w:val="single" w:sz="6" w:space="0" w:color="5B9BD5" w:themeColor="accent1"/>
            </w:tcBorders>
            <w:noWrap/>
          </w:tcPr>
          <w:p w14:paraId="1A8C54F1" w14:textId="5AE36E87" w:rsidR="002E4306" w:rsidRPr="00C570DA"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780"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tcPr>
          <w:p w14:paraId="425802B1" w14:textId="77777777" w:rsidR="002E4306" w:rsidRPr="00C570DA"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750" w:type="dxa"/>
            <w:tcBorders>
              <w:top w:val="single" w:sz="4" w:space="0" w:color="5B9BD5" w:themeColor="accent1"/>
              <w:left w:val="single" w:sz="6" w:space="0" w:color="5B9BD5" w:themeColor="accent1"/>
              <w:bottom w:val="single" w:sz="6" w:space="0" w:color="5B9BD5" w:themeColor="accent1"/>
            </w:tcBorders>
          </w:tcPr>
          <w:p w14:paraId="326E3798" w14:textId="77777777" w:rsidR="002E4306" w:rsidRPr="00C570DA"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2E4306" w:rsidRPr="005A160E" w14:paraId="65A5AEC0" w14:textId="4957A114" w:rsidTr="00B7021B">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97A79C8" w14:textId="3F640620"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A9ED9C7" w14:textId="7B4BD9E8"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B158541" w14:textId="27F382C8"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hideMark/>
          </w:tcPr>
          <w:p w14:paraId="0ABF92BB" w14:textId="3CF8734E"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13A5DFEA" w14:textId="48E268C8"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B7021B">
              <w:rPr>
                <w:rFonts w:ascii="Calibri" w:eastAsia="Times New Roman" w:hAnsi="Calibri" w:cs="Calibri"/>
                <w:i/>
                <w:sz w:val="18"/>
                <w:szCs w:val="18"/>
                <w:lang w:eastAsia="fr-FR"/>
              </w:rPr>
              <w:t>Dont par carte de débit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5D8BCA8E" w14:textId="03044CC5" w:rsidR="002E4306" w:rsidRPr="00B7021B" w:rsidRDefault="002E4306" w:rsidP="002E430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6E68C6A" w14:textId="62141C30"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F226986"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41CB5475"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63581BB6" w14:textId="3073DE54" w:rsidTr="00B70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202DD956" w14:textId="7695465C"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9F78D10" w14:textId="57B92D95"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8EB69F7" w14:textId="76169833"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hideMark/>
          </w:tcPr>
          <w:p w14:paraId="6A157EE1" w14:textId="49CE7172"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0A4D09B1" w14:textId="7EFA7F10"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B7021B">
              <w:rPr>
                <w:rFonts w:ascii="Calibri" w:eastAsia="Times New Roman" w:hAnsi="Calibri" w:cs="Calibri"/>
                <w:i/>
                <w:sz w:val="18"/>
                <w:szCs w:val="18"/>
                <w:lang w:eastAsia="fr-FR"/>
              </w:rPr>
              <w:t>Dont par carte à débit différé</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4879806D" w14:textId="639E75DC" w:rsidR="002E4306" w:rsidRPr="00B7021B" w:rsidRDefault="002E4306" w:rsidP="002E430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840A71E" w14:textId="388A53E6"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D97FD16"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6824FD7A"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1B7F9655" w14:textId="6E1D1DAA" w:rsidTr="00B7021B">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462C1206" w14:textId="4D74C072"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3BC4227" w14:textId="1307AD15"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842A112" w14:textId="2887C60A"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hideMark/>
          </w:tcPr>
          <w:p w14:paraId="79F8255B" w14:textId="2DBEC900"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7F29ED47" w14:textId="7BF4DDC0"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par carte de crédit </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0680B069" w14:textId="17E0A7DE" w:rsidR="002E4306" w:rsidRPr="00B7021B" w:rsidRDefault="002E4306" w:rsidP="002E4306">
            <w:pPr>
              <w:tabs>
                <w:tab w:val="left" w:pos="94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1FC6A1D" w14:textId="2DC17F10"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BB506E5"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6E07F59F"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2C09173E" w14:textId="4266C022" w:rsidTr="00B70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08B6EC69" w14:textId="7BC52514"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C982E17" w14:textId="552C59FD"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52D202B" w14:textId="21852424"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4F37D62E" w14:textId="0BC83BC5"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hideMark/>
          </w:tcPr>
          <w:p w14:paraId="2C208445" w14:textId="6262AD1A"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B7021B">
              <w:rPr>
                <w:rFonts w:ascii="Calibri" w:eastAsia="Times New Roman" w:hAnsi="Calibri" w:cs="Calibri"/>
                <w:i/>
                <w:sz w:val="18"/>
                <w:szCs w:val="18"/>
                <w:lang w:eastAsia="fr-FR"/>
              </w:rPr>
              <w:t>Dont avec authentification forte du client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767F1192" w14:textId="06B31AF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3D20B53" w14:textId="733460DA"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B8160D1"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7AE5BD6D"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2F383551" w14:textId="5AA10013" w:rsidTr="00B7021B">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3CD5FD1" w14:textId="54AC562B"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8E1BAE8" w14:textId="7272A388"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6CC11FF" w14:textId="32F89889"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0DDB5AED" w14:textId="06008AA0"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hideMark/>
          </w:tcPr>
          <w:p w14:paraId="333BF02B" w14:textId="187BA491" w:rsidR="002E4306" w:rsidRPr="00B7021B" w:rsidRDefault="002E4306" w:rsidP="00BA0E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B7021B">
              <w:rPr>
                <w:rFonts w:ascii="Calibri" w:eastAsia="Times New Roman" w:hAnsi="Calibri" w:cs="Calibri"/>
                <w:i/>
                <w:sz w:val="18"/>
                <w:szCs w:val="18"/>
                <w:lang w:eastAsia="fr-FR"/>
              </w:rPr>
              <w:t xml:space="preserve">Dont </w:t>
            </w:r>
            <w:r w:rsidR="00BA0E21" w:rsidRPr="00B7021B">
              <w:rPr>
                <w:rFonts w:ascii="Calibri" w:eastAsia="Times New Roman" w:hAnsi="Calibri" w:cs="Calibri"/>
                <w:i/>
                <w:sz w:val="18"/>
                <w:szCs w:val="18"/>
                <w:lang w:eastAsia="fr-FR"/>
              </w:rPr>
              <w:t xml:space="preserve">sans </w:t>
            </w:r>
            <w:r w:rsidRPr="00B7021B">
              <w:rPr>
                <w:rFonts w:ascii="Calibri" w:eastAsia="Times New Roman" w:hAnsi="Calibri" w:cs="Calibri"/>
                <w:i/>
                <w:sz w:val="18"/>
                <w:szCs w:val="18"/>
                <w:lang w:eastAsia="fr-FR"/>
              </w:rPr>
              <w:t>authentification forte du client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1D7972B2" w14:textId="201E35A6"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731DEAB" w14:textId="3B747572"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AD1AD7A"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6D8CADF2"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01404285" w14:textId="48F9FCF9" w:rsidTr="00B70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A622D2F" w14:textId="7E169A39"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36C25DD" w14:textId="44277318"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6F55532" w14:textId="38773942"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2CD224B3" w14:textId="50DC7523"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22A41E99"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14D6B016" w14:textId="27D3DFFB"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B7021B">
              <w:rPr>
                <w:rFonts w:ascii="Calibri" w:eastAsia="Times New Roman" w:hAnsi="Calibri" w:cs="Calibri"/>
                <w:i/>
                <w:sz w:val="18"/>
                <w:szCs w:val="18"/>
                <w:lang w:eastAsia="fr-FR"/>
              </w:rPr>
              <w:t>Dont au titre de l’art. 14 RTS (opération récurrente)</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0B2DF34B" w14:textId="41FCD275"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CDB39AB" w14:textId="7DCA5FC4"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286088B"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396AB134"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56254008" w14:textId="77777777" w:rsidTr="00B7021B">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A0B4CD6" w14:textId="7777777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E8F7EF7"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2069FAD"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7328706F"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716E4231"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2DEE32FC" w14:textId="57ABA5BC"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de l’art. 16 RTS (faible montant)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2626B7A7"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6604DCC"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7955391"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26B3ADF4"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5494EB93" w14:textId="77777777" w:rsidTr="00B70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DEAB5A1" w14:textId="7777777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046B8A2"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425DBD9"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3B6FC1C4"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49693CF1"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6553C0FD" w14:textId="1A80450D"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de l’art. 18 RTS (analyse des risques)</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591FA923"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EA88DE4"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3582611"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37B92388"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1BA3B00B" w14:textId="77777777" w:rsidTr="00B7021B">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2E95348" w14:textId="7777777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C2CBC03"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B35842C"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4F1C77F5"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1232C21B"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404D3FF4" w14:textId="3968C8B3"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des paiements initiés par les commerçants</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6E9B4BAE"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6B33C75"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5234439"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24FD11E1"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567D980D" w14:textId="77777777" w:rsidTr="00B70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237BB41F" w14:textId="7777777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BB9D157"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2A0ECC5"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72A80633"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3302BB0E"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0ACEE17B" w14:textId="6E44E27D"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d’autres motifs d’exclusion</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3DACD38C"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A3C6D9D"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B45EC03"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747C0FF8"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F262E9" w:rsidRPr="00C570DA" w14:paraId="3FC48520" w14:textId="77777777" w:rsidTr="00B7021B">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4" w:space="0" w:color="5B9BD5" w:themeColor="accent1"/>
              <w:bottom w:val="single" w:sz="6" w:space="0" w:color="5B9BD5" w:themeColor="accent1"/>
              <w:right w:val="single" w:sz="6" w:space="0" w:color="5B9BD5" w:themeColor="accent1"/>
            </w:tcBorders>
            <w:noWrap/>
          </w:tcPr>
          <w:p w14:paraId="4F83D05B" w14:textId="77777777" w:rsidR="00F262E9" w:rsidRPr="00C570DA" w:rsidRDefault="00F262E9" w:rsidP="0025744E">
            <w:pPr>
              <w:rPr>
                <w:rFonts w:ascii="Calibri" w:eastAsia="Times New Roman" w:hAnsi="Calibri" w:cs="Calibri"/>
                <w:i/>
                <w:sz w:val="18"/>
                <w:szCs w:val="18"/>
                <w:lang w:eastAsia="fr-FR"/>
              </w:rPr>
            </w:pPr>
          </w:p>
        </w:tc>
        <w:tc>
          <w:tcPr>
            <w:tcW w:w="347"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noWrap/>
          </w:tcPr>
          <w:p w14:paraId="0EDD1DAF" w14:textId="77777777" w:rsidR="00F262E9" w:rsidRPr="00C570DA" w:rsidRDefault="00F262E9" w:rsidP="002574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292"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noWrap/>
          </w:tcPr>
          <w:p w14:paraId="53C88842" w14:textId="77777777" w:rsidR="00F262E9" w:rsidRPr="00C570DA" w:rsidRDefault="00F262E9" w:rsidP="002574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2346" w:type="dxa"/>
            <w:gridSpan w:val="3"/>
            <w:tcBorders>
              <w:top w:val="single" w:sz="4"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hideMark/>
          </w:tcPr>
          <w:p w14:paraId="4F2022F8" w14:textId="286093C9" w:rsidR="00F262E9" w:rsidRPr="00B7021B" w:rsidRDefault="00F262E9" w:rsidP="002574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sz w:val="18"/>
                <w:szCs w:val="18"/>
                <w:lang w:eastAsia="fr-FR"/>
              </w:rPr>
            </w:pPr>
            <w:r w:rsidRPr="00B7021B">
              <w:rPr>
                <w:rFonts w:ascii="Calibri" w:eastAsia="Times New Roman" w:hAnsi="Calibri" w:cs="Calibri"/>
                <w:b/>
                <w:i/>
                <w:sz w:val="18"/>
                <w:szCs w:val="18"/>
                <w:lang w:eastAsia="fr-FR"/>
              </w:rPr>
              <w:t>Dont traités par le schéma de carte Y …</w:t>
            </w:r>
          </w:p>
        </w:tc>
        <w:tc>
          <w:tcPr>
            <w:tcW w:w="3260"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1EEA5984" w14:textId="69EDED2A" w:rsidR="00F262E9" w:rsidRPr="00B7021B" w:rsidRDefault="00F262E9" w:rsidP="0025744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B7021B">
              <w:rPr>
                <w:rFonts w:ascii="Calibri" w:eastAsia="Times New Roman" w:hAnsi="Calibri" w:cs="Calibri"/>
                <w:sz w:val="18"/>
                <w:szCs w:val="18"/>
                <w:lang w:eastAsia="fr-FR"/>
              </w:rPr>
              <w:t>Transactions traitées par le schéma Y.</w:t>
            </w:r>
          </w:p>
        </w:tc>
        <w:tc>
          <w:tcPr>
            <w:tcW w:w="1019" w:type="dxa"/>
            <w:tcBorders>
              <w:left w:val="single" w:sz="6" w:space="0" w:color="5B9BD5" w:themeColor="accent1"/>
              <w:bottom w:val="single" w:sz="6" w:space="0" w:color="5B9BD5" w:themeColor="accent1"/>
              <w:right w:val="single" w:sz="6" w:space="0" w:color="5B9BD5" w:themeColor="accent1"/>
            </w:tcBorders>
            <w:noWrap/>
          </w:tcPr>
          <w:p w14:paraId="1F78D321" w14:textId="77777777" w:rsidR="00F262E9" w:rsidRPr="00C570DA" w:rsidRDefault="00F262E9" w:rsidP="002574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c>
          <w:tcPr>
            <w:tcW w:w="780"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tcPr>
          <w:p w14:paraId="794858F9" w14:textId="77777777" w:rsidR="00F262E9" w:rsidRPr="00C570DA" w:rsidRDefault="00F262E9" w:rsidP="002574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c>
          <w:tcPr>
            <w:tcW w:w="750" w:type="dxa"/>
            <w:tcBorders>
              <w:top w:val="single" w:sz="4" w:space="0" w:color="5B9BD5" w:themeColor="accent1"/>
              <w:left w:val="single" w:sz="6" w:space="0" w:color="5B9BD5" w:themeColor="accent1"/>
              <w:bottom w:val="single" w:sz="6" w:space="0" w:color="5B9BD5" w:themeColor="accent1"/>
            </w:tcBorders>
          </w:tcPr>
          <w:p w14:paraId="678A4D4E" w14:textId="77777777" w:rsidR="00F262E9" w:rsidRPr="00C570DA" w:rsidRDefault="00F262E9" w:rsidP="002574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r>
      <w:tr w:rsidR="002E4306" w:rsidRPr="005A160E" w14:paraId="3F37487B" w14:textId="32C34DAE" w:rsidTr="006B33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18" w:space="0" w:color="5B9BD5" w:themeColor="accent1"/>
              <w:bottom w:val="single" w:sz="6" w:space="0" w:color="5B9BD5" w:themeColor="accent1"/>
              <w:right w:val="single" w:sz="6" w:space="0" w:color="5B9BD5" w:themeColor="accent1"/>
            </w:tcBorders>
            <w:noWrap/>
          </w:tcPr>
          <w:p w14:paraId="1E20455E" w14:textId="7588C143" w:rsidR="002E4306" w:rsidRPr="002414A7" w:rsidRDefault="002E4306" w:rsidP="002E4306">
            <w:pPr>
              <w:rPr>
                <w:rFonts w:ascii="Calibri" w:eastAsia="Times New Roman" w:hAnsi="Calibri" w:cs="Calibri"/>
                <w:i/>
                <w:sz w:val="18"/>
                <w:szCs w:val="18"/>
                <w:lang w:eastAsia="fr-FR"/>
              </w:rPr>
            </w:pPr>
          </w:p>
        </w:tc>
        <w:tc>
          <w:tcPr>
            <w:tcW w:w="347"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noWrap/>
          </w:tcPr>
          <w:p w14:paraId="5711E843" w14:textId="1A6B0E98"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2638" w:type="dxa"/>
            <w:gridSpan w:val="4"/>
            <w:tcBorders>
              <w:top w:val="single" w:sz="18" w:space="0" w:color="5B9BD5" w:themeColor="accent1"/>
              <w:left w:val="single" w:sz="6" w:space="0" w:color="5B9BD5" w:themeColor="accent1"/>
              <w:bottom w:val="single" w:sz="6" w:space="0" w:color="5B9BD5" w:themeColor="accent1"/>
              <w:right w:val="single" w:sz="6" w:space="0" w:color="5B9BD5" w:themeColor="accent1"/>
            </w:tcBorders>
            <w:noWrap/>
            <w:hideMark/>
          </w:tcPr>
          <w:p w14:paraId="65082642" w14:textId="181B9C63"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paiements initiés en proximité</w:t>
            </w:r>
          </w:p>
        </w:tc>
        <w:tc>
          <w:tcPr>
            <w:tcW w:w="3260"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tcPr>
          <w:p w14:paraId="04B09C9A" w14:textId="235CF8FF"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sz w:val="18"/>
                <w:szCs w:val="18"/>
                <w:lang w:eastAsia="fr-FR"/>
              </w:rPr>
              <w:t>Opérations de paiement initiées au point de vente ou sur automate, y compris paiements en mode sans contact.</w:t>
            </w:r>
          </w:p>
        </w:tc>
        <w:tc>
          <w:tcPr>
            <w:tcW w:w="1019" w:type="dxa"/>
            <w:vMerge/>
            <w:tcBorders>
              <w:left w:val="single" w:sz="6" w:space="0" w:color="5B9BD5" w:themeColor="accent1"/>
              <w:bottom w:val="single" w:sz="6" w:space="0" w:color="5B9BD5" w:themeColor="accent1"/>
              <w:right w:val="single" w:sz="6" w:space="0" w:color="5B9BD5" w:themeColor="accent1"/>
            </w:tcBorders>
            <w:noWrap/>
          </w:tcPr>
          <w:p w14:paraId="067485A2" w14:textId="3EDBEF03"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tcPr>
          <w:p w14:paraId="15D8AB3B"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18" w:space="0" w:color="5B9BD5" w:themeColor="accent1"/>
              <w:left w:val="single" w:sz="6" w:space="0" w:color="5B9BD5" w:themeColor="accent1"/>
              <w:bottom w:val="single" w:sz="6" w:space="0" w:color="5B9BD5" w:themeColor="accent1"/>
            </w:tcBorders>
          </w:tcPr>
          <w:p w14:paraId="0987CB3B"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13649C39" w14:textId="398C40B2" w:rsidTr="006B335D">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46E46C1A" w14:textId="764B3A28"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413FDFB" w14:textId="3F031993"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E036C89" w14:textId="74F8FEC8"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46"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7467A240" w14:textId="4060FAAC"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2414A7">
              <w:rPr>
                <w:rFonts w:ascii="Calibri" w:eastAsia="Times New Roman" w:hAnsi="Calibri" w:cs="Calibri"/>
                <w:i/>
                <w:sz w:val="18"/>
                <w:szCs w:val="18"/>
                <w:lang w:eastAsia="fr-FR"/>
              </w:rPr>
              <w:t xml:space="preserve">Dont </w:t>
            </w:r>
            <w:r>
              <w:rPr>
                <w:rFonts w:ascii="Calibri" w:eastAsia="Times New Roman" w:hAnsi="Calibri" w:cs="Calibri"/>
                <w:i/>
                <w:sz w:val="18"/>
                <w:szCs w:val="18"/>
                <w:lang w:eastAsia="fr-FR"/>
              </w:rPr>
              <w:t>depuis un TPE</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6C87353" w14:textId="535DCAA5" w:rsidR="002E4306" w:rsidRPr="002414A7" w:rsidRDefault="002E4306" w:rsidP="00E00E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hAnsi="Calibri" w:cs="Calibri"/>
                <w:sz w:val="18"/>
                <w:szCs w:val="18"/>
              </w:rPr>
              <w:t xml:space="preserve">Ou TTEF. </w:t>
            </w:r>
            <w:r>
              <w:rPr>
                <w:rFonts w:ascii="Calibri" w:eastAsia="Times New Roman" w:hAnsi="Calibri" w:cs="Calibri"/>
                <w:sz w:val="18"/>
                <w:szCs w:val="18"/>
                <w:lang w:eastAsia="fr-FR"/>
              </w:rPr>
              <w:t xml:space="preserve">Inclut les terminaux sans surveillance (automate d’essence, de parking ou de péage) et les terminaux </w:t>
            </w:r>
            <w:proofErr w:type="spellStart"/>
            <w:r>
              <w:rPr>
                <w:rFonts w:ascii="Calibri" w:eastAsia="Times New Roman" w:hAnsi="Calibri" w:cs="Calibri"/>
                <w:sz w:val="18"/>
                <w:szCs w:val="18"/>
                <w:lang w:eastAsia="fr-FR"/>
              </w:rPr>
              <w:t>mPOS</w:t>
            </w:r>
            <w:proofErr w:type="spellEnd"/>
            <w:r w:rsidR="00E00E65">
              <w:rPr>
                <w:rFonts w:ascii="Calibri" w:eastAsia="Times New Roman" w:hAnsi="Calibri" w:cs="Calibri"/>
                <w:sz w:val="18"/>
                <w:szCs w:val="18"/>
                <w:lang w:eastAsia="fr-FR"/>
              </w:rPr>
              <w:t xml:space="preserve"> (mobile point of sale) qui sont des appareils sans fil (smartphone ou tablette) qui exécutent les opérations de TPE.</w:t>
            </w: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2FD1D95" w14:textId="166D2D6B"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8B66BFA"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549AB139"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1019E268" w14:textId="4D8DB943" w:rsidTr="006B33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5C9E7F0" w14:textId="04B6D118"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DD3A29F" w14:textId="748031EC"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B12B60F" w14:textId="75083161"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46"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57DF2082" w14:textId="7006F73B"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2414A7">
              <w:rPr>
                <w:rFonts w:ascii="Calibri" w:eastAsia="Times New Roman" w:hAnsi="Calibri" w:cs="Calibri"/>
                <w:i/>
                <w:sz w:val="18"/>
                <w:szCs w:val="18"/>
                <w:lang w:eastAsia="fr-FR"/>
              </w:rPr>
              <w:t xml:space="preserve">Dont </w:t>
            </w:r>
            <w:r>
              <w:rPr>
                <w:rFonts w:ascii="Calibri" w:eastAsia="Times New Roman" w:hAnsi="Calibri" w:cs="Calibri"/>
                <w:i/>
                <w:sz w:val="18"/>
                <w:szCs w:val="18"/>
                <w:lang w:eastAsia="fr-FR"/>
              </w:rPr>
              <w:t>depuis un GAB</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5EF0ADF" w14:textId="619AAFE8"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80D936" w14:textId="757427DA"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F0A469C"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51092C36"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75A28451" w14:textId="67F1EA88" w:rsidTr="006B335D">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4C0F77F0" w14:textId="05ABE5DC"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87908F5" w14:textId="2E9DCD7D"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6595F85" w14:textId="76E10076"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46"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4DB233DA" w14:textId="27492401"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2414A7">
              <w:rPr>
                <w:rFonts w:ascii="Calibri" w:eastAsia="Times New Roman" w:hAnsi="Calibri" w:cs="Calibri"/>
                <w:i/>
                <w:sz w:val="18"/>
                <w:szCs w:val="18"/>
                <w:lang w:eastAsia="fr-FR"/>
              </w:rPr>
              <w:t xml:space="preserve">Dont </w:t>
            </w:r>
            <w:r>
              <w:rPr>
                <w:rFonts w:ascii="Calibri" w:eastAsia="Times New Roman" w:hAnsi="Calibri" w:cs="Calibri"/>
                <w:i/>
                <w:sz w:val="18"/>
                <w:szCs w:val="18"/>
                <w:lang w:eastAsia="fr-FR"/>
              </w:rPr>
              <w:t>depuis autres canaux</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87C176C" w14:textId="5771B2B3"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B9B7348" w14:textId="0429C910"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3B07D47"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46BF5838"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171ACCB4" w14:textId="35A83D01" w:rsidTr="006B33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6BB1E98" w14:textId="7331E164"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391A123" w14:textId="5BA09D48"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4DF6F32" w14:textId="3BBEB8FC"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46"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0AB97C7A" w14:textId="25B7063D"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B7021B">
              <w:rPr>
                <w:rFonts w:ascii="Calibri" w:eastAsia="Times New Roman" w:hAnsi="Calibri" w:cs="Calibri"/>
                <w:b/>
                <w:i/>
                <w:sz w:val="18"/>
                <w:szCs w:val="18"/>
                <w:lang w:eastAsia="fr-FR"/>
              </w:rPr>
              <w:t xml:space="preserve">Dont traités </w:t>
            </w:r>
            <w:r w:rsidR="00F262E9" w:rsidRPr="00B7021B">
              <w:rPr>
                <w:rFonts w:ascii="Calibri" w:eastAsia="Times New Roman" w:hAnsi="Calibri" w:cs="Calibri"/>
                <w:b/>
                <w:i/>
                <w:sz w:val="18"/>
                <w:szCs w:val="18"/>
                <w:lang w:eastAsia="fr-FR"/>
              </w:rPr>
              <w:t>par le schéma</w:t>
            </w:r>
            <w:r w:rsidR="006A038A" w:rsidRPr="00B7021B">
              <w:rPr>
                <w:rFonts w:ascii="Calibri" w:eastAsia="Times New Roman" w:hAnsi="Calibri" w:cs="Calibri"/>
                <w:b/>
                <w:i/>
                <w:sz w:val="18"/>
                <w:szCs w:val="18"/>
                <w:lang w:eastAsia="fr-FR"/>
              </w:rPr>
              <w:t xml:space="preserve"> de carte X</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8E9075A" w14:textId="6F11CEF9" w:rsidR="002E4306" w:rsidRPr="00B7021B" w:rsidRDefault="0068417B" w:rsidP="006A038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B7021B">
              <w:rPr>
                <w:rFonts w:ascii="Calibri" w:eastAsia="Times New Roman" w:hAnsi="Calibri" w:cs="Calibri"/>
                <w:sz w:val="18"/>
                <w:szCs w:val="18"/>
                <w:lang w:eastAsia="fr-FR"/>
              </w:rPr>
              <w:t xml:space="preserve">Transactions traitées par le schéma </w:t>
            </w:r>
            <w:r w:rsidR="006A038A" w:rsidRPr="00B7021B">
              <w:rPr>
                <w:rFonts w:ascii="Calibri" w:eastAsia="Times New Roman" w:hAnsi="Calibri" w:cs="Calibri"/>
                <w:sz w:val="18"/>
                <w:szCs w:val="18"/>
                <w:lang w:eastAsia="fr-FR"/>
              </w:rPr>
              <w:t>X</w:t>
            </w:r>
            <w:r w:rsidRPr="00B7021B">
              <w:rPr>
                <w:rFonts w:ascii="Calibri" w:eastAsia="Times New Roman" w:hAnsi="Calibri" w:cs="Calibri"/>
                <w:sz w:val="18"/>
                <w:szCs w:val="18"/>
                <w:lang w:eastAsia="fr-FR"/>
              </w:rPr>
              <w:t>.</w:t>
            </w: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ECBAF8E" w14:textId="52132FD2"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FB878D4"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12390EFB"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6A74A7F9" w14:textId="32006ED4" w:rsidTr="006B335D">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66FEF50D" w14:textId="7777777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0BD3B4"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6C59462"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4DA2DF8"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122700B" w14:textId="36C3E778"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par carte de débit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1310D85" w14:textId="423313A6"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sz w:val="18"/>
                <w:szCs w:val="18"/>
                <w:lang w:eastAsia="fr-FR"/>
              </w:rPr>
              <w:t>Cf. Définition section « Dénombrement cartes ».</w:t>
            </w: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1E071A6" w14:textId="451E704B"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EBA6DE2"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55A884F8"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56A8555E" w14:textId="3D0202A6" w:rsidTr="006B33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A2BE171" w14:textId="7D85D29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07493E8" w14:textId="11ECF50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35AD578" w14:textId="4A80BEEC"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EBC1A30" w14:textId="4829321C"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31456E41" w14:textId="2539354A"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par carte à débit différé</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FA38865" w14:textId="3C85B12E"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sz w:val="18"/>
                <w:szCs w:val="18"/>
                <w:lang w:eastAsia="fr-FR"/>
              </w:rPr>
              <w:t>Cf. Définition section « Dénombrement cartes ».</w:t>
            </w: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FB4658B" w14:textId="3BC6C164"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7E2C686"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112C6B01"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6B9A86CD" w14:textId="7011D0E3" w:rsidTr="006B335D">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2DFE91E" w14:textId="58432305"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2FEE1F1" w14:textId="22A35873"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72E9D4F" w14:textId="6F850140"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255D9D5" w14:textId="5C8DED68"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42929D37" w14:textId="63919FA9"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par carte de crédit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DA622D9" w14:textId="6FEAFE6F"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sz w:val="18"/>
                <w:szCs w:val="18"/>
                <w:lang w:eastAsia="fr-FR"/>
              </w:rPr>
              <w:t>Cf. Définition section « Dénombrement cartes ».</w:t>
            </w: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9938678" w14:textId="52F5F27E"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3D42764"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76879843"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3BE8D336" w14:textId="2C820E70" w:rsidTr="006B33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3A1688A" w14:textId="01A045DB"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2344E78" w14:textId="7CA49881"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BB357B7" w14:textId="517B84AD"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A38E6B8" w14:textId="0A9DB0F3"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43F7CF26" w14:textId="5DEDA91A"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avec authentification forte du client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4D2C863" w14:textId="3359C1CE"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55E40CC" w14:textId="71127F9E"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8EABB18"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14709743"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4937EAF0" w14:textId="3E679E23" w:rsidTr="006B335D">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6DFB9741" w14:textId="5E9A146C"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7E6943E" w14:textId="580E4B46"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3D203A4" w14:textId="376AA6AE"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AE25A61" w14:textId="11892A6B"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58B23718" w14:textId="1514BE72"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sans authentification forte du client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7F8774C" w14:textId="156CD048"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20587D0" w14:textId="6DB6C19D"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CA3BED6"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282A726B"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0C2C2FA0" w14:textId="7F743434" w:rsidTr="006B33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013CD1C2" w14:textId="19CFAF5B"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547A76B" w14:textId="4F86FDD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8EE603A" w14:textId="08C4FB66"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BEE8ACA" w14:textId="07ED26D0"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6D369A2"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94F5767" w14:textId="38265B86"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 xml:space="preserve">Dont au titre de l’art. 11 RTS </w:t>
            </w:r>
            <w:proofErr w:type="gramStart"/>
            <w:r w:rsidRPr="00B7021B">
              <w:rPr>
                <w:rFonts w:ascii="Calibri" w:eastAsia="Times New Roman" w:hAnsi="Calibri" w:cs="Calibri"/>
                <w:i/>
                <w:sz w:val="18"/>
                <w:szCs w:val="18"/>
                <w:lang w:eastAsia="fr-FR"/>
              </w:rPr>
              <w:t>( paiement</w:t>
            </w:r>
            <w:proofErr w:type="gramEnd"/>
            <w:r w:rsidRPr="00B7021B">
              <w:rPr>
                <w:rFonts w:ascii="Calibri" w:eastAsia="Times New Roman" w:hAnsi="Calibri" w:cs="Calibri"/>
                <w:i/>
                <w:sz w:val="18"/>
                <w:szCs w:val="18"/>
                <w:lang w:eastAsia="fr-FR"/>
              </w:rPr>
              <w:t xml:space="preserve"> sans contact de faible montant)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3D8D32D" w14:textId="0A7F28D6"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02A2723" w14:textId="172E8F8F"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71B8136"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2803BE15"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7340C957" w14:textId="77777777" w:rsidTr="006B335D">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E8CE58F" w14:textId="7777777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4F9615"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E3D9C7D"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CA940BA"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424E6D4"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6B822E4" w14:textId="32C1864F"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de l’art. 12 RTS (automates transport/parking)</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11F506F"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95D705E"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0AC88EA"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760D31EA"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68F59731" w14:textId="77777777" w:rsidTr="006B33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71291E3" w14:textId="7777777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E73883A"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13E2650"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8508DAD"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557EBAF"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8F95724" w14:textId="3FFB3930"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de l’art. 14 RTS (opération récurrente)</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090CD41"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E1F13E6"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94B3DDD"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669122EC"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29C60114" w14:textId="77777777" w:rsidTr="006B335D">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E30B34F" w14:textId="7777777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D5BC840"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51DFDF8"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AA4C7D8"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937E83"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B6947A6" w14:textId="2F32BF9F"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d’autres motifs d’exclusion</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0EE7FE5"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8AD772B"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1C17395"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757BCF20"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B7021B" w:rsidRPr="005A160E" w14:paraId="3E54F92A" w14:textId="77777777" w:rsidTr="009135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24B05084" w14:textId="77777777" w:rsidR="00B7021B" w:rsidRPr="002414A7" w:rsidRDefault="00B7021B"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B0DA296" w14:textId="77777777" w:rsidR="00B7021B" w:rsidRPr="002414A7" w:rsidRDefault="00B7021B"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52304AB" w14:textId="77777777" w:rsidR="00B7021B" w:rsidRPr="002414A7" w:rsidRDefault="00B7021B"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46"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E661A44" w14:textId="6AB23D24" w:rsidR="00B7021B" w:rsidRPr="00B7021B" w:rsidRDefault="00B7021B"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b/>
                <w:i/>
                <w:sz w:val="18"/>
                <w:szCs w:val="18"/>
                <w:lang w:eastAsia="fr-FR"/>
              </w:rPr>
              <w:t>Dont traités par le schéma de carte Y</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E0A67B6" w14:textId="737143E7" w:rsidR="00B7021B" w:rsidRPr="00B7021B" w:rsidRDefault="00B7021B"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sz w:val="18"/>
                <w:szCs w:val="18"/>
                <w:lang w:eastAsia="fr-FR"/>
              </w:rPr>
              <w:t>Transactions traitées par le schéma Y.</w:t>
            </w:r>
          </w:p>
        </w:tc>
        <w:tc>
          <w:tcPr>
            <w:tcW w:w="1019"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039A1A0" w14:textId="77777777" w:rsidR="00B7021B" w:rsidRPr="002414A7" w:rsidRDefault="00B7021B"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DFA3385" w14:textId="77777777" w:rsidR="00B7021B" w:rsidRDefault="00B7021B"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4297383B" w14:textId="77777777" w:rsidR="00B7021B" w:rsidRDefault="00B7021B"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bl>
    <w:p w14:paraId="4274E3E6" w14:textId="77777777" w:rsidR="000E7766" w:rsidRDefault="000E7766" w:rsidP="000E7766">
      <w:pPr>
        <w:pStyle w:val="Paragraphedeliste"/>
        <w:autoSpaceDE w:val="0"/>
        <w:autoSpaceDN w:val="0"/>
        <w:adjustRightInd w:val="0"/>
        <w:spacing w:after="0" w:line="240" w:lineRule="auto"/>
        <w:jc w:val="both"/>
        <w:rPr>
          <w:rFonts w:cstheme="minorHAnsi"/>
        </w:rPr>
      </w:pPr>
    </w:p>
    <w:p w14:paraId="1957B72A" w14:textId="77777777" w:rsidR="000E7766" w:rsidRPr="004E58CA" w:rsidRDefault="000E7766" w:rsidP="004E58CA">
      <w:pPr>
        <w:spacing w:after="0" w:line="240" w:lineRule="auto"/>
        <w:jc w:val="both"/>
        <w:rPr>
          <w:rFonts w:ascii="Calibri" w:hAnsi="Calibri"/>
          <w:b/>
          <w:smallCaps/>
          <w:color w:val="2E74B5" w:themeColor="accent1" w:themeShade="BF"/>
          <w:sz w:val="24"/>
        </w:rPr>
      </w:pPr>
      <w:r w:rsidRPr="00A76282">
        <w:rPr>
          <w:rFonts w:ascii="Calibri" w:hAnsi="Calibri"/>
          <w:b/>
          <w:smallCaps/>
          <w:color w:val="2E74B5" w:themeColor="accent1" w:themeShade="BF"/>
          <w:sz w:val="24"/>
        </w:rPr>
        <w:t>Contrôles :</w:t>
      </w:r>
    </w:p>
    <w:p w14:paraId="551A7A1B" w14:textId="2663C246" w:rsidR="000E7766" w:rsidRPr="009A4D62" w:rsidRDefault="000E7766" w:rsidP="000E7766">
      <w:pPr>
        <w:pStyle w:val="Paragraphedeliste"/>
        <w:autoSpaceDE w:val="0"/>
        <w:autoSpaceDN w:val="0"/>
        <w:adjustRightInd w:val="0"/>
        <w:spacing w:after="0" w:line="240" w:lineRule="auto"/>
        <w:jc w:val="both"/>
        <w:rPr>
          <w:rFonts w:cstheme="minorHAnsi"/>
        </w:rPr>
      </w:pPr>
    </w:p>
    <w:p w14:paraId="5C20B2B2" w14:textId="05B6A48D" w:rsidR="00DC2B1A" w:rsidRPr="0037021D" w:rsidRDefault="00DC2B1A" w:rsidP="0037021D">
      <w:pPr>
        <w:autoSpaceDE w:val="0"/>
        <w:autoSpaceDN w:val="0"/>
        <w:adjustRightInd w:val="0"/>
        <w:spacing w:after="0" w:line="240" w:lineRule="auto"/>
        <w:jc w:val="both"/>
        <w:rPr>
          <w:rFonts w:cstheme="minorHAnsi"/>
        </w:rPr>
      </w:pPr>
      <w:r w:rsidRPr="0037021D">
        <w:rPr>
          <w:rFonts w:cstheme="minorHAnsi"/>
        </w:rPr>
        <w:t>Les règles de contrôle suivantes doivent être app</w:t>
      </w:r>
      <w:r w:rsidR="00DA1236">
        <w:rPr>
          <w:rFonts w:cstheme="minorHAnsi"/>
        </w:rPr>
        <w:t>liquées en nombre et en valeur.</w:t>
      </w:r>
    </w:p>
    <w:p w14:paraId="55BEE62E" w14:textId="7C0F161D" w:rsidR="00DC2B1A" w:rsidRDefault="00DC2B1A" w:rsidP="000E7766">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EA534D" w:rsidRPr="00913B52" w14:paraId="3E338064" w14:textId="77777777" w:rsidTr="003952EB">
        <w:tc>
          <w:tcPr>
            <w:tcW w:w="9054" w:type="dxa"/>
          </w:tcPr>
          <w:p w14:paraId="707B1DCF" w14:textId="6FB9D3D6" w:rsidR="00EA534D" w:rsidRPr="00913B52" w:rsidRDefault="00EA534D" w:rsidP="003952EB">
            <w:pPr>
              <w:pStyle w:val="Paragraphedeliste"/>
              <w:autoSpaceDE w:val="0"/>
              <w:autoSpaceDN w:val="0"/>
              <w:adjustRightInd w:val="0"/>
              <w:ind w:left="0"/>
              <w:jc w:val="both"/>
              <w:rPr>
                <w:sz w:val="18"/>
              </w:rPr>
            </w:pPr>
            <w:r w:rsidRPr="00913B52">
              <w:rPr>
                <w:rFonts w:cstheme="minorHAnsi"/>
                <w:sz w:val="18"/>
                <w:szCs w:val="18"/>
              </w:rPr>
              <w:t>Le total de chaque indicateur est = à la somme des trois sous-ventilations géographiques associées (France, au sein de l’EEE et hors de l’EEE</w:t>
            </w:r>
            <w:r w:rsidR="00424E70">
              <w:rPr>
                <w:rFonts w:cstheme="minorHAnsi"/>
                <w:sz w:val="18"/>
                <w:szCs w:val="18"/>
              </w:rPr>
              <w:t>)</w:t>
            </w:r>
            <w:r w:rsidRPr="00913B52">
              <w:rPr>
                <w:rFonts w:cstheme="minorHAnsi"/>
                <w:sz w:val="18"/>
                <w:szCs w:val="18"/>
              </w:rPr>
              <w:t>.</w:t>
            </w:r>
          </w:p>
        </w:tc>
      </w:tr>
      <w:tr w:rsidR="00EA534D" w:rsidRPr="004E58CA" w14:paraId="70DB0D30" w14:textId="77777777" w:rsidTr="003952EB">
        <w:tc>
          <w:tcPr>
            <w:tcW w:w="9054" w:type="dxa"/>
          </w:tcPr>
          <w:p w14:paraId="58D14F46" w14:textId="77777777" w:rsidR="00EA534D" w:rsidRPr="004E58CA" w:rsidRDefault="00EA534D" w:rsidP="003952EB">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EA534D" w:rsidRPr="004528E6" w14:paraId="3830AD50" w14:textId="77777777" w:rsidTr="003952EB">
        <w:trPr>
          <w:trHeight w:val="378"/>
        </w:trPr>
        <w:tc>
          <w:tcPr>
            <w:tcW w:w="9054" w:type="dxa"/>
          </w:tcPr>
          <w:p w14:paraId="5DFC6EBA" w14:textId="0B403244" w:rsidR="00EA534D" w:rsidRPr="004528E6" w:rsidRDefault="00EA534D" w:rsidP="00BE66A6">
            <w:pPr>
              <w:pStyle w:val="Paragraphedeliste"/>
              <w:autoSpaceDE w:val="0"/>
              <w:autoSpaceDN w:val="0"/>
              <w:adjustRightInd w:val="0"/>
              <w:ind w:left="0"/>
              <w:jc w:val="both"/>
              <w:rPr>
                <w:rFonts w:cstheme="minorHAnsi"/>
                <w:sz w:val="18"/>
                <w:szCs w:val="18"/>
              </w:rPr>
            </w:pPr>
            <w:r w:rsidRPr="005771F5">
              <w:rPr>
                <w:rFonts w:cstheme="minorHAnsi"/>
                <w:sz w:val="18"/>
                <w:szCs w:val="18"/>
              </w:rPr>
              <w:t>Le</w:t>
            </w:r>
            <w:r>
              <w:rPr>
                <w:rFonts w:cstheme="minorHAnsi"/>
                <w:sz w:val="18"/>
                <w:szCs w:val="18"/>
              </w:rPr>
              <w:t xml:space="preserve"> total des</w:t>
            </w:r>
            <w:r w:rsidRPr="005771F5">
              <w:rPr>
                <w:rFonts w:cstheme="minorHAnsi"/>
                <w:sz w:val="18"/>
                <w:szCs w:val="18"/>
              </w:rPr>
              <w:t xml:space="preserve"> paiements par carte </w:t>
            </w:r>
            <w:r>
              <w:rPr>
                <w:rFonts w:cstheme="minorHAnsi"/>
                <w:sz w:val="18"/>
                <w:szCs w:val="18"/>
              </w:rPr>
              <w:t xml:space="preserve">est = </w:t>
            </w:r>
            <w:r w:rsidR="00BE66A6">
              <w:rPr>
                <w:rFonts w:cstheme="minorHAnsi"/>
                <w:sz w:val="18"/>
                <w:szCs w:val="18"/>
              </w:rPr>
              <w:t xml:space="preserve">au total </w:t>
            </w:r>
            <w:r>
              <w:rPr>
                <w:rFonts w:cstheme="minorHAnsi"/>
                <w:sz w:val="18"/>
                <w:szCs w:val="18"/>
              </w:rPr>
              <w:t>d</w:t>
            </w:r>
            <w:r w:rsidRPr="005771F5">
              <w:rPr>
                <w:rFonts w:cstheme="minorHAnsi"/>
                <w:sz w:val="18"/>
                <w:szCs w:val="18"/>
              </w:rPr>
              <w:t>e</w:t>
            </w:r>
            <w:r>
              <w:rPr>
                <w:rFonts w:cstheme="minorHAnsi"/>
                <w:sz w:val="18"/>
                <w:szCs w:val="18"/>
              </w:rPr>
              <w:t>s</w:t>
            </w:r>
            <w:r w:rsidRPr="005771F5">
              <w:rPr>
                <w:rFonts w:cstheme="minorHAnsi"/>
                <w:sz w:val="18"/>
                <w:szCs w:val="18"/>
              </w:rPr>
              <w:t xml:space="preserve"> paiements</w:t>
            </w:r>
            <w:r>
              <w:rPr>
                <w:rFonts w:cstheme="minorHAnsi"/>
                <w:sz w:val="18"/>
                <w:szCs w:val="18"/>
              </w:rPr>
              <w:t xml:space="preserve"> par cartes</w:t>
            </w:r>
            <w:r w:rsidRPr="005771F5">
              <w:rPr>
                <w:rFonts w:cstheme="minorHAnsi"/>
                <w:sz w:val="18"/>
                <w:szCs w:val="18"/>
              </w:rPr>
              <w:t xml:space="preserve"> </w:t>
            </w:r>
            <w:r>
              <w:rPr>
                <w:rFonts w:cstheme="minorHAnsi"/>
                <w:sz w:val="18"/>
                <w:szCs w:val="18"/>
              </w:rPr>
              <w:t>initiés pa</w:t>
            </w:r>
            <w:r w:rsidRPr="005771F5">
              <w:rPr>
                <w:rFonts w:cstheme="minorHAnsi"/>
                <w:sz w:val="18"/>
                <w:szCs w:val="18"/>
              </w:rPr>
              <w:t xml:space="preserve">r voie </w:t>
            </w:r>
            <w:r>
              <w:rPr>
                <w:rFonts w:cstheme="minorHAnsi"/>
                <w:sz w:val="18"/>
                <w:szCs w:val="18"/>
              </w:rPr>
              <w:t xml:space="preserve">non </w:t>
            </w:r>
            <w:r w:rsidRPr="005771F5">
              <w:rPr>
                <w:rFonts w:cstheme="minorHAnsi"/>
                <w:sz w:val="18"/>
                <w:szCs w:val="18"/>
              </w:rPr>
              <w:t xml:space="preserve">électronique </w:t>
            </w:r>
            <w:r w:rsidR="00BE66A6">
              <w:rPr>
                <w:rFonts w:cstheme="minorHAnsi"/>
                <w:sz w:val="18"/>
                <w:szCs w:val="18"/>
              </w:rPr>
              <w:t xml:space="preserve">+ total des paiements par carte initiés </w:t>
            </w:r>
            <w:r>
              <w:rPr>
                <w:rFonts w:cstheme="minorHAnsi"/>
                <w:sz w:val="18"/>
                <w:szCs w:val="18"/>
              </w:rPr>
              <w:t>par voie électronique</w:t>
            </w:r>
            <w:r w:rsidRPr="005771F5">
              <w:rPr>
                <w:rFonts w:cstheme="minorHAnsi"/>
                <w:sz w:val="18"/>
                <w:szCs w:val="18"/>
              </w:rPr>
              <w:t>.</w:t>
            </w:r>
          </w:p>
        </w:tc>
      </w:tr>
      <w:tr w:rsidR="00EA534D" w:rsidRPr="00390691" w14:paraId="56AF3416" w14:textId="77777777" w:rsidTr="003952EB">
        <w:trPr>
          <w:trHeight w:val="388"/>
        </w:trPr>
        <w:tc>
          <w:tcPr>
            <w:tcW w:w="9054" w:type="dxa"/>
          </w:tcPr>
          <w:p w14:paraId="1B5CEAFA" w14:textId="75A8AE60" w:rsidR="00EA534D" w:rsidRPr="00390691" w:rsidRDefault="00EA534D" w:rsidP="00BE66A6">
            <w:pPr>
              <w:pStyle w:val="Paragraphedeliste"/>
              <w:autoSpaceDE w:val="0"/>
              <w:autoSpaceDN w:val="0"/>
              <w:adjustRightInd w:val="0"/>
              <w:ind w:left="0"/>
              <w:jc w:val="both"/>
              <w:rPr>
                <w:rFonts w:cstheme="minorHAnsi"/>
                <w:sz w:val="18"/>
                <w:szCs w:val="18"/>
              </w:rPr>
            </w:pPr>
            <w:r w:rsidRPr="005771F5">
              <w:rPr>
                <w:rFonts w:cstheme="minorHAnsi"/>
                <w:sz w:val="18"/>
                <w:szCs w:val="18"/>
              </w:rPr>
              <w:t>Le</w:t>
            </w:r>
            <w:r>
              <w:rPr>
                <w:rFonts w:cstheme="minorHAnsi"/>
                <w:sz w:val="18"/>
                <w:szCs w:val="18"/>
              </w:rPr>
              <w:t xml:space="preserve"> total des paiements par carte initiés par voie non électronique est = </w:t>
            </w:r>
            <w:r w:rsidR="00BE66A6">
              <w:rPr>
                <w:rFonts w:cstheme="minorHAnsi"/>
                <w:sz w:val="18"/>
                <w:szCs w:val="18"/>
              </w:rPr>
              <w:t xml:space="preserve">au total </w:t>
            </w:r>
            <w:r>
              <w:rPr>
                <w:rFonts w:cstheme="minorHAnsi"/>
                <w:sz w:val="18"/>
                <w:szCs w:val="18"/>
              </w:rPr>
              <w:t xml:space="preserve">de ces paiements initiés à distance </w:t>
            </w:r>
            <w:r w:rsidR="00BE66A6">
              <w:rPr>
                <w:rFonts w:cstheme="minorHAnsi"/>
                <w:sz w:val="18"/>
                <w:szCs w:val="18"/>
              </w:rPr>
              <w:t>+ total de ces paiements initiés</w:t>
            </w:r>
            <w:r>
              <w:rPr>
                <w:rFonts w:cstheme="minorHAnsi"/>
                <w:sz w:val="18"/>
                <w:szCs w:val="18"/>
              </w:rPr>
              <w:t xml:space="preserve"> en proximité.</w:t>
            </w:r>
          </w:p>
        </w:tc>
      </w:tr>
      <w:tr w:rsidR="00EA534D" w:rsidRPr="00390691" w14:paraId="0E61752E" w14:textId="77777777" w:rsidTr="003952EB">
        <w:trPr>
          <w:trHeight w:val="388"/>
        </w:trPr>
        <w:tc>
          <w:tcPr>
            <w:tcW w:w="9054" w:type="dxa"/>
          </w:tcPr>
          <w:p w14:paraId="1A6E23D5" w14:textId="117B6CCA" w:rsidR="00EA534D" w:rsidRPr="00390691" w:rsidRDefault="00EA534D" w:rsidP="00BE66A6">
            <w:pPr>
              <w:pStyle w:val="Paragraphedeliste"/>
              <w:autoSpaceDE w:val="0"/>
              <w:autoSpaceDN w:val="0"/>
              <w:adjustRightInd w:val="0"/>
              <w:ind w:left="0"/>
              <w:jc w:val="both"/>
              <w:rPr>
                <w:rFonts w:cstheme="minorHAnsi"/>
                <w:sz w:val="18"/>
                <w:szCs w:val="18"/>
              </w:rPr>
            </w:pPr>
            <w:r w:rsidRPr="00390691">
              <w:rPr>
                <w:rFonts w:cstheme="minorHAnsi"/>
                <w:sz w:val="18"/>
                <w:szCs w:val="18"/>
              </w:rPr>
              <w:t>Le</w:t>
            </w:r>
            <w:r>
              <w:rPr>
                <w:rFonts w:cstheme="minorHAnsi"/>
                <w:sz w:val="18"/>
                <w:szCs w:val="18"/>
              </w:rPr>
              <w:t xml:space="preserve"> total des</w:t>
            </w:r>
            <w:r w:rsidRPr="00390691">
              <w:rPr>
                <w:rFonts w:cstheme="minorHAnsi"/>
                <w:sz w:val="18"/>
                <w:szCs w:val="18"/>
              </w:rPr>
              <w:t xml:space="preserve"> </w:t>
            </w:r>
            <w:r w:rsidRPr="00A675AF">
              <w:rPr>
                <w:rFonts w:cstheme="minorHAnsi"/>
                <w:sz w:val="18"/>
                <w:szCs w:val="18"/>
              </w:rPr>
              <w:t xml:space="preserve">paiements par cartes </w:t>
            </w:r>
            <w:r>
              <w:rPr>
                <w:rFonts w:cstheme="minorHAnsi"/>
                <w:sz w:val="18"/>
                <w:szCs w:val="18"/>
              </w:rPr>
              <w:t xml:space="preserve">initiés par voie électronique est = </w:t>
            </w:r>
            <w:r w:rsidR="00BE66A6">
              <w:rPr>
                <w:rFonts w:cstheme="minorHAnsi"/>
                <w:sz w:val="18"/>
                <w:szCs w:val="18"/>
              </w:rPr>
              <w:t xml:space="preserve">au total </w:t>
            </w:r>
            <w:r>
              <w:rPr>
                <w:rFonts w:cstheme="minorHAnsi"/>
                <w:sz w:val="18"/>
                <w:szCs w:val="18"/>
              </w:rPr>
              <w:t xml:space="preserve">de ces paiements initiés à distance </w:t>
            </w:r>
            <w:r w:rsidR="00BE66A6">
              <w:rPr>
                <w:rFonts w:cstheme="minorHAnsi"/>
                <w:sz w:val="18"/>
                <w:szCs w:val="18"/>
              </w:rPr>
              <w:t xml:space="preserve">+ total de ces paiements initiés </w:t>
            </w:r>
            <w:r>
              <w:rPr>
                <w:rFonts w:cstheme="minorHAnsi"/>
                <w:sz w:val="18"/>
                <w:szCs w:val="18"/>
              </w:rPr>
              <w:t>en proximité</w:t>
            </w:r>
            <w:r w:rsidRPr="00390691">
              <w:rPr>
                <w:rFonts w:cstheme="minorHAnsi"/>
                <w:sz w:val="18"/>
                <w:szCs w:val="18"/>
              </w:rPr>
              <w:t>.</w:t>
            </w:r>
          </w:p>
        </w:tc>
      </w:tr>
      <w:tr w:rsidR="00EA534D" w:rsidRPr="00606710" w14:paraId="3F84C2A6" w14:textId="77777777" w:rsidTr="003952EB">
        <w:trPr>
          <w:trHeight w:val="410"/>
        </w:trPr>
        <w:tc>
          <w:tcPr>
            <w:tcW w:w="9054" w:type="dxa"/>
          </w:tcPr>
          <w:p w14:paraId="2183273B" w14:textId="1EFD4F54" w:rsidR="00EA534D" w:rsidRPr="00606710" w:rsidRDefault="00EA534D" w:rsidP="00BE66A6">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est = </w:t>
            </w:r>
            <w:r w:rsidR="00EF31EC">
              <w:rPr>
                <w:rFonts w:cstheme="minorHAnsi"/>
                <w:sz w:val="18"/>
                <w:szCs w:val="18"/>
              </w:rPr>
              <w:t>au total de</w:t>
            </w:r>
            <w:r>
              <w:rPr>
                <w:rFonts w:cstheme="minorHAnsi"/>
                <w:sz w:val="18"/>
                <w:szCs w:val="18"/>
              </w:rPr>
              <w:t xml:space="preserve"> ces paiements initiés depuis un TPE</w:t>
            </w:r>
            <w:r w:rsidR="00BE66A6">
              <w:rPr>
                <w:rFonts w:cstheme="minorHAnsi"/>
                <w:sz w:val="18"/>
                <w:szCs w:val="18"/>
              </w:rPr>
              <w:t xml:space="preserve"> + total de ces paiements initiés depuis un GAB + total de ces paiements initiés</w:t>
            </w:r>
            <w:r>
              <w:rPr>
                <w:rFonts w:cstheme="minorHAnsi"/>
                <w:sz w:val="18"/>
                <w:szCs w:val="18"/>
              </w:rPr>
              <w:t xml:space="preserve"> depuis autres canaux.</w:t>
            </w:r>
          </w:p>
        </w:tc>
      </w:tr>
      <w:tr w:rsidR="00EA534D" w14:paraId="1D6AB642" w14:textId="77777777" w:rsidTr="003952EB">
        <w:trPr>
          <w:trHeight w:val="488"/>
        </w:trPr>
        <w:tc>
          <w:tcPr>
            <w:tcW w:w="9054" w:type="dxa"/>
          </w:tcPr>
          <w:p w14:paraId="0215E7D0" w14:textId="4FC9BD35" w:rsidR="00EA534D" w:rsidRDefault="00EA534D" w:rsidP="00543514">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à distance est = à la somme de ces paiements ventilés par schéma de </w:t>
            </w:r>
            <w:r w:rsidR="00543514">
              <w:rPr>
                <w:rFonts w:cstheme="minorHAnsi"/>
                <w:sz w:val="18"/>
                <w:szCs w:val="18"/>
              </w:rPr>
              <w:t>carte</w:t>
            </w:r>
            <w:r>
              <w:rPr>
                <w:rFonts w:cstheme="minorHAnsi"/>
                <w:sz w:val="18"/>
                <w:szCs w:val="18"/>
              </w:rPr>
              <w:t xml:space="preserve">. </w:t>
            </w:r>
          </w:p>
        </w:tc>
      </w:tr>
      <w:tr w:rsidR="00EA534D" w14:paraId="7CAF7497" w14:textId="77777777" w:rsidTr="003952EB">
        <w:trPr>
          <w:trHeight w:val="488"/>
        </w:trPr>
        <w:tc>
          <w:tcPr>
            <w:tcW w:w="9054" w:type="dxa"/>
          </w:tcPr>
          <w:p w14:paraId="21DED574" w14:textId="7EE57938" w:rsidR="00EA534D" w:rsidRDefault="00EA534D" w:rsidP="00543514">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est = à la somme de ces paiements ventilés par schéma de </w:t>
            </w:r>
            <w:r w:rsidR="00543514">
              <w:rPr>
                <w:rFonts w:cstheme="minorHAnsi"/>
                <w:sz w:val="18"/>
                <w:szCs w:val="18"/>
              </w:rPr>
              <w:t>carte</w:t>
            </w:r>
            <w:r>
              <w:rPr>
                <w:rFonts w:cstheme="minorHAnsi"/>
                <w:sz w:val="18"/>
                <w:szCs w:val="18"/>
              </w:rPr>
              <w:t>.</w:t>
            </w:r>
          </w:p>
        </w:tc>
      </w:tr>
      <w:tr w:rsidR="00EA534D" w14:paraId="3AA029F5" w14:textId="77777777" w:rsidTr="003952EB">
        <w:trPr>
          <w:trHeight w:val="488"/>
        </w:trPr>
        <w:tc>
          <w:tcPr>
            <w:tcW w:w="9054" w:type="dxa"/>
          </w:tcPr>
          <w:p w14:paraId="7218C08F" w14:textId="1A912345" w:rsidR="00EA534D" w:rsidRDefault="00EA534D" w:rsidP="00424E70">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w:t>
            </w:r>
            <w:r w:rsidR="00424E70">
              <w:rPr>
                <w:rFonts w:cstheme="minorHAnsi"/>
                <w:sz w:val="18"/>
                <w:szCs w:val="18"/>
              </w:rPr>
              <w:t>par voie électronique à distance et traités par CB</w:t>
            </w:r>
            <w:r>
              <w:rPr>
                <w:rFonts w:cstheme="minorHAnsi"/>
                <w:sz w:val="18"/>
                <w:szCs w:val="18"/>
              </w:rPr>
              <w:t xml:space="preserve"> est = à la somme de ces paiements ventilés par fonction de carte. </w:t>
            </w:r>
            <w:r w:rsidR="00424E70">
              <w:rPr>
                <w:rFonts w:cstheme="minorHAnsi"/>
                <w:sz w:val="18"/>
                <w:szCs w:val="18"/>
              </w:rPr>
              <w:t>Cette règle s’applique à chaque schéma de carte.</w:t>
            </w:r>
          </w:p>
        </w:tc>
      </w:tr>
      <w:tr w:rsidR="00424E70" w14:paraId="782D2679" w14:textId="77777777" w:rsidTr="003952EB">
        <w:trPr>
          <w:trHeight w:val="488"/>
        </w:trPr>
        <w:tc>
          <w:tcPr>
            <w:tcW w:w="9054" w:type="dxa"/>
          </w:tcPr>
          <w:p w14:paraId="7B654C4D" w14:textId="046717D4" w:rsidR="00424E70" w:rsidRDefault="00424E70" w:rsidP="00424E70">
            <w:pPr>
              <w:pStyle w:val="Paragraphedeliste"/>
              <w:autoSpaceDE w:val="0"/>
              <w:autoSpaceDN w:val="0"/>
              <w:adjustRightInd w:val="0"/>
              <w:ind w:left="0"/>
              <w:jc w:val="both"/>
              <w:rPr>
                <w:rFonts w:cstheme="minorHAnsi"/>
                <w:sz w:val="18"/>
                <w:szCs w:val="18"/>
              </w:rPr>
            </w:pPr>
            <w:r>
              <w:rPr>
                <w:rFonts w:cstheme="minorHAnsi"/>
                <w:sz w:val="18"/>
                <w:szCs w:val="18"/>
              </w:rPr>
              <w:t>Le total des paiements par carte initiés par voie électronique en proximité et traités par CB est = à la somme de ces paiements ventilés par fonction de carte. Cette règle s’applique à chaque schéma de carte.</w:t>
            </w:r>
          </w:p>
        </w:tc>
      </w:tr>
      <w:tr w:rsidR="00EA534D" w:rsidRPr="00830422" w14:paraId="32604A7D" w14:textId="77777777" w:rsidTr="003952EB">
        <w:trPr>
          <w:trHeight w:val="513"/>
        </w:trPr>
        <w:tc>
          <w:tcPr>
            <w:tcW w:w="9054" w:type="dxa"/>
          </w:tcPr>
          <w:p w14:paraId="2D766729" w14:textId="48CE849E" w:rsidR="00EA534D" w:rsidRPr="00830422" w:rsidRDefault="00EA534D" w:rsidP="00424E70">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w:t>
            </w:r>
            <w:r w:rsidR="00424E70">
              <w:rPr>
                <w:rFonts w:cstheme="minorHAnsi"/>
                <w:sz w:val="18"/>
                <w:szCs w:val="18"/>
              </w:rPr>
              <w:t xml:space="preserve">par voie électronique à distance et traités par CB </w:t>
            </w:r>
            <w:r>
              <w:rPr>
                <w:rFonts w:cstheme="minorHAnsi"/>
                <w:sz w:val="18"/>
                <w:szCs w:val="18"/>
              </w:rPr>
              <w:t xml:space="preserve">est = à la somme de </w:t>
            </w:r>
            <w:r w:rsidR="00424E70">
              <w:rPr>
                <w:rFonts w:cstheme="minorHAnsi"/>
                <w:sz w:val="18"/>
                <w:szCs w:val="18"/>
              </w:rPr>
              <w:t xml:space="preserve">ces paiements ventilés par </w:t>
            </w:r>
            <w:r w:rsidRPr="00A675AF">
              <w:rPr>
                <w:rFonts w:cstheme="minorHAnsi"/>
                <w:sz w:val="18"/>
                <w:szCs w:val="18"/>
              </w:rPr>
              <w:t>niveau d’authentification</w:t>
            </w:r>
            <w:r w:rsidRPr="00830422">
              <w:rPr>
                <w:rFonts w:cstheme="minorHAnsi"/>
                <w:sz w:val="18"/>
                <w:szCs w:val="18"/>
              </w:rPr>
              <w:t xml:space="preserve"> (</w:t>
            </w:r>
            <w:r w:rsidRPr="00A675AF">
              <w:rPr>
                <w:rFonts w:cstheme="minorHAnsi"/>
                <w:sz w:val="18"/>
                <w:szCs w:val="18"/>
              </w:rPr>
              <w:t>avec ou sans authentification forte</w:t>
            </w:r>
            <w:r w:rsidRPr="00830422">
              <w:rPr>
                <w:rFonts w:cstheme="minorHAnsi"/>
                <w:sz w:val="18"/>
                <w:szCs w:val="18"/>
              </w:rPr>
              <w:t>)</w:t>
            </w:r>
            <w:r>
              <w:rPr>
                <w:rFonts w:cstheme="minorHAnsi"/>
                <w:sz w:val="18"/>
                <w:szCs w:val="18"/>
              </w:rPr>
              <w:t>.</w:t>
            </w:r>
            <w:r w:rsidR="00424E70">
              <w:rPr>
                <w:rFonts w:cstheme="minorHAnsi"/>
                <w:sz w:val="18"/>
                <w:szCs w:val="18"/>
              </w:rPr>
              <w:t xml:space="preserve"> Cette règle s’applique à chaque schéma de carte.</w:t>
            </w:r>
          </w:p>
        </w:tc>
      </w:tr>
      <w:tr w:rsidR="00424E70" w:rsidRPr="00830422" w14:paraId="37178669" w14:textId="77777777" w:rsidTr="003952EB">
        <w:trPr>
          <w:trHeight w:val="513"/>
        </w:trPr>
        <w:tc>
          <w:tcPr>
            <w:tcW w:w="9054" w:type="dxa"/>
          </w:tcPr>
          <w:p w14:paraId="0151B849" w14:textId="2304B440" w:rsidR="00424E70" w:rsidRDefault="00424E70" w:rsidP="00424E70">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et traités par CB est = à la somme de ces paiements ventilés par </w:t>
            </w:r>
            <w:r w:rsidRPr="00A675AF">
              <w:rPr>
                <w:rFonts w:cstheme="minorHAnsi"/>
                <w:sz w:val="18"/>
                <w:szCs w:val="18"/>
              </w:rPr>
              <w:t>niveau d’authentification</w:t>
            </w:r>
            <w:r w:rsidRPr="00830422">
              <w:rPr>
                <w:rFonts w:cstheme="minorHAnsi"/>
                <w:sz w:val="18"/>
                <w:szCs w:val="18"/>
              </w:rPr>
              <w:t xml:space="preserve"> (</w:t>
            </w:r>
            <w:r w:rsidRPr="00A675AF">
              <w:rPr>
                <w:rFonts w:cstheme="minorHAnsi"/>
                <w:sz w:val="18"/>
                <w:szCs w:val="18"/>
              </w:rPr>
              <w:t>avec ou sans authentification forte</w:t>
            </w:r>
            <w:r w:rsidRPr="00830422">
              <w:rPr>
                <w:rFonts w:cstheme="minorHAnsi"/>
                <w:sz w:val="18"/>
                <w:szCs w:val="18"/>
              </w:rPr>
              <w:t>)</w:t>
            </w:r>
            <w:r>
              <w:rPr>
                <w:rFonts w:cstheme="minorHAnsi"/>
                <w:sz w:val="18"/>
                <w:szCs w:val="18"/>
              </w:rPr>
              <w:t>. Cette règle s’applique à chaque schéma de carte.</w:t>
            </w:r>
          </w:p>
        </w:tc>
      </w:tr>
      <w:tr w:rsidR="00424E70" w:rsidRPr="00A675AF" w14:paraId="0028E115" w14:textId="77777777" w:rsidTr="003952EB">
        <w:trPr>
          <w:trHeight w:val="536"/>
        </w:trPr>
        <w:tc>
          <w:tcPr>
            <w:tcW w:w="9054" w:type="dxa"/>
          </w:tcPr>
          <w:p w14:paraId="331678E6" w14:textId="4E3765AB" w:rsidR="00424E70" w:rsidRPr="00A675AF" w:rsidRDefault="00424E70" w:rsidP="004C23A9">
            <w:pPr>
              <w:pStyle w:val="Paragraphedeliste"/>
              <w:autoSpaceDE w:val="0"/>
              <w:autoSpaceDN w:val="0"/>
              <w:adjustRightInd w:val="0"/>
              <w:ind w:left="0"/>
              <w:jc w:val="both"/>
              <w:rPr>
                <w:rFonts w:cstheme="minorHAnsi"/>
                <w:sz w:val="18"/>
                <w:szCs w:val="18"/>
              </w:rPr>
            </w:pPr>
            <w:r>
              <w:rPr>
                <w:rFonts w:cstheme="minorHAnsi"/>
                <w:sz w:val="18"/>
                <w:szCs w:val="18"/>
              </w:rPr>
              <w:t>Le total des</w:t>
            </w:r>
            <w:r w:rsidRPr="00A675AF">
              <w:rPr>
                <w:rFonts w:cstheme="minorHAnsi"/>
                <w:sz w:val="18"/>
                <w:szCs w:val="18"/>
              </w:rPr>
              <w:t xml:space="preserve"> paiements </w:t>
            </w:r>
            <w:r>
              <w:rPr>
                <w:rFonts w:cstheme="minorHAnsi"/>
                <w:sz w:val="18"/>
                <w:szCs w:val="18"/>
              </w:rPr>
              <w:t xml:space="preserve">par carte initiés par voie électronique à distance et traités par CB </w:t>
            </w:r>
            <w:r w:rsidRPr="00A675AF">
              <w:rPr>
                <w:rFonts w:cstheme="minorHAnsi"/>
                <w:sz w:val="18"/>
                <w:szCs w:val="18"/>
              </w:rPr>
              <w:t xml:space="preserve">sans authentification forte </w:t>
            </w:r>
            <w:r>
              <w:rPr>
                <w:rFonts w:cstheme="minorHAnsi"/>
                <w:sz w:val="18"/>
                <w:szCs w:val="18"/>
              </w:rPr>
              <w:t>est = à la somme de ces paiements ventilés p</w:t>
            </w:r>
            <w:r w:rsidRPr="00A675AF">
              <w:rPr>
                <w:rFonts w:cstheme="minorHAnsi"/>
                <w:sz w:val="18"/>
                <w:szCs w:val="18"/>
              </w:rPr>
              <w:t>ar motif d’exemption</w:t>
            </w:r>
            <w:r>
              <w:rPr>
                <w:rFonts w:cstheme="minorHAnsi"/>
                <w:sz w:val="18"/>
                <w:szCs w:val="18"/>
              </w:rPr>
              <w:t>. Cette règle s’applique à chaque schéma de carte.</w:t>
            </w:r>
          </w:p>
        </w:tc>
      </w:tr>
    </w:tbl>
    <w:p w14:paraId="69D0473A" w14:textId="290D53C5" w:rsidR="00EA534D" w:rsidRDefault="00EA534D" w:rsidP="000E7766">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4C23A9" w:rsidRPr="00830422" w14:paraId="69B3052E" w14:textId="77777777" w:rsidTr="001E7C8E">
        <w:trPr>
          <w:trHeight w:val="513"/>
        </w:trPr>
        <w:tc>
          <w:tcPr>
            <w:tcW w:w="9054" w:type="dxa"/>
          </w:tcPr>
          <w:p w14:paraId="46709FE6" w14:textId="1559CF06" w:rsidR="004C23A9" w:rsidRPr="00830422" w:rsidRDefault="004C23A9" w:rsidP="004C23A9">
            <w:pPr>
              <w:pStyle w:val="Paragraphedeliste"/>
              <w:autoSpaceDE w:val="0"/>
              <w:autoSpaceDN w:val="0"/>
              <w:adjustRightInd w:val="0"/>
              <w:ind w:left="0"/>
              <w:jc w:val="both"/>
              <w:rPr>
                <w:rFonts w:cstheme="minorHAnsi"/>
                <w:sz w:val="18"/>
                <w:szCs w:val="18"/>
              </w:rPr>
            </w:pPr>
            <w:r>
              <w:rPr>
                <w:rFonts w:cstheme="minorHAnsi"/>
                <w:sz w:val="18"/>
                <w:szCs w:val="18"/>
              </w:rPr>
              <w:t>Le total des</w:t>
            </w:r>
            <w:r w:rsidRPr="00A675AF">
              <w:rPr>
                <w:rFonts w:cstheme="minorHAnsi"/>
                <w:sz w:val="18"/>
                <w:szCs w:val="18"/>
              </w:rPr>
              <w:t xml:space="preserve"> paiements </w:t>
            </w:r>
            <w:r>
              <w:rPr>
                <w:rFonts w:cstheme="minorHAnsi"/>
                <w:sz w:val="18"/>
                <w:szCs w:val="18"/>
              </w:rPr>
              <w:t xml:space="preserve">par carte initiés par voie électronique en proximité et traités par CB </w:t>
            </w:r>
            <w:r w:rsidRPr="00A675AF">
              <w:rPr>
                <w:rFonts w:cstheme="minorHAnsi"/>
                <w:sz w:val="18"/>
                <w:szCs w:val="18"/>
              </w:rPr>
              <w:t xml:space="preserve">sans authentification forte </w:t>
            </w:r>
            <w:r>
              <w:rPr>
                <w:rFonts w:cstheme="minorHAnsi"/>
                <w:sz w:val="18"/>
                <w:szCs w:val="18"/>
              </w:rPr>
              <w:t>est = à la somme de ces paiements ventilés p</w:t>
            </w:r>
            <w:r w:rsidRPr="00A675AF">
              <w:rPr>
                <w:rFonts w:cstheme="minorHAnsi"/>
                <w:sz w:val="18"/>
                <w:szCs w:val="18"/>
              </w:rPr>
              <w:t>ar motif d’exemption</w:t>
            </w:r>
            <w:r>
              <w:rPr>
                <w:rFonts w:cstheme="minorHAnsi"/>
                <w:sz w:val="18"/>
                <w:szCs w:val="18"/>
              </w:rPr>
              <w:t>. Cette règle s’applique à chaque schéma de carte.</w:t>
            </w:r>
          </w:p>
        </w:tc>
      </w:tr>
    </w:tbl>
    <w:p w14:paraId="29C39F74" w14:textId="77777777" w:rsidR="00DA1236" w:rsidRPr="00071992" w:rsidRDefault="00DA1236" w:rsidP="000E7766">
      <w:pPr>
        <w:pStyle w:val="Paragraphedeliste"/>
        <w:autoSpaceDE w:val="0"/>
        <w:autoSpaceDN w:val="0"/>
        <w:adjustRightInd w:val="0"/>
        <w:spacing w:after="0" w:line="240" w:lineRule="auto"/>
        <w:jc w:val="both"/>
      </w:pPr>
    </w:p>
    <w:p w14:paraId="4D1B7984" w14:textId="5CFF6450" w:rsidR="009427B3" w:rsidRPr="00594FDC" w:rsidRDefault="009427B3" w:rsidP="006B400E">
      <w:pPr>
        <w:pStyle w:val="Titre4"/>
        <w:numPr>
          <w:ilvl w:val="3"/>
          <w:numId w:val="20"/>
        </w:numPr>
      </w:pPr>
      <w:bookmarkStart w:id="39" w:name="_Toc222476870"/>
      <w:r w:rsidRPr="00594FDC">
        <w:t xml:space="preserve">Opérations </w:t>
      </w:r>
      <w:r w:rsidR="00464D62" w:rsidRPr="00594FDC">
        <w:t xml:space="preserve">initiées </w:t>
      </w:r>
      <w:r w:rsidRPr="00594FDC">
        <w:t xml:space="preserve">en proximité </w:t>
      </w:r>
      <w:r w:rsidR="00464D62" w:rsidRPr="00594FDC">
        <w:t>d</w:t>
      </w:r>
      <w:r w:rsidRPr="00594FDC">
        <w:t>epuis les terminaux gérés par l’établissement à partir de cartes émises par des PSP français</w:t>
      </w:r>
      <w:bookmarkEnd w:id="39"/>
    </w:p>
    <w:p w14:paraId="3B4D6ADF" w14:textId="2409BA44" w:rsidR="009427B3" w:rsidRDefault="009427B3" w:rsidP="00F735D7">
      <w:pPr>
        <w:spacing w:after="0" w:line="240" w:lineRule="auto"/>
        <w:rPr>
          <w:rFonts w:ascii="Calibri" w:eastAsia="Times New Roman" w:hAnsi="Calibri" w:cs="Calibri"/>
          <w:i/>
          <w:sz w:val="20"/>
          <w:szCs w:val="20"/>
          <w:lang w:eastAsia="fr-FR"/>
        </w:rPr>
      </w:pPr>
    </w:p>
    <w:p w14:paraId="6A0BE1CF" w14:textId="4A468F34" w:rsidR="009427B3" w:rsidRDefault="009427B3" w:rsidP="009427B3">
      <w:pPr>
        <w:jc w:val="both"/>
        <w:rPr>
          <w:rFonts w:cstheme="minorHAnsi"/>
        </w:rPr>
      </w:pPr>
      <w:r w:rsidRPr="009427B3">
        <w:rPr>
          <w:rFonts w:cstheme="minorHAnsi"/>
        </w:rPr>
        <w:t xml:space="preserve">Il s’agit de déclarer, en nombre et valeur, les opérations initiées, à partir de cartes émises par des </w:t>
      </w:r>
      <w:r w:rsidR="009A4CBB">
        <w:rPr>
          <w:rFonts w:cstheme="minorHAnsi"/>
        </w:rPr>
        <w:t xml:space="preserve">PSP </w:t>
      </w:r>
      <w:r w:rsidRPr="009427B3">
        <w:rPr>
          <w:rFonts w:cstheme="minorHAnsi"/>
        </w:rPr>
        <w:t xml:space="preserve">résidents en France, en proximité depuis des terminaux/GAB gérés par l’établissement </w:t>
      </w:r>
      <w:r w:rsidR="009A4CBB">
        <w:rPr>
          <w:rFonts w:cstheme="minorHAnsi"/>
        </w:rPr>
        <w:t xml:space="preserve">avec une ventilation par type de </w:t>
      </w:r>
      <w:r w:rsidR="000E7766">
        <w:rPr>
          <w:rFonts w:cstheme="minorHAnsi"/>
        </w:rPr>
        <w:t>terminal </w:t>
      </w:r>
      <w:r w:rsidRPr="009427B3">
        <w:rPr>
          <w:rFonts w:cstheme="minorHAnsi"/>
        </w:rPr>
        <w:t xml:space="preserve">: retraits et dépôts d’espèces aux GAB, opérations à un point de vente (hors opérations en monnaie électronique), chargement/déchargement de cartes de monnaie </w:t>
      </w:r>
      <w:r w:rsidRPr="009427B3">
        <w:rPr>
          <w:rFonts w:cstheme="minorHAnsi"/>
        </w:rPr>
        <w:lastRenderedPageBreak/>
        <w:t>électronique et paiements en monnaie en monnaie électronique avec cartes ayant une fonction de monnaie électronique.</w:t>
      </w:r>
    </w:p>
    <w:p w14:paraId="04D54E06" w14:textId="77777777" w:rsidR="007578FE" w:rsidRDefault="007578FE" w:rsidP="007578FE">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061EE47F" w14:textId="77777777" w:rsidR="006B41DD" w:rsidRDefault="006B41DD" w:rsidP="007578FE">
      <w:pPr>
        <w:spacing w:after="0" w:line="240" w:lineRule="auto"/>
        <w:jc w:val="both"/>
        <w:rPr>
          <w:rFonts w:cstheme="minorHAnsi"/>
          <w:b/>
          <w:smallCaps/>
        </w:rPr>
      </w:pPr>
    </w:p>
    <w:tbl>
      <w:tblPr>
        <w:tblStyle w:val="Tableausimple2"/>
        <w:tblW w:w="9070" w:type="dxa"/>
        <w:tblBorders>
          <w:top w:val="single" w:sz="18" w:space="0" w:color="5B9BD5" w:themeColor="accent1"/>
          <w:bottom w:val="single" w:sz="18" w:space="0" w:color="auto"/>
          <w:insideH w:val="single" w:sz="4" w:space="0" w:color="5B9BD5" w:themeColor="accent1"/>
          <w:insideV w:val="single" w:sz="4" w:space="0" w:color="5B9BD5" w:themeColor="accent1"/>
        </w:tblBorders>
        <w:tblLook w:val="04A0" w:firstRow="1" w:lastRow="0" w:firstColumn="1" w:lastColumn="0" w:noHBand="0" w:noVBand="1"/>
      </w:tblPr>
      <w:tblGrid>
        <w:gridCol w:w="277"/>
        <w:gridCol w:w="3977"/>
        <w:gridCol w:w="1908"/>
        <w:gridCol w:w="1134"/>
        <w:gridCol w:w="887"/>
        <w:gridCol w:w="887"/>
      </w:tblGrid>
      <w:tr w:rsidR="00B369F7" w:rsidRPr="005A160E" w14:paraId="47CE545D" w14:textId="77777777" w:rsidTr="00BA76E7">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6162" w:type="dxa"/>
            <w:gridSpan w:val="3"/>
            <w:noWrap/>
          </w:tcPr>
          <w:p w14:paraId="32624134" w14:textId="77777777" w:rsidR="00B369F7" w:rsidRPr="002414A7" w:rsidRDefault="00B369F7" w:rsidP="00B369F7">
            <w:pPr>
              <w:jc w:val="both"/>
              <w:rPr>
                <w:rFonts w:ascii="Calibri" w:eastAsia="Times New Roman" w:hAnsi="Calibri" w:cs="Calibri"/>
                <w:b w:val="0"/>
                <w:sz w:val="18"/>
                <w:szCs w:val="18"/>
                <w:lang w:eastAsia="fr-FR"/>
              </w:rPr>
            </w:pPr>
          </w:p>
        </w:tc>
        <w:tc>
          <w:tcPr>
            <w:tcW w:w="113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noWrap/>
          </w:tcPr>
          <w:p w14:paraId="7E6C2D1F" w14:textId="33E2ED0A" w:rsidR="00B369F7" w:rsidRPr="0099566D" w:rsidRDefault="00A9350C" w:rsidP="00A9350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bCs w:val="0"/>
                <w:sz w:val="14"/>
                <w:szCs w:val="18"/>
              </w:rPr>
              <w:t>Pays de localisation du terminal</w:t>
            </w:r>
          </w:p>
        </w:tc>
        <w:tc>
          <w:tcPr>
            <w:tcW w:w="887"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170BF82C" w14:textId="5DE00DE3" w:rsidR="00B369F7" w:rsidRPr="0099566D" w:rsidRDefault="00B369F7" w:rsidP="00B369F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887" w:type="dxa"/>
            <w:tcBorders>
              <w:top w:val="single" w:sz="18" w:space="0" w:color="5B9BD5" w:themeColor="accent1"/>
              <w:left w:val="single" w:sz="2" w:space="0" w:color="5B9BD5" w:themeColor="accent1"/>
              <w:bottom w:val="single" w:sz="2" w:space="0" w:color="5B9BD5" w:themeColor="accent1"/>
            </w:tcBorders>
            <w:shd w:val="solid" w:color="FFFFFF" w:fill="000000"/>
          </w:tcPr>
          <w:p w14:paraId="7781980D" w14:textId="77777777" w:rsidR="00B369F7" w:rsidRPr="007D187B" w:rsidRDefault="00B369F7" w:rsidP="00B369F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413C77D7" w14:textId="41B31BB7" w:rsidR="00B369F7" w:rsidRPr="0099566D" w:rsidRDefault="00B369F7" w:rsidP="00B369F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sidRPr="007D187B">
              <w:rPr>
                <w:rFonts w:cstheme="minorHAnsi"/>
                <w:bCs w:val="0"/>
                <w:sz w:val="14"/>
                <w:szCs w:val="18"/>
              </w:rPr>
              <w:t>euros</w:t>
            </w:r>
            <w:proofErr w:type="gramEnd"/>
          </w:p>
        </w:tc>
      </w:tr>
      <w:tr w:rsidR="00A9350C" w:rsidRPr="005A160E" w14:paraId="174B4125" w14:textId="17004CA7" w:rsidTr="00B369F7">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254" w:type="dxa"/>
            <w:gridSpan w:val="2"/>
            <w:noWrap/>
          </w:tcPr>
          <w:p w14:paraId="27F56621" w14:textId="3FBB94B7" w:rsidR="00A9350C" w:rsidRPr="002414A7" w:rsidRDefault="00A9350C" w:rsidP="00FC23F6">
            <w:pPr>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Opérations effectuées aux terminaux et GAB fournis par l’établissement avec des cartes émises par des PSP français</w:t>
            </w:r>
          </w:p>
        </w:tc>
        <w:tc>
          <w:tcPr>
            <w:tcW w:w="1908" w:type="dxa"/>
          </w:tcPr>
          <w:p w14:paraId="3923EAB7" w14:textId="77777777" w:rsidR="00A9350C" w:rsidRPr="002414A7" w:rsidRDefault="00A9350C" w:rsidP="0084488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sidRPr="002414A7">
              <w:rPr>
                <w:rFonts w:ascii="Calibri" w:eastAsia="Times New Roman" w:hAnsi="Calibri" w:cs="Calibri"/>
                <w:b/>
                <w:sz w:val="18"/>
                <w:szCs w:val="18"/>
                <w:lang w:eastAsia="fr-FR"/>
              </w:rPr>
              <w:t>Opérations initiées en proximité depuis des GAB et terminaux.</w:t>
            </w:r>
          </w:p>
          <w:p w14:paraId="0C5BBF3B" w14:textId="3BB486AE" w:rsidR="00A9350C" w:rsidRPr="002414A7" w:rsidRDefault="00A9350C" w:rsidP="0084488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4E58CA">
              <w:rPr>
                <w:rFonts w:ascii="Calibri" w:hAnsi="Calibri"/>
                <w:sz w:val="18"/>
              </w:rPr>
              <w:t>L</w:t>
            </w:r>
            <w:r>
              <w:rPr>
                <w:rFonts w:ascii="Calibri" w:hAnsi="Calibri"/>
                <w:sz w:val="18"/>
              </w:rPr>
              <w:t>es</w:t>
            </w:r>
            <w:r w:rsidRPr="004E58CA">
              <w:rPr>
                <w:rFonts w:ascii="Calibri" w:hAnsi="Calibri"/>
                <w:sz w:val="18"/>
              </w:rPr>
              <w:t xml:space="preserve"> ventilation</w:t>
            </w:r>
            <w:r>
              <w:rPr>
                <w:rFonts w:ascii="Calibri" w:hAnsi="Calibri"/>
                <w:sz w:val="18"/>
              </w:rPr>
              <w:t>s</w:t>
            </w:r>
            <w:r w:rsidRPr="004E58CA">
              <w:rPr>
                <w:rFonts w:ascii="Calibri" w:hAnsi="Calibri"/>
                <w:sz w:val="18"/>
              </w:rPr>
              <w:t xml:space="preserve"> géographique</w:t>
            </w:r>
            <w:r>
              <w:rPr>
                <w:rFonts w:ascii="Calibri" w:hAnsi="Calibri"/>
                <w:sz w:val="18"/>
              </w:rPr>
              <w:t xml:space="preserve">s des transactions, qui suivent, sont </w:t>
            </w:r>
            <w:r w:rsidRPr="004E58CA">
              <w:rPr>
                <w:rFonts w:ascii="Calibri" w:hAnsi="Calibri"/>
                <w:sz w:val="18"/>
              </w:rPr>
              <w:t>basée</w:t>
            </w:r>
            <w:r>
              <w:rPr>
                <w:rFonts w:ascii="Calibri" w:hAnsi="Calibri"/>
                <w:sz w:val="18"/>
              </w:rPr>
              <w:t>s</w:t>
            </w:r>
            <w:r w:rsidRPr="004E58CA">
              <w:rPr>
                <w:rFonts w:ascii="Calibri" w:hAnsi="Calibri"/>
                <w:sz w:val="18"/>
              </w:rPr>
              <w:t xml:space="preserve"> sur le lieu où est situé le GAB/terminal.</w:t>
            </w:r>
          </w:p>
        </w:tc>
        <w:tc>
          <w:tcPr>
            <w:tcW w:w="1134" w:type="dxa"/>
            <w:vMerge w:val="restart"/>
            <w:noWrap/>
          </w:tcPr>
          <w:p w14:paraId="36C3F999" w14:textId="32E96E46" w:rsidR="00A9350C" w:rsidRPr="00957FB4" w:rsidRDefault="00A9350C" w:rsidP="00957FB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4"/>
                <w:szCs w:val="18"/>
                <w:lang w:eastAsia="fr-FR"/>
              </w:rPr>
            </w:pPr>
            <w:r w:rsidRPr="00957FB4">
              <w:rPr>
                <w:rFonts w:ascii="Calibri" w:eastAsia="Times New Roman" w:hAnsi="Calibri" w:cs="Calibri"/>
                <w:b/>
                <w:sz w:val="14"/>
                <w:szCs w:val="18"/>
                <w:lang w:eastAsia="fr-FR"/>
              </w:rPr>
              <w:t>Selon ventilation géographique en section 5</w:t>
            </w:r>
            <w:r w:rsidR="00957FB4" w:rsidRPr="00957FB4">
              <w:rPr>
                <w:rFonts w:ascii="Calibri" w:eastAsia="Times New Roman" w:hAnsi="Calibri" w:cs="Calibri"/>
                <w:b/>
                <w:sz w:val="14"/>
                <w:szCs w:val="18"/>
                <w:lang w:eastAsia="fr-FR"/>
              </w:rPr>
              <w:t>.1</w:t>
            </w:r>
          </w:p>
        </w:tc>
        <w:tc>
          <w:tcPr>
            <w:tcW w:w="887" w:type="dxa"/>
          </w:tcPr>
          <w:p w14:paraId="6FD54352" w14:textId="77777777" w:rsidR="00A9350C" w:rsidRPr="0099566D"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887" w:type="dxa"/>
          </w:tcPr>
          <w:p w14:paraId="0189717F" w14:textId="77777777" w:rsidR="00A9350C" w:rsidRPr="0099566D"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A9350C" w:rsidRPr="005A160E" w14:paraId="59420895" w14:textId="5E44AACB" w:rsidTr="004E68CF">
        <w:trPr>
          <w:trHeight w:val="300"/>
        </w:trPr>
        <w:tc>
          <w:tcPr>
            <w:cnfStyle w:val="001000000000" w:firstRow="0" w:lastRow="0" w:firstColumn="1" w:lastColumn="0" w:oddVBand="0" w:evenVBand="0" w:oddHBand="0" w:evenHBand="0" w:firstRowFirstColumn="0" w:firstRowLastColumn="0" w:lastRowFirstColumn="0" w:lastRowLastColumn="0"/>
            <w:tcW w:w="277" w:type="dxa"/>
            <w:tcBorders>
              <w:top w:val="single" w:sz="18" w:space="0" w:color="5B9BD5" w:themeColor="accent1"/>
              <w:bottom w:val="single" w:sz="4" w:space="0" w:color="5B9BD5" w:themeColor="accent1"/>
            </w:tcBorders>
            <w:noWrap/>
            <w:hideMark/>
          </w:tcPr>
          <w:p w14:paraId="52CF7020" w14:textId="5E04E523" w:rsidR="00A9350C" w:rsidRPr="002414A7" w:rsidRDefault="00A9350C" w:rsidP="00FC23F6">
            <w:pPr>
              <w:rPr>
                <w:rFonts w:ascii="Calibri" w:eastAsia="Times New Roman" w:hAnsi="Calibri" w:cs="Calibri"/>
                <w:i/>
                <w:sz w:val="18"/>
                <w:szCs w:val="18"/>
                <w:lang w:eastAsia="fr-FR"/>
              </w:rPr>
            </w:pPr>
          </w:p>
        </w:tc>
        <w:tc>
          <w:tcPr>
            <w:tcW w:w="3977" w:type="dxa"/>
            <w:tcBorders>
              <w:top w:val="single" w:sz="18" w:space="0" w:color="5B9BD5" w:themeColor="accent1"/>
              <w:bottom w:val="single" w:sz="4" w:space="0" w:color="5B9BD5" w:themeColor="accent1"/>
            </w:tcBorders>
            <w:noWrap/>
            <w:hideMark/>
          </w:tcPr>
          <w:p w14:paraId="7B0D6AD1"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retraits d'espèces aux GAB </w:t>
            </w:r>
          </w:p>
        </w:tc>
        <w:tc>
          <w:tcPr>
            <w:tcW w:w="1908" w:type="dxa"/>
            <w:tcBorders>
              <w:top w:val="single" w:sz="18" w:space="0" w:color="5B9BD5" w:themeColor="accent1"/>
              <w:bottom w:val="single" w:sz="4" w:space="0" w:color="5B9BD5" w:themeColor="accent1"/>
            </w:tcBorders>
          </w:tcPr>
          <w:p w14:paraId="4CC7C30B" w14:textId="09D2450D" w:rsidR="00A9350C" w:rsidRPr="00E34F1D" w:rsidRDefault="00A9350C" w:rsidP="00F252EC">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sz w:val="18"/>
                <w:szCs w:val="18"/>
                <w:lang w:eastAsia="fr-FR"/>
              </w:rPr>
              <w:t xml:space="preserve">Opérations de retrait effectuées avec une </w:t>
            </w:r>
            <w:r>
              <w:rPr>
                <w:rFonts w:ascii="Calibri" w:eastAsia="Times New Roman" w:hAnsi="Calibri" w:cs="Calibri"/>
                <w:sz w:val="18"/>
                <w:szCs w:val="18"/>
                <w:lang w:eastAsia="fr-FR"/>
              </w:rPr>
              <w:t>carte</w:t>
            </w:r>
            <w:r w:rsidRPr="002414A7">
              <w:rPr>
                <w:rFonts w:ascii="Calibri" w:eastAsia="Times New Roman" w:hAnsi="Calibri" w:cs="Calibri"/>
                <w:sz w:val="18"/>
                <w:szCs w:val="18"/>
                <w:lang w:eastAsia="fr-FR"/>
              </w:rPr>
              <w:t xml:space="preserve"> ayant une fonction espèces.</w:t>
            </w:r>
            <w:r>
              <w:rPr>
                <w:rFonts w:ascii="Calibri" w:eastAsia="Times New Roman" w:hAnsi="Calibri" w:cs="Calibri"/>
                <w:sz w:val="18"/>
                <w:szCs w:val="18"/>
                <w:lang w:eastAsia="fr-FR"/>
              </w:rPr>
              <w:t xml:space="preserve"> </w:t>
            </w:r>
            <w:r>
              <w:rPr>
                <w:rFonts w:ascii="Calibri" w:eastAsia="Times New Roman" w:hAnsi="Calibri" w:cs="Calibri"/>
                <w:sz w:val="18"/>
                <w:szCs w:val="18"/>
                <w:u w:val="single"/>
                <w:lang w:eastAsia="fr-FR"/>
              </w:rPr>
              <w:t>Exclus</w:t>
            </w:r>
            <w:r>
              <w:rPr>
                <w:rFonts w:ascii="Calibri" w:eastAsia="Times New Roman" w:hAnsi="Calibri" w:cs="Calibri"/>
                <w:sz w:val="18"/>
                <w:szCs w:val="18"/>
                <w:lang w:eastAsia="fr-FR"/>
              </w:rPr>
              <w:t> : les opérations en monnaie électronique.</w:t>
            </w:r>
          </w:p>
        </w:tc>
        <w:tc>
          <w:tcPr>
            <w:tcW w:w="1134" w:type="dxa"/>
            <w:vMerge/>
            <w:noWrap/>
          </w:tcPr>
          <w:p w14:paraId="26926539" w14:textId="0A827E14"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4" w:space="0" w:color="5B9BD5" w:themeColor="accent1"/>
            </w:tcBorders>
          </w:tcPr>
          <w:p w14:paraId="56E72A34"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4" w:space="0" w:color="5B9BD5" w:themeColor="accent1"/>
            </w:tcBorders>
          </w:tcPr>
          <w:p w14:paraId="0B5906B1"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A9350C" w:rsidRPr="005A160E" w14:paraId="05263369" w14:textId="643363E6"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 w:type="dxa"/>
            <w:tcBorders>
              <w:top w:val="single" w:sz="18" w:space="0" w:color="5B9BD5" w:themeColor="accent1"/>
              <w:bottom w:val="single" w:sz="4" w:space="0" w:color="5B9BD5" w:themeColor="accent1"/>
            </w:tcBorders>
            <w:noWrap/>
            <w:hideMark/>
          </w:tcPr>
          <w:p w14:paraId="1B3229CE" w14:textId="6574E8A0" w:rsidR="00A9350C" w:rsidRPr="002414A7" w:rsidRDefault="00A9350C" w:rsidP="00FC23F6">
            <w:pPr>
              <w:rPr>
                <w:rFonts w:ascii="Calibri" w:eastAsia="Times New Roman" w:hAnsi="Calibri" w:cs="Calibri"/>
                <w:i/>
                <w:sz w:val="18"/>
                <w:szCs w:val="18"/>
                <w:lang w:eastAsia="fr-FR"/>
              </w:rPr>
            </w:pPr>
          </w:p>
        </w:tc>
        <w:tc>
          <w:tcPr>
            <w:tcW w:w="3977" w:type="dxa"/>
            <w:tcBorders>
              <w:top w:val="single" w:sz="18" w:space="0" w:color="5B9BD5" w:themeColor="accent1"/>
              <w:bottom w:val="single" w:sz="4" w:space="0" w:color="5B9BD5" w:themeColor="accent1"/>
            </w:tcBorders>
            <w:noWrap/>
            <w:hideMark/>
          </w:tcPr>
          <w:p w14:paraId="6E7A8A44" w14:textId="510D3331"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dépôts d'espèces aux GAB</w:t>
            </w:r>
          </w:p>
        </w:tc>
        <w:tc>
          <w:tcPr>
            <w:tcW w:w="1908" w:type="dxa"/>
            <w:tcBorders>
              <w:top w:val="single" w:sz="18" w:space="0" w:color="5B9BD5" w:themeColor="accent1"/>
              <w:bottom w:val="single" w:sz="4" w:space="0" w:color="5B9BD5" w:themeColor="accent1"/>
            </w:tcBorders>
          </w:tcPr>
          <w:p w14:paraId="6E174903" w14:textId="4B5442D0" w:rsidR="00A9350C" w:rsidRPr="002414A7" w:rsidRDefault="00A9350C" w:rsidP="00FC23F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bCs/>
                <w:sz w:val="18"/>
                <w:szCs w:val="18"/>
                <w:lang w:eastAsia="fr-FR"/>
              </w:rPr>
              <w:t>Dépôt</w:t>
            </w:r>
            <w:r>
              <w:rPr>
                <w:rFonts w:ascii="Calibri" w:eastAsia="Times New Roman" w:hAnsi="Calibri" w:cs="Calibri"/>
                <w:bCs/>
                <w:sz w:val="18"/>
                <w:szCs w:val="18"/>
                <w:lang w:eastAsia="fr-FR"/>
              </w:rPr>
              <w:t>s</w:t>
            </w:r>
            <w:r w:rsidRPr="002414A7">
              <w:rPr>
                <w:rFonts w:ascii="Calibri" w:eastAsia="Times New Roman" w:hAnsi="Calibri" w:cs="Calibri"/>
                <w:bCs/>
                <w:sz w:val="18"/>
                <w:szCs w:val="18"/>
                <w:lang w:eastAsia="fr-FR"/>
              </w:rPr>
              <w:t xml:space="preserve"> d’espèces effectué</w:t>
            </w:r>
            <w:r>
              <w:rPr>
                <w:rFonts w:ascii="Calibri" w:eastAsia="Times New Roman" w:hAnsi="Calibri" w:cs="Calibri"/>
                <w:bCs/>
                <w:sz w:val="18"/>
                <w:szCs w:val="18"/>
                <w:lang w:eastAsia="fr-FR"/>
              </w:rPr>
              <w:t>s</w:t>
            </w:r>
            <w:r w:rsidRPr="002414A7">
              <w:rPr>
                <w:rFonts w:ascii="Calibri" w:eastAsia="Times New Roman" w:hAnsi="Calibri" w:cs="Calibri"/>
                <w:bCs/>
                <w:sz w:val="18"/>
                <w:szCs w:val="18"/>
                <w:lang w:eastAsia="fr-FR"/>
              </w:rPr>
              <w:t xml:space="preserve"> à un GAB à</w:t>
            </w:r>
            <w:r>
              <w:rPr>
                <w:rFonts w:ascii="Calibri" w:eastAsia="Times New Roman" w:hAnsi="Calibri" w:cs="Calibri"/>
                <w:bCs/>
                <w:sz w:val="18"/>
                <w:szCs w:val="18"/>
                <w:lang w:eastAsia="fr-FR"/>
              </w:rPr>
              <w:t xml:space="preserve"> partir</w:t>
            </w:r>
            <w:r w:rsidRPr="002414A7">
              <w:rPr>
                <w:rFonts w:ascii="Calibri" w:eastAsia="Times New Roman" w:hAnsi="Calibri" w:cs="Calibri"/>
                <w:bCs/>
                <w:sz w:val="18"/>
                <w:szCs w:val="18"/>
                <w:lang w:eastAsia="fr-FR"/>
              </w:rPr>
              <w:t xml:space="preserve"> d’une carte ayant une fonction espèces. </w:t>
            </w:r>
            <w:r w:rsidRPr="00E34F1D">
              <w:rPr>
                <w:rFonts w:ascii="Calibri" w:eastAsia="Times New Roman" w:hAnsi="Calibri" w:cs="Calibri"/>
                <w:bCs/>
                <w:sz w:val="18"/>
                <w:szCs w:val="18"/>
                <w:u w:val="single"/>
                <w:lang w:eastAsia="fr-FR"/>
              </w:rPr>
              <w:t>Inclut</w:t>
            </w:r>
            <w:r w:rsidRPr="002414A7">
              <w:rPr>
                <w:rFonts w:ascii="Calibri" w:eastAsia="Times New Roman" w:hAnsi="Calibri" w:cs="Calibri"/>
                <w:bCs/>
                <w:sz w:val="18"/>
                <w:szCs w:val="18"/>
                <w:lang w:eastAsia="fr-FR"/>
              </w:rPr>
              <w:t xml:space="preserve"> toutes les opérations pour lesquelles des espèces sont déposées à un terminal, sans intervention manuelle, et pour lesquelles le payeur est identifié au moyen d’une carte de paiement.</w:t>
            </w:r>
          </w:p>
        </w:tc>
        <w:tc>
          <w:tcPr>
            <w:tcW w:w="1134" w:type="dxa"/>
            <w:vMerge/>
            <w:noWrap/>
          </w:tcPr>
          <w:p w14:paraId="0E58F11A" w14:textId="723E72B6"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4" w:space="0" w:color="5B9BD5" w:themeColor="accent1"/>
            </w:tcBorders>
          </w:tcPr>
          <w:p w14:paraId="1B674C95" w14:textId="77777777"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4" w:space="0" w:color="5B9BD5" w:themeColor="accent1"/>
            </w:tcBorders>
          </w:tcPr>
          <w:p w14:paraId="228C6B63" w14:textId="77777777"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A9350C" w:rsidRPr="005A160E" w14:paraId="3BEF63C4" w14:textId="77777777" w:rsidTr="004E68CF">
        <w:trPr>
          <w:trHeight w:val="300"/>
        </w:trPr>
        <w:tc>
          <w:tcPr>
            <w:cnfStyle w:val="001000000000" w:firstRow="0" w:lastRow="0" w:firstColumn="1" w:lastColumn="0" w:oddVBand="0" w:evenVBand="0" w:oddHBand="0" w:evenHBand="0" w:firstRowFirstColumn="0" w:firstRowLastColumn="0" w:lastRowFirstColumn="0" w:lastRowLastColumn="0"/>
            <w:tcW w:w="277" w:type="dxa"/>
            <w:tcBorders>
              <w:top w:val="single" w:sz="18" w:space="0" w:color="5B9BD5" w:themeColor="accent1"/>
              <w:bottom w:val="single" w:sz="4" w:space="0" w:color="5B9BD5" w:themeColor="accent1"/>
            </w:tcBorders>
            <w:noWrap/>
          </w:tcPr>
          <w:p w14:paraId="76BC5A42" w14:textId="77777777" w:rsidR="00A9350C" w:rsidRPr="002414A7" w:rsidRDefault="00A9350C" w:rsidP="00FC23F6">
            <w:pPr>
              <w:rPr>
                <w:rFonts w:ascii="Calibri" w:eastAsia="Times New Roman" w:hAnsi="Calibri" w:cs="Calibri"/>
                <w:i/>
                <w:sz w:val="18"/>
                <w:szCs w:val="18"/>
                <w:lang w:eastAsia="fr-FR"/>
              </w:rPr>
            </w:pPr>
          </w:p>
        </w:tc>
        <w:tc>
          <w:tcPr>
            <w:tcW w:w="3977" w:type="dxa"/>
            <w:tcBorders>
              <w:top w:val="single" w:sz="18" w:space="0" w:color="5B9BD5" w:themeColor="accent1"/>
              <w:bottom w:val="single" w:sz="4" w:space="0" w:color="5B9BD5" w:themeColor="accent1"/>
            </w:tcBorders>
            <w:noWrap/>
          </w:tcPr>
          <w:p w14:paraId="32DF7A4F" w14:textId="147FCBDF"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Dont autres opérations aux GAB</w:t>
            </w:r>
          </w:p>
        </w:tc>
        <w:tc>
          <w:tcPr>
            <w:tcW w:w="1908" w:type="dxa"/>
            <w:tcBorders>
              <w:top w:val="single" w:sz="18" w:space="0" w:color="5B9BD5" w:themeColor="accent1"/>
              <w:bottom w:val="single" w:sz="4" w:space="0" w:color="5B9BD5" w:themeColor="accent1"/>
            </w:tcBorders>
          </w:tcPr>
          <w:p w14:paraId="4263E491" w14:textId="2180882E" w:rsidR="00A9350C" w:rsidRPr="002414A7" w:rsidRDefault="00A9350C" w:rsidP="00FC23F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vMerge/>
            <w:noWrap/>
          </w:tcPr>
          <w:p w14:paraId="0D446D8A"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4" w:space="0" w:color="5B9BD5" w:themeColor="accent1"/>
            </w:tcBorders>
          </w:tcPr>
          <w:p w14:paraId="152AF8F7"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4" w:space="0" w:color="5B9BD5" w:themeColor="accent1"/>
            </w:tcBorders>
          </w:tcPr>
          <w:p w14:paraId="2C9DC731"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A9350C" w:rsidRPr="005A160E" w14:paraId="563F8779" w14:textId="556AAD05"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 w:type="dxa"/>
            <w:tcBorders>
              <w:top w:val="single" w:sz="18" w:space="0" w:color="5B9BD5" w:themeColor="accent1"/>
              <w:bottom w:val="single" w:sz="4" w:space="0" w:color="5B9BD5" w:themeColor="accent1"/>
            </w:tcBorders>
            <w:noWrap/>
            <w:hideMark/>
          </w:tcPr>
          <w:p w14:paraId="0B57C560" w14:textId="77E43863" w:rsidR="00A9350C" w:rsidRPr="002414A7" w:rsidRDefault="00A9350C" w:rsidP="00FC23F6">
            <w:pPr>
              <w:rPr>
                <w:rFonts w:ascii="Calibri" w:eastAsia="Times New Roman" w:hAnsi="Calibri" w:cs="Calibri"/>
                <w:i/>
                <w:sz w:val="18"/>
                <w:szCs w:val="18"/>
                <w:lang w:eastAsia="fr-FR"/>
              </w:rPr>
            </w:pPr>
          </w:p>
        </w:tc>
        <w:tc>
          <w:tcPr>
            <w:tcW w:w="3977" w:type="dxa"/>
            <w:tcBorders>
              <w:top w:val="single" w:sz="18" w:space="0" w:color="5B9BD5" w:themeColor="accent1"/>
              <w:bottom w:val="single" w:sz="4" w:space="0" w:color="5B9BD5" w:themeColor="accent1"/>
            </w:tcBorders>
            <w:noWrap/>
            <w:hideMark/>
          </w:tcPr>
          <w:p w14:paraId="413BAFE5" w14:textId="09542627"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opérations à un point de vente (TPV)</w:t>
            </w:r>
          </w:p>
        </w:tc>
        <w:tc>
          <w:tcPr>
            <w:tcW w:w="1908" w:type="dxa"/>
            <w:tcBorders>
              <w:top w:val="single" w:sz="18" w:space="0" w:color="5B9BD5" w:themeColor="accent1"/>
              <w:bottom w:val="single" w:sz="4" w:space="0" w:color="5B9BD5" w:themeColor="accent1"/>
            </w:tcBorders>
          </w:tcPr>
          <w:p w14:paraId="2EF47002" w14:textId="77777777" w:rsidR="00A9350C" w:rsidRDefault="00A9350C" w:rsidP="00FC23F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2414A7">
              <w:rPr>
                <w:rFonts w:ascii="Calibri" w:eastAsia="Times New Roman" w:hAnsi="Calibri" w:cs="Calibri"/>
                <w:sz w:val="18"/>
                <w:szCs w:val="18"/>
                <w:lang w:eastAsia="fr-FR"/>
              </w:rPr>
              <w:t xml:space="preserve">Opérations effectuées via un TPV </w:t>
            </w:r>
            <w:r>
              <w:rPr>
                <w:rFonts w:ascii="Calibri" w:eastAsia="Times New Roman" w:hAnsi="Calibri" w:cs="Calibri"/>
                <w:sz w:val="18"/>
                <w:szCs w:val="18"/>
                <w:lang w:eastAsia="fr-FR"/>
              </w:rPr>
              <w:t xml:space="preserve">avec </w:t>
            </w:r>
            <w:r w:rsidRPr="002414A7">
              <w:rPr>
                <w:rFonts w:ascii="Calibri" w:eastAsia="Times New Roman" w:hAnsi="Calibri" w:cs="Calibri"/>
                <w:sz w:val="18"/>
                <w:szCs w:val="18"/>
                <w:lang w:eastAsia="fr-FR"/>
              </w:rPr>
              <w:t>une carte ayant une fonction de débit, de crédit ou de débit différé.</w:t>
            </w:r>
          </w:p>
          <w:p w14:paraId="29D7AAA0" w14:textId="40E38DDB" w:rsidR="00A9350C" w:rsidRPr="002414A7" w:rsidRDefault="00A9350C" w:rsidP="00F252EC">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E34F1D">
              <w:rPr>
                <w:rFonts w:ascii="Calibri" w:eastAsia="Times New Roman" w:hAnsi="Calibri" w:cs="Calibri"/>
                <w:sz w:val="18"/>
                <w:szCs w:val="18"/>
                <w:u w:val="single"/>
                <w:lang w:eastAsia="fr-FR"/>
              </w:rPr>
              <w:t>Exclu</w:t>
            </w:r>
            <w:r>
              <w:rPr>
                <w:rFonts w:ascii="Calibri" w:eastAsia="Times New Roman" w:hAnsi="Calibri" w:cs="Calibri"/>
                <w:sz w:val="18"/>
                <w:szCs w:val="18"/>
                <w:u w:val="single"/>
                <w:lang w:eastAsia="fr-FR"/>
              </w:rPr>
              <w:t>es</w:t>
            </w:r>
            <w:r>
              <w:rPr>
                <w:rFonts w:ascii="Calibri" w:eastAsia="Times New Roman" w:hAnsi="Calibri" w:cs="Calibri"/>
                <w:sz w:val="18"/>
                <w:szCs w:val="18"/>
                <w:lang w:eastAsia="fr-FR"/>
              </w:rPr>
              <w:t xml:space="preserve"> :  </w:t>
            </w:r>
            <w:r w:rsidRPr="002414A7">
              <w:rPr>
                <w:rFonts w:ascii="Calibri" w:eastAsia="Times New Roman" w:hAnsi="Calibri" w:cs="Calibri"/>
                <w:sz w:val="18"/>
                <w:szCs w:val="18"/>
                <w:lang w:eastAsia="fr-FR"/>
              </w:rPr>
              <w:t>les opérations effectuées avec une carte ayant une fonction de monnaie électronique.</w:t>
            </w:r>
          </w:p>
        </w:tc>
        <w:tc>
          <w:tcPr>
            <w:tcW w:w="1134" w:type="dxa"/>
            <w:vMerge/>
            <w:noWrap/>
          </w:tcPr>
          <w:p w14:paraId="51B98C13" w14:textId="1C1B0611"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4" w:space="0" w:color="5B9BD5" w:themeColor="accent1"/>
            </w:tcBorders>
          </w:tcPr>
          <w:p w14:paraId="79962D32" w14:textId="77777777"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4" w:space="0" w:color="5B9BD5" w:themeColor="accent1"/>
            </w:tcBorders>
          </w:tcPr>
          <w:p w14:paraId="787C6E88" w14:textId="77777777"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A9350C" w:rsidRPr="005A160E" w14:paraId="3C5ADA4A" w14:textId="2D0704FF" w:rsidTr="002262D6">
        <w:trPr>
          <w:trHeight w:val="300"/>
        </w:trPr>
        <w:tc>
          <w:tcPr>
            <w:cnfStyle w:val="001000000000" w:firstRow="0" w:lastRow="0" w:firstColumn="1" w:lastColumn="0" w:oddVBand="0" w:evenVBand="0" w:oddHBand="0" w:evenHBand="0" w:firstRowFirstColumn="0" w:firstRowLastColumn="0" w:lastRowFirstColumn="0" w:lastRowLastColumn="0"/>
            <w:tcW w:w="277" w:type="dxa"/>
            <w:tcBorders>
              <w:top w:val="single" w:sz="18" w:space="0" w:color="5B9BD5" w:themeColor="accent1"/>
              <w:bottom w:val="single" w:sz="18" w:space="0" w:color="5B9BD5" w:themeColor="accent1"/>
            </w:tcBorders>
            <w:noWrap/>
            <w:hideMark/>
          </w:tcPr>
          <w:p w14:paraId="36C71091" w14:textId="1AB40D56" w:rsidR="00A9350C" w:rsidRPr="002414A7" w:rsidRDefault="00A9350C" w:rsidP="00FC23F6">
            <w:pPr>
              <w:rPr>
                <w:rFonts w:ascii="Calibri" w:eastAsia="Times New Roman" w:hAnsi="Calibri" w:cs="Calibri"/>
                <w:i/>
                <w:sz w:val="18"/>
                <w:szCs w:val="18"/>
                <w:lang w:eastAsia="fr-FR"/>
              </w:rPr>
            </w:pPr>
          </w:p>
        </w:tc>
        <w:tc>
          <w:tcPr>
            <w:tcW w:w="3977" w:type="dxa"/>
            <w:tcBorders>
              <w:top w:val="single" w:sz="18" w:space="0" w:color="5B9BD5" w:themeColor="accent1"/>
              <w:bottom w:val="single" w:sz="18" w:space="0" w:color="5B9BD5" w:themeColor="accent1"/>
            </w:tcBorders>
            <w:noWrap/>
            <w:hideMark/>
          </w:tcPr>
          <w:p w14:paraId="0DD34FD7"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224A5A">
              <w:rPr>
                <w:rFonts w:ascii="Calibri" w:eastAsia="Times New Roman" w:hAnsi="Calibri" w:cs="Calibri"/>
                <w:b/>
                <w:i/>
                <w:sz w:val="18"/>
                <w:szCs w:val="18"/>
                <w:lang w:eastAsia="fr-FR"/>
              </w:rPr>
              <w:t>Dont chargement/déchargement de cartes de monnaie électronique</w:t>
            </w:r>
          </w:p>
        </w:tc>
        <w:tc>
          <w:tcPr>
            <w:tcW w:w="1908" w:type="dxa"/>
            <w:tcBorders>
              <w:top w:val="single" w:sz="18" w:space="0" w:color="5B9BD5" w:themeColor="accent1"/>
              <w:bottom w:val="single" w:sz="18" w:space="0" w:color="5B9BD5" w:themeColor="accent1"/>
            </w:tcBorders>
          </w:tcPr>
          <w:p w14:paraId="7EAA9151" w14:textId="08706F1E" w:rsidR="00A9350C" w:rsidRPr="002414A7" w:rsidRDefault="00A9350C" w:rsidP="00FC23F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224A5A">
              <w:rPr>
                <w:rFonts w:ascii="Calibri" w:eastAsia="Times New Roman" w:hAnsi="Calibri" w:cs="Calibri"/>
                <w:sz w:val="18"/>
                <w:szCs w:val="18"/>
                <w:lang w:eastAsia="fr-FR"/>
              </w:rPr>
              <w:t xml:space="preserve">Opérations permettant le </w:t>
            </w:r>
            <w:r>
              <w:rPr>
                <w:rFonts w:ascii="Calibri" w:eastAsia="Times New Roman" w:hAnsi="Calibri" w:cs="Calibri"/>
                <w:sz w:val="18"/>
                <w:szCs w:val="18"/>
                <w:lang w:eastAsia="fr-FR"/>
              </w:rPr>
              <w:t>transfert</w:t>
            </w:r>
            <w:r w:rsidRPr="00224A5A">
              <w:rPr>
                <w:rFonts w:ascii="Calibri" w:eastAsia="Times New Roman" w:hAnsi="Calibri" w:cs="Calibri"/>
                <w:sz w:val="18"/>
                <w:szCs w:val="18"/>
                <w:lang w:eastAsia="fr-FR"/>
              </w:rPr>
              <w:t xml:space="preserve"> de monnaie électronique depuis</w:t>
            </w:r>
            <w:r>
              <w:rPr>
                <w:rFonts w:ascii="Calibri" w:eastAsia="Times New Roman" w:hAnsi="Calibri" w:cs="Calibri"/>
                <w:sz w:val="18"/>
                <w:szCs w:val="18"/>
                <w:lang w:eastAsia="fr-FR"/>
              </w:rPr>
              <w:t xml:space="preserve"> </w:t>
            </w:r>
            <w:r w:rsidRPr="00224A5A">
              <w:rPr>
                <w:rFonts w:ascii="Calibri" w:eastAsia="Times New Roman" w:hAnsi="Calibri" w:cs="Calibri"/>
                <w:sz w:val="18"/>
                <w:szCs w:val="18"/>
                <w:lang w:eastAsia="fr-FR"/>
              </w:rPr>
              <w:t>un émetteur de monnaie électronique vers une carte ayant une fonction monnaie électronique et vice versa.</w:t>
            </w:r>
          </w:p>
        </w:tc>
        <w:tc>
          <w:tcPr>
            <w:tcW w:w="1134" w:type="dxa"/>
            <w:vMerge/>
            <w:tcBorders>
              <w:bottom w:val="single" w:sz="18" w:space="0" w:color="5B9BD5" w:themeColor="accent1"/>
            </w:tcBorders>
            <w:noWrap/>
          </w:tcPr>
          <w:p w14:paraId="7095C2B0" w14:textId="49A11348"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18" w:space="0" w:color="5B9BD5" w:themeColor="accent1"/>
            </w:tcBorders>
          </w:tcPr>
          <w:p w14:paraId="256D7EB2"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18" w:space="0" w:color="5B9BD5" w:themeColor="accent1"/>
            </w:tcBorders>
          </w:tcPr>
          <w:p w14:paraId="0157757F"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A9350C" w:rsidRPr="005A160E" w14:paraId="68AB8174" w14:textId="5EB351EC"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 w:type="dxa"/>
            <w:tcBorders>
              <w:top w:val="single" w:sz="18" w:space="0" w:color="5B9BD5" w:themeColor="accent1"/>
              <w:bottom w:val="single" w:sz="18" w:space="0" w:color="5B9BD5" w:themeColor="accent1"/>
            </w:tcBorders>
            <w:noWrap/>
            <w:hideMark/>
          </w:tcPr>
          <w:p w14:paraId="28C975B9" w14:textId="7FAEE376" w:rsidR="00A9350C" w:rsidRPr="002414A7" w:rsidRDefault="00A9350C" w:rsidP="00FC23F6">
            <w:pPr>
              <w:rPr>
                <w:rFonts w:ascii="Calibri" w:eastAsia="Times New Roman" w:hAnsi="Calibri" w:cs="Calibri"/>
                <w:i/>
                <w:sz w:val="18"/>
                <w:szCs w:val="18"/>
                <w:lang w:eastAsia="fr-FR"/>
              </w:rPr>
            </w:pPr>
          </w:p>
        </w:tc>
        <w:tc>
          <w:tcPr>
            <w:tcW w:w="3977" w:type="dxa"/>
            <w:tcBorders>
              <w:top w:val="single" w:sz="18" w:space="0" w:color="5B9BD5" w:themeColor="accent1"/>
              <w:bottom w:val="single" w:sz="18" w:space="0" w:color="5B9BD5" w:themeColor="accent1"/>
            </w:tcBorders>
            <w:noWrap/>
            <w:hideMark/>
          </w:tcPr>
          <w:p w14:paraId="53B614A5" w14:textId="7C1897CA"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paiements en monnaie électronique par carte ayant une fonction de monnaie électronique</w:t>
            </w:r>
          </w:p>
        </w:tc>
        <w:tc>
          <w:tcPr>
            <w:tcW w:w="1908" w:type="dxa"/>
            <w:tcBorders>
              <w:top w:val="single" w:sz="18" w:space="0" w:color="5B9BD5" w:themeColor="accent1"/>
              <w:bottom w:val="single" w:sz="18" w:space="0" w:color="5B9BD5" w:themeColor="accent1"/>
            </w:tcBorders>
          </w:tcPr>
          <w:p w14:paraId="0B42E100" w14:textId="2F5C1AAD" w:rsidR="00A9350C" w:rsidRPr="0099566D" w:rsidRDefault="00A9350C" w:rsidP="00FC23F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Paiements par c</w:t>
            </w:r>
            <w:r w:rsidRPr="00224A5A">
              <w:rPr>
                <w:rFonts w:ascii="Calibri" w:eastAsia="Times New Roman" w:hAnsi="Calibri" w:cs="Calibri"/>
                <w:sz w:val="18"/>
                <w:szCs w:val="18"/>
                <w:lang w:eastAsia="fr-FR"/>
              </w:rPr>
              <w:t xml:space="preserve">arte ayant une fonction </w:t>
            </w:r>
            <w:r w:rsidRPr="00224A5A">
              <w:rPr>
                <w:rFonts w:ascii="Calibri" w:eastAsia="Times New Roman" w:hAnsi="Calibri" w:cs="Calibri"/>
                <w:sz w:val="18"/>
                <w:szCs w:val="18"/>
                <w:lang w:eastAsia="fr-FR"/>
              </w:rPr>
              <w:lastRenderedPageBreak/>
              <w:t>monnaie électronique qui a été chargée au moins une fois et qui peut donc être considérée comme activée. Le chargement peut être considéré comme indiquant l’intention d’utiliser la fonction monnaie électronique.</w:t>
            </w:r>
          </w:p>
        </w:tc>
        <w:tc>
          <w:tcPr>
            <w:tcW w:w="1134" w:type="dxa"/>
            <w:vMerge/>
            <w:tcBorders>
              <w:top w:val="single" w:sz="18" w:space="0" w:color="5B9BD5" w:themeColor="accent1"/>
              <w:bottom w:val="single" w:sz="18" w:space="0" w:color="5B9BD5" w:themeColor="accent1"/>
            </w:tcBorders>
            <w:noWrap/>
          </w:tcPr>
          <w:p w14:paraId="1FBE756C" w14:textId="5794B39C"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18" w:space="0" w:color="5B9BD5" w:themeColor="accent1"/>
            </w:tcBorders>
          </w:tcPr>
          <w:p w14:paraId="71A50EE3" w14:textId="77777777"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18" w:space="0" w:color="5B9BD5" w:themeColor="accent1"/>
            </w:tcBorders>
          </w:tcPr>
          <w:p w14:paraId="205AB1FD" w14:textId="77777777"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bl>
    <w:p w14:paraId="5F807BF4" w14:textId="77777777" w:rsidR="007355FC" w:rsidRDefault="007355FC" w:rsidP="007355FC">
      <w:pPr>
        <w:pStyle w:val="Paragraphedeliste"/>
        <w:autoSpaceDE w:val="0"/>
        <w:autoSpaceDN w:val="0"/>
        <w:adjustRightInd w:val="0"/>
        <w:spacing w:after="0" w:line="240" w:lineRule="auto"/>
        <w:jc w:val="both"/>
        <w:rPr>
          <w:rFonts w:cstheme="minorHAnsi"/>
        </w:rPr>
      </w:pPr>
    </w:p>
    <w:p w14:paraId="5F203726" w14:textId="77777777" w:rsidR="007355FC" w:rsidRPr="004E58CA" w:rsidRDefault="007355FC" w:rsidP="004E58CA">
      <w:pPr>
        <w:spacing w:after="0" w:line="240" w:lineRule="auto"/>
        <w:jc w:val="both"/>
        <w:rPr>
          <w:rFonts w:ascii="Calibri" w:hAnsi="Calibri"/>
          <w:b/>
          <w:smallCaps/>
          <w:color w:val="2E74B5" w:themeColor="accent1" w:themeShade="BF"/>
          <w:sz w:val="24"/>
        </w:rPr>
      </w:pPr>
      <w:r w:rsidRPr="00A76282">
        <w:rPr>
          <w:rFonts w:ascii="Calibri" w:hAnsi="Calibri"/>
          <w:b/>
          <w:smallCaps/>
          <w:color w:val="2E74B5" w:themeColor="accent1" w:themeShade="BF"/>
          <w:sz w:val="24"/>
        </w:rPr>
        <w:t>Contrôles :</w:t>
      </w:r>
    </w:p>
    <w:p w14:paraId="71F0A224" w14:textId="5677864F" w:rsidR="007355FC" w:rsidRPr="00E65CBF" w:rsidRDefault="007355FC" w:rsidP="007355FC">
      <w:pPr>
        <w:pStyle w:val="Paragraphedeliste"/>
        <w:autoSpaceDE w:val="0"/>
        <w:autoSpaceDN w:val="0"/>
        <w:adjustRightInd w:val="0"/>
        <w:spacing w:after="0" w:line="240" w:lineRule="auto"/>
        <w:jc w:val="both"/>
        <w:rPr>
          <w:rFonts w:cstheme="minorHAnsi"/>
        </w:rPr>
      </w:pPr>
    </w:p>
    <w:p w14:paraId="42686E59" w14:textId="4EF4EB25" w:rsidR="009A4D62" w:rsidRPr="00111DD6" w:rsidRDefault="009A4D62" w:rsidP="00111DD6">
      <w:pPr>
        <w:autoSpaceDE w:val="0"/>
        <w:autoSpaceDN w:val="0"/>
        <w:adjustRightInd w:val="0"/>
        <w:spacing w:after="0" w:line="240" w:lineRule="auto"/>
        <w:jc w:val="both"/>
        <w:rPr>
          <w:rFonts w:cstheme="minorHAnsi"/>
        </w:rPr>
      </w:pPr>
      <w:r w:rsidRPr="00111DD6">
        <w:rPr>
          <w:rFonts w:cstheme="minorHAnsi"/>
        </w:rPr>
        <w:t>Les règles de contrôle suivantes doivent être app</w:t>
      </w:r>
      <w:r w:rsidR="00DA1236">
        <w:rPr>
          <w:rFonts w:cstheme="minorHAnsi"/>
        </w:rPr>
        <w:t>liquées en nombre et en valeur.</w:t>
      </w:r>
    </w:p>
    <w:p w14:paraId="2691F028" w14:textId="3D26942F" w:rsidR="009A4D62" w:rsidRDefault="009A4D62" w:rsidP="007355FC">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A76282" w:rsidRPr="00191426" w14:paraId="27F09511" w14:textId="77777777" w:rsidTr="006020A0">
        <w:tc>
          <w:tcPr>
            <w:tcW w:w="9054" w:type="dxa"/>
            <w:tcBorders>
              <w:bottom w:val="single" w:sz="18" w:space="0" w:color="5B9BD5" w:themeColor="accent1"/>
            </w:tcBorders>
          </w:tcPr>
          <w:p w14:paraId="31E13665" w14:textId="1651626C" w:rsidR="00A76282" w:rsidRPr="00C50A22" w:rsidRDefault="00A76282" w:rsidP="003952EB">
            <w:pPr>
              <w:pStyle w:val="Paragraphedeliste"/>
              <w:autoSpaceDE w:val="0"/>
              <w:autoSpaceDN w:val="0"/>
              <w:adjustRightInd w:val="0"/>
              <w:ind w:left="0"/>
              <w:jc w:val="both"/>
              <w:rPr>
                <w:sz w:val="18"/>
              </w:rPr>
            </w:pPr>
            <w:r w:rsidRPr="00913B52">
              <w:rPr>
                <w:rFonts w:cstheme="minorHAnsi"/>
                <w:sz w:val="18"/>
                <w:szCs w:val="18"/>
              </w:rPr>
              <w:t>Le total de chaque indicateur est = à la somme des trois sous-ventilations géographiques associées (France, au sein de l’EEE et hors de l’EEE</w:t>
            </w:r>
            <w:r w:rsidR="003C3B09">
              <w:rPr>
                <w:rFonts w:cstheme="minorHAnsi"/>
                <w:sz w:val="18"/>
                <w:szCs w:val="18"/>
              </w:rPr>
              <w:t>)</w:t>
            </w:r>
            <w:r w:rsidRPr="00913B52">
              <w:rPr>
                <w:rFonts w:cstheme="minorHAnsi"/>
                <w:sz w:val="18"/>
                <w:szCs w:val="18"/>
              </w:rPr>
              <w:t>.</w:t>
            </w:r>
          </w:p>
        </w:tc>
      </w:tr>
      <w:tr w:rsidR="00A76282" w:rsidRPr="004E58CA" w14:paraId="58AA8FEF" w14:textId="77777777" w:rsidTr="00602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4"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53936585" w14:textId="77777777" w:rsidR="00A76282" w:rsidRPr="004E58CA" w:rsidRDefault="00A76282" w:rsidP="003952EB">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A76282" w:rsidRPr="00191426" w14:paraId="6F95F40A" w14:textId="77777777" w:rsidTr="006020A0">
        <w:tc>
          <w:tcPr>
            <w:tcW w:w="9054" w:type="dxa"/>
            <w:tcBorders>
              <w:top w:val="single" w:sz="18" w:space="0" w:color="5B9BD5" w:themeColor="accent1"/>
            </w:tcBorders>
          </w:tcPr>
          <w:p w14:paraId="22609DE4" w14:textId="2875A894" w:rsidR="00A76282" w:rsidRPr="00C50A22" w:rsidRDefault="00EF31EC" w:rsidP="00EF31EC">
            <w:pPr>
              <w:pStyle w:val="Paragraphedeliste"/>
              <w:autoSpaceDE w:val="0"/>
              <w:autoSpaceDN w:val="0"/>
              <w:adjustRightInd w:val="0"/>
              <w:ind w:left="0"/>
              <w:jc w:val="both"/>
              <w:rPr>
                <w:sz w:val="18"/>
              </w:rPr>
            </w:pPr>
            <w:r>
              <w:rPr>
                <w:rFonts w:cstheme="minorHAnsi"/>
                <w:sz w:val="18"/>
                <w:szCs w:val="18"/>
              </w:rPr>
              <w:t xml:space="preserve">Le total de opérations est = au total </w:t>
            </w:r>
            <w:r w:rsidR="006020A0" w:rsidRPr="006020A0">
              <w:rPr>
                <w:rFonts w:cstheme="minorHAnsi"/>
                <w:sz w:val="18"/>
                <w:szCs w:val="18"/>
              </w:rPr>
              <w:t>des retraits d’espèces aux GAB</w:t>
            </w:r>
            <w:r w:rsidR="004B37CE">
              <w:rPr>
                <w:rFonts w:cstheme="minorHAnsi"/>
                <w:sz w:val="18"/>
                <w:szCs w:val="18"/>
              </w:rPr>
              <w:t xml:space="preserve"> +</w:t>
            </w:r>
            <w:r w:rsidR="006020A0" w:rsidRPr="006020A0">
              <w:rPr>
                <w:rFonts w:cstheme="minorHAnsi"/>
                <w:sz w:val="18"/>
                <w:szCs w:val="18"/>
              </w:rPr>
              <w:t xml:space="preserve"> des dépôts d’espèces aux GAB</w:t>
            </w:r>
            <w:r>
              <w:rPr>
                <w:rFonts w:cstheme="minorHAnsi"/>
                <w:sz w:val="18"/>
                <w:szCs w:val="18"/>
              </w:rPr>
              <w:t xml:space="preserve"> + le total</w:t>
            </w:r>
            <w:r w:rsidR="006020A0" w:rsidRPr="006020A0">
              <w:rPr>
                <w:rFonts w:cstheme="minorHAnsi"/>
                <w:sz w:val="18"/>
                <w:szCs w:val="18"/>
              </w:rPr>
              <w:t xml:space="preserve"> des autres opérations aux GAB,</w:t>
            </w:r>
            <w:r>
              <w:rPr>
                <w:rFonts w:cstheme="minorHAnsi"/>
                <w:sz w:val="18"/>
                <w:szCs w:val="18"/>
              </w:rPr>
              <w:t xml:space="preserve"> + le total des</w:t>
            </w:r>
            <w:r w:rsidR="006020A0" w:rsidRPr="006020A0">
              <w:rPr>
                <w:rFonts w:cstheme="minorHAnsi"/>
                <w:sz w:val="18"/>
                <w:szCs w:val="18"/>
              </w:rPr>
              <w:t xml:space="preserve"> opérations à un TPV</w:t>
            </w:r>
            <w:r>
              <w:rPr>
                <w:rFonts w:cstheme="minorHAnsi"/>
                <w:sz w:val="18"/>
                <w:szCs w:val="18"/>
              </w:rPr>
              <w:t xml:space="preserve"> + le total des opérations de</w:t>
            </w:r>
            <w:r w:rsidR="006020A0" w:rsidRPr="006020A0">
              <w:rPr>
                <w:rFonts w:cstheme="minorHAnsi"/>
                <w:sz w:val="18"/>
                <w:szCs w:val="18"/>
              </w:rPr>
              <w:t xml:space="preserve"> chargement/déchargement monnaie électronique</w:t>
            </w:r>
            <w:r>
              <w:rPr>
                <w:rFonts w:cstheme="minorHAnsi"/>
                <w:sz w:val="18"/>
                <w:szCs w:val="18"/>
              </w:rPr>
              <w:t xml:space="preserve"> + le total </w:t>
            </w:r>
            <w:r w:rsidR="006020A0" w:rsidRPr="006020A0">
              <w:rPr>
                <w:rFonts w:cstheme="minorHAnsi"/>
                <w:sz w:val="18"/>
                <w:szCs w:val="18"/>
              </w:rPr>
              <w:t>des paiements en monnaie électronique avec des cartes ayant une fonction de monnaie électronique.</w:t>
            </w:r>
          </w:p>
        </w:tc>
      </w:tr>
    </w:tbl>
    <w:p w14:paraId="0C0FAF10" w14:textId="0DC208CD" w:rsidR="00A76282" w:rsidRDefault="00A76282" w:rsidP="007355FC">
      <w:pPr>
        <w:pStyle w:val="Paragraphedeliste"/>
        <w:autoSpaceDE w:val="0"/>
        <w:autoSpaceDN w:val="0"/>
        <w:adjustRightInd w:val="0"/>
        <w:spacing w:after="0" w:line="240" w:lineRule="auto"/>
        <w:jc w:val="both"/>
        <w:rPr>
          <w:rFonts w:cstheme="minorHAnsi"/>
        </w:rPr>
      </w:pPr>
    </w:p>
    <w:p w14:paraId="5A3E2D96" w14:textId="77777777" w:rsidR="00194ADE" w:rsidRDefault="00194ADE" w:rsidP="007355FC">
      <w:pPr>
        <w:pStyle w:val="Paragraphedeliste"/>
        <w:autoSpaceDE w:val="0"/>
        <w:autoSpaceDN w:val="0"/>
        <w:adjustRightInd w:val="0"/>
        <w:spacing w:after="0" w:line="240" w:lineRule="auto"/>
        <w:jc w:val="both"/>
        <w:rPr>
          <w:rFonts w:cstheme="minorHAnsi"/>
        </w:rPr>
      </w:pPr>
    </w:p>
    <w:p w14:paraId="7519C475" w14:textId="278B7B9D" w:rsidR="00A12A73" w:rsidRPr="00594FDC" w:rsidRDefault="00A12A73" w:rsidP="006B400E">
      <w:pPr>
        <w:pStyle w:val="Titre4"/>
        <w:numPr>
          <w:ilvl w:val="3"/>
          <w:numId w:val="20"/>
        </w:numPr>
      </w:pPr>
      <w:bookmarkStart w:id="40" w:name="_Toc222476871"/>
      <w:r w:rsidRPr="00594FDC">
        <w:t xml:space="preserve">Opérations </w:t>
      </w:r>
      <w:r w:rsidR="00DE3881" w:rsidRPr="00594FDC">
        <w:t xml:space="preserve">initiées </w:t>
      </w:r>
      <w:r w:rsidRPr="00594FDC">
        <w:t xml:space="preserve">en proximité </w:t>
      </w:r>
      <w:r w:rsidR="007355FC" w:rsidRPr="00594FDC">
        <w:t>d</w:t>
      </w:r>
      <w:r w:rsidR="00DE3881" w:rsidRPr="00594FDC">
        <w:t xml:space="preserve">epuis les terminaux </w:t>
      </w:r>
      <w:r w:rsidRPr="00594FDC">
        <w:t>gérés par l’établissement à partir de cartes émises par des PSP étrangers</w:t>
      </w:r>
      <w:bookmarkEnd w:id="40"/>
    </w:p>
    <w:p w14:paraId="7892B2F6" w14:textId="77777777" w:rsidR="00A12A73" w:rsidRDefault="00A12A73" w:rsidP="00A12A73">
      <w:pPr>
        <w:spacing w:after="0" w:line="240" w:lineRule="auto"/>
        <w:rPr>
          <w:rFonts w:ascii="Calibri" w:eastAsia="Times New Roman" w:hAnsi="Calibri" w:cs="Calibri"/>
          <w:i/>
          <w:sz w:val="20"/>
          <w:szCs w:val="20"/>
          <w:lang w:eastAsia="fr-FR"/>
        </w:rPr>
      </w:pPr>
    </w:p>
    <w:p w14:paraId="2EE88E50" w14:textId="1E67C370" w:rsidR="00A12A73" w:rsidRDefault="00A12A73" w:rsidP="00A12A73">
      <w:pPr>
        <w:jc w:val="both"/>
        <w:rPr>
          <w:rFonts w:cstheme="minorHAnsi"/>
        </w:rPr>
      </w:pPr>
      <w:r w:rsidRPr="009427B3">
        <w:rPr>
          <w:rFonts w:cstheme="minorHAnsi"/>
        </w:rPr>
        <w:t>Il s’agit de déclarer, en nombre et valeur, les opérations initiées, à pa</w:t>
      </w:r>
      <w:r w:rsidR="00DE3881">
        <w:rPr>
          <w:rFonts w:cstheme="minorHAnsi"/>
        </w:rPr>
        <w:t>rtir de cartes émises par des PSP</w:t>
      </w:r>
      <w:r w:rsidRPr="009427B3">
        <w:rPr>
          <w:rFonts w:cstheme="minorHAnsi"/>
        </w:rPr>
        <w:t xml:space="preserve"> résidents </w:t>
      </w:r>
      <w:r>
        <w:rPr>
          <w:rFonts w:cstheme="minorHAnsi"/>
        </w:rPr>
        <w:t>à l’étranger</w:t>
      </w:r>
      <w:r w:rsidRPr="009427B3">
        <w:rPr>
          <w:rFonts w:cstheme="minorHAnsi"/>
        </w:rPr>
        <w:t xml:space="preserve">, en proximité depuis des terminaux/GAB gérés par </w:t>
      </w:r>
      <w:r w:rsidR="007355FC" w:rsidRPr="009427B3">
        <w:rPr>
          <w:rFonts w:cstheme="minorHAnsi"/>
        </w:rPr>
        <w:t>l’établissement</w:t>
      </w:r>
      <w:r w:rsidR="007355FC">
        <w:rPr>
          <w:rFonts w:cstheme="minorHAnsi"/>
        </w:rPr>
        <w:t> </w:t>
      </w:r>
      <w:r w:rsidRPr="009427B3">
        <w:rPr>
          <w:rFonts w:cstheme="minorHAnsi"/>
        </w:rPr>
        <w:t>: retraits et dépôts d’espèces aux GAB, opérations à un point de vente (hors opérations en monnaie électronique), chargement/déchargement de cartes de monnaie électronique et paiements en monnaie électronique avec cartes ayant une fonction de monnaie électronique.</w:t>
      </w:r>
    </w:p>
    <w:p w14:paraId="436D4C1F"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12D74F32" w14:textId="6905DC65" w:rsidR="00A12A73" w:rsidRDefault="00A12A73" w:rsidP="00F735D7">
      <w:pPr>
        <w:spacing w:after="0" w:line="240" w:lineRule="auto"/>
        <w:rPr>
          <w:rFonts w:ascii="Calibri" w:eastAsia="Times New Roman" w:hAnsi="Calibri" w:cs="Calibri"/>
          <w:i/>
          <w:sz w:val="20"/>
          <w:szCs w:val="20"/>
          <w:lang w:eastAsia="fr-FR"/>
        </w:rPr>
      </w:pPr>
    </w:p>
    <w:tbl>
      <w:tblPr>
        <w:tblStyle w:val="Tableausimple2"/>
        <w:tblW w:w="9178" w:type="dxa"/>
        <w:tblBorders>
          <w:bottom w:val="single" w:sz="18" w:space="0" w:color="5B9BD5" w:themeColor="accent1"/>
        </w:tblBorders>
        <w:tblLook w:val="04A0" w:firstRow="1" w:lastRow="0" w:firstColumn="1" w:lastColumn="0" w:noHBand="0" w:noVBand="1"/>
      </w:tblPr>
      <w:tblGrid>
        <w:gridCol w:w="9297"/>
      </w:tblGrid>
      <w:tr w:rsidR="00A12A73" w:rsidRPr="005A160E" w14:paraId="778038DE" w14:textId="77777777" w:rsidTr="002262D6">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178" w:type="dxa"/>
            <w:tcBorders>
              <w:bottom w:val="none" w:sz="0" w:space="0" w:color="auto"/>
            </w:tcBorders>
            <w:noWrap/>
          </w:tcPr>
          <w:tbl>
            <w:tblPr>
              <w:tblStyle w:val="Tableausimple2"/>
              <w:tblW w:w="9081" w:type="dxa"/>
              <w:tblBorders>
                <w:top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3"/>
              <w:gridCol w:w="3065"/>
              <w:gridCol w:w="3287"/>
              <w:gridCol w:w="1032"/>
              <w:gridCol w:w="715"/>
              <w:gridCol w:w="709"/>
            </w:tblGrid>
            <w:tr w:rsidR="00A9350C" w:rsidRPr="002414A7" w14:paraId="1A8E1E73" w14:textId="7EFE9416" w:rsidTr="002262D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25" w:type="dxa"/>
                  <w:gridSpan w:val="3"/>
                  <w:noWrap/>
                </w:tcPr>
                <w:p w14:paraId="0E660382" w14:textId="77777777" w:rsidR="00A9350C" w:rsidRPr="002414A7" w:rsidRDefault="00A9350C" w:rsidP="00A9350C">
                  <w:pPr>
                    <w:jc w:val="both"/>
                    <w:rPr>
                      <w:rFonts w:ascii="Calibri" w:eastAsia="Times New Roman" w:hAnsi="Calibri" w:cs="Calibri"/>
                      <w:b w:val="0"/>
                      <w:sz w:val="18"/>
                      <w:szCs w:val="18"/>
                      <w:lang w:eastAsia="fr-FR"/>
                    </w:rPr>
                  </w:pPr>
                </w:p>
              </w:tc>
              <w:tc>
                <w:tcPr>
                  <w:tcW w:w="103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noWrap/>
                </w:tcPr>
                <w:p w14:paraId="7AA156DC" w14:textId="57B04E3E" w:rsidR="00A9350C" w:rsidRPr="003B548F" w:rsidRDefault="00A9350C" w:rsidP="00A9350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bCs w:val="0"/>
                      <w:sz w:val="14"/>
                      <w:szCs w:val="18"/>
                    </w:rPr>
                    <w:t>Pays de localisation du terminal</w:t>
                  </w:r>
                </w:p>
              </w:tc>
              <w:tc>
                <w:tcPr>
                  <w:tcW w:w="715"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20C7D362" w14:textId="267780B7" w:rsidR="00A9350C" w:rsidRPr="003B548F" w:rsidRDefault="00A9350C" w:rsidP="00A9350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709" w:type="dxa"/>
                  <w:tcBorders>
                    <w:top w:val="single" w:sz="18" w:space="0" w:color="5B9BD5" w:themeColor="accent1"/>
                    <w:left w:val="single" w:sz="2" w:space="0" w:color="5B9BD5" w:themeColor="accent1"/>
                    <w:bottom w:val="single" w:sz="2" w:space="0" w:color="5B9BD5" w:themeColor="accent1"/>
                  </w:tcBorders>
                  <w:shd w:val="solid" w:color="FFFFFF" w:fill="000000"/>
                </w:tcPr>
                <w:p w14:paraId="5191A1D4" w14:textId="77777777" w:rsidR="00A9350C" w:rsidRPr="007D187B" w:rsidRDefault="00A9350C" w:rsidP="00A9350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0783FD51" w14:textId="5AFA2871" w:rsidR="00A9350C" w:rsidRPr="003B548F" w:rsidRDefault="00A9350C" w:rsidP="00A9350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sidRPr="007D187B">
                    <w:rPr>
                      <w:rFonts w:cstheme="minorHAnsi"/>
                      <w:bCs w:val="0"/>
                      <w:sz w:val="14"/>
                      <w:szCs w:val="18"/>
                    </w:rPr>
                    <w:t>euros</w:t>
                  </w:r>
                  <w:proofErr w:type="gramEnd"/>
                </w:p>
              </w:tc>
            </w:tr>
            <w:tr w:rsidR="00A9350C" w:rsidRPr="002414A7" w14:paraId="624EA28D" w14:textId="6D99C080"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8" w:type="dxa"/>
                  <w:gridSpan w:val="2"/>
                  <w:noWrap/>
                </w:tcPr>
                <w:p w14:paraId="205F119A" w14:textId="26CDDEAD" w:rsidR="00A9350C" w:rsidRPr="002414A7" w:rsidRDefault="00A9350C" w:rsidP="00111DD6">
                  <w:pPr>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Opérations effectuées aux terminaux et GAB fournis par l’établissement avec des cartes émises par des PSP étrangers</w:t>
                  </w:r>
                </w:p>
              </w:tc>
              <w:tc>
                <w:tcPr>
                  <w:tcW w:w="3286" w:type="dxa"/>
                </w:tcPr>
                <w:p w14:paraId="3640C44F" w14:textId="77777777" w:rsidR="00A9350C" w:rsidRPr="002414A7" w:rsidRDefault="00A9350C" w:rsidP="00111DD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sidRPr="002414A7">
                    <w:rPr>
                      <w:rFonts w:ascii="Calibri" w:eastAsia="Times New Roman" w:hAnsi="Calibri" w:cs="Calibri"/>
                      <w:b/>
                      <w:sz w:val="18"/>
                      <w:szCs w:val="18"/>
                      <w:lang w:eastAsia="fr-FR"/>
                    </w:rPr>
                    <w:t xml:space="preserve">Opérations initiées en proximité depuis des GAB et terminaux. </w:t>
                  </w:r>
                </w:p>
                <w:p w14:paraId="7A33086C" w14:textId="6DB7EBA7" w:rsidR="00A9350C" w:rsidRPr="002414A7" w:rsidRDefault="00A9350C" w:rsidP="00111D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4E58CA">
                    <w:rPr>
                      <w:rFonts w:ascii="Calibri" w:hAnsi="Calibri"/>
                      <w:sz w:val="18"/>
                    </w:rPr>
                    <w:t>La ventilation géographique est basée sur le lieu où est situé le GAB/terminal.</w:t>
                  </w:r>
                </w:p>
              </w:tc>
              <w:tc>
                <w:tcPr>
                  <w:tcW w:w="1032" w:type="dxa"/>
                  <w:vMerge w:val="restart"/>
                  <w:noWrap/>
                </w:tcPr>
                <w:p w14:paraId="12D72261" w14:textId="45A4F337" w:rsidR="00A9350C" w:rsidRPr="002262D6" w:rsidRDefault="00A9350C" w:rsidP="002262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sidRPr="002262D6">
                    <w:rPr>
                      <w:rFonts w:ascii="Calibri" w:eastAsia="Times New Roman" w:hAnsi="Calibri" w:cs="Calibri"/>
                      <w:b/>
                      <w:sz w:val="14"/>
                      <w:szCs w:val="18"/>
                      <w:lang w:eastAsia="fr-FR"/>
                    </w:rPr>
                    <w:t>Selon ventilation géographique en section 5</w:t>
                  </w:r>
                  <w:r w:rsidR="002262D6" w:rsidRPr="002262D6">
                    <w:rPr>
                      <w:rFonts w:ascii="Calibri" w:eastAsia="Times New Roman" w:hAnsi="Calibri" w:cs="Calibri"/>
                      <w:b/>
                      <w:sz w:val="14"/>
                      <w:szCs w:val="18"/>
                      <w:lang w:eastAsia="fr-FR"/>
                    </w:rPr>
                    <w:t>.1</w:t>
                  </w:r>
                </w:p>
              </w:tc>
              <w:tc>
                <w:tcPr>
                  <w:tcW w:w="715" w:type="dxa"/>
                </w:tcPr>
                <w:p w14:paraId="39AD6168" w14:textId="77777777" w:rsidR="00A9350C" w:rsidRPr="003B548F" w:rsidRDefault="00A9350C" w:rsidP="00111D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709" w:type="dxa"/>
                </w:tcPr>
                <w:p w14:paraId="3E7AD18E" w14:textId="77777777" w:rsidR="00A9350C" w:rsidRPr="003B548F" w:rsidRDefault="00A9350C" w:rsidP="00111D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A9350C" w:rsidRPr="002414A7" w14:paraId="60C11C66" w14:textId="746E25E1" w:rsidTr="002262D6">
              <w:trPr>
                <w:trHeight w:val="385"/>
              </w:trPr>
              <w:tc>
                <w:tcPr>
                  <w:cnfStyle w:val="001000000000" w:firstRow="0" w:lastRow="0" w:firstColumn="1" w:lastColumn="0" w:oddVBand="0" w:evenVBand="0" w:oddHBand="0" w:evenHBand="0" w:firstRowFirstColumn="0" w:firstRowLastColumn="0" w:lastRowFirstColumn="0" w:lastRowLastColumn="0"/>
                  <w:tcW w:w="273" w:type="dxa"/>
                  <w:tcBorders>
                    <w:top w:val="single" w:sz="18" w:space="0" w:color="5B9BD5" w:themeColor="accent1"/>
                    <w:bottom w:val="single" w:sz="4" w:space="0" w:color="5B9BD5" w:themeColor="accent1"/>
                  </w:tcBorders>
                  <w:noWrap/>
                  <w:hideMark/>
                </w:tcPr>
                <w:p w14:paraId="0A28C78E" w14:textId="1095BFF0" w:rsidR="00A9350C" w:rsidRPr="002414A7" w:rsidRDefault="00A9350C" w:rsidP="003B548F">
                  <w:pPr>
                    <w:rPr>
                      <w:rFonts w:ascii="Calibri" w:eastAsia="Times New Roman" w:hAnsi="Calibri" w:cs="Calibri"/>
                      <w:i/>
                      <w:sz w:val="18"/>
                      <w:szCs w:val="18"/>
                      <w:lang w:eastAsia="fr-FR"/>
                    </w:rPr>
                  </w:pPr>
                </w:p>
              </w:tc>
              <w:tc>
                <w:tcPr>
                  <w:tcW w:w="3064" w:type="dxa"/>
                  <w:tcBorders>
                    <w:top w:val="single" w:sz="18" w:space="0" w:color="5B9BD5" w:themeColor="accent1"/>
                    <w:bottom w:val="single" w:sz="4" w:space="0" w:color="5B9BD5" w:themeColor="accent1"/>
                  </w:tcBorders>
                  <w:noWrap/>
                  <w:hideMark/>
                </w:tcPr>
                <w:p w14:paraId="597C58B8" w14:textId="5BF102F3"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retraits d'espèces aux GAB</w:t>
                  </w:r>
                </w:p>
              </w:tc>
              <w:tc>
                <w:tcPr>
                  <w:tcW w:w="3286" w:type="dxa"/>
                  <w:tcBorders>
                    <w:top w:val="single" w:sz="18" w:space="0" w:color="5B9BD5" w:themeColor="accent1"/>
                    <w:bottom w:val="single" w:sz="4" w:space="0" w:color="5B9BD5" w:themeColor="accent1"/>
                  </w:tcBorders>
                </w:tcPr>
                <w:p w14:paraId="31A31056" w14:textId="77777777" w:rsidR="00A9350C" w:rsidRDefault="00A9350C" w:rsidP="00224A5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2414A7">
                    <w:rPr>
                      <w:rFonts w:ascii="Calibri" w:eastAsia="Times New Roman" w:hAnsi="Calibri" w:cs="Calibri"/>
                      <w:sz w:val="18"/>
                      <w:szCs w:val="18"/>
                      <w:lang w:eastAsia="fr-FR"/>
                    </w:rPr>
                    <w:t xml:space="preserve">Opérations de retrait effectuées avec une </w:t>
                  </w:r>
                  <w:r>
                    <w:rPr>
                      <w:rFonts w:ascii="Calibri" w:eastAsia="Times New Roman" w:hAnsi="Calibri" w:cs="Calibri"/>
                      <w:sz w:val="18"/>
                      <w:szCs w:val="18"/>
                      <w:lang w:eastAsia="fr-FR"/>
                    </w:rPr>
                    <w:t>carte</w:t>
                  </w:r>
                  <w:r w:rsidRPr="002414A7">
                    <w:rPr>
                      <w:rFonts w:ascii="Calibri" w:eastAsia="Times New Roman" w:hAnsi="Calibri" w:cs="Calibri"/>
                      <w:sz w:val="18"/>
                      <w:szCs w:val="18"/>
                      <w:lang w:eastAsia="fr-FR"/>
                    </w:rPr>
                    <w:t xml:space="preserve"> ayant une fonction espèces.</w:t>
                  </w:r>
                </w:p>
                <w:p w14:paraId="12646549" w14:textId="40F7D837" w:rsidR="00A9350C" w:rsidRPr="00DE3881" w:rsidRDefault="00A9350C" w:rsidP="00224A5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u w:val="single"/>
                      <w:lang w:eastAsia="fr-FR"/>
                    </w:rPr>
                    <w:t>Exclues</w:t>
                  </w:r>
                  <w:r>
                    <w:rPr>
                      <w:rFonts w:ascii="Calibri" w:eastAsia="Times New Roman" w:hAnsi="Calibri" w:cs="Calibri"/>
                      <w:sz w:val="18"/>
                      <w:szCs w:val="18"/>
                      <w:lang w:eastAsia="fr-FR"/>
                    </w:rPr>
                    <w:t> : les opérations en monnaie électronique.</w:t>
                  </w:r>
                </w:p>
              </w:tc>
              <w:tc>
                <w:tcPr>
                  <w:tcW w:w="1032" w:type="dxa"/>
                  <w:vMerge/>
                  <w:noWrap/>
                </w:tcPr>
                <w:p w14:paraId="308E5E36" w14:textId="7705B293"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15" w:type="dxa"/>
                  <w:tcBorders>
                    <w:top w:val="single" w:sz="18" w:space="0" w:color="5B9BD5" w:themeColor="accent1"/>
                    <w:bottom w:val="single" w:sz="4" w:space="0" w:color="5B9BD5" w:themeColor="accent1"/>
                  </w:tcBorders>
                </w:tcPr>
                <w:p w14:paraId="345BAF08" w14:textId="77777777"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09" w:type="dxa"/>
                  <w:tcBorders>
                    <w:top w:val="single" w:sz="18" w:space="0" w:color="5B9BD5" w:themeColor="accent1"/>
                    <w:bottom w:val="single" w:sz="4" w:space="0" w:color="5B9BD5" w:themeColor="accent1"/>
                  </w:tcBorders>
                </w:tcPr>
                <w:p w14:paraId="40B031DB" w14:textId="77777777"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A9350C" w:rsidRPr="002414A7" w14:paraId="054355CD" w14:textId="1CFB5998"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3" w:type="dxa"/>
                  <w:tcBorders>
                    <w:top w:val="single" w:sz="18" w:space="0" w:color="5B9BD5" w:themeColor="accent1"/>
                    <w:bottom w:val="single" w:sz="4" w:space="0" w:color="5B9BD5" w:themeColor="accent1"/>
                  </w:tcBorders>
                  <w:noWrap/>
                  <w:hideMark/>
                </w:tcPr>
                <w:p w14:paraId="6DA913AA" w14:textId="6276622A" w:rsidR="00A9350C" w:rsidRPr="002414A7" w:rsidRDefault="00A9350C" w:rsidP="003B548F">
                  <w:pPr>
                    <w:rPr>
                      <w:rFonts w:ascii="Calibri" w:eastAsia="Times New Roman" w:hAnsi="Calibri" w:cs="Calibri"/>
                      <w:i/>
                      <w:sz w:val="18"/>
                      <w:szCs w:val="18"/>
                      <w:lang w:eastAsia="fr-FR"/>
                    </w:rPr>
                  </w:pPr>
                </w:p>
              </w:tc>
              <w:tc>
                <w:tcPr>
                  <w:tcW w:w="3064" w:type="dxa"/>
                  <w:tcBorders>
                    <w:top w:val="single" w:sz="18" w:space="0" w:color="5B9BD5" w:themeColor="accent1"/>
                    <w:bottom w:val="single" w:sz="4" w:space="0" w:color="5B9BD5" w:themeColor="accent1"/>
                  </w:tcBorders>
                  <w:noWrap/>
                  <w:hideMark/>
                </w:tcPr>
                <w:p w14:paraId="0A64537A" w14:textId="72A0CCA9" w:rsidR="00A9350C" w:rsidRPr="002414A7" w:rsidRDefault="00A9350C" w:rsidP="003B54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dépôts d'espèces aux GAB</w:t>
                  </w:r>
                </w:p>
              </w:tc>
              <w:tc>
                <w:tcPr>
                  <w:tcW w:w="3286" w:type="dxa"/>
                  <w:tcBorders>
                    <w:top w:val="single" w:sz="18" w:space="0" w:color="5B9BD5" w:themeColor="accent1"/>
                    <w:bottom w:val="single" w:sz="4" w:space="0" w:color="5B9BD5" w:themeColor="accent1"/>
                  </w:tcBorders>
                </w:tcPr>
                <w:p w14:paraId="45E32664" w14:textId="455D86AC" w:rsidR="00A9350C" w:rsidRPr="002414A7" w:rsidRDefault="00A9350C" w:rsidP="003B548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bCs/>
                      <w:sz w:val="18"/>
                      <w:szCs w:val="18"/>
                      <w:lang w:eastAsia="fr-FR"/>
                    </w:rPr>
                    <w:t>Dépôt</w:t>
                  </w:r>
                  <w:r>
                    <w:rPr>
                      <w:rFonts w:ascii="Calibri" w:eastAsia="Times New Roman" w:hAnsi="Calibri" w:cs="Calibri"/>
                      <w:bCs/>
                      <w:sz w:val="18"/>
                      <w:szCs w:val="18"/>
                      <w:lang w:eastAsia="fr-FR"/>
                    </w:rPr>
                    <w:t>s</w:t>
                  </w:r>
                  <w:r w:rsidRPr="002414A7">
                    <w:rPr>
                      <w:rFonts w:ascii="Calibri" w:eastAsia="Times New Roman" w:hAnsi="Calibri" w:cs="Calibri"/>
                      <w:bCs/>
                      <w:sz w:val="18"/>
                      <w:szCs w:val="18"/>
                      <w:lang w:eastAsia="fr-FR"/>
                    </w:rPr>
                    <w:t xml:space="preserve"> d’espèces effectué</w:t>
                  </w:r>
                  <w:r>
                    <w:rPr>
                      <w:rFonts w:ascii="Calibri" w:eastAsia="Times New Roman" w:hAnsi="Calibri" w:cs="Calibri"/>
                      <w:bCs/>
                      <w:sz w:val="18"/>
                      <w:szCs w:val="18"/>
                      <w:lang w:eastAsia="fr-FR"/>
                    </w:rPr>
                    <w:t>s</w:t>
                  </w:r>
                  <w:r w:rsidRPr="002414A7">
                    <w:rPr>
                      <w:rFonts w:ascii="Calibri" w:eastAsia="Times New Roman" w:hAnsi="Calibri" w:cs="Calibri"/>
                      <w:bCs/>
                      <w:sz w:val="18"/>
                      <w:szCs w:val="18"/>
                      <w:lang w:eastAsia="fr-FR"/>
                    </w:rPr>
                    <w:t xml:space="preserve"> à un GAB à l’aide d’une carte ayant une fonction espèces. </w:t>
                  </w:r>
                  <w:r w:rsidRPr="00DE3881">
                    <w:rPr>
                      <w:rFonts w:ascii="Calibri" w:eastAsia="Times New Roman" w:hAnsi="Calibri" w:cs="Calibri"/>
                      <w:bCs/>
                      <w:sz w:val="18"/>
                      <w:szCs w:val="18"/>
                      <w:u w:val="single"/>
                      <w:lang w:eastAsia="fr-FR"/>
                    </w:rPr>
                    <w:t>Inclut</w:t>
                  </w:r>
                  <w:r w:rsidRPr="002414A7">
                    <w:rPr>
                      <w:rFonts w:ascii="Calibri" w:eastAsia="Times New Roman" w:hAnsi="Calibri" w:cs="Calibri"/>
                      <w:bCs/>
                      <w:sz w:val="18"/>
                      <w:szCs w:val="18"/>
                      <w:lang w:eastAsia="fr-FR"/>
                    </w:rPr>
                    <w:t xml:space="preserve"> toutes les opérations pour lesquelles des espèces sont déposées à un terminal, sans intervention manuelle, et pour lesquelles le payeur est identifié au moyen d’une carte de paiement</w:t>
                  </w:r>
                </w:p>
              </w:tc>
              <w:tc>
                <w:tcPr>
                  <w:tcW w:w="1032" w:type="dxa"/>
                  <w:vMerge/>
                  <w:noWrap/>
                </w:tcPr>
                <w:p w14:paraId="3644B793" w14:textId="717B4B2A" w:rsidR="00A9350C" w:rsidRPr="002414A7" w:rsidRDefault="00A9350C" w:rsidP="003B54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15" w:type="dxa"/>
                  <w:tcBorders>
                    <w:top w:val="single" w:sz="18" w:space="0" w:color="5B9BD5" w:themeColor="accent1"/>
                    <w:bottom w:val="single" w:sz="4" w:space="0" w:color="5B9BD5" w:themeColor="accent1"/>
                  </w:tcBorders>
                </w:tcPr>
                <w:p w14:paraId="2354CA99" w14:textId="77777777" w:rsidR="00A9350C" w:rsidRPr="002414A7" w:rsidRDefault="00A9350C" w:rsidP="003B54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09" w:type="dxa"/>
                  <w:tcBorders>
                    <w:top w:val="single" w:sz="18" w:space="0" w:color="5B9BD5" w:themeColor="accent1"/>
                    <w:bottom w:val="single" w:sz="4" w:space="0" w:color="5B9BD5" w:themeColor="accent1"/>
                  </w:tcBorders>
                </w:tcPr>
                <w:p w14:paraId="71A8E5B8" w14:textId="77777777" w:rsidR="00A9350C" w:rsidRPr="002414A7" w:rsidRDefault="00A9350C" w:rsidP="003B54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A9350C" w:rsidRPr="002414A7" w14:paraId="6AE18113" w14:textId="77777777" w:rsidTr="002262D6">
              <w:trPr>
                <w:trHeight w:val="300"/>
              </w:trPr>
              <w:tc>
                <w:tcPr>
                  <w:cnfStyle w:val="001000000000" w:firstRow="0" w:lastRow="0" w:firstColumn="1" w:lastColumn="0" w:oddVBand="0" w:evenVBand="0" w:oddHBand="0" w:evenHBand="0" w:firstRowFirstColumn="0" w:firstRowLastColumn="0" w:lastRowFirstColumn="0" w:lastRowLastColumn="0"/>
                  <w:tcW w:w="273" w:type="dxa"/>
                  <w:tcBorders>
                    <w:top w:val="single" w:sz="18" w:space="0" w:color="5B9BD5" w:themeColor="accent1"/>
                    <w:bottom w:val="single" w:sz="4" w:space="0" w:color="5B9BD5" w:themeColor="accent1"/>
                  </w:tcBorders>
                  <w:noWrap/>
                </w:tcPr>
                <w:p w14:paraId="4987F513" w14:textId="77777777" w:rsidR="00A9350C" w:rsidRPr="002414A7" w:rsidRDefault="00A9350C" w:rsidP="003B548F">
                  <w:pPr>
                    <w:rPr>
                      <w:rFonts w:ascii="Calibri" w:eastAsia="Times New Roman" w:hAnsi="Calibri" w:cs="Calibri"/>
                      <w:i/>
                      <w:sz w:val="18"/>
                      <w:szCs w:val="18"/>
                      <w:lang w:eastAsia="fr-FR"/>
                    </w:rPr>
                  </w:pPr>
                </w:p>
              </w:tc>
              <w:tc>
                <w:tcPr>
                  <w:tcW w:w="3064" w:type="dxa"/>
                  <w:tcBorders>
                    <w:top w:val="single" w:sz="18" w:space="0" w:color="5B9BD5" w:themeColor="accent1"/>
                    <w:bottom w:val="single" w:sz="4" w:space="0" w:color="5B9BD5" w:themeColor="accent1"/>
                  </w:tcBorders>
                  <w:noWrap/>
                </w:tcPr>
                <w:p w14:paraId="7FD1AD98" w14:textId="79E47D35"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Dont autres opérations aux GAB</w:t>
                  </w:r>
                </w:p>
              </w:tc>
              <w:tc>
                <w:tcPr>
                  <w:tcW w:w="3286" w:type="dxa"/>
                  <w:tcBorders>
                    <w:top w:val="single" w:sz="18" w:space="0" w:color="5B9BD5" w:themeColor="accent1"/>
                    <w:bottom w:val="single" w:sz="4" w:space="0" w:color="5B9BD5" w:themeColor="accent1"/>
                  </w:tcBorders>
                </w:tcPr>
                <w:p w14:paraId="29FD9C4D" w14:textId="75389804" w:rsidR="00A9350C" w:rsidRPr="00224A5A" w:rsidRDefault="00A9350C" w:rsidP="00DE388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8"/>
                      <w:szCs w:val="18"/>
                      <w:lang w:eastAsia="fr-FR"/>
                    </w:rPr>
                  </w:pPr>
                </w:p>
              </w:tc>
              <w:tc>
                <w:tcPr>
                  <w:tcW w:w="1032" w:type="dxa"/>
                  <w:vMerge/>
                  <w:noWrap/>
                </w:tcPr>
                <w:p w14:paraId="01620806" w14:textId="77777777"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15" w:type="dxa"/>
                  <w:tcBorders>
                    <w:top w:val="single" w:sz="18" w:space="0" w:color="5B9BD5" w:themeColor="accent1"/>
                    <w:bottom w:val="single" w:sz="4" w:space="0" w:color="5B9BD5" w:themeColor="accent1"/>
                  </w:tcBorders>
                </w:tcPr>
                <w:p w14:paraId="28DA7DB0" w14:textId="77777777"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09" w:type="dxa"/>
                  <w:tcBorders>
                    <w:top w:val="single" w:sz="18" w:space="0" w:color="5B9BD5" w:themeColor="accent1"/>
                    <w:bottom w:val="single" w:sz="4" w:space="0" w:color="5B9BD5" w:themeColor="accent1"/>
                  </w:tcBorders>
                </w:tcPr>
                <w:p w14:paraId="6114828F" w14:textId="77777777"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A9350C" w:rsidRPr="002414A7" w14:paraId="6B51ACDF" w14:textId="053A74A2"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3" w:type="dxa"/>
                  <w:tcBorders>
                    <w:top w:val="single" w:sz="18" w:space="0" w:color="5B9BD5" w:themeColor="accent1"/>
                    <w:bottom w:val="single" w:sz="4" w:space="0" w:color="5B9BD5" w:themeColor="accent1"/>
                  </w:tcBorders>
                  <w:noWrap/>
                  <w:hideMark/>
                </w:tcPr>
                <w:p w14:paraId="1D56D28B" w14:textId="61B24458" w:rsidR="00A9350C" w:rsidRPr="002414A7" w:rsidRDefault="00A9350C" w:rsidP="003B548F">
                  <w:pPr>
                    <w:rPr>
                      <w:rFonts w:ascii="Calibri" w:eastAsia="Times New Roman" w:hAnsi="Calibri" w:cs="Calibri"/>
                      <w:i/>
                      <w:sz w:val="18"/>
                      <w:szCs w:val="18"/>
                      <w:lang w:eastAsia="fr-FR"/>
                    </w:rPr>
                  </w:pPr>
                </w:p>
              </w:tc>
              <w:tc>
                <w:tcPr>
                  <w:tcW w:w="3064" w:type="dxa"/>
                  <w:tcBorders>
                    <w:top w:val="single" w:sz="18" w:space="0" w:color="5B9BD5" w:themeColor="accent1"/>
                    <w:bottom w:val="single" w:sz="4" w:space="0" w:color="5B9BD5" w:themeColor="accent1"/>
                  </w:tcBorders>
                  <w:noWrap/>
                  <w:hideMark/>
                </w:tcPr>
                <w:p w14:paraId="26D7D7AB" w14:textId="0EF4D989" w:rsidR="00A9350C" w:rsidRPr="002414A7" w:rsidRDefault="00A9350C" w:rsidP="003B54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opérations à un point de vente (TPV)</w:t>
                  </w:r>
                </w:p>
              </w:tc>
              <w:tc>
                <w:tcPr>
                  <w:tcW w:w="3286" w:type="dxa"/>
                  <w:tcBorders>
                    <w:top w:val="single" w:sz="18" w:space="0" w:color="5B9BD5" w:themeColor="accent1"/>
                    <w:bottom w:val="single" w:sz="4" w:space="0" w:color="5B9BD5" w:themeColor="accent1"/>
                  </w:tcBorders>
                </w:tcPr>
                <w:p w14:paraId="746FE2C1" w14:textId="77777777" w:rsidR="00A9350C" w:rsidRDefault="00A9350C" w:rsidP="00DE388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18"/>
                      <w:szCs w:val="18"/>
                      <w:lang w:eastAsia="fr-FR"/>
                    </w:rPr>
                  </w:pPr>
                  <w:r w:rsidRPr="00224A5A">
                    <w:rPr>
                      <w:rFonts w:ascii="Calibri" w:eastAsia="Times New Roman" w:hAnsi="Calibri" w:cs="Calibri"/>
                      <w:bCs/>
                      <w:sz w:val="18"/>
                      <w:szCs w:val="18"/>
                      <w:lang w:eastAsia="fr-FR"/>
                    </w:rPr>
                    <w:t xml:space="preserve">Opérations effectuées via un TPV </w:t>
                  </w:r>
                  <w:r>
                    <w:rPr>
                      <w:rFonts w:ascii="Calibri" w:eastAsia="Times New Roman" w:hAnsi="Calibri" w:cs="Calibri"/>
                      <w:bCs/>
                      <w:sz w:val="18"/>
                      <w:szCs w:val="18"/>
                      <w:lang w:eastAsia="fr-FR"/>
                    </w:rPr>
                    <w:t xml:space="preserve">avec </w:t>
                  </w:r>
                  <w:r w:rsidRPr="00224A5A">
                    <w:rPr>
                      <w:rFonts w:ascii="Calibri" w:eastAsia="Times New Roman" w:hAnsi="Calibri" w:cs="Calibri"/>
                      <w:bCs/>
                      <w:sz w:val="18"/>
                      <w:szCs w:val="18"/>
                      <w:lang w:eastAsia="fr-FR"/>
                    </w:rPr>
                    <w:t>une carte ayant une fonction de débit, de crédit ou de débit différé.</w:t>
                  </w:r>
                </w:p>
                <w:p w14:paraId="4179854D" w14:textId="512D0D11" w:rsidR="00A9350C" w:rsidRPr="00224A5A" w:rsidRDefault="00A9350C" w:rsidP="00F252EC">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18"/>
                      <w:szCs w:val="18"/>
                      <w:lang w:eastAsia="fr-FR"/>
                    </w:rPr>
                  </w:pPr>
                  <w:r w:rsidRPr="001E6B4A">
                    <w:rPr>
                      <w:rFonts w:ascii="Calibri" w:eastAsia="Times New Roman" w:hAnsi="Calibri" w:cs="Calibri"/>
                      <w:bCs/>
                      <w:sz w:val="18"/>
                      <w:szCs w:val="18"/>
                      <w:u w:val="single"/>
                      <w:lang w:eastAsia="fr-FR"/>
                    </w:rPr>
                    <w:t>Exclues</w:t>
                  </w:r>
                  <w:r>
                    <w:rPr>
                      <w:rFonts w:ascii="Calibri" w:eastAsia="Times New Roman" w:hAnsi="Calibri" w:cs="Calibri"/>
                      <w:bCs/>
                      <w:sz w:val="18"/>
                      <w:szCs w:val="18"/>
                      <w:lang w:eastAsia="fr-FR"/>
                    </w:rPr>
                    <w:t> : l</w:t>
                  </w:r>
                  <w:r w:rsidRPr="00224A5A">
                    <w:rPr>
                      <w:rFonts w:ascii="Calibri" w:eastAsia="Times New Roman" w:hAnsi="Calibri" w:cs="Calibri"/>
                      <w:bCs/>
                      <w:sz w:val="18"/>
                      <w:szCs w:val="18"/>
                      <w:lang w:eastAsia="fr-FR"/>
                    </w:rPr>
                    <w:t>es opérations effectuées à l’aide d’une carte ayant une fonction monnaie électronique ne sont pas incluses.</w:t>
                  </w:r>
                </w:p>
              </w:tc>
              <w:tc>
                <w:tcPr>
                  <w:tcW w:w="1032" w:type="dxa"/>
                  <w:vMerge/>
                  <w:noWrap/>
                </w:tcPr>
                <w:p w14:paraId="6DFBAE11" w14:textId="230DAFC1" w:rsidR="00A9350C" w:rsidRPr="002414A7" w:rsidRDefault="00A9350C" w:rsidP="003B54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15" w:type="dxa"/>
                  <w:tcBorders>
                    <w:top w:val="single" w:sz="18" w:space="0" w:color="5B9BD5" w:themeColor="accent1"/>
                    <w:bottom w:val="single" w:sz="4" w:space="0" w:color="5B9BD5" w:themeColor="accent1"/>
                  </w:tcBorders>
                </w:tcPr>
                <w:p w14:paraId="7E44383A" w14:textId="77777777" w:rsidR="00A9350C" w:rsidRPr="002414A7" w:rsidRDefault="00A9350C" w:rsidP="003B54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09" w:type="dxa"/>
                  <w:tcBorders>
                    <w:top w:val="single" w:sz="18" w:space="0" w:color="5B9BD5" w:themeColor="accent1"/>
                    <w:bottom w:val="single" w:sz="4" w:space="0" w:color="5B9BD5" w:themeColor="accent1"/>
                  </w:tcBorders>
                </w:tcPr>
                <w:p w14:paraId="2E991D5B" w14:textId="77777777" w:rsidR="00A9350C" w:rsidRPr="002414A7" w:rsidRDefault="00A9350C" w:rsidP="003B54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A9350C" w:rsidRPr="002414A7" w14:paraId="683979EB" w14:textId="6434588E" w:rsidTr="002262D6">
              <w:trPr>
                <w:trHeight w:val="300"/>
              </w:trPr>
              <w:tc>
                <w:tcPr>
                  <w:cnfStyle w:val="001000000000" w:firstRow="0" w:lastRow="0" w:firstColumn="1" w:lastColumn="0" w:oddVBand="0" w:evenVBand="0" w:oddHBand="0" w:evenHBand="0" w:firstRowFirstColumn="0" w:firstRowLastColumn="0" w:lastRowFirstColumn="0" w:lastRowLastColumn="0"/>
                  <w:tcW w:w="273" w:type="dxa"/>
                  <w:tcBorders>
                    <w:top w:val="single" w:sz="18" w:space="0" w:color="5B9BD5" w:themeColor="accent1"/>
                    <w:bottom w:val="single" w:sz="4" w:space="0" w:color="5B9BD5" w:themeColor="accent1"/>
                  </w:tcBorders>
                  <w:noWrap/>
                  <w:hideMark/>
                </w:tcPr>
                <w:p w14:paraId="11900E07" w14:textId="4F2F5277" w:rsidR="00A9350C" w:rsidRPr="002414A7" w:rsidRDefault="00A9350C" w:rsidP="003B548F">
                  <w:pPr>
                    <w:rPr>
                      <w:rFonts w:ascii="Calibri" w:eastAsia="Times New Roman" w:hAnsi="Calibri" w:cs="Calibri"/>
                      <w:i/>
                      <w:sz w:val="18"/>
                      <w:szCs w:val="18"/>
                      <w:lang w:eastAsia="fr-FR"/>
                    </w:rPr>
                  </w:pPr>
                </w:p>
              </w:tc>
              <w:tc>
                <w:tcPr>
                  <w:tcW w:w="3064" w:type="dxa"/>
                  <w:tcBorders>
                    <w:top w:val="single" w:sz="18" w:space="0" w:color="5B9BD5" w:themeColor="accent1"/>
                    <w:bottom w:val="single" w:sz="4" w:space="0" w:color="5B9BD5" w:themeColor="accent1"/>
                  </w:tcBorders>
                  <w:noWrap/>
                  <w:hideMark/>
                </w:tcPr>
                <w:p w14:paraId="5E76D036" w14:textId="77777777"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r w:rsidRPr="002414A7">
                    <w:rPr>
                      <w:rFonts w:ascii="Calibri" w:eastAsia="Times New Roman" w:hAnsi="Calibri" w:cs="Calibri"/>
                      <w:b/>
                      <w:sz w:val="18"/>
                      <w:szCs w:val="18"/>
                      <w:lang w:eastAsia="fr-FR"/>
                    </w:rPr>
                    <w:t>Dont chargement/déchargement de cartes de monnaie électronique  </w:t>
                  </w:r>
                </w:p>
              </w:tc>
              <w:tc>
                <w:tcPr>
                  <w:tcW w:w="3286" w:type="dxa"/>
                  <w:tcBorders>
                    <w:top w:val="single" w:sz="18" w:space="0" w:color="5B9BD5" w:themeColor="accent1"/>
                    <w:bottom w:val="single" w:sz="4" w:space="0" w:color="5B9BD5" w:themeColor="accent1"/>
                  </w:tcBorders>
                </w:tcPr>
                <w:p w14:paraId="0F1E8984" w14:textId="657B880E" w:rsidR="00A9350C" w:rsidRPr="002414A7" w:rsidRDefault="00A9350C" w:rsidP="00E57F8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224A5A">
                    <w:rPr>
                      <w:rFonts w:ascii="Calibri" w:eastAsia="Times New Roman" w:hAnsi="Calibri" w:cs="Calibri"/>
                      <w:bCs/>
                      <w:sz w:val="18"/>
                      <w:szCs w:val="18"/>
                      <w:lang w:eastAsia="fr-FR"/>
                    </w:rPr>
                    <w:t xml:space="preserve">Opérations permettant le </w:t>
                  </w:r>
                  <w:r>
                    <w:rPr>
                      <w:rFonts w:ascii="Calibri" w:eastAsia="Times New Roman" w:hAnsi="Calibri" w:cs="Calibri"/>
                      <w:bCs/>
                      <w:sz w:val="18"/>
                      <w:szCs w:val="18"/>
                      <w:lang w:eastAsia="fr-FR"/>
                    </w:rPr>
                    <w:t>transfert</w:t>
                  </w:r>
                  <w:r w:rsidRPr="00224A5A">
                    <w:rPr>
                      <w:rFonts w:ascii="Calibri" w:eastAsia="Times New Roman" w:hAnsi="Calibri" w:cs="Calibri"/>
                      <w:bCs/>
                      <w:sz w:val="18"/>
                      <w:szCs w:val="18"/>
                      <w:lang w:eastAsia="fr-FR"/>
                    </w:rPr>
                    <w:t xml:space="preserve"> de monnaie électronique depuis un émetteur de monnaie électronique vers une carte ayant une fonction monnaie électronique et vice versa.</w:t>
                  </w:r>
                </w:p>
              </w:tc>
              <w:tc>
                <w:tcPr>
                  <w:tcW w:w="1032" w:type="dxa"/>
                  <w:vMerge/>
                  <w:noWrap/>
                </w:tcPr>
                <w:p w14:paraId="218E3950" w14:textId="37AA5164"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15" w:type="dxa"/>
                  <w:tcBorders>
                    <w:top w:val="single" w:sz="18" w:space="0" w:color="5B9BD5" w:themeColor="accent1"/>
                    <w:bottom w:val="single" w:sz="4" w:space="0" w:color="5B9BD5" w:themeColor="accent1"/>
                  </w:tcBorders>
                </w:tcPr>
                <w:p w14:paraId="05710A46" w14:textId="77777777"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09" w:type="dxa"/>
                  <w:tcBorders>
                    <w:top w:val="single" w:sz="18" w:space="0" w:color="5B9BD5" w:themeColor="accent1"/>
                    <w:bottom w:val="single" w:sz="4" w:space="0" w:color="5B9BD5" w:themeColor="accent1"/>
                  </w:tcBorders>
                </w:tcPr>
                <w:p w14:paraId="47363872" w14:textId="77777777"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A9350C" w:rsidRPr="002414A7" w14:paraId="416C5E78" w14:textId="64B0FE29"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3" w:type="dxa"/>
                  <w:tcBorders>
                    <w:bottom w:val="single" w:sz="18" w:space="0" w:color="5B9BD5" w:themeColor="accent1"/>
                  </w:tcBorders>
                  <w:noWrap/>
                  <w:hideMark/>
                </w:tcPr>
                <w:p w14:paraId="7B4E431F" w14:textId="2A4ED262" w:rsidR="00A9350C" w:rsidRPr="002414A7" w:rsidRDefault="00A9350C" w:rsidP="002259FD">
                  <w:pPr>
                    <w:rPr>
                      <w:rFonts w:ascii="Calibri" w:eastAsia="Times New Roman" w:hAnsi="Calibri" w:cs="Calibri"/>
                      <w:i/>
                      <w:sz w:val="18"/>
                      <w:szCs w:val="18"/>
                      <w:lang w:eastAsia="fr-FR"/>
                    </w:rPr>
                  </w:pPr>
                </w:p>
              </w:tc>
              <w:tc>
                <w:tcPr>
                  <w:tcW w:w="3064" w:type="dxa"/>
                  <w:tcBorders>
                    <w:top w:val="single" w:sz="18" w:space="0" w:color="5B9BD5" w:themeColor="accent1"/>
                    <w:bottom w:val="single" w:sz="18" w:space="0" w:color="5B9BD5" w:themeColor="accent1"/>
                  </w:tcBorders>
                  <w:noWrap/>
                  <w:hideMark/>
                </w:tcPr>
                <w:p w14:paraId="0472035D" w14:textId="2CE9BFF6" w:rsidR="00A9350C" w:rsidRPr="002414A7" w:rsidRDefault="00A9350C" w:rsidP="002259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paiements en monnaie électronique par carte</w:t>
                  </w:r>
                  <w:r>
                    <w:rPr>
                      <w:rFonts w:ascii="Calibri" w:eastAsia="Times New Roman" w:hAnsi="Calibri" w:cs="Calibri"/>
                      <w:b/>
                      <w:i/>
                      <w:sz w:val="18"/>
                      <w:szCs w:val="18"/>
                      <w:lang w:eastAsia="fr-FR"/>
                    </w:rPr>
                    <w:t xml:space="preserve"> </w:t>
                  </w:r>
                  <w:r w:rsidRPr="002414A7">
                    <w:rPr>
                      <w:rFonts w:ascii="Calibri" w:eastAsia="Times New Roman" w:hAnsi="Calibri" w:cs="Calibri"/>
                      <w:b/>
                      <w:i/>
                      <w:sz w:val="18"/>
                      <w:szCs w:val="18"/>
                      <w:lang w:eastAsia="fr-FR"/>
                    </w:rPr>
                    <w:t>ayant une fonction de monnaie électronique</w:t>
                  </w:r>
                </w:p>
              </w:tc>
              <w:tc>
                <w:tcPr>
                  <w:tcW w:w="3286" w:type="dxa"/>
                  <w:tcBorders>
                    <w:top w:val="single" w:sz="18" w:space="0" w:color="5B9BD5" w:themeColor="accent1"/>
                    <w:bottom w:val="single" w:sz="18" w:space="0" w:color="5B9BD5" w:themeColor="accent1"/>
                  </w:tcBorders>
                </w:tcPr>
                <w:p w14:paraId="24F7A715" w14:textId="4B310434" w:rsidR="00A9350C" w:rsidRPr="002414A7" w:rsidRDefault="00A9350C" w:rsidP="002259F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Paiements par c</w:t>
                  </w:r>
                  <w:r w:rsidRPr="00224A5A">
                    <w:rPr>
                      <w:rFonts w:ascii="Calibri" w:eastAsia="Times New Roman" w:hAnsi="Calibri" w:cs="Calibri"/>
                      <w:sz w:val="18"/>
                      <w:szCs w:val="18"/>
                      <w:lang w:eastAsia="fr-FR"/>
                    </w:rPr>
                    <w:t>arte ayant une fonction monnaie électronique qui a été chargée au moins une fois et qui peut donc être considérée comme activée. Le chargement peut être considéré comme indiquant l’intention d’utiliser la fonction monnaie électronique.</w:t>
                  </w:r>
                </w:p>
              </w:tc>
              <w:tc>
                <w:tcPr>
                  <w:tcW w:w="1032" w:type="dxa"/>
                  <w:vMerge/>
                  <w:tcBorders>
                    <w:bottom w:val="single" w:sz="18" w:space="0" w:color="5B9BD5" w:themeColor="accent1"/>
                  </w:tcBorders>
                  <w:noWrap/>
                </w:tcPr>
                <w:p w14:paraId="4BD18F1E" w14:textId="1F51FE27" w:rsidR="00A9350C" w:rsidRPr="002414A7" w:rsidRDefault="00A9350C" w:rsidP="002259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15" w:type="dxa"/>
                  <w:tcBorders>
                    <w:top w:val="single" w:sz="18" w:space="0" w:color="5B9BD5" w:themeColor="accent1"/>
                    <w:bottom w:val="single" w:sz="18" w:space="0" w:color="5B9BD5" w:themeColor="accent1"/>
                  </w:tcBorders>
                </w:tcPr>
                <w:p w14:paraId="64EBDBBA" w14:textId="77777777" w:rsidR="00A9350C" w:rsidRPr="002414A7" w:rsidRDefault="00A9350C" w:rsidP="002259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09" w:type="dxa"/>
                  <w:tcBorders>
                    <w:top w:val="single" w:sz="18" w:space="0" w:color="5B9BD5" w:themeColor="accent1"/>
                    <w:bottom w:val="single" w:sz="18" w:space="0" w:color="5B9BD5" w:themeColor="accent1"/>
                  </w:tcBorders>
                </w:tcPr>
                <w:p w14:paraId="75134D6C" w14:textId="77777777" w:rsidR="00A9350C" w:rsidRPr="002414A7" w:rsidRDefault="00A9350C" w:rsidP="002259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bl>
          <w:p w14:paraId="017B6FE4" w14:textId="77777777" w:rsidR="00A12A73" w:rsidRPr="005A160E" w:rsidRDefault="00A12A73" w:rsidP="00A12A73">
            <w:pPr>
              <w:rPr>
                <w:rFonts w:ascii="Calibri" w:eastAsia="Times New Roman" w:hAnsi="Calibri" w:cs="Calibri"/>
                <w:sz w:val="20"/>
                <w:szCs w:val="20"/>
                <w:lang w:eastAsia="fr-FR"/>
              </w:rPr>
            </w:pPr>
          </w:p>
        </w:tc>
      </w:tr>
    </w:tbl>
    <w:p w14:paraId="18940376" w14:textId="77777777" w:rsidR="007556D2" w:rsidRDefault="007556D2" w:rsidP="007556D2">
      <w:pPr>
        <w:pStyle w:val="Paragraphedeliste"/>
        <w:autoSpaceDE w:val="0"/>
        <w:autoSpaceDN w:val="0"/>
        <w:adjustRightInd w:val="0"/>
        <w:spacing w:after="0" w:line="240" w:lineRule="auto"/>
        <w:jc w:val="both"/>
        <w:rPr>
          <w:rFonts w:cstheme="minorHAnsi"/>
        </w:rPr>
      </w:pPr>
    </w:p>
    <w:p w14:paraId="01557D2B" w14:textId="77777777" w:rsidR="007556D2" w:rsidRPr="004E58CA" w:rsidRDefault="007556D2" w:rsidP="004E58CA">
      <w:pPr>
        <w:spacing w:after="0" w:line="240" w:lineRule="auto"/>
        <w:jc w:val="both"/>
        <w:rPr>
          <w:rFonts w:ascii="Calibri" w:hAnsi="Calibri"/>
          <w:b/>
          <w:smallCaps/>
          <w:color w:val="2E74B5" w:themeColor="accent1" w:themeShade="BF"/>
          <w:sz w:val="24"/>
        </w:rPr>
      </w:pPr>
      <w:r w:rsidRPr="00A76282">
        <w:rPr>
          <w:rFonts w:ascii="Calibri" w:hAnsi="Calibri"/>
          <w:b/>
          <w:smallCaps/>
          <w:color w:val="2E74B5" w:themeColor="accent1" w:themeShade="BF"/>
          <w:sz w:val="24"/>
        </w:rPr>
        <w:t>Contrôles :</w:t>
      </w:r>
    </w:p>
    <w:p w14:paraId="47AF900B" w14:textId="1C47499F" w:rsidR="007556D2" w:rsidRPr="00D250BB" w:rsidRDefault="007556D2" w:rsidP="007556D2">
      <w:pPr>
        <w:pStyle w:val="Paragraphedeliste"/>
        <w:autoSpaceDE w:val="0"/>
        <w:autoSpaceDN w:val="0"/>
        <w:adjustRightInd w:val="0"/>
        <w:spacing w:after="0" w:line="240" w:lineRule="auto"/>
        <w:jc w:val="both"/>
        <w:rPr>
          <w:rFonts w:cstheme="minorHAnsi"/>
        </w:rPr>
      </w:pPr>
    </w:p>
    <w:p w14:paraId="75E017C7" w14:textId="480410FD" w:rsidR="00D250BB" w:rsidRDefault="00D250BB" w:rsidP="00111DD6">
      <w:pPr>
        <w:autoSpaceDE w:val="0"/>
        <w:autoSpaceDN w:val="0"/>
        <w:adjustRightInd w:val="0"/>
        <w:spacing w:after="0" w:line="240" w:lineRule="auto"/>
        <w:jc w:val="both"/>
        <w:rPr>
          <w:rFonts w:cstheme="minorHAnsi"/>
        </w:rPr>
      </w:pPr>
      <w:r w:rsidRPr="00111DD6">
        <w:rPr>
          <w:rFonts w:cstheme="minorHAnsi"/>
        </w:rPr>
        <w:t>Les règles de contrôle suivantes doivent être app</w:t>
      </w:r>
      <w:r w:rsidR="00DA1236">
        <w:rPr>
          <w:rFonts w:cstheme="minorHAnsi"/>
        </w:rPr>
        <w:t>liquées en nombre et en valeur.</w:t>
      </w:r>
    </w:p>
    <w:p w14:paraId="5F0C880F" w14:textId="7D549C93" w:rsidR="00A76282" w:rsidRDefault="00A76282" w:rsidP="00111DD6">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A76282" w:rsidRPr="00191426" w14:paraId="19B01941" w14:textId="77777777" w:rsidTr="006020A0">
        <w:tc>
          <w:tcPr>
            <w:tcW w:w="9054" w:type="dxa"/>
            <w:tcBorders>
              <w:bottom w:val="single" w:sz="18" w:space="0" w:color="5B9BD5" w:themeColor="accent1"/>
            </w:tcBorders>
          </w:tcPr>
          <w:p w14:paraId="728CAC04" w14:textId="0FD14C40" w:rsidR="00A76282" w:rsidRPr="00C50A22" w:rsidRDefault="00A76282" w:rsidP="003952EB">
            <w:pPr>
              <w:pStyle w:val="Paragraphedeliste"/>
              <w:autoSpaceDE w:val="0"/>
              <w:autoSpaceDN w:val="0"/>
              <w:adjustRightInd w:val="0"/>
              <w:ind w:left="0"/>
              <w:jc w:val="both"/>
              <w:rPr>
                <w:sz w:val="18"/>
              </w:rPr>
            </w:pPr>
            <w:r w:rsidRPr="00913B52">
              <w:rPr>
                <w:rFonts w:cstheme="minorHAnsi"/>
                <w:sz w:val="18"/>
                <w:szCs w:val="18"/>
              </w:rPr>
              <w:t>Le total de chaque indicateur est = à la somme des trois sous-ventilations géographiques associées (France, au sein de l’EEE et hors de l’EEE</w:t>
            </w:r>
            <w:r w:rsidR="003C3B09">
              <w:rPr>
                <w:rFonts w:cstheme="minorHAnsi"/>
                <w:sz w:val="18"/>
                <w:szCs w:val="18"/>
              </w:rPr>
              <w:t>)</w:t>
            </w:r>
            <w:r w:rsidRPr="00913B52">
              <w:rPr>
                <w:rFonts w:cstheme="minorHAnsi"/>
                <w:sz w:val="18"/>
                <w:szCs w:val="18"/>
              </w:rPr>
              <w:t>.</w:t>
            </w:r>
          </w:p>
        </w:tc>
      </w:tr>
      <w:tr w:rsidR="00A76282" w:rsidRPr="004E58CA" w14:paraId="1EA15068" w14:textId="77777777" w:rsidTr="00602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4"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3C59993" w14:textId="77777777" w:rsidR="00A76282" w:rsidRPr="004E58CA" w:rsidRDefault="00A76282" w:rsidP="003952EB">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6020A0" w:rsidRPr="00191426" w14:paraId="7C4146C4" w14:textId="77777777" w:rsidTr="006020A0">
        <w:tc>
          <w:tcPr>
            <w:tcW w:w="9054" w:type="dxa"/>
            <w:tcBorders>
              <w:top w:val="single" w:sz="18" w:space="0" w:color="5B9BD5" w:themeColor="accent1"/>
            </w:tcBorders>
          </w:tcPr>
          <w:p w14:paraId="2D965B82" w14:textId="13E3C082" w:rsidR="006020A0" w:rsidRPr="00C50A22" w:rsidRDefault="006020A0" w:rsidP="00EF31EC">
            <w:pPr>
              <w:pStyle w:val="Paragraphedeliste"/>
              <w:autoSpaceDE w:val="0"/>
              <w:autoSpaceDN w:val="0"/>
              <w:adjustRightInd w:val="0"/>
              <w:ind w:left="0"/>
              <w:jc w:val="both"/>
              <w:rPr>
                <w:sz w:val="18"/>
              </w:rPr>
            </w:pPr>
            <w:r w:rsidRPr="00C11DFD">
              <w:rPr>
                <w:sz w:val="18"/>
              </w:rPr>
              <w:t>Le total de opérations</w:t>
            </w:r>
            <w:r w:rsidR="00EF31EC">
              <w:rPr>
                <w:sz w:val="18"/>
              </w:rPr>
              <w:t xml:space="preserve"> est = au total </w:t>
            </w:r>
            <w:r>
              <w:rPr>
                <w:sz w:val="18"/>
              </w:rPr>
              <w:t>des retraits d’espèces aux GAB</w:t>
            </w:r>
            <w:r w:rsidR="00EF31EC">
              <w:rPr>
                <w:sz w:val="18"/>
              </w:rPr>
              <w:t xml:space="preserve"> + le total </w:t>
            </w:r>
            <w:r>
              <w:rPr>
                <w:sz w:val="18"/>
              </w:rPr>
              <w:t>des dépôts d’espèces aux GAB</w:t>
            </w:r>
            <w:r w:rsidR="00EF31EC">
              <w:rPr>
                <w:sz w:val="18"/>
              </w:rPr>
              <w:t xml:space="preserve"> + le total</w:t>
            </w:r>
            <w:r>
              <w:rPr>
                <w:sz w:val="18"/>
              </w:rPr>
              <w:t xml:space="preserve"> des autres opérations aux GAB</w:t>
            </w:r>
            <w:r w:rsidR="00EF31EC">
              <w:rPr>
                <w:sz w:val="18"/>
              </w:rPr>
              <w:t xml:space="preserve"> + le total des</w:t>
            </w:r>
            <w:r>
              <w:rPr>
                <w:sz w:val="18"/>
              </w:rPr>
              <w:t xml:space="preserve"> opérations à un TPV</w:t>
            </w:r>
            <w:r w:rsidR="00EF31EC">
              <w:rPr>
                <w:sz w:val="18"/>
              </w:rPr>
              <w:t xml:space="preserve"> + le total des opérations </w:t>
            </w:r>
            <w:r>
              <w:rPr>
                <w:sz w:val="18"/>
              </w:rPr>
              <w:t xml:space="preserve">de chargement/déchargement monnaie électronique </w:t>
            </w:r>
            <w:r w:rsidR="00EF31EC">
              <w:rPr>
                <w:sz w:val="18"/>
              </w:rPr>
              <w:t xml:space="preserve">+ le total </w:t>
            </w:r>
            <w:r>
              <w:rPr>
                <w:sz w:val="18"/>
              </w:rPr>
              <w:t>des paiements en monnaie électronique avec des cartes ayant une fonction de monnaie électronique.</w:t>
            </w:r>
          </w:p>
        </w:tc>
      </w:tr>
    </w:tbl>
    <w:p w14:paraId="3207BD32" w14:textId="77777777" w:rsidR="00A76282" w:rsidRPr="00111DD6" w:rsidRDefault="00A76282" w:rsidP="00111DD6">
      <w:pPr>
        <w:autoSpaceDE w:val="0"/>
        <w:autoSpaceDN w:val="0"/>
        <w:adjustRightInd w:val="0"/>
        <w:spacing w:after="0" w:line="240" w:lineRule="auto"/>
        <w:jc w:val="both"/>
        <w:rPr>
          <w:rFonts w:cstheme="minorHAnsi"/>
        </w:rPr>
      </w:pPr>
    </w:p>
    <w:p w14:paraId="4D2862C3" w14:textId="77777777" w:rsidR="007177E9" w:rsidRDefault="007177E9" w:rsidP="007556D2">
      <w:pPr>
        <w:pStyle w:val="Paragraphedeliste"/>
        <w:autoSpaceDE w:val="0"/>
        <w:autoSpaceDN w:val="0"/>
        <w:adjustRightInd w:val="0"/>
        <w:spacing w:after="0" w:line="240" w:lineRule="auto"/>
        <w:jc w:val="both"/>
        <w:rPr>
          <w:rFonts w:cstheme="minorHAnsi"/>
        </w:rPr>
      </w:pPr>
    </w:p>
    <w:p w14:paraId="3E6227D5" w14:textId="3DF4AE51" w:rsidR="007556D2" w:rsidRDefault="007556D2" w:rsidP="007556D2">
      <w:pPr>
        <w:pStyle w:val="Paragraphedeliste"/>
        <w:autoSpaceDE w:val="0"/>
        <w:autoSpaceDN w:val="0"/>
        <w:adjustRightInd w:val="0"/>
        <w:spacing w:after="0" w:line="240" w:lineRule="auto"/>
        <w:jc w:val="both"/>
        <w:rPr>
          <w:rFonts w:cstheme="minorHAnsi"/>
        </w:rPr>
      </w:pPr>
    </w:p>
    <w:p w14:paraId="212B4DA9" w14:textId="49AA4D3B" w:rsidR="00A12A73" w:rsidRPr="00594FDC" w:rsidRDefault="00A12A73" w:rsidP="006B400E">
      <w:pPr>
        <w:pStyle w:val="Titre4"/>
        <w:numPr>
          <w:ilvl w:val="3"/>
          <w:numId w:val="20"/>
        </w:numPr>
      </w:pPr>
      <w:bookmarkStart w:id="41" w:name="_Toc222476872"/>
      <w:r w:rsidRPr="00594FDC">
        <w:t>Commentaires sur</w:t>
      </w:r>
      <w:r w:rsidR="00BA065E" w:rsidRPr="00594FDC">
        <w:t xml:space="preserve"> les cartes (vue acquéreur)</w:t>
      </w:r>
      <w:bookmarkEnd w:id="41"/>
    </w:p>
    <w:p w14:paraId="62902CD5" w14:textId="5014D3E0" w:rsidR="00A12A73" w:rsidRDefault="00A12A73" w:rsidP="004E58CA">
      <w:pPr>
        <w:spacing w:after="0" w:line="240" w:lineRule="auto"/>
        <w:ind w:firstLine="567"/>
        <w:rPr>
          <w:rFonts w:ascii="Calibri" w:eastAsia="Times New Roman" w:hAnsi="Calibri" w:cs="Calibri"/>
          <w:i/>
          <w:sz w:val="20"/>
          <w:szCs w:val="20"/>
          <w:lang w:eastAsia="fr-FR"/>
        </w:rPr>
      </w:pPr>
    </w:p>
    <w:p w14:paraId="7657C963"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4A1112D0" w14:textId="0C0B989F" w:rsidR="00A12A73" w:rsidRDefault="00A12A73" w:rsidP="00F735D7">
      <w:pPr>
        <w:spacing w:after="0" w:line="240" w:lineRule="auto"/>
        <w:rPr>
          <w:rFonts w:ascii="Calibri" w:eastAsia="Times New Roman" w:hAnsi="Calibri" w:cs="Calibri"/>
          <w:i/>
          <w:sz w:val="20"/>
          <w:szCs w:val="20"/>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03"/>
        <w:gridCol w:w="5269"/>
      </w:tblGrid>
      <w:tr w:rsidR="00196EFB" w:rsidRPr="00281641" w14:paraId="1BA026BC" w14:textId="77777777" w:rsidTr="00A81CF1">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803" w:type="dxa"/>
            <w:tcBorders>
              <w:bottom w:val="none" w:sz="0" w:space="0" w:color="auto"/>
            </w:tcBorders>
            <w:noWrap/>
          </w:tcPr>
          <w:p w14:paraId="2725ACE1" w14:textId="77777777" w:rsidR="00196EFB" w:rsidRPr="00281641" w:rsidRDefault="00196EFB" w:rsidP="00791FF2">
            <w:pPr>
              <w:rPr>
                <w:rFonts w:ascii="Calibri" w:eastAsia="Times New Roman" w:hAnsi="Calibri" w:cs="Calibri"/>
                <w:i/>
                <w:sz w:val="18"/>
                <w:szCs w:val="18"/>
                <w:lang w:eastAsia="fr-FR"/>
              </w:rPr>
            </w:pPr>
          </w:p>
          <w:p w14:paraId="42101BDF" w14:textId="20D5E00A" w:rsidR="00196EFB" w:rsidRPr="00281641" w:rsidRDefault="00196EFB" w:rsidP="00791FF2">
            <w:pPr>
              <w:rPr>
                <w:rFonts w:ascii="Calibri" w:eastAsia="Times New Roman" w:hAnsi="Calibri" w:cs="Calibri"/>
                <w:i/>
                <w:sz w:val="18"/>
                <w:szCs w:val="18"/>
                <w:lang w:eastAsia="fr-FR"/>
              </w:rPr>
            </w:pPr>
            <w:r w:rsidRPr="00281641">
              <w:rPr>
                <w:rFonts w:ascii="Calibri" w:eastAsia="Times New Roman" w:hAnsi="Calibri" w:cs="Calibri"/>
                <w:i/>
                <w:sz w:val="18"/>
                <w:szCs w:val="18"/>
                <w:lang w:eastAsia="fr-FR"/>
              </w:rPr>
              <w:t xml:space="preserve">Commentaires </w:t>
            </w:r>
            <w:r>
              <w:rPr>
                <w:rFonts w:ascii="Calibri" w:eastAsia="Times New Roman" w:hAnsi="Calibri" w:cs="Calibri"/>
                <w:i/>
                <w:sz w:val="18"/>
                <w:szCs w:val="18"/>
                <w:lang w:eastAsia="fr-FR"/>
              </w:rPr>
              <w:t>sur l’activité cartes – vue acquéreur</w:t>
            </w:r>
          </w:p>
          <w:p w14:paraId="2F0FDC0C" w14:textId="6B65F90B" w:rsidR="00196EFB" w:rsidRPr="00281641" w:rsidRDefault="00196EFB" w:rsidP="00791FF2">
            <w:pPr>
              <w:rPr>
                <w:rFonts w:ascii="Calibri" w:eastAsia="Times New Roman" w:hAnsi="Calibri" w:cs="Calibri"/>
                <w:i/>
                <w:sz w:val="18"/>
                <w:szCs w:val="18"/>
                <w:lang w:eastAsia="fr-FR"/>
              </w:rPr>
            </w:pPr>
          </w:p>
        </w:tc>
        <w:tc>
          <w:tcPr>
            <w:tcW w:w="5269" w:type="dxa"/>
            <w:tcBorders>
              <w:bottom w:val="none" w:sz="0" w:space="0" w:color="auto"/>
            </w:tcBorders>
          </w:tcPr>
          <w:p w14:paraId="64EE0E1C" w14:textId="6A0556C2" w:rsidR="00196EFB" w:rsidRPr="00281641" w:rsidRDefault="00196EFB" w:rsidP="0022370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33EAC42F" w14:textId="7A295EC8" w:rsidR="00A12A73" w:rsidRDefault="00A12A73" w:rsidP="00F735D7">
      <w:pPr>
        <w:spacing w:after="0" w:line="240" w:lineRule="auto"/>
        <w:rPr>
          <w:rFonts w:ascii="Calibri" w:eastAsia="Times New Roman" w:hAnsi="Calibri" w:cs="Calibri"/>
          <w:i/>
          <w:sz w:val="20"/>
          <w:szCs w:val="20"/>
          <w:lang w:eastAsia="fr-FR"/>
        </w:rPr>
      </w:pPr>
    </w:p>
    <w:p w14:paraId="5DF5CECE" w14:textId="39773AC2" w:rsidR="0097704F" w:rsidRDefault="0097704F" w:rsidP="00F735D7">
      <w:pPr>
        <w:spacing w:after="0" w:line="240" w:lineRule="auto"/>
        <w:rPr>
          <w:rFonts w:ascii="Calibri" w:eastAsia="Times New Roman" w:hAnsi="Calibri" w:cs="Calibri"/>
          <w:i/>
          <w:sz w:val="20"/>
          <w:szCs w:val="20"/>
          <w:lang w:eastAsia="fr-FR"/>
        </w:rPr>
      </w:pPr>
    </w:p>
    <w:p w14:paraId="0BD8A06D" w14:textId="59D7A263" w:rsidR="002E7B53" w:rsidRPr="0096058A" w:rsidRDefault="00567BFE" w:rsidP="007718A3">
      <w:pPr>
        <w:pStyle w:val="Titre2"/>
        <w:numPr>
          <w:ilvl w:val="1"/>
          <w:numId w:val="38"/>
        </w:numPr>
      </w:pPr>
      <w:bookmarkStart w:id="42" w:name="_Toc40338357"/>
      <w:bookmarkStart w:id="43" w:name="_Toc222476873"/>
      <w:bookmarkEnd w:id="42"/>
      <w:r w:rsidRPr="0096058A">
        <w:t>Monnaie électronique</w:t>
      </w:r>
      <w:bookmarkEnd w:id="43"/>
      <w:r w:rsidR="00E030C6" w:rsidRPr="0096058A">
        <w:t xml:space="preserve"> </w:t>
      </w:r>
    </w:p>
    <w:p w14:paraId="604BDC20" w14:textId="77777777" w:rsidR="00A43FDE" w:rsidRDefault="00A43FDE" w:rsidP="00F735D7">
      <w:pPr>
        <w:spacing w:after="0" w:line="240" w:lineRule="auto"/>
        <w:rPr>
          <w:rFonts w:cstheme="minorHAnsi"/>
        </w:rPr>
      </w:pPr>
    </w:p>
    <w:p w14:paraId="407D98CA" w14:textId="0E7AC77C" w:rsidR="00A43FDE" w:rsidRDefault="00A43FDE" w:rsidP="001C7D7F">
      <w:pPr>
        <w:spacing w:after="0" w:line="240" w:lineRule="auto"/>
        <w:jc w:val="both"/>
        <w:rPr>
          <w:rFonts w:cstheme="minorHAnsi"/>
        </w:rPr>
      </w:pPr>
      <w:r w:rsidRPr="00A43FDE">
        <w:rPr>
          <w:rFonts w:cstheme="minorHAnsi"/>
        </w:rPr>
        <w:t>Il</w:t>
      </w:r>
      <w:r>
        <w:rPr>
          <w:rFonts w:cstheme="minorHAnsi"/>
        </w:rPr>
        <w:t xml:space="preserve"> s’agit de déclarer </w:t>
      </w:r>
      <w:r w:rsidR="002E756B">
        <w:rPr>
          <w:rFonts w:cstheme="minorHAnsi"/>
        </w:rPr>
        <w:t xml:space="preserve">les données sur les </w:t>
      </w:r>
      <w:r w:rsidR="00604FCB">
        <w:rPr>
          <w:rFonts w:cstheme="minorHAnsi"/>
        </w:rPr>
        <w:t>supports de monnaie électronique</w:t>
      </w:r>
      <w:r w:rsidR="001C7D7F">
        <w:rPr>
          <w:rFonts w:cstheme="minorHAnsi"/>
        </w:rPr>
        <w:t xml:space="preserve"> gérés par l’établissement et </w:t>
      </w:r>
      <w:r w:rsidR="00604FCB">
        <w:rPr>
          <w:rFonts w:cstheme="minorHAnsi"/>
        </w:rPr>
        <w:t xml:space="preserve">celles </w:t>
      </w:r>
      <w:r w:rsidR="001C7D7F">
        <w:rPr>
          <w:rFonts w:cstheme="minorHAnsi"/>
        </w:rPr>
        <w:t>sur les paiements en monnaie électronique émis et reçus</w:t>
      </w:r>
      <w:r w:rsidR="00192D94">
        <w:rPr>
          <w:rFonts w:cstheme="minorHAnsi"/>
        </w:rPr>
        <w:t xml:space="preserve"> par l’établissement. </w:t>
      </w:r>
    </w:p>
    <w:p w14:paraId="3A3667EB" w14:textId="77777777" w:rsidR="00192D94" w:rsidRPr="00A43FDE" w:rsidRDefault="00192D94" w:rsidP="001C7D7F">
      <w:pPr>
        <w:spacing w:after="0" w:line="240" w:lineRule="auto"/>
        <w:jc w:val="both"/>
        <w:rPr>
          <w:rFonts w:cstheme="minorHAnsi"/>
        </w:rPr>
      </w:pPr>
    </w:p>
    <w:p w14:paraId="46CD5585" w14:textId="047E8CE6" w:rsidR="00A97306" w:rsidRDefault="00A97306" w:rsidP="00F735D7">
      <w:pPr>
        <w:spacing w:after="0" w:line="240" w:lineRule="auto"/>
        <w:rPr>
          <w:rFonts w:ascii="Calibri" w:eastAsia="Times New Roman" w:hAnsi="Calibri" w:cs="Calibri"/>
          <w:b/>
          <w:lang w:eastAsia="fr-FR"/>
        </w:rPr>
      </w:pPr>
    </w:p>
    <w:p w14:paraId="05F01246" w14:textId="004411D1" w:rsidR="00A97306" w:rsidRPr="0096058A" w:rsidRDefault="00A97306" w:rsidP="007718A3">
      <w:pPr>
        <w:pStyle w:val="Titre3"/>
        <w:numPr>
          <w:ilvl w:val="2"/>
          <w:numId w:val="38"/>
        </w:numPr>
        <w:jc w:val="both"/>
      </w:pPr>
      <w:bookmarkStart w:id="44" w:name="_Toc222476874"/>
      <w:r w:rsidRPr="0096058A">
        <w:t xml:space="preserve">Dénombrement des </w:t>
      </w:r>
      <w:r w:rsidR="00604FCB" w:rsidRPr="0096058A">
        <w:t xml:space="preserve">supports de </w:t>
      </w:r>
      <w:r w:rsidRPr="0096058A">
        <w:t xml:space="preserve">monnaie électronique et </w:t>
      </w:r>
      <w:r w:rsidR="00604FCB" w:rsidRPr="0096058A">
        <w:t xml:space="preserve">opérations de </w:t>
      </w:r>
      <w:r w:rsidRPr="0096058A">
        <w:t>chargement/déchargement</w:t>
      </w:r>
      <w:bookmarkEnd w:id="44"/>
    </w:p>
    <w:p w14:paraId="573EE7A9" w14:textId="768C5A58" w:rsidR="001C7D7F" w:rsidRDefault="001C7D7F" w:rsidP="00F735D7">
      <w:pPr>
        <w:spacing w:after="0" w:line="240" w:lineRule="auto"/>
        <w:rPr>
          <w:rFonts w:ascii="Calibri" w:eastAsia="Times New Roman" w:hAnsi="Calibri" w:cs="Calibri"/>
          <w:b/>
          <w:smallCaps/>
          <w:sz w:val="24"/>
          <w:szCs w:val="24"/>
          <w:lang w:eastAsia="fr-FR"/>
        </w:rPr>
      </w:pPr>
    </w:p>
    <w:p w14:paraId="60C17B23" w14:textId="002EBA9A" w:rsidR="00A97306" w:rsidRPr="00D41C5F" w:rsidRDefault="00D41C5F" w:rsidP="00D41C5F">
      <w:pPr>
        <w:spacing w:after="0" w:line="240" w:lineRule="auto"/>
        <w:jc w:val="both"/>
        <w:rPr>
          <w:rFonts w:ascii="Calibri" w:eastAsia="Times New Roman" w:hAnsi="Calibri" w:cs="Calibri"/>
          <w:lang w:eastAsia="fr-FR"/>
        </w:rPr>
      </w:pPr>
      <w:r>
        <w:rPr>
          <w:rFonts w:ascii="Calibri" w:eastAsia="Times New Roman" w:hAnsi="Calibri" w:cs="Calibri"/>
          <w:lang w:eastAsia="fr-FR"/>
        </w:rPr>
        <w:lastRenderedPageBreak/>
        <w:t xml:space="preserve">Sont à considérer comme des </w:t>
      </w:r>
      <w:r w:rsidR="00604FCB">
        <w:rPr>
          <w:rFonts w:ascii="Calibri" w:eastAsia="Times New Roman" w:hAnsi="Calibri" w:cs="Calibri"/>
          <w:lang w:eastAsia="fr-FR"/>
        </w:rPr>
        <w:t xml:space="preserve">supports de </w:t>
      </w:r>
      <w:r>
        <w:rPr>
          <w:rFonts w:ascii="Calibri" w:eastAsia="Times New Roman" w:hAnsi="Calibri" w:cs="Calibri"/>
          <w:lang w:eastAsia="fr-FR"/>
        </w:rPr>
        <w:t xml:space="preserve">monnaie électronique : les </w:t>
      </w:r>
      <w:r w:rsidR="00A3333A">
        <w:rPr>
          <w:rFonts w:ascii="Calibri" w:eastAsia="Times New Roman" w:hAnsi="Calibri" w:cs="Calibri"/>
          <w:lang w:eastAsia="fr-FR"/>
        </w:rPr>
        <w:t xml:space="preserve">supports physiques de type </w:t>
      </w:r>
      <w:r>
        <w:rPr>
          <w:rFonts w:ascii="Calibri" w:eastAsia="Times New Roman" w:hAnsi="Calibri" w:cs="Calibri"/>
          <w:lang w:eastAsia="fr-FR"/>
        </w:rPr>
        <w:t xml:space="preserve">cartes prépayées et les </w:t>
      </w:r>
      <w:r w:rsidR="00E07B1D">
        <w:rPr>
          <w:rFonts w:ascii="Calibri" w:eastAsia="Times New Roman" w:hAnsi="Calibri" w:cs="Calibri"/>
          <w:lang w:eastAsia="fr-FR"/>
        </w:rPr>
        <w:t xml:space="preserve">supports logiciels de type </w:t>
      </w:r>
      <w:r>
        <w:rPr>
          <w:rFonts w:ascii="Calibri" w:eastAsia="Times New Roman" w:hAnsi="Calibri" w:cs="Calibri"/>
          <w:lang w:eastAsia="fr-FR"/>
        </w:rPr>
        <w:t>comptes de monnaie électronique.</w:t>
      </w:r>
    </w:p>
    <w:p w14:paraId="67FD41B4" w14:textId="3C0BFD46" w:rsidR="001C7D7F" w:rsidRDefault="001C7D7F" w:rsidP="00F735D7">
      <w:pPr>
        <w:spacing w:after="0" w:line="240" w:lineRule="auto"/>
        <w:rPr>
          <w:rFonts w:ascii="Calibri" w:eastAsia="Times New Roman" w:hAnsi="Calibri" w:cs="Calibri"/>
          <w:b/>
          <w:lang w:eastAsia="fr-FR"/>
        </w:rPr>
      </w:pPr>
    </w:p>
    <w:p w14:paraId="33003854" w14:textId="77777777" w:rsidR="0097704F" w:rsidRDefault="0097704F" w:rsidP="00F735D7">
      <w:pPr>
        <w:spacing w:after="0" w:line="240" w:lineRule="auto"/>
        <w:rPr>
          <w:rFonts w:ascii="Calibri" w:eastAsia="Times New Roman" w:hAnsi="Calibri" w:cs="Calibri"/>
          <w:b/>
          <w:lang w:eastAsia="fr-FR"/>
        </w:rPr>
      </w:pPr>
    </w:p>
    <w:p w14:paraId="4800A9E3" w14:textId="74E75CEC" w:rsidR="00FE5E9A" w:rsidRDefault="00FE5E9A" w:rsidP="00FE5E9A">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6AE4B8DA" w14:textId="77777777" w:rsidR="00DA1236" w:rsidRDefault="00DA1236" w:rsidP="00FE5E9A">
      <w:pPr>
        <w:spacing w:after="0" w:line="240" w:lineRule="auto"/>
        <w:jc w:val="both"/>
        <w:rPr>
          <w:rFonts w:cstheme="minorHAnsi"/>
          <w:b/>
          <w:smallCaps/>
        </w:rPr>
      </w:pPr>
    </w:p>
    <w:tbl>
      <w:tblPr>
        <w:tblStyle w:val="Tableausimple2"/>
        <w:tblW w:w="9065" w:type="dxa"/>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277"/>
        <w:gridCol w:w="2984"/>
        <w:gridCol w:w="2696"/>
        <w:gridCol w:w="1036"/>
        <w:gridCol w:w="1036"/>
        <w:gridCol w:w="1036"/>
      </w:tblGrid>
      <w:tr w:rsidR="0042145E" w:rsidRPr="003A7833" w14:paraId="7A4A77B3" w14:textId="77777777" w:rsidTr="004E68CF">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57" w:type="dxa"/>
            <w:gridSpan w:val="3"/>
            <w:tcBorders>
              <w:top w:val="single" w:sz="18" w:space="0" w:color="5B9BD5" w:themeColor="accent1"/>
              <w:bottom w:val="single" w:sz="4" w:space="0" w:color="5B9BD5" w:themeColor="accent1"/>
              <w:right w:val="single" w:sz="4" w:space="0" w:color="5B9BD5" w:themeColor="accent1"/>
            </w:tcBorders>
            <w:noWrap/>
          </w:tcPr>
          <w:p w14:paraId="758C194C" w14:textId="77777777" w:rsidR="0042145E" w:rsidRPr="00554F04" w:rsidRDefault="0042145E" w:rsidP="0042145E">
            <w:pPr>
              <w:jc w:val="both"/>
              <w:rPr>
                <w:rFonts w:ascii="Calibri" w:eastAsia="Times New Roman" w:hAnsi="Calibri" w:cs="Calibri"/>
                <w:sz w:val="20"/>
                <w:szCs w:val="20"/>
                <w:lang w:eastAsia="fr-FR"/>
              </w:rPr>
            </w:pPr>
          </w:p>
        </w:tc>
        <w:tc>
          <w:tcPr>
            <w:tcW w:w="103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clear" w:color="auto" w:fill="A6A6A6" w:themeFill="background1" w:themeFillShade="A6"/>
          </w:tcPr>
          <w:p w14:paraId="1AB36B8D" w14:textId="2B4877E1" w:rsidR="0042145E" w:rsidRPr="00554F04" w:rsidRDefault="0042145E" w:rsidP="0042145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031CC46" w14:textId="1D5734DF" w:rsidR="0042145E" w:rsidRPr="00554F04" w:rsidRDefault="0042145E" w:rsidP="00A81C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r w:rsidRPr="007D187B">
              <w:rPr>
                <w:rFonts w:cstheme="minorHAnsi"/>
                <w:bCs w:val="0"/>
                <w:sz w:val="14"/>
                <w:szCs w:val="18"/>
              </w:rPr>
              <w:t>Volume en unités</w:t>
            </w:r>
          </w:p>
        </w:tc>
        <w:tc>
          <w:tcPr>
            <w:tcW w:w="1036" w:type="dxa"/>
            <w:tcBorders>
              <w:top w:val="single" w:sz="18" w:space="0" w:color="5B9BD5" w:themeColor="accent1"/>
              <w:left w:val="single" w:sz="2" w:space="0" w:color="5B9BD5" w:themeColor="accent1"/>
              <w:bottom w:val="single" w:sz="18" w:space="0" w:color="5B9BD5" w:themeColor="accent1"/>
            </w:tcBorders>
            <w:shd w:val="solid" w:color="FFFFFF" w:fill="000000"/>
          </w:tcPr>
          <w:p w14:paraId="35940B2E" w14:textId="77777777" w:rsidR="0042145E" w:rsidRPr="007D187B" w:rsidRDefault="0042145E" w:rsidP="00A81C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41768148" w14:textId="0B7DB815" w:rsidR="0042145E" w:rsidRPr="00554F04" w:rsidRDefault="0042145E" w:rsidP="00A81C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proofErr w:type="gramStart"/>
            <w:r w:rsidRPr="007D187B">
              <w:rPr>
                <w:rFonts w:cstheme="minorHAnsi"/>
                <w:bCs w:val="0"/>
                <w:sz w:val="14"/>
                <w:szCs w:val="18"/>
              </w:rPr>
              <w:t>euros</w:t>
            </w:r>
            <w:proofErr w:type="gramEnd"/>
          </w:p>
        </w:tc>
      </w:tr>
      <w:tr w:rsidR="0042145E" w:rsidRPr="003A7833" w14:paraId="61988144" w14:textId="1F4B95CF" w:rsidTr="00617C0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61" w:type="dxa"/>
            <w:gridSpan w:val="2"/>
            <w:tcBorders>
              <w:top w:val="single" w:sz="18" w:space="0" w:color="5B9BD5" w:themeColor="accent1"/>
              <w:bottom w:val="single" w:sz="4" w:space="0" w:color="5B9BD5" w:themeColor="accent1"/>
              <w:right w:val="single" w:sz="4" w:space="0" w:color="5B9BD5" w:themeColor="accent1"/>
            </w:tcBorders>
            <w:noWrap/>
          </w:tcPr>
          <w:p w14:paraId="33C24951" w14:textId="25B1A073" w:rsidR="0042145E" w:rsidRPr="0068417B" w:rsidRDefault="0042145E" w:rsidP="00FA5C8E">
            <w:pPr>
              <w:rPr>
                <w:rFonts w:ascii="Calibri" w:eastAsia="Times New Roman" w:hAnsi="Calibri" w:cs="Calibri"/>
                <w:i/>
                <w:sz w:val="18"/>
                <w:szCs w:val="20"/>
                <w:lang w:eastAsia="fr-FR"/>
              </w:rPr>
            </w:pPr>
            <w:r w:rsidRPr="0068417B">
              <w:rPr>
                <w:rFonts w:ascii="Calibri" w:eastAsia="Times New Roman" w:hAnsi="Calibri" w:cs="Calibri"/>
                <w:i/>
                <w:sz w:val="18"/>
                <w:szCs w:val="20"/>
                <w:lang w:eastAsia="fr-FR"/>
              </w:rPr>
              <w:t>Nombre de supports de monnaie électronique gérés par l’établissement</w:t>
            </w:r>
          </w:p>
        </w:tc>
        <w:tc>
          <w:tcPr>
            <w:tcW w:w="269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F838710" w14:textId="77777777" w:rsidR="0042145E" w:rsidRPr="00554F04"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6A76DBFD" w14:textId="77777777" w:rsidR="0042145E" w:rsidRPr="00554F04"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5801AB8D" w14:textId="77777777" w:rsidR="0042145E" w:rsidRPr="00554F04"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31BEF2ED" w14:textId="77777777" w:rsidR="0042145E" w:rsidRPr="00554F04"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r>
      <w:tr w:rsidR="0042145E" w:rsidRPr="00111DD6" w14:paraId="5C060AC5" w14:textId="057A47F1" w:rsidTr="00617C01">
        <w:trPr>
          <w:trHeight w:val="288"/>
        </w:trPr>
        <w:tc>
          <w:tcPr>
            <w:cnfStyle w:val="001000000000" w:firstRow="0" w:lastRow="0" w:firstColumn="1" w:lastColumn="0" w:oddVBand="0" w:evenVBand="0" w:oddHBand="0" w:evenHBand="0" w:firstRowFirstColumn="0" w:firstRowLastColumn="0" w:lastRowFirstColumn="0" w:lastRowLastColumn="0"/>
            <w:tcW w:w="277" w:type="dxa"/>
            <w:tcBorders>
              <w:top w:val="single" w:sz="4" w:space="0" w:color="5B9BD5" w:themeColor="accent1"/>
              <w:bottom w:val="single" w:sz="4" w:space="0" w:color="5B9BD5" w:themeColor="accent1"/>
              <w:right w:val="single" w:sz="4" w:space="0" w:color="5B9BD5" w:themeColor="accent1"/>
            </w:tcBorders>
          </w:tcPr>
          <w:p w14:paraId="5129537C" w14:textId="28FCA93B" w:rsidR="0042145E" w:rsidRPr="00554F04" w:rsidRDefault="0042145E" w:rsidP="00273E19">
            <w:pPr>
              <w:rPr>
                <w:rFonts w:ascii="Calibri" w:eastAsia="Times New Roman" w:hAnsi="Calibri" w:cs="Calibri"/>
                <w:bCs w:val="0"/>
                <w:i/>
                <w:sz w:val="20"/>
                <w:szCs w:val="20"/>
                <w:lang w:eastAsia="fr-FR"/>
              </w:rPr>
            </w:pPr>
          </w:p>
        </w:tc>
        <w:tc>
          <w:tcPr>
            <w:tcW w:w="2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A3F3E8" w14:textId="5948C978" w:rsidR="0042145E" w:rsidRPr="0068417B" w:rsidRDefault="0042145E" w:rsidP="00273E1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20"/>
                <w:lang w:eastAsia="fr-FR"/>
              </w:rPr>
            </w:pPr>
            <w:r w:rsidRPr="0068417B">
              <w:rPr>
                <w:rFonts w:ascii="Calibri" w:eastAsia="Times New Roman" w:hAnsi="Calibri" w:cs="Calibri"/>
                <w:i/>
                <w:sz w:val="18"/>
                <w:szCs w:val="20"/>
                <w:lang w:eastAsia="fr-FR"/>
              </w:rPr>
              <w:t>Dont chargés au moins une fois</w:t>
            </w:r>
          </w:p>
        </w:tc>
        <w:tc>
          <w:tcPr>
            <w:tcW w:w="26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6D0DBD4" w14:textId="5B1D3EFB" w:rsidR="0042145E" w:rsidRPr="0068417B" w:rsidRDefault="0042145E" w:rsidP="00CC1B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roofErr w:type="gramStart"/>
            <w:r w:rsidRPr="0068417B">
              <w:rPr>
                <w:rFonts w:ascii="Calibri" w:eastAsia="Times New Roman" w:hAnsi="Calibri" w:cs="Calibri"/>
                <w:sz w:val="18"/>
                <w:szCs w:val="18"/>
                <w:lang w:eastAsia="fr-FR"/>
              </w:rPr>
              <w:t>PME chargés</w:t>
            </w:r>
            <w:proofErr w:type="gramEnd"/>
            <w:r w:rsidRPr="0068417B">
              <w:rPr>
                <w:rFonts w:ascii="Calibri" w:eastAsia="Times New Roman" w:hAnsi="Calibri" w:cs="Calibri"/>
                <w:sz w:val="18"/>
                <w:szCs w:val="18"/>
                <w:lang w:eastAsia="fr-FR"/>
              </w:rPr>
              <w:t xml:space="preserve"> au moins une fois depuis leur ouverture</w:t>
            </w: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4246C90B" w14:textId="77777777" w:rsidR="0042145E" w:rsidRPr="00554F04" w:rsidRDefault="0042145E" w:rsidP="00CC1B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50DA47" w14:textId="77777777" w:rsidR="0042145E" w:rsidRPr="00554F04" w:rsidRDefault="0042145E" w:rsidP="00CC1B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3F2693DC" w14:textId="77777777" w:rsidR="0042145E" w:rsidRPr="00554F04" w:rsidRDefault="0042145E" w:rsidP="00CC1B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p>
        </w:tc>
      </w:tr>
      <w:tr w:rsidR="0042145E" w:rsidRPr="00111DD6" w14:paraId="7F736510" w14:textId="46033850" w:rsidTr="00617C0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7" w:type="dxa"/>
            <w:tcBorders>
              <w:top w:val="single" w:sz="4" w:space="0" w:color="5B9BD5" w:themeColor="accent1"/>
              <w:bottom w:val="single" w:sz="4" w:space="0" w:color="5B9BD5" w:themeColor="accent1"/>
              <w:right w:val="single" w:sz="4" w:space="0" w:color="5B9BD5" w:themeColor="accent1"/>
            </w:tcBorders>
          </w:tcPr>
          <w:p w14:paraId="47EF5F74" w14:textId="492072AB" w:rsidR="0042145E" w:rsidRPr="00554F04" w:rsidRDefault="0042145E" w:rsidP="00273E19">
            <w:pPr>
              <w:rPr>
                <w:rFonts w:ascii="Calibri" w:eastAsia="Times New Roman" w:hAnsi="Calibri" w:cs="Calibri"/>
                <w:bCs w:val="0"/>
                <w:i/>
                <w:sz w:val="20"/>
                <w:szCs w:val="20"/>
                <w:lang w:eastAsia="fr-FR"/>
              </w:rPr>
            </w:pPr>
          </w:p>
        </w:tc>
        <w:tc>
          <w:tcPr>
            <w:tcW w:w="2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D8140F" w14:textId="72B8DCAC" w:rsidR="0042145E" w:rsidRPr="0068417B" w:rsidRDefault="0042145E" w:rsidP="00273E1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20"/>
                <w:lang w:eastAsia="fr-FR"/>
              </w:rPr>
            </w:pPr>
            <w:r w:rsidRPr="0068417B">
              <w:rPr>
                <w:rFonts w:ascii="Calibri" w:eastAsia="Times New Roman" w:hAnsi="Calibri" w:cs="Calibri"/>
                <w:i/>
                <w:sz w:val="18"/>
                <w:szCs w:val="20"/>
                <w:lang w:eastAsia="fr-FR"/>
              </w:rPr>
              <w:t>Dont actifs</w:t>
            </w:r>
          </w:p>
        </w:tc>
        <w:tc>
          <w:tcPr>
            <w:tcW w:w="26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868440" w14:textId="6D890EB9" w:rsidR="0042145E" w:rsidRPr="0068417B"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68417B">
              <w:rPr>
                <w:rFonts w:ascii="Calibri" w:eastAsia="Times New Roman" w:hAnsi="Calibri" w:cs="Calibri"/>
                <w:sz w:val="18"/>
                <w:szCs w:val="18"/>
                <w:lang w:eastAsia="fr-FR"/>
              </w:rPr>
              <w:t>PME ayant enregistré une transaction au cours des 3 derniers mois suivants la fin de la période de déclaration</w:t>
            </w: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5915D97B" w14:textId="77777777" w:rsidR="0042145E" w:rsidRPr="00554F04"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239813" w14:textId="77777777" w:rsidR="0042145E" w:rsidRPr="00554F04"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0494234B" w14:textId="77777777" w:rsidR="0042145E" w:rsidRPr="00554F04"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r>
      <w:tr w:rsidR="0042145E" w:rsidRPr="003A7833" w14:paraId="23EA82D9" w14:textId="421A99A3" w:rsidTr="00D83A89">
        <w:trPr>
          <w:trHeight w:val="288"/>
        </w:trPr>
        <w:tc>
          <w:tcPr>
            <w:cnfStyle w:val="001000000000" w:firstRow="0" w:lastRow="0" w:firstColumn="1" w:lastColumn="0" w:oddVBand="0" w:evenVBand="0" w:oddHBand="0" w:evenHBand="0" w:firstRowFirstColumn="0" w:firstRowLastColumn="0" w:lastRowFirstColumn="0" w:lastRowLastColumn="0"/>
            <w:tcW w:w="3261" w:type="dxa"/>
            <w:gridSpan w:val="2"/>
            <w:tcBorders>
              <w:top w:val="single" w:sz="4" w:space="0" w:color="5B9BD5" w:themeColor="accent1"/>
              <w:bottom w:val="single" w:sz="4" w:space="0" w:color="5B9BD5" w:themeColor="accent1"/>
              <w:right w:val="single" w:sz="4" w:space="0" w:color="5B9BD5" w:themeColor="accent1"/>
            </w:tcBorders>
            <w:noWrap/>
          </w:tcPr>
          <w:p w14:paraId="08F91140" w14:textId="3F2FBCE9" w:rsidR="0042145E" w:rsidRPr="0068417B" w:rsidRDefault="0042145E" w:rsidP="00604FCB">
            <w:pPr>
              <w:rPr>
                <w:rFonts w:ascii="Calibri" w:eastAsia="Times New Roman" w:hAnsi="Calibri" w:cs="Calibri"/>
                <w:i/>
                <w:sz w:val="18"/>
                <w:szCs w:val="20"/>
                <w:lang w:eastAsia="fr-FR"/>
              </w:rPr>
            </w:pPr>
            <w:r w:rsidRPr="0068417B">
              <w:rPr>
                <w:rFonts w:ascii="Calibri" w:eastAsia="Times New Roman" w:hAnsi="Calibri" w:cs="Calibri"/>
                <w:i/>
                <w:sz w:val="18"/>
                <w:szCs w:val="20"/>
                <w:lang w:eastAsia="fr-FR"/>
              </w:rPr>
              <w:t>Nombre d’opérations de chargement</w:t>
            </w:r>
          </w:p>
        </w:tc>
        <w:tc>
          <w:tcPr>
            <w:tcW w:w="26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617703B" w14:textId="14636550" w:rsidR="0042145E" w:rsidRPr="0068417B" w:rsidRDefault="0042145E" w:rsidP="00CC1B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68417B">
              <w:rPr>
                <w:rFonts w:ascii="Calibri" w:eastAsia="Times New Roman" w:hAnsi="Calibri" w:cs="Calibri"/>
                <w:sz w:val="18"/>
                <w:szCs w:val="18"/>
                <w:lang w:eastAsia="fr-FR"/>
              </w:rPr>
              <w:t>Le chargement correspond à l’émission de monnaie électronique.</w:t>
            </w: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189B008A" w14:textId="77777777" w:rsidR="0042145E" w:rsidRPr="00FC7A59" w:rsidRDefault="0042145E" w:rsidP="00CC1B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850E74" w14:textId="77777777" w:rsidR="0042145E" w:rsidRPr="00FC7A59" w:rsidRDefault="0042145E" w:rsidP="00CC1B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1184CE32" w14:textId="77777777" w:rsidR="0042145E" w:rsidRPr="00FC7A59" w:rsidRDefault="0042145E" w:rsidP="00CC1B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p>
        </w:tc>
      </w:tr>
      <w:tr w:rsidR="0042145E" w:rsidRPr="003A7833" w14:paraId="7CEEA9D5" w14:textId="2EE70EAF" w:rsidTr="00D83A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61" w:type="dxa"/>
            <w:gridSpan w:val="2"/>
            <w:tcBorders>
              <w:top w:val="single" w:sz="4" w:space="0" w:color="5B9BD5" w:themeColor="accent1"/>
              <w:bottom w:val="single" w:sz="18" w:space="0" w:color="5B9BD5" w:themeColor="accent1"/>
              <w:right w:val="single" w:sz="4" w:space="0" w:color="5B9BD5" w:themeColor="accent1"/>
            </w:tcBorders>
            <w:noWrap/>
          </w:tcPr>
          <w:p w14:paraId="76AA8DF4" w14:textId="2B9540F6" w:rsidR="0042145E" w:rsidRPr="0068417B" w:rsidRDefault="0042145E" w:rsidP="00604FCB">
            <w:pPr>
              <w:rPr>
                <w:rFonts w:ascii="Calibri" w:eastAsia="Times New Roman" w:hAnsi="Calibri" w:cs="Calibri"/>
                <w:i/>
                <w:sz w:val="18"/>
                <w:szCs w:val="20"/>
                <w:lang w:eastAsia="fr-FR"/>
              </w:rPr>
            </w:pPr>
            <w:r w:rsidRPr="0068417B">
              <w:rPr>
                <w:rFonts w:ascii="Calibri" w:eastAsia="Times New Roman" w:hAnsi="Calibri" w:cs="Calibri"/>
                <w:i/>
                <w:sz w:val="18"/>
                <w:szCs w:val="20"/>
                <w:lang w:eastAsia="fr-FR"/>
              </w:rPr>
              <w:t>Nombre d’opérations de déchargement</w:t>
            </w:r>
          </w:p>
        </w:tc>
        <w:tc>
          <w:tcPr>
            <w:tcW w:w="2696"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0814C2A7" w14:textId="47CC1778" w:rsidR="0042145E" w:rsidRPr="0068417B" w:rsidRDefault="0042145E" w:rsidP="00802A8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68417B">
              <w:rPr>
                <w:rFonts w:ascii="Calibri" w:eastAsia="Times New Roman" w:hAnsi="Calibri" w:cs="Calibri"/>
                <w:sz w:val="18"/>
                <w:szCs w:val="18"/>
                <w:lang w:eastAsia="fr-FR"/>
              </w:rPr>
              <w:t>Le déchargement correspond au rembour</w:t>
            </w:r>
            <w:r w:rsidR="00802A8B">
              <w:rPr>
                <w:rFonts w:ascii="Calibri" w:eastAsia="Times New Roman" w:hAnsi="Calibri" w:cs="Calibri"/>
                <w:sz w:val="18"/>
                <w:szCs w:val="18"/>
                <w:lang w:eastAsia="fr-FR"/>
              </w:rPr>
              <w:t>sement de monnaie électronique.</w:t>
            </w:r>
          </w:p>
        </w:tc>
        <w:tc>
          <w:tcPr>
            <w:tcW w:w="1036"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auto" w:fill="A6A6A6" w:themeFill="background1" w:themeFillShade="A6"/>
          </w:tcPr>
          <w:p w14:paraId="2BF2E89F" w14:textId="77777777" w:rsidR="0042145E"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6F237C63" w14:textId="77777777" w:rsidR="0042145E"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auto" w:fill="FFFFFF" w:themeFill="background1"/>
          </w:tcPr>
          <w:p w14:paraId="712B2417" w14:textId="77777777" w:rsidR="0042145E"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r>
    </w:tbl>
    <w:p w14:paraId="2F8CE940" w14:textId="77777777" w:rsidR="00FA5C8E" w:rsidRDefault="00FA5C8E" w:rsidP="00FA5C8E">
      <w:pPr>
        <w:pStyle w:val="Paragraphedeliste"/>
        <w:autoSpaceDE w:val="0"/>
        <w:autoSpaceDN w:val="0"/>
        <w:adjustRightInd w:val="0"/>
        <w:spacing w:after="0" w:line="240" w:lineRule="auto"/>
        <w:jc w:val="both"/>
        <w:rPr>
          <w:rFonts w:cstheme="minorHAnsi"/>
        </w:rPr>
      </w:pPr>
    </w:p>
    <w:p w14:paraId="53317FB3" w14:textId="77777777" w:rsidR="00AD087D" w:rsidRDefault="00AD087D" w:rsidP="00FA5C8E">
      <w:pPr>
        <w:pStyle w:val="Paragraphedeliste"/>
        <w:autoSpaceDE w:val="0"/>
        <w:autoSpaceDN w:val="0"/>
        <w:adjustRightInd w:val="0"/>
        <w:spacing w:after="0" w:line="240" w:lineRule="auto"/>
        <w:jc w:val="both"/>
        <w:rPr>
          <w:rFonts w:cstheme="minorHAnsi"/>
        </w:rPr>
      </w:pPr>
    </w:p>
    <w:p w14:paraId="3A601B05" w14:textId="2B3A9412" w:rsidR="0097704F" w:rsidRDefault="0088041E" w:rsidP="007718A3">
      <w:pPr>
        <w:pStyle w:val="Titre3"/>
        <w:numPr>
          <w:ilvl w:val="2"/>
          <w:numId w:val="38"/>
        </w:numPr>
        <w:jc w:val="both"/>
      </w:pPr>
      <w:bookmarkStart w:id="45" w:name="_Toc222476875"/>
      <w:r w:rsidRPr="0096058A">
        <w:t>P</w:t>
      </w:r>
      <w:r w:rsidR="00BB3D2D" w:rsidRPr="0096058A">
        <w:t>aiements</w:t>
      </w:r>
      <w:r w:rsidR="008F2675">
        <w:t xml:space="preserve"> </w:t>
      </w:r>
      <w:r w:rsidR="006E2514">
        <w:t>e</w:t>
      </w:r>
      <w:r w:rsidR="00BB3D2D" w:rsidRPr="0096058A">
        <w:t xml:space="preserve">n monnaie électronique </w:t>
      </w:r>
      <w:r w:rsidR="008F2675">
        <w:t>émis et reçus</w:t>
      </w:r>
      <w:bookmarkEnd w:id="45"/>
    </w:p>
    <w:p w14:paraId="62CC0663" w14:textId="71B2E02B" w:rsidR="0097704F" w:rsidRDefault="0097704F" w:rsidP="00173F52"/>
    <w:p w14:paraId="46B7E285" w14:textId="567AFA65" w:rsidR="00D31EDA" w:rsidRDefault="00D31EDA" w:rsidP="00F735D7">
      <w:pPr>
        <w:spacing w:after="0" w:line="240" w:lineRule="auto"/>
        <w:rPr>
          <w:rFonts w:cstheme="minorHAnsi"/>
        </w:rPr>
      </w:pPr>
      <w:r w:rsidRPr="00A675AF">
        <w:rPr>
          <w:rFonts w:cstheme="minorHAnsi"/>
          <w:u w:val="single"/>
        </w:rPr>
        <w:t>Remarque</w:t>
      </w:r>
      <w:r w:rsidR="00E86B88">
        <w:rPr>
          <w:rFonts w:cstheme="minorHAnsi"/>
          <w:u w:val="single"/>
        </w:rPr>
        <w:t>s</w:t>
      </w:r>
      <w:r w:rsidRPr="0072000C">
        <w:rPr>
          <w:rFonts w:cstheme="minorHAnsi"/>
        </w:rPr>
        <w:t> :</w:t>
      </w:r>
    </w:p>
    <w:p w14:paraId="3DD93C82" w14:textId="5EE07CDD" w:rsidR="00D928BC" w:rsidRDefault="00D928BC" w:rsidP="00D928BC">
      <w:pPr>
        <w:spacing w:after="0" w:line="240" w:lineRule="auto"/>
        <w:rPr>
          <w:rFonts w:cstheme="minorHAnsi"/>
        </w:rPr>
      </w:pPr>
      <w:r>
        <w:rPr>
          <w:rFonts w:cstheme="minorHAnsi"/>
        </w:rPr>
        <w:t xml:space="preserve"> </w:t>
      </w:r>
    </w:p>
    <w:p w14:paraId="1B7EB2DD" w14:textId="77473A03" w:rsidR="00CA09B9" w:rsidRPr="00CA09B9" w:rsidRDefault="00D928BC" w:rsidP="00F321FE">
      <w:pPr>
        <w:pStyle w:val="Paragraphedeliste"/>
        <w:numPr>
          <w:ilvl w:val="0"/>
          <w:numId w:val="3"/>
        </w:numPr>
        <w:spacing w:after="0" w:line="240" w:lineRule="auto"/>
        <w:jc w:val="both"/>
        <w:rPr>
          <w:rFonts w:cstheme="minorHAnsi"/>
        </w:rPr>
      </w:pPr>
      <w:r>
        <w:rPr>
          <w:rFonts w:cstheme="minorHAnsi"/>
        </w:rPr>
        <w:t>Sont à déclarer les opérations de paiement en monnaie électronique effectuées</w:t>
      </w:r>
      <w:r w:rsidR="006E2514">
        <w:rPr>
          <w:rFonts w:cstheme="minorHAnsi"/>
        </w:rPr>
        <w:t xml:space="preserve"> </w:t>
      </w:r>
      <w:r>
        <w:rPr>
          <w:rFonts w:cstheme="minorHAnsi"/>
        </w:rPr>
        <w:t xml:space="preserve">à partir d’une carte dont la fonctionnalité de monnaie électronique a été utilisée </w:t>
      </w:r>
      <w:r w:rsidR="006E2514">
        <w:rPr>
          <w:rFonts w:cstheme="minorHAnsi"/>
        </w:rPr>
        <w:t xml:space="preserve">ainsi que celles réalisées </w:t>
      </w:r>
      <w:r>
        <w:rPr>
          <w:rFonts w:cstheme="minorHAnsi"/>
        </w:rPr>
        <w:t xml:space="preserve">à partir d’un compte de monnaie électronique vers un compte </w:t>
      </w:r>
      <w:r w:rsidR="006E2514">
        <w:rPr>
          <w:rFonts w:cstheme="minorHAnsi"/>
        </w:rPr>
        <w:t>bénéficiaire</w:t>
      </w:r>
      <w:r>
        <w:rPr>
          <w:rFonts w:cstheme="minorHAnsi"/>
        </w:rPr>
        <w:t xml:space="preserve"> de monnaie électronique à la condition que les deux comptes soient tenus par l’établissement.</w:t>
      </w:r>
      <w:r w:rsidRPr="0072000C" w:rsidDel="00D928BC">
        <w:rPr>
          <w:rFonts w:cstheme="minorHAnsi"/>
        </w:rPr>
        <w:t xml:space="preserve"> </w:t>
      </w:r>
      <w:r w:rsidR="00CB4727" w:rsidRPr="00CA09B9">
        <w:rPr>
          <w:rFonts w:cstheme="minorHAnsi"/>
        </w:rPr>
        <w:t xml:space="preserve">Les paiements </w:t>
      </w:r>
      <w:proofErr w:type="spellStart"/>
      <w:r w:rsidR="00CB4727" w:rsidRPr="00CA09B9">
        <w:rPr>
          <w:rFonts w:cstheme="minorHAnsi"/>
        </w:rPr>
        <w:t>intrabancaires</w:t>
      </w:r>
      <w:proofErr w:type="spellEnd"/>
      <w:r w:rsidR="00CB4727" w:rsidRPr="00CA09B9">
        <w:rPr>
          <w:rFonts w:cstheme="minorHAnsi"/>
        </w:rPr>
        <w:t xml:space="preserve"> (</w:t>
      </w:r>
      <w:r w:rsidR="00FF5429" w:rsidRPr="00CA09B9">
        <w:rPr>
          <w:rFonts w:cstheme="minorHAnsi"/>
        </w:rPr>
        <w:t>c</w:t>
      </w:r>
      <w:r w:rsidR="00CB4727" w:rsidRPr="00CA09B9">
        <w:rPr>
          <w:rFonts w:cstheme="minorHAnsi"/>
        </w:rPr>
        <w:t>.</w:t>
      </w:r>
      <w:r w:rsidR="00FF5429" w:rsidRPr="00CA09B9">
        <w:rPr>
          <w:rFonts w:cstheme="minorHAnsi"/>
        </w:rPr>
        <w:t>-à-d</w:t>
      </w:r>
      <w:r w:rsidR="00CB4727" w:rsidRPr="00CA09B9">
        <w:rPr>
          <w:rFonts w:cstheme="minorHAnsi"/>
        </w:rPr>
        <w:t>. au sein de votre établissement) doivent être déclarés à la fois en émission et en réception.</w:t>
      </w:r>
    </w:p>
    <w:p w14:paraId="4C576E77" w14:textId="65E79E12" w:rsidR="00E174E5" w:rsidRDefault="00E174E5" w:rsidP="00E174E5">
      <w:pPr>
        <w:spacing w:after="0" w:line="240" w:lineRule="auto"/>
        <w:jc w:val="both"/>
        <w:rPr>
          <w:rFonts w:cstheme="minorHAnsi"/>
        </w:rPr>
      </w:pPr>
    </w:p>
    <w:p w14:paraId="01A7FF92" w14:textId="77777777" w:rsidR="00A81CF1" w:rsidRDefault="00A81CF1" w:rsidP="00E174E5">
      <w:pPr>
        <w:spacing w:after="0" w:line="240" w:lineRule="auto"/>
        <w:jc w:val="both"/>
        <w:rPr>
          <w:rFonts w:cstheme="minorHAnsi"/>
        </w:rPr>
      </w:pPr>
    </w:p>
    <w:p w14:paraId="4ACF854C" w14:textId="6C963B49" w:rsidR="0097704F" w:rsidRDefault="0097704F" w:rsidP="007718A3">
      <w:pPr>
        <w:pStyle w:val="Titre4"/>
        <w:numPr>
          <w:ilvl w:val="3"/>
          <w:numId w:val="38"/>
        </w:numPr>
      </w:pPr>
      <w:bookmarkStart w:id="46" w:name="_Toc222476876"/>
      <w:r>
        <w:t>Paiements en monnaie électronique émis par</w:t>
      </w:r>
      <w:r w:rsidRPr="0096058A">
        <w:t xml:space="preserve"> l’établissement par canal d’initiation, zone géographique, méthode d’authentification et motif d</w:t>
      </w:r>
      <w:r w:rsidR="0021761B">
        <w:t xml:space="preserve">’exemption </w:t>
      </w:r>
      <w:r w:rsidRPr="0096058A">
        <w:t xml:space="preserve">à </w:t>
      </w:r>
      <w:r w:rsidR="0021761B">
        <w:t xml:space="preserve">l’application de </w:t>
      </w:r>
      <w:r w:rsidRPr="0096058A">
        <w:t>l’authentification forte</w:t>
      </w:r>
      <w:bookmarkEnd w:id="46"/>
    </w:p>
    <w:p w14:paraId="65993CB3" w14:textId="77777777" w:rsidR="0097704F" w:rsidRDefault="0097704F" w:rsidP="00FE5E9A">
      <w:pPr>
        <w:tabs>
          <w:tab w:val="left" w:pos="1044"/>
        </w:tabs>
        <w:spacing w:after="0" w:line="240" w:lineRule="auto"/>
        <w:jc w:val="both"/>
        <w:rPr>
          <w:rFonts w:ascii="Calibri" w:eastAsia="Times New Roman" w:hAnsi="Calibri" w:cs="Calibri"/>
          <w:b/>
          <w:smallCaps/>
          <w:color w:val="2E74B5" w:themeColor="accent1" w:themeShade="BF"/>
          <w:sz w:val="24"/>
          <w:szCs w:val="24"/>
          <w:lang w:eastAsia="fr-FR"/>
        </w:rPr>
      </w:pPr>
    </w:p>
    <w:p w14:paraId="7B92AE8E" w14:textId="77777777" w:rsidR="0097704F" w:rsidRDefault="0097704F" w:rsidP="00FE5E9A">
      <w:pPr>
        <w:tabs>
          <w:tab w:val="left" w:pos="1044"/>
        </w:tabs>
        <w:spacing w:after="0" w:line="240" w:lineRule="auto"/>
        <w:jc w:val="both"/>
        <w:rPr>
          <w:rFonts w:ascii="Calibri" w:eastAsia="Times New Roman" w:hAnsi="Calibri" w:cs="Calibri"/>
          <w:b/>
          <w:smallCaps/>
          <w:color w:val="2E74B5" w:themeColor="accent1" w:themeShade="BF"/>
          <w:sz w:val="24"/>
          <w:szCs w:val="24"/>
          <w:lang w:eastAsia="fr-FR"/>
        </w:rPr>
      </w:pPr>
    </w:p>
    <w:p w14:paraId="74EEB13D" w14:textId="4FBF5E54" w:rsidR="00FE5E9A" w:rsidRDefault="00FE5E9A" w:rsidP="00FE5E9A">
      <w:pPr>
        <w:tabs>
          <w:tab w:val="left" w:pos="1044"/>
        </w:tabs>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600D292F" w14:textId="77777777" w:rsidR="00D31EDA" w:rsidRPr="004E58CA" w:rsidRDefault="00D31EDA" w:rsidP="004E58CA">
      <w:pPr>
        <w:spacing w:after="0" w:line="240" w:lineRule="auto"/>
        <w:jc w:val="both"/>
      </w:pPr>
    </w:p>
    <w:tbl>
      <w:tblPr>
        <w:tblStyle w:val="Tableausimple2"/>
        <w:tblW w:w="9070" w:type="dxa"/>
        <w:tblBorders>
          <w:top w:val="single" w:sz="18" w:space="0" w:color="5B9BD5" w:themeColor="accent1"/>
          <w:bottom w:val="single" w:sz="12" w:space="0" w:color="auto"/>
          <w:insideH w:val="single" w:sz="4" w:space="0" w:color="5B9BD5" w:themeColor="accent1"/>
          <w:insideV w:val="single" w:sz="4" w:space="0" w:color="5B9BD5" w:themeColor="accent1"/>
        </w:tblBorders>
        <w:tblLook w:val="04A0" w:firstRow="1" w:lastRow="0" w:firstColumn="1" w:lastColumn="0" w:noHBand="0" w:noVBand="1"/>
      </w:tblPr>
      <w:tblGrid>
        <w:gridCol w:w="262"/>
        <w:gridCol w:w="262"/>
        <w:gridCol w:w="262"/>
        <w:gridCol w:w="2049"/>
        <w:gridCol w:w="3686"/>
        <w:gridCol w:w="1019"/>
        <w:gridCol w:w="834"/>
        <w:gridCol w:w="696"/>
      </w:tblGrid>
      <w:tr w:rsidR="00617C01" w:rsidRPr="00A2194A" w14:paraId="202EB400" w14:textId="77777777" w:rsidTr="00DA2B3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21" w:type="dxa"/>
            <w:gridSpan w:val="5"/>
            <w:tcBorders>
              <w:top w:val="single" w:sz="18" w:space="0" w:color="5B9BD5" w:themeColor="accent1"/>
              <w:bottom w:val="single" w:sz="18" w:space="0" w:color="5B9BD5" w:themeColor="accent1"/>
            </w:tcBorders>
            <w:noWrap/>
          </w:tcPr>
          <w:p w14:paraId="20621CED" w14:textId="77777777" w:rsidR="00617C01" w:rsidRPr="00A2194A" w:rsidRDefault="00617C01" w:rsidP="00617C01">
            <w:pPr>
              <w:jc w:val="both"/>
              <w:rPr>
                <w:rFonts w:ascii="Calibri" w:eastAsia="Times New Roman" w:hAnsi="Calibri" w:cs="Calibri"/>
                <w:b w:val="0"/>
                <w:sz w:val="18"/>
                <w:szCs w:val="18"/>
                <w:lang w:eastAsia="fr-FR"/>
              </w:rPr>
            </w:pPr>
          </w:p>
        </w:tc>
        <w:tc>
          <w:tcPr>
            <w:tcW w:w="101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6EFC7AB9" w14:textId="13E8F0C7" w:rsidR="00617C01" w:rsidRPr="00A2194A" w:rsidRDefault="004E68CF" w:rsidP="00A81C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bCs w:val="0"/>
                <w:sz w:val="14"/>
                <w:szCs w:val="18"/>
              </w:rPr>
              <w:t>Pays du PSP du payé</w:t>
            </w:r>
          </w:p>
        </w:tc>
        <w:tc>
          <w:tcPr>
            <w:tcW w:w="8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6FD081C" w14:textId="4FA982DA" w:rsidR="00617C01" w:rsidRPr="00A2194A" w:rsidRDefault="00617C01" w:rsidP="00A81C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696" w:type="dxa"/>
            <w:tcBorders>
              <w:top w:val="single" w:sz="18" w:space="0" w:color="5B9BD5" w:themeColor="accent1"/>
              <w:left w:val="single" w:sz="2" w:space="0" w:color="5B9BD5" w:themeColor="accent1"/>
              <w:bottom w:val="single" w:sz="18" w:space="0" w:color="5B9BD5" w:themeColor="accent1"/>
            </w:tcBorders>
            <w:shd w:val="solid" w:color="FFFFFF" w:fill="000000"/>
          </w:tcPr>
          <w:p w14:paraId="350DD00B" w14:textId="77777777" w:rsidR="00617C01" w:rsidRPr="007D187B" w:rsidRDefault="00617C01" w:rsidP="00A81C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142D1296" w14:textId="6DF31095" w:rsidR="00617C01" w:rsidRPr="00A2194A" w:rsidRDefault="00617C01" w:rsidP="00A81C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sidRPr="007D187B">
              <w:rPr>
                <w:rFonts w:cstheme="minorHAnsi"/>
                <w:bCs w:val="0"/>
                <w:sz w:val="14"/>
                <w:szCs w:val="18"/>
              </w:rPr>
              <w:t>euros</w:t>
            </w:r>
            <w:proofErr w:type="gramEnd"/>
          </w:p>
        </w:tc>
      </w:tr>
      <w:tr w:rsidR="004E68CF" w:rsidRPr="00A2194A" w14:paraId="622FCCFA" w14:textId="3185B90E" w:rsidTr="00DA2B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gridSpan w:val="4"/>
            <w:tcBorders>
              <w:top w:val="single" w:sz="18" w:space="0" w:color="5B9BD5" w:themeColor="accent1"/>
            </w:tcBorders>
            <w:noWrap/>
            <w:hideMark/>
          </w:tcPr>
          <w:p w14:paraId="5DB7A020" w14:textId="17916D12" w:rsidR="004E68CF" w:rsidRPr="00A2194A" w:rsidRDefault="004E68CF" w:rsidP="00FA5C8E">
            <w:pPr>
              <w:rPr>
                <w:rFonts w:ascii="Calibri" w:eastAsia="Times New Roman" w:hAnsi="Calibri" w:cs="Calibri"/>
                <w:bCs w:val="0"/>
                <w:i/>
                <w:sz w:val="18"/>
                <w:szCs w:val="18"/>
                <w:lang w:eastAsia="fr-FR"/>
              </w:rPr>
            </w:pPr>
            <w:r w:rsidRPr="00A2194A">
              <w:rPr>
                <w:rFonts w:ascii="Calibri" w:eastAsia="Times New Roman" w:hAnsi="Calibri" w:cs="Calibri"/>
                <w:i/>
                <w:sz w:val="18"/>
                <w:szCs w:val="18"/>
                <w:lang w:eastAsia="fr-FR"/>
              </w:rPr>
              <w:t>Paiements en monnaie électronique</w:t>
            </w:r>
            <w:r>
              <w:rPr>
                <w:rFonts w:ascii="Calibri" w:eastAsia="Times New Roman" w:hAnsi="Calibri" w:cs="Calibri"/>
                <w:i/>
                <w:sz w:val="18"/>
                <w:szCs w:val="18"/>
                <w:lang w:eastAsia="fr-FR"/>
              </w:rPr>
              <w:t xml:space="preserve"> </w:t>
            </w:r>
            <w:r w:rsidRPr="00A2194A">
              <w:rPr>
                <w:rFonts w:ascii="Calibri" w:eastAsia="Times New Roman" w:hAnsi="Calibri" w:cs="Calibri"/>
                <w:i/>
                <w:sz w:val="18"/>
                <w:szCs w:val="18"/>
                <w:lang w:eastAsia="fr-FR"/>
              </w:rPr>
              <w:t>émise par l'établissement</w:t>
            </w:r>
          </w:p>
        </w:tc>
        <w:tc>
          <w:tcPr>
            <w:tcW w:w="3686" w:type="dxa"/>
            <w:tcBorders>
              <w:top w:val="single" w:sz="18" w:space="0" w:color="5B9BD5" w:themeColor="accent1"/>
            </w:tcBorders>
          </w:tcPr>
          <w:p w14:paraId="1F550C06" w14:textId="125E3691" w:rsidR="004E68CF" w:rsidRPr="002262D6" w:rsidRDefault="004E68CF" w:rsidP="00A93AF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2262D6">
              <w:rPr>
                <w:rFonts w:ascii="Calibri" w:eastAsia="Times New Roman" w:hAnsi="Calibri" w:cs="Calibri"/>
                <w:sz w:val="18"/>
                <w:szCs w:val="18"/>
                <w:lang w:eastAsia="fr-FR"/>
              </w:rPr>
              <w:t>Paiements effectués au moyen d’une carte de monnaie électronique ou d’un compte de monnaie électronique.</w:t>
            </w:r>
          </w:p>
          <w:p w14:paraId="6886E1C9" w14:textId="4FFA9066" w:rsidR="004E68CF" w:rsidRPr="004E58CA" w:rsidRDefault="004E68CF" w:rsidP="002240D2">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c>
          <w:tcPr>
            <w:tcW w:w="1019" w:type="dxa"/>
            <w:vMerge w:val="restart"/>
            <w:tcBorders>
              <w:top w:val="single" w:sz="18" w:space="0" w:color="5B9BD5" w:themeColor="accent1"/>
            </w:tcBorders>
            <w:noWrap/>
          </w:tcPr>
          <w:p w14:paraId="1990C705" w14:textId="6A312E65" w:rsidR="004E68CF" w:rsidRPr="002262D6" w:rsidRDefault="004E68CF" w:rsidP="002262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4"/>
                <w:szCs w:val="18"/>
                <w:lang w:eastAsia="fr-FR"/>
              </w:rPr>
            </w:pPr>
            <w:r w:rsidRPr="002262D6">
              <w:rPr>
                <w:rFonts w:ascii="Calibri" w:eastAsia="Times New Roman" w:hAnsi="Calibri" w:cs="Calibri"/>
                <w:b/>
                <w:sz w:val="14"/>
                <w:szCs w:val="18"/>
                <w:lang w:eastAsia="fr-FR"/>
              </w:rPr>
              <w:t>Selon ventilation géographique en section 5</w:t>
            </w:r>
            <w:r w:rsidR="002262D6" w:rsidRPr="002262D6">
              <w:rPr>
                <w:rFonts w:ascii="Calibri" w:eastAsia="Times New Roman" w:hAnsi="Calibri" w:cs="Calibri"/>
                <w:b/>
                <w:sz w:val="14"/>
                <w:szCs w:val="18"/>
                <w:lang w:eastAsia="fr-FR"/>
              </w:rPr>
              <w:t>.1</w:t>
            </w:r>
          </w:p>
        </w:tc>
        <w:tc>
          <w:tcPr>
            <w:tcW w:w="834" w:type="dxa"/>
            <w:tcBorders>
              <w:top w:val="single" w:sz="18" w:space="0" w:color="5B9BD5" w:themeColor="accent1"/>
            </w:tcBorders>
          </w:tcPr>
          <w:p w14:paraId="50D1D20F" w14:textId="77777777" w:rsidR="004E68CF" w:rsidRPr="00A2194A" w:rsidRDefault="004E68CF" w:rsidP="007227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696" w:type="dxa"/>
            <w:tcBorders>
              <w:top w:val="single" w:sz="18" w:space="0" w:color="5B9BD5" w:themeColor="accent1"/>
            </w:tcBorders>
          </w:tcPr>
          <w:p w14:paraId="7219187D" w14:textId="77777777" w:rsidR="004E68CF" w:rsidRPr="00A2194A" w:rsidRDefault="004E68CF" w:rsidP="007227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4E68CF" w:rsidRPr="00A2194A" w14:paraId="6D4F944F" w14:textId="6E5ADC38" w:rsidTr="004E68CF">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18" w:space="0" w:color="5B9BD5" w:themeColor="accent1"/>
            </w:tcBorders>
            <w:noWrap/>
            <w:hideMark/>
          </w:tcPr>
          <w:p w14:paraId="28A2F00C" w14:textId="58F149BE" w:rsidR="004E68CF" w:rsidRPr="00A2194A" w:rsidRDefault="004E68CF" w:rsidP="00567BFE">
            <w:pPr>
              <w:rPr>
                <w:rFonts w:ascii="Calibri" w:eastAsia="Times New Roman" w:hAnsi="Calibri" w:cs="Calibri"/>
                <w:i/>
                <w:sz w:val="18"/>
                <w:szCs w:val="18"/>
                <w:lang w:eastAsia="fr-FR"/>
              </w:rPr>
            </w:pPr>
          </w:p>
        </w:tc>
        <w:tc>
          <w:tcPr>
            <w:tcW w:w="2573" w:type="dxa"/>
            <w:gridSpan w:val="3"/>
            <w:tcBorders>
              <w:top w:val="single" w:sz="18" w:space="0" w:color="5B9BD5" w:themeColor="accent1"/>
              <w:bottom w:val="single" w:sz="18" w:space="0" w:color="5B9BD5" w:themeColor="accent1"/>
            </w:tcBorders>
            <w:noWrap/>
            <w:hideMark/>
          </w:tcPr>
          <w:p w14:paraId="0DDFB35C" w14:textId="70F63808" w:rsidR="004E68CF" w:rsidRPr="00A2194A" w:rsidRDefault="004E68CF" w:rsidP="00E030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sz w:val="18"/>
                <w:szCs w:val="18"/>
                <w:lang w:eastAsia="fr-FR"/>
              </w:rPr>
            </w:pPr>
            <w:r w:rsidRPr="00A2194A">
              <w:rPr>
                <w:rFonts w:ascii="Calibri" w:eastAsia="Times New Roman" w:hAnsi="Calibri" w:cs="Calibri"/>
                <w:b/>
                <w:bCs/>
                <w:i/>
                <w:sz w:val="18"/>
                <w:szCs w:val="18"/>
                <w:lang w:eastAsia="fr-FR"/>
              </w:rPr>
              <w:t>Dont paiements avec cartes permettant le stockage direct de monnaie électronique</w:t>
            </w:r>
          </w:p>
        </w:tc>
        <w:tc>
          <w:tcPr>
            <w:tcW w:w="3686" w:type="dxa"/>
            <w:tcBorders>
              <w:top w:val="single" w:sz="18" w:space="0" w:color="5B9BD5" w:themeColor="accent1"/>
              <w:bottom w:val="single" w:sz="18" w:space="0" w:color="5B9BD5" w:themeColor="accent1"/>
            </w:tcBorders>
          </w:tcPr>
          <w:p w14:paraId="59F09056" w14:textId="71B3CCBD" w:rsidR="004E68CF" w:rsidRPr="003C3B09" w:rsidRDefault="004E68CF" w:rsidP="001E3A1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3C3B09">
              <w:rPr>
                <w:rFonts w:ascii="Calibri" w:eastAsia="Times New Roman" w:hAnsi="Calibri" w:cs="Calibri"/>
                <w:sz w:val="18"/>
                <w:szCs w:val="18"/>
                <w:lang w:eastAsia="fr-FR"/>
              </w:rPr>
              <w:t>Opération par laquelle le détenteur d’une carte ayant une fonction monnaie électronique transfère de la monnaie électronique depuis le solde stocké sur sa carte vers le solde du payé.</w:t>
            </w:r>
          </w:p>
        </w:tc>
        <w:tc>
          <w:tcPr>
            <w:tcW w:w="1019" w:type="dxa"/>
            <w:vMerge/>
            <w:noWrap/>
          </w:tcPr>
          <w:p w14:paraId="7CDE0AC1" w14:textId="394F28EF" w:rsidR="004E68CF" w:rsidRPr="00A2194A" w:rsidRDefault="004E68CF" w:rsidP="007227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18" w:space="0" w:color="5B9BD5" w:themeColor="accent1"/>
              <w:bottom w:val="single" w:sz="18" w:space="0" w:color="5B9BD5" w:themeColor="accent1"/>
            </w:tcBorders>
          </w:tcPr>
          <w:p w14:paraId="71AECF63" w14:textId="77777777" w:rsidR="004E68CF" w:rsidRPr="00A2194A" w:rsidRDefault="004E68CF" w:rsidP="007227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18" w:space="0" w:color="5B9BD5" w:themeColor="accent1"/>
              <w:bottom w:val="single" w:sz="18" w:space="0" w:color="5B9BD5" w:themeColor="accent1"/>
            </w:tcBorders>
          </w:tcPr>
          <w:p w14:paraId="2EBF3E31" w14:textId="77777777" w:rsidR="004E68CF" w:rsidRPr="00A2194A" w:rsidRDefault="004E68CF" w:rsidP="007227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72764214" w14:textId="79C19C5D" w:rsidTr="004330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2" w:space="0" w:color="5B9BD5" w:themeColor="accent1"/>
            </w:tcBorders>
            <w:noWrap/>
            <w:hideMark/>
          </w:tcPr>
          <w:p w14:paraId="20F980D4" w14:textId="3BA6E487" w:rsidR="004E68CF" w:rsidRPr="00A2194A" w:rsidRDefault="004E68CF" w:rsidP="00567BFE">
            <w:pPr>
              <w:rPr>
                <w:rFonts w:ascii="Calibri" w:eastAsia="Times New Roman" w:hAnsi="Calibri" w:cs="Calibri"/>
                <w:i/>
                <w:sz w:val="18"/>
                <w:szCs w:val="18"/>
                <w:lang w:eastAsia="fr-FR"/>
              </w:rPr>
            </w:pPr>
          </w:p>
        </w:tc>
        <w:tc>
          <w:tcPr>
            <w:tcW w:w="2573" w:type="dxa"/>
            <w:gridSpan w:val="3"/>
            <w:tcBorders>
              <w:top w:val="single" w:sz="18" w:space="0" w:color="5B9BD5" w:themeColor="accent1"/>
              <w:bottom w:val="single" w:sz="2" w:space="0" w:color="5B9BD5" w:themeColor="accent1"/>
            </w:tcBorders>
            <w:noWrap/>
            <w:hideMark/>
          </w:tcPr>
          <w:p w14:paraId="1ED00EAC" w14:textId="526291D5" w:rsidR="004E68CF" w:rsidRPr="00A2194A" w:rsidRDefault="004E68CF" w:rsidP="00BD76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sz w:val="18"/>
                <w:szCs w:val="18"/>
                <w:lang w:eastAsia="fr-FR"/>
              </w:rPr>
            </w:pPr>
            <w:r w:rsidRPr="00A2194A">
              <w:rPr>
                <w:rFonts w:ascii="Calibri" w:eastAsia="Times New Roman" w:hAnsi="Calibri" w:cs="Calibri"/>
                <w:b/>
                <w:bCs/>
                <w:i/>
                <w:sz w:val="18"/>
                <w:szCs w:val="18"/>
                <w:lang w:eastAsia="fr-FR"/>
              </w:rPr>
              <w:t>Dont paiements avec des comptes de monnaie électronique </w:t>
            </w:r>
          </w:p>
        </w:tc>
        <w:tc>
          <w:tcPr>
            <w:tcW w:w="3686" w:type="dxa"/>
            <w:tcBorders>
              <w:top w:val="single" w:sz="18" w:space="0" w:color="5B9BD5" w:themeColor="accent1"/>
              <w:bottom w:val="single" w:sz="2" w:space="0" w:color="5B9BD5" w:themeColor="accent1"/>
            </w:tcBorders>
          </w:tcPr>
          <w:p w14:paraId="2ECFA52B" w14:textId="0C99D51B" w:rsidR="004E68CF" w:rsidRPr="00D46FDB" w:rsidRDefault="004E68CF" w:rsidP="00212C8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D46FDB">
              <w:rPr>
                <w:rFonts w:ascii="Calibri" w:eastAsia="Times New Roman" w:hAnsi="Calibri" w:cs="Calibri"/>
                <w:sz w:val="18"/>
                <w:szCs w:val="18"/>
                <w:lang w:eastAsia="fr-FR"/>
              </w:rPr>
              <w:t>Opération par laquelle des fonds sont transférés depuis le compte de monnaie électronique d’un payeur vers le compte d’un payé.</w:t>
            </w:r>
          </w:p>
        </w:tc>
        <w:tc>
          <w:tcPr>
            <w:tcW w:w="1019" w:type="dxa"/>
            <w:vMerge/>
            <w:tcBorders>
              <w:bottom w:val="single" w:sz="2" w:space="0" w:color="5B9BD5" w:themeColor="accent1"/>
            </w:tcBorders>
            <w:noWrap/>
          </w:tcPr>
          <w:p w14:paraId="6F001D70" w14:textId="2CE230A4" w:rsidR="004E68CF" w:rsidRPr="00A2194A" w:rsidRDefault="004E68CF" w:rsidP="007227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18" w:space="0" w:color="5B9BD5" w:themeColor="accent1"/>
              <w:bottom w:val="single" w:sz="2" w:space="0" w:color="5B9BD5" w:themeColor="accent1"/>
            </w:tcBorders>
          </w:tcPr>
          <w:p w14:paraId="586943F8" w14:textId="77777777" w:rsidR="004E68CF" w:rsidRPr="00A2194A" w:rsidRDefault="004E68CF" w:rsidP="007227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18" w:space="0" w:color="5B9BD5" w:themeColor="accent1"/>
              <w:bottom w:val="single" w:sz="2" w:space="0" w:color="5B9BD5" w:themeColor="accent1"/>
            </w:tcBorders>
          </w:tcPr>
          <w:p w14:paraId="13988F54" w14:textId="77777777" w:rsidR="004E68CF" w:rsidRPr="00A2194A" w:rsidRDefault="004E68CF" w:rsidP="007227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4BE79E29" w14:textId="5EBF4096" w:rsidTr="004330E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2" w:space="0" w:color="5B9BD5" w:themeColor="accent1"/>
              <w:bottom w:val="single" w:sz="2" w:space="0" w:color="5B9BD5" w:themeColor="accent1"/>
              <w:right w:val="single" w:sz="2" w:space="0" w:color="5B9BD5" w:themeColor="accent1"/>
            </w:tcBorders>
            <w:noWrap/>
            <w:hideMark/>
          </w:tcPr>
          <w:p w14:paraId="3DD1E4CA" w14:textId="049119EB" w:rsidR="004E68CF" w:rsidRPr="00A2194A" w:rsidRDefault="004E68CF" w:rsidP="00567BFE">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hideMark/>
          </w:tcPr>
          <w:p w14:paraId="3842E609" w14:textId="4D9C0D2F" w:rsidR="004E68CF" w:rsidRPr="00A2194A" w:rsidRDefault="004E68CF" w:rsidP="00567B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11"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hideMark/>
          </w:tcPr>
          <w:p w14:paraId="797FBA23" w14:textId="5EEAF753" w:rsidR="004E68CF" w:rsidRPr="00A2194A" w:rsidRDefault="004E68CF" w:rsidP="00DA2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A2194A">
              <w:rPr>
                <w:rFonts w:ascii="Calibri" w:eastAsia="Times New Roman" w:hAnsi="Calibri" w:cs="Calibri"/>
                <w:bCs/>
                <w:i/>
                <w:sz w:val="18"/>
                <w:szCs w:val="18"/>
                <w:lang w:eastAsia="fr-FR"/>
              </w:rPr>
              <w:t>Dont par carte</w:t>
            </w:r>
          </w:p>
        </w:tc>
        <w:tc>
          <w:tcPr>
            <w:tcW w:w="368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414CCDF" w14:textId="3E1043CB" w:rsidR="004E68CF" w:rsidRPr="00D46FDB" w:rsidRDefault="004E68CF" w:rsidP="00212C8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D46FDB">
              <w:rPr>
                <w:rFonts w:ascii="Calibri" w:eastAsia="Times New Roman" w:hAnsi="Calibri" w:cs="Calibri"/>
                <w:sz w:val="18"/>
                <w:szCs w:val="18"/>
                <w:lang w:eastAsia="fr-FR"/>
              </w:rPr>
              <w:t>Opération par laquelle une carte est utilisée pour accéder à un compte de monnaie électronique et des fonds sont ensuite transférés depuis le compte de monnaie électronique du payeur vers le compte d’un payé.</w:t>
            </w:r>
          </w:p>
        </w:tc>
        <w:tc>
          <w:tcPr>
            <w:tcW w:w="1019"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D04601B" w14:textId="7C70D8EB" w:rsidR="004E68CF" w:rsidRPr="003B5E0B" w:rsidRDefault="004E68CF">
            <w:pPr>
              <w:cnfStyle w:val="000000000000" w:firstRow="0" w:lastRow="0" w:firstColumn="0" w:lastColumn="0" w:oddVBand="0" w:evenVBand="0" w:oddHBand="0" w:evenHBand="0" w:firstRowFirstColumn="0" w:firstRowLastColumn="0" w:lastRowFirstColumn="0" w:lastRowLastColumn="0"/>
              <w:rPr>
                <w:rFonts w:ascii="Calibri" w:hAnsi="Calibri"/>
                <w:sz w:val="18"/>
                <w:highlight w:val="yellow"/>
              </w:rPr>
            </w:pPr>
          </w:p>
        </w:tc>
        <w:tc>
          <w:tcPr>
            <w:tcW w:w="83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09E4123A" w14:textId="77777777" w:rsidR="004E68CF" w:rsidRPr="00D7057C" w:rsidRDefault="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2" w:space="0" w:color="5B9BD5" w:themeColor="accent1"/>
              <w:left w:val="single" w:sz="2" w:space="0" w:color="5B9BD5" w:themeColor="accent1"/>
              <w:bottom w:val="single" w:sz="2" w:space="0" w:color="5B9BD5" w:themeColor="accent1"/>
            </w:tcBorders>
          </w:tcPr>
          <w:p w14:paraId="6A1DA7BC" w14:textId="77777777" w:rsidR="004E68CF" w:rsidRPr="00D7057C" w:rsidRDefault="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48321224" w14:textId="77777777" w:rsidTr="004330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2" w:space="0" w:color="5B9BD5" w:themeColor="accent1"/>
              <w:bottom w:val="single" w:sz="2" w:space="0" w:color="5B9BD5" w:themeColor="accent1"/>
              <w:right w:val="single" w:sz="2" w:space="0" w:color="5B9BD5" w:themeColor="accent1"/>
            </w:tcBorders>
            <w:noWrap/>
          </w:tcPr>
          <w:p w14:paraId="2644D7D8" w14:textId="77777777" w:rsidR="004E68CF" w:rsidRPr="00A2194A" w:rsidRDefault="004E68CF" w:rsidP="00567BFE">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A19472C" w14:textId="77777777" w:rsidR="004E68CF" w:rsidRPr="00A2194A" w:rsidRDefault="004E68CF" w:rsidP="00567BF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11"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6CC2452" w14:textId="41C21A81" w:rsidR="004E68CF" w:rsidRPr="00A2194A" w:rsidRDefault="004E68CF" w:rsidP="0094418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bCs/>
                <w:i/>
                <w:sz w:val="18"/>
                <w:szCs w:val="18"/>
                <w:lang w:eastAsia="fr-FR"/>
              </w:rPr>
              <w:t>Dont par solution de paiement mobile</w:t>
            </w:r>
          </w:p>
        </w:tc>
        <w:tc>
          <w:tcPr>
            <w:tcW w:w="368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09A469E" w14:textId="73CD578B" w:rsidR="004E68CF" w:rsidRPr="00D46FDB" w:rsidRDefault="002E4306" w:rsidP="00B6312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3C3B09">
              <w:rPr>
                <w:rFonts w:ascii="Calibri" w:eastAsia="Times New Roman" w:hAnsi="Calibri" w:cs="Calibri"/>
                <w:sz w:val="18"/>
                <w:szCs w:val="18"/>
                <w:lang w:eastAsia="fr-FR"/>
              </w:rPr>
              <w:t xml:space="preserve">Solution utilisée pour initier des </w:t>
            </w:r>
            <w:r w:rsidR="00B63123" w:rsidRPr="003C3B09">
              <w:rPr>
                <w:rFonts w:ascii="Calibri" w:eastAsia="Times New Roman" w:hAnsi="Calibri" w:cs="Calibri"/>
                <w:sz w:val="18"/>
                <w:szCs w:val="18"/>
                <w:lang w:eastAsia="fr-FR"/>
              </w:rPr>
              <w:t xml:space="preserve">opérations en monnaie électronique </w:t>
            </w:r>
            <w:r w:rsidRPr="003C3B09">
              <w:rPr>
                <w:rFonts w:ascii="Calibri" w:eastAsia="Times New Roman" w:hAnsi="Calibri" w:cs="Calibri"/>
                <w:sz w:val="18"/>
                <w:szCs w:val="18"/>
                <w:lang w:eastAsia="fr-FR"/>
              </w:rPr>
              <w:t>pour laquelle les données concernant les paiements et les instructions de paiement sont transmises et/ou confirmées par une technologie mobile de communication et de transmission de données via un appareil mobile. Cette catégorie comprend les porte-monnaie numériques et autres solutions de paiement mobile utilisées pour initier des opérations P2P (de particulier à particulier) et/ou de consommateur à entreprise (C2B).</w:t>
            </w:r>
          </w:p>
        </w:tc>
        <w:tc>
          <w:tcPr>
            <w:tcW w:w="1019"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993D360" w14:textId="77777777" w:rsidR="004E68CF" w:rsidRPr="003B5E0B" w:rsidRDefault="004E68CF">
            <w:pPr>
              <w:cnfStyle w:val="000000100000" w:firstRow="0" w:lastRow="0" w:firstColumn="0" w:lastColumn="0" w:oddVBand="0" w:evenVBand="0" w:oddHBand="1" w:evenHBand="0" w:firstRowFirstColumn="0" w:firstRowLastColumn="0" w:lastRowFirstColumn="0" w:lastRowLastColumn="0"/>
              <w:rPr>
                <w:rFonts w:ascii="Calibri" w:hAnsi="Calibri"/>
                <w:sz w:val="18"/>
                <w:highlight w:val="yellow"/>
              </w:rPr>
            </w:pPr>
          </w:p>
        </w:tc>
        <w:tc>
          <w:tcPr>
            <w:tcW w:w="83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0720B14B" w14:textId="77777777" w:rsidR="004E68CF" w:rsidRPr="00D7057C" w:rsidRDefault="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2" w:space="0" w:color="5B9BD5" w:themeColor="accent1"/>
              <w:left w:val="single" w:sz="2" w:space="0" w:color="5B9BD5" w:themeColor="accent1"/>
              <w:bottom w:val="single" w:sz="2" w:space="0" w:color="5B9BD5" w:themeColor="accent1"/>
            </w:tcBorders>
          </w:tcPr>
          <w:p w14:paraId="0C3E2C31" w14:textId="77777777" w:rsidR="004E68CF" w:rsidRPr="00D7057C" w:rsidRDefault="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05442F7C" w14:textId="77777777" w:rsidTr="004330E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2" w:space="0" w:color="5B9BD5" w:themeColor="accent1"/>
              <w:bottom w:val="single" w:sz="2" w:space="0" w:color="5B9BD5" w:themeColor="accent1"/>
              <w:right w:val="single" w:sz="2" w:space="0" w:color="5B9BD5" w:themeColor="accent1"/>
            </w:tcBorders>
            <w:noWrap/>
          </w:tcPr>
          <w:p w14:paraId="661A3E58" w14:textId="77777777" w:rsidR="004E68CF" w:rsidRPr="00A2194A" w:rsidRDefault="004E68CF" w:rsidP="00567BFE">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7D6A52A" w14:textId="77777777" w:rsidR="004E68CF" w:rsidRPr="00A2194A" w:rsidRDefault="004E68CF" w:rsidP="00567B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F3E2C13" w14:textId="77777777" w:rsidR="004E68CF" w:rsidRDefault="004E68CF" w:rsidP="0094418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204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208B0504" w14:textId="343C7CDD" w:rsidR="004E68CF" w:rsidRDefault="004E68CF" w:rsidP="0094418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bCs/>
                <w:i/>
                <w:sz w:val="18"/>
                <w:szCs w:val="18"/>
                <w:lang w:eastAsia="fr-FR"/>
              </w:rPr>
              <w:t>Dont par solution P2P</w:t>
            </w:r>
          </w:p>
        </w:tc>
        <w:tc>
          <w:tcPr>
            <w:tcW w:w="368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04C2C3E" w14:textId="65B09ECA" w:rsidR="004E68CF" w:rsidRPr="00D46FDB" w:rsidRDefault="002E4306" w:rsidP="00B6312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3C3B09">
              <w:rPr>
                <w:rFonts w:ascii="Calibri" w:eastAsia="Times New Roman" w:hAnsi="Calibri" w:cs="Calibri"/>
                <w:sz w:val="18"/>
                <w:szCs w:val="18"/>
                <w:lang w:eastAsia="fr-FR"/>
              </w:rPr>
              <w:t xml:space="preserve">Solution par laquelle les </w:t>
            </w:r>
            <w:r w:rsidR="00B63123" w:rsidRPr="003C3B09">
              <w:rPr>
                <w:rFonts w:ascii="Calibri" w:eastAsia="Times New Roman" w:hAnsi="Calibri" w:cs="Calibri"/>
                <w:sz w:val="18"/>
                <w:szCs w:val="18"/>
                <w:lang w:eastAsia="fr-FR"/>
              </w:rPr>
              <w:t>opérations en monnaie électronique</w:t>
            </w:r>
            <w:r w:rsidRPr="003C3B09">
              <w:rPr>
                <w:rFonts w:ascii="Calibri" w:eastAsia="Times New Roman" w:hAnsi="Calibri" w:cs="Calibri"/>
                <w:sz w:val="18"/>
                <w:szCs w:val="18"/>
                <w:lang w:eastAsia="fr-FR"/>
              </w:rPr>
              <w:t xml:space="preserve"> sont initié</w:t>
            </w:r>
            <w:r w:rsidR="00B63123" w:rsidRPr="003C3B09">
              <w:rPr>
                <w:rFonts w:ascii="Calibri" w:eastAsia="Times New Roman" w:hAnsi="Calibri" w:cs="Calibri"/>
                <w:sz w:val="18"/>
                <w:szCs w:val="18"/>
                <w:lang w:eastAsia="fr-FR"/>
              </w:rPr>
              <w:t>e</w:t>
            </w:r>
            <w:r w:rsidRPr="003C3B09">
              <w:rPr>
                <w:rFonts w:ascii="Calibri" w:eastAsia="Times New Roman" w:hAnsi="Calibri" w:cs="Calibri"/>
                <w:sz w:val="18"/>
                <w:szCs w:val="18"/>
                <w:lang w:eastAsia="fr-FR"/>
              </w:rPr>
              <w:t>s, confirmé</w:t>
            </w:r>
            <w:r w:rsidR="00B63123" w:rsidRPr="003C3B09">
              <w:rPr>
                <w:rFonts w:ascii="Calibri" w:eastAsia="Times New Roman" w:hAnsi="Calibri" w:cs="Calibri"/>
                <w:sz w:val="18"/>
                <w:szCs w:val="18"/>
                <w:lang w:eastAsia="fr-FR"/>
              </w:rPr>
              <w:t>e</w:t>
            </w:r>
            <w:r w:rsidRPr="003C3B09">
              <w:rPr>
                <w:rFonts w:ascii="Calibri" w:eastAsia="Times New Roman" w:hAnsi="Calibri" w:cs="Calibri"/>
                <w:sz w:val="18"/>
                <w:szCs w:val="18"/>
                <w:lang w:eastAsia="fr-FR"/>
              </w:rPr>
              <w:t>s et/ou reçu</w:t>
            </w:r>
            <w:r w:rsidR="00B63123" w:rsidRPr="003C3B09">
              <w:rPr>
                <w:rFonts w:ascii="Calibri" w:eastAsia="Times New Roman" w:hAnsi="Calibri" w:cs="Calibri"/>
                <w:sz w:val="18"/>
                <w:szCs w:val="18"/>
                <w:lang w:eastAsia="fr-FR"/>
              </w:rPr>
              <w:t>e</w:t>
            </w:r>
            <w:r w:rsidRPr="003C3B09">
              <w:rPr>
                <w:rFonts w:ascii="Calibri" w:eastAsia="Times New Roman" w:hAnsi="Calibri" w:cs="Calibri"/>
                <w:sz w:val="18"/>
                <w:szCs w:val="18"/>
                <w:lang w:eastAsia="fr-FR"/>
              </w:rPr>
              <w:t xml:space="preserve">s par une personne physique vers une autre personne physique (P2P) à l’aide d’un appareil mobile. L’instruction de paiement et les autres données relatives au paiement sont transmises et/ou confirmées au moyen d’un appareil mobile. Un identifiant de paiement mobile unique, tel qu'un numéro de téléphone portable ou une adresse électronique, peut être utilisé comme serveur mandataire pour identifier le payeur et/ou le payé. </w:t>
            </w:r>
          </w:p>
        </w:tc>
        <w:tc>
          <w:tcPr>
            <w:tcW w:w="1019"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54A0C6E" w14:textId="77777777" w:rsidR="004E68CF" w:rsidRPr="003B5E0B" w:rsidRDefault="004E68CF">
            <w:pPr>
              <w:cnfStyle w:val="000000000000" w:firstRow="0" w:lastRow="0" w:firstColumn="0" w:lastColumn="0" w:oddVBand="0" w:evenVBand="0" w:oddHBand="0" w:evenHBand="0" w:firstRowFirstColumn="0" w:firstRowLastColumn="0" w:lastRowFirstColumn="0" w:lastRowLastColumn="0"/>
              <w:rPr>
                <w:rFonts w:ascii="Calibri" w:hAnsi="Calibri"/>
                <w:sz w:val="18"/>
                <w:highlight w:val="yellow"/>
              </w:rPr>
            </w:pPr>
          </w:p>
        </w:tc>
        <w:tc>
          <w:tcPr>
            <w:tcW w:w="83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4CBC3DC" w14:textId="77777777" w:rsidR="004E68CF" w:rsidRPr="00D7057C" w:rsidRDefault="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2" w:space="0" w:color="5B9BD5" w:themeColor="accent1"/>
              <w:left w:val="single" w:sz="2" w:space="0" w:color="5B9BD5" w:themeColor="accent1"/>
              <w:bottom w:val="single" w:sz="2" w:space="0" w:color="5B9BD5" w:themeColor="accent1"/>
            </w:tcBorders>
          </w:tcPr>
          <w:p w14:paraId="682597FA" w14:textId="77777777" w:rsidR="004E68CF" w:rsidRPr="00D7057C" w:rsidRDefault="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A81CF1" w:rsidRPr="00A2194A" w14:paraId="5A077CB3" w14:textId="77777777" w:rsidTr="004330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2" w:space="0" w:color="5B9BD5" w:themeColor="accent1"/>
              <w:bottom w:val="single" w:sz="4" w:space="0" w:color="5B9BD5" w:themeColor="accent1"/>
              <w:right w:val="single" w:sz="2" w:space="0" w:color="5B9BD5" w:themeColor="accent1"/>
            </w:tcBorders>
            <w:noWrap/>
          </w:tcPr>
          <w:p w14:paraId="54038471" w14:textId="77777777" w:rsidR="00A81CF1" w:rsidRPr="00A2194A" w:rsidRDefault="00A81CF1" w:rsidP="00567BFE">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noWrap/>
          </w:tcPr>
          <w:p w14:paraId="13391A47" w14:textId="58DBCFE1" w:rsidR="00A81CF1" w:rsidRPr="00A81CF1" w:rsidRDefault="00A81CF1" w:rsidP="007075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2311" w:type="dxa"/>
            <w:gridSpan w:val="2"/>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25FCD10C" w14:textId="21C8A60E" w:rsidR="00A81CF1" w:rsidRPr="00A81CF1" w:rsidRDefault="00A81CF1" w:rsidP="004330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A81CF1">
              <w:rPr>
                <w:rFonts w:ascii="Calibri" w:eastAsia="Times New Roman" w:hAnsi="Calibri" w:cs="Calibri"/>
                <w:bCs/>
                <w:i/>
                <w:sz w:val="18"/>
                <w:szCs w:val="18"/>
                <w:lang w:eastAsia="fr-FR"/>
              </w:rPr>
              <w:t>Dont par autres solutions</w:t>
            </w:r>
          </w:p>
        </w:tc>
        <w:tc>
          <w:tcPr>
            <w:tcW w:w="3686"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6EEC85B5" w14:textId="6C08BB40" w:rsidR="00A81CF1" w:rsidRPr="00B63123" w:rsidRDefault="00A81CF1" w:rsidP="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p>
        </w:tc>
        <w:tc>
          <w:tcPr>
            <w:tcW w:w="1019" w:type="dxa"/>
            <w:vMerge/>
            <w:tcBorders>
              <w:top w:val="single" w:sz="2" w:space="0" w:color="5B9BD5" w:themeColor="accent1"/>
              <w:left w:val="single" w:sz="2" w:space="0" w:color="5B9BD5" w:themeColor="accent1"/>
              <w:right w:val="single" w:sz="2" w:space="0" w:color="5B9BD5" w:themeColor="accent1"/>
            </w:tcBorders>
            <w:noWrap/>
          </w:tcPr>
          <w:p w14:paraId="02D2747B" w14:textId="77777777" w:rsidR="00A81CF1" w:rsidRPr="00A2194A" w:rsidRDefault="00A81CF1" w:rsidP="007227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5ECB52BF" w14:textId="77777777" w:rsidR="00A81CF1" w:rsidRDefault="00A81CF1" w:rsidP="007227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2" w:space="0" w:color="5B9BD5" w:themeColor="accent1"/>
              <w:left w:val="single" w:sz="2" w:space="0" w:color="5B9BD5" w:themeColor="accent1"/>
              <w:bottom w:val="single" w:sz="4" w:space="0" w:color="5B9BD5" w:themeColor="accent1"/>
            </w:tcBorders>
          </w:tcPr>
          <w:p w14:paraId="39324ED8" w14:textId="77777777" w:rsidR="00A81CF1" w:rsidRDefault="00A81CF1" w:rsidP="007227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4A641BFD" w14:textId="0EB8D10F"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tcBorders>
            <w:noWrap/>
          </w:tcPr>
          <w:p w14:paraId="0FAB6722" w14:textId="1C191D6A" w:rsidR="004E68CF" w:rsidRPr="00A2194A" w:rsidRDefault="004E68CF" w:rsidP="00567BFE">
            <w:pPr>
              <w:rPr>
                <w:rFonts w:ascii="Calibri" w:eastAsia="Times New Roman" w:hAnsi="Calibri" w:cs="Calibri"/>
                <w:i/>
                <w:sz w:val="18"/>
                <w:szCs w:val="18"/>
                <w:lang w:eastAsia="fr-FR"/>
              </w:rPr>
            </w:pPr>
          </w:p>
        </w:tc>
        <w:tc>
          <w:tcPr>
            <w:tcW w:w="2573" w:type="dxa"/>
            <w:gridSpan w:val="3"/>
            <w:tcBorders>
              <w:top w:val="single" w:sz="18" w:space="0" w:color="5B9BD5" w:themeColor="accent1"/>
              <w:bottom w:val="single" w:sz="4" w:space="0" w:color="5B9BD5" w:themeColor="accent1"/>
            </w:tcBorders>
            <w:noWrap/>
            <w:hideMark/>
          </w:tcPr>
          <w:p w14:paraId="3DA04DD5" w14:textId="267811DE" w:rsidR="004E68CF" w:rsidRPr="00A2194A" w:rsidRDefault="004E68CF" w:rsidP="007075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sz w:val="18"/>
                <w:szCs w:val="18"/>
                <w:lang w:eastAsia="fr-FR"/>
              </w:rPr>
            </w:pPr>
            <w:r w:rsidRPr="00A2194A">
              <w:rPr>
                <w:rFonts w:ascii="Calibri" w:eastAsia="Times New Roman" w:hAnsi="Calibri" w:cs="Calibri"/>
                <w:b/>
                <w:bCs/>
                <w:i/>
                <w:sz w:val="18"/>
                <w:szCs w:val="18"/>
                <w:lang w:eastAsia="fr-FR"/>
              </w:rPr>
              <w:t>Dont paiements</w:t>
            </w:r>
            <w:r w:rsidR="006D63A3">
              <w:rPr>
                <w:rFonts w:ascii="Calibri" w:eastAsia="Times New Roman" w:hAnsi="Calibri" w:cs="Calibri"/>
                <w:b/>
                <w:bCs/>
                <w:i/>
                <w:sz w:val="18"/>
                <w:szCs w:val="18"/>
                <w:lang w:eastAsia="fr-FR"/>
              </w:rPr>
              <w:t xml:space="preserve"> initiés à distance </w:t>
            </w:r>
          </w:p>
        </w:tc>
        <w:tc>
          <w:tcPr>
            <w:tcW w:w="3686" w:type="dxa"/>
            <w:tcBorders>
              <w:top w:val="single" w:sz="18" w:space="0" w:color="5B9BD5" w:themeColor="accent1"/>
              <w:bottom w:val="single" w:sz="4" w:space="0" w:color="5B9BD5" w:themeColor="accent1"/>
            </w:tcBorders>
          </w:tcPr>
          <w:p w14:paraId="49D6ACFC" w14:textId="22C4E824" w:rsidR="004E68CF" w:rsidRPr="004E58CA" w:rsidRDefault="004E68CF" w:rsidP="004E68CF">
            <w:pPr>
              <w:jc w:val="both"/>
              <w:cnfStyle w:val="000000000000" w:firstRow="0" w:lastRow="0" w:firstColumn="0" w:lastColumn="0" w:oddVBand="0" w:evenVBand="0" w:oddHBand="0" w:evenHBand="0" w:firstRowFirstColumn="0" w:firstRowLastColumn="0" w:lastRowFirstColumn="0" w:lastRowLastColumn="0"/>
              <w:rPr>
                <w:rFonts w:ascii="Calibri" w:hAnsi="Calibri"/>
                <w:b/>
                <w:sz w:val="18"/>
              </w:rPr>
            </w:pPr>
            <w:r>
              <w:rPr>
                <w:rFonts w:ascii="Calibri" w:eastAsia="Times New Roman" w:hAnsi="Calibri" w:cs="Calibri"/>
                <w:sz w:val="18"/>
                <w:szCs w:val="18"/>
                <w:lang w:eastAsia="fr-FR"/>
              </w:rPr>
              <w:t>Opérations de paiement initiés de manière électronique sur internet à partir d’un ordinateur ou d’un téléphone portable.</w:t>
            </w:r>
          </w:p>
        </w:tc>
        <w:tc>
          <w:tcPr>
            <w:tcW w:w="1019" w:type="dxa"/>
            <w:vMerge/>
            <w:tcBorders>
              <w:bottom w:val="single" w:sz="4" w:space="0" w:color="5B9BD5" w:themeColor="accent1"/>
            </w:tcBorders>
            <w:noWrap/>
          </w:tcPr>
          <w:p w14:paraId="4BB719C3" w14:textId="103EAB4E" w:rsidR="004E68CF" w:rsidRPr="00A2194A" w:rsidRDefault="004E68CF" w:rsidP="007227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18" w:space="0" w:color="5B9BD5" w:themeColor="accent1"/>
              <w:bottom w:val="single" w:sz="4" w:space="0" w:color="5B9BD5" w:themeColor="accent1"/>
            </w:tcBorders>
          </w:tcPr>
          <w:p w14:paraId="351AC001" w14:textId="77777777" w:rsidR="004E68CF" w:rsidRDefault="004E68CF" w:rsidP="007227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18" w:space="0" w:color="5B9BD5" w:themeColor="accent1"/>
              <w:bottom w:val="single" w:sz="4" w:space="0" w:color="5B9BD5" w:themeColor="accent1"/>
            </w:tcBorders>
          </w:tcPr>
          <w:p w14:paraId="6338E64B" w14:textId="77777777" w:rsidR="004E68CF" w:rsidRDefault="004E68CF" w:rsidP="007227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0ACBE78F" w14:textId="6269194F"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22D161DE" w14:textId="4DC3AAE3"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55A43B91" w14:textId="667F9583"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11" w:type="dxa"/>
            <w:gridSpan w:val="2"/>
            <w:tcBorders>
              <w:top w:val="single" w:sz="4" w:space="0" w:color="5B9BD5" w:themeColor="accent1"/>
              <w:bottom w:val="single" w:sz="4" w:space="0" w:color="5B9BD5" w:themeColor="accent1"/>
            </w:tcBorders>
            <w:noWrap/>
            <w:hideMark/>
          </w:tcPr>
          <w:p w14:paraId="188E132D" w14:textId="4797B4A1" w:rsidR="004E68CF" w:rsidRPr="00DA2B33"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DA2B33">
              <w:rPr>
                <w:rFonts w:ascii="Calibri" w:eastAsia="Times New Roman" w:hAnsi="Calibri" w:cs="Calibri"/>
                <w:i/>
                <w:sz w:val="18"/>
                <w:szCs w:val="18"/>
                <w:lang w:eastAsia="fr-FR"/>
              </w:rPr>
              <w:t>Dont avec authentification forte du client</w:t>
            </w:r>
          </w:p>
        </w:tc>
        <w:tc>
          <w:tcPr>
            <w:tcW w:w="3686" w:type="dxa"/>
            <w:tcBorders>
              <w:top w:val="single" w:sz="4" w:space="0" w:color="5B9BD5" w:themeColor="accent1"/>
              <w:bottom w:val="single" w:sz="4" w:space="0" w:color="5B9BD5" w:themeColor="accent1"/>
            </w:tcBorders>
          </w:tcPr>
          <w:p w14:paraId="1D827599" w14:textId="5823788B" w:rsidR="004E68CF" w:rsidRPr="00A2194A" w:rsidRDefault="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30E636AA" w14:textId="2CCE7715"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242731F9" w14:textId="77777777" w:rsidR="004E68CF"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74FCDD4A" w14:textId="77777777" w:rsidR="004E68CF"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3A7479DA" w14:textId="0250658E"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7FD27AB9" w14:textId="137DB556"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48BAF9F3" w14:textId="58A254DF"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11" w:type="dxa"/>
            <w:gridSpan w:val="2"/>
            <w:tcBorders>
              <w:top w:val="single" w:sz="4" w:space="0" w:color="5B9BD5" w:themeColor="accent1"/>
              <w:bottom w:val="single" w:sz="4" w:space="0" w:color="5B9BD5" w:themeColor="accent1"/>
            </w:tcBorders>
            <w:noWrap/>
            <w:hideMark/>
          </w:tcPr>
          <w:p w14:paraId="4813CB19" w14:textId="77777777" w:rsidR="004E68CF" w:rsidRPr="00DA2B33"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DA2B33">
              <w:rPr>
                <w:rFonts w:ascii="Calibri" w:eastAsia="Times New Roman" w:hAnsi="Calibri" w:cs="Calibri"/>
                <w:i/>
                <w:sz w:val="18"/>
                <w:szCs w:val="18"/>
                <w:lang w:eastAsia="fr-FR"/>
              </w:rPr>
              <w:t xml:space="preserve">Dont sans authentification forte du client </w:t>
            </w:r>
          </w:p>
        </w:tc>
        <w:tc>
          <w:tcPr>
            <w:tcW w:w="3686" w:type="dxa"/>
            <w:tcBorders>
              <w:top w:val="single" w:sz="4" w:space="0" w:color="5B9BD5" w:themeColor="accent1"/>
              <w:bottom w:val="single" w:sz="4" w:space="0" w:color="5B9BD5" w:themeColor="accent1"/>
            </w:tcBorders>
          </w:tcPr>
          <w:p w14:paraId="3A636688" w14:textId="6DBB6E04"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12615131" w14:textId="0A26673F"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1C566115"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6154BD38"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5C2E8EC0" w14:textId="74E99046"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4EE1D324" w14:textId="15EE6321"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486DF294" w14:textId="755D94D2"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3D000430" w14:textId="22232018"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44AD78E8" w14:textId="38931076"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Dont au titre de l’art. 16 RTS (faible montant)</w:t>
            </w:r>
          </w:p>
        </w:tc>
        <w:tc>
          <w:tcPr>
            <w:tcW w:w="3686" w:type="dxa"/>
            <w:tcBorders>
              <w:top w:val="single" w:sz="4" w:space="0" w:color="5B9BD5" w:themeColor="accent1"/>
              <w:bottom w:val="single" w:sz="4" w:space="0" w:color="5B9BD5" w:themeColor="accent1"/>
            </w:tcBorders>
          </w:tcPr>
          <w:p w14:paraId="4E044375" w14:textId="4A78797A" w:rsidR="004E68CF" w:rsidRPr="00A2194A" w:rsidRDefault="004E68CF" w:rsidP="00A078A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149CBDEB" w14:textId="45911239"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02ED4DB6" w14:textId="77777777" w:rsidR="004E68CF"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3F50C9D0" w14:textId="77777777" w:rsidR="004E68CF"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598D0603" w14:textId="49E6969E"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37A8C7C7" w14:textId="112127C2"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6104F781" w14:textId="3FFEE4E4"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16980461" w14:textId="309FC723"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60ECC205" w14:textId="7CA7480D"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Dont au titre de l’art. 13 RTS (bénéficiaire de confiance)</w:t>
            </w:r>
          </w:p>
        </w:tc>
        <w:tc>
          <w:tcPr>
            <w:tcW w:w="3686" w:type="dxa"/>
            <w:tcBorders>
              <w:top w:val="single" w:sz="4" w:space="0" w:color="5B9BD5" w:themeColor="accent1"/>
              <w:bottom w:val="single" w:sz="4" w:space="0" w:color="5B9BD5" w:themeColor="accent1"/>
            </w:tcBorders>
          </w:tcPr>
          <w:p w14:paraId="75DC3046" w14:textId="50E179D5" w:rsidR="004E68CF" w:rsidRPr="00A2194A" w:rsidRDefault="004E68CF" w:rsidP="00A078A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1B34F44E" w14:textId="669EA3ED"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7A00733A"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2E2CFF9F"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167E5A89" w14:textId="6E2AA50C"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235E7CD9" w14:textId="543262C8"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7AE84B6C" w14:textId="2C047A82"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3CA27016" w14:textId="42DC9DA0"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3EB2CD97" w14:textId="2497D925"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Dont au titre de l’art. 14 RTS (opération récurrente)</w:t>
            </w:r>
          </w:p>
        </w:tc>
        <w:tc>
          <w:tcPr>
            <w:tcW w:w="3686" w:type="dxa"/>
            <w:tcBorders>
              <w:top w:val="single" w:sz="4" w:space="0" w:color="5B9BD5" w:themeColor="accent1"/>
              <w:bottom w:val="single" w:sz="4" w:space="0" w:color="5B9BD5" w:themeColor="accent1"/>
            </w:tcBorders>
          </w:tcPr>
          <w:p w14:paraId="6C85EC46" w14:textId="134831CF" w:rsidR="004E68CF" w:rsidRPr="00A2194A" w:rsidRDefault="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68C63223" w14:textId="3205991F"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537B6F22" w14:textId="77777777" w:rsidR="004E68CF"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750A9ED7" w14:textId="77777777" w:rsidR="004E68CF"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39A12F22" w14:textId="28B13ACF"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3AA284BF" w14:textId="12688964"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07CB5E78" w14:textId="4F6B8177"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1FF3D539" w14:textId="6A529EA6"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6847A4F3" w14:textId="7E9D4022"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46FDB">
              <w:rPr>
                <w:rFonts w:ascii="Calibri" w:eastAsia="Times New Roman" w:hAnsi="Calibri" w:cs="Calibri"/>
                <w:i/>
                <w:sz w:val="18"/>
                <w:szCs w:val="18"/>
                <w:lang w:eastAsia="fr-FR"/>
              </w:rPr>
              <w:t>Dont au titre de l’art. 15 RTS (paiement à soi-même)</w:t>
            </w:r>
          </w:p>
        </w:tc>
        <w:tc>
          <w:tcPr>
            <w:tcW w:w="3686" w:type="dxa"/>
            <w:tcBorders>
              <w:top w:val="single" w:sz="4" w:space="0" w:color="5B9BD5" w:themeColor="accent1"/>
              <w:bottom w:val="single" w:sz="4" w:space="0" w:color="5B9BD5" w:themeColor="accent1"/>
            </w:tcBorders>
          </w:tcPr>
          <w:p w14:paraId="1F8FF5CA" w14:textId="53AB9077" w:rsidR="004E68CF" w:rsidRPr="00DF344D" w:rsidRDefault="004E68CF" w:rsidP="00A078A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019" w:type="dxa"/>
            <w:vMerge/>
            <w:tcBorders>
              <w:top w:val="single" w:sz="4" w:space="0" w:color="5B9BD5" w:themeColor="accent1"/>
              <w:bottom w:val="single" w:sz="4" w:space="0" w:color="5B9BD5" w:themeColor="accent1"/>
            </w:tcBorders>
            <w:noWrap/>
          </w:tcPr>
          <w:p w14:paraId="70D5155B" w14:textId="4CDBA2C1"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133BA872"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3229DFF5"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53FF1C87" w14:textId="15E2502F"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1AB59EDD" w14:textId="4F3AD97E" w:rsidR="004E68CF" w:rsidRPr="00A2194A" w:rsidRDefault="004E68CF" w:rsidP="00C5009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449C422D" w14:textId="1FB6A8BE" w:rsidR="004E68CF" w:rsidRPr="00A2194A" w:rsidRDefault="004E68CF" w:rsidP="00C50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39A39389" w14:textId="3D743F11" w:rsidR="004E68CF" w:rsidRPr="00A2194A" w:rsidRDefault="004E68CF" w:rsidP="00C50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535FCAC8" w14:textId="2FA431F0" w:rsidR="004E68CF" w:rsidRPr="00976140" w:rsidRDefault="004E68CF" w:rsidP="00C50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976140">
              <w:rPr>
                <w:rFonts w:ascii="Calibri" w:eastAsia="Times New Roman" w:hAnsi="Calibri" w:cs="Calibri"/>
                <w:i/>
                <w:sz w:val="18"/>
                <w:szCs w:val="18"/>
                <w:lang w:eastAsia="fr-FR"/>
              </w:rPr>
              <w:t>Dont au titre de l’art. 17 RTS (protocole de paiement sécurisé)</w:t>
            </w:r>
          </w:p>
        </w:tc>
        <w:tc>
          <w:tcPr>
            <w:tcW w:w="3686" w:type="dxa"/>
            <w:tcBorders>
              <w:top w:val="single" w:sz="4" w:space="0" w:color="5B9BD5" w:themeColor="accent1"/>
              <w:bottom w:val="single" w:sz="4" w:space="0" w:color="5B9BD5" w:themeColor="accent1"/>
            </w:tcBorders>
          </w:tcPr>
          <w:p w14:paraId="1CF33699" w14:textId="703783C3" w:rsidR="004E68CF" w:rsidRPr="00976140" w:rsidRDefault="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39823A30" w14:textId="18A4C5E0" w:rsidR="004E68CF" w:rsidRPr="00A2194A" w:rsidRDefault="004E68CF" w:rsidP="00C50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3A3FB587" w14:textId="77777777" w:rsidR="004E68CF" w:rsidRDefault="004E68CF" w:rsidP="00C50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262AD093" w14:textId="77777777" w:rsidR="004E68CF" w:rsidRDefault="004E68CF" w:rsidP="00C50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3C365058" w14:textId="7757DEE5"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36973015" w14:textId="5209E2EB"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611C60DB" w14:textId="60533CE4"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18BC997D" w14:textId="7453E9C4"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1659016B" w14:textId="523BF678" w:rsidR="004E68CF" w:rsidRPr="00976140"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976140">
              <w:rPr>
                <w:rFonts w:ascii="Calibri" w:eastAsia="Times New Roman" w:hAnsi="Calibri" w:cs="Calibri"/>
                <w:i/>
                <w:sz w:val="18"/>
                <w:szCs w:val="18"/>
                <w:lang w:eastAsia="fr-FR"/>
              </w:rPr>
              <w:t>Dont au titre de l’art. 18 RTS (analyse des risques)</w:t>
            </w:r>
          </w:p>
        </w:tc>
        <w:tc>
          <w:tcPr>
            <w:tcW w:w="3686" w:type="dxa"/>
            <w:tcBorders>
              <w:top w:val="single" w:sz="4" w:space="0" w:color="5B9BD5" w:themeColor="accent1"/>
              <w:bottom w:val="single" w:sz="4" w:space="0" w:color="5B9BD5" w:themeColor="accent1"/>
            </w:tcBorders>
          </w:tcPr>
          <w:p w14:paraId="6F981167" w14:textId="05CB7CA4" w:rsidR="004E68CF" w:rsidRPr="00A675AF" w:rsidRDefault="004E68CF" w:rsidP="00A078A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green"/>
                <w:lang w:eastAsia="fr-FR"/>
              </w:rPr>
            </w:pPr>
          </w:p>
        </w:tc>
        <w:tc>
          <w:tcPr>
            <w:tcW w:w="1019" w:type="dxa"/>
            <w:vMerge/>
            <w:tcBorders>
              <w:top w:val="single" w:sz="4" w:space="0" w:color="5B9BD5" w:themeColor="accent1"/>
              <w:bottom w:val="single" w:sz="4" w:space="0" w:color="5B9BD5" w:themeColor="accent1"/>
            </w:tcBorders>
            <w:noWrap/>
          </w:tcPr>
          <w:p w14:paraId="37E08AB7" w14:textId="6AC6FE92"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6378A204"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010EDFA5"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47E8A12C" w14:textId="2CDD2E7E"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439B981C" w14:textId="77777777" w:rsidR="004E68CF" w:rsidRPr="00A2194A" w:rsidRDefault="004E68CF" w:rsidP="00976140">
            <w:pPr>
              <w:rPr>
                <w:rFonts w:ascii="Calibri" w:eastAsia="Times New Roman" w:hAnsi="Calibri" w:cs="Calibri"/>
                <w:bCs w:val="0"/>
                <w:i/>
                <w:sz w:val="18"/>
                <w:szCs w:val="18"/>
                <w:lang w:eastAsia="fr-FR"/>
              </w:rPr>
            </w:pPr>
          </w:p>
        </w:tc>
        <w:tc>
          <w:tcPr>
            <w:tcW w:w="262" w:type="dxa"/>
            <w:tcBorders>
              <w:top w:val="single" w:sz="4" w:space="0" w:color="5B9BD5" w:themeColor="accent1"/>
              <w:bottom w:val="single" w:sz="4" w:space="0" w:color="5B9BD5" w:themeColor="accent1"/>
            </w:tcBorders>
            <w:noWrap/>
          </w:tcPr>
          <w:p w14:paraId="43274642" w14:textId="77777777"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262" w:type="dxa"/>
            <w:tcBorders>
              <w:top w:val="single" w:sz="4" w:space="0" w:color="5B9BD5" w:themeColor="accent1"/>
              <w:bottom w:val="single" w:sz="4" w:space="0" w:color="5B9BD5" w:themeColor="accent1"/>
            </w:tcBorders>
            <w:noWrap/>
          </w:tcPr>
          <w:p w14:paraId="54BF34E2" w14:textId="77777777"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tcPr>
          <w:p w14:paraId="687E4DBD" w14:textId="0F5C2FDA" w:rsidR="004E68CF" w:rsidRPr="00A7180B"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A7180B">
              <w:rPr>
                <w:rFonts w:ascii="Calibri" w:eastAsia="Times New Roman" w:hAnsi="Calibri" w:cs="Calibri"/>
                <w:i/>
                <w:sz w:val="18"/>
                <w:szCs w:val="18"/>
                <w:lang w:eastAsia="fr-FR"/>
              </w:rPr>
              <w:t>Dont au titre des opérations initiées par le commerçant</w:t>
            </w:r>
          </w:p>
        </w:tc>
        <w:tc>
          <w:tcPr>
            <w:tcW w:w="3686" w:type="dxa"/>
            <w:tcBorders>
              <w:top w:val="single" w:sz="4" w:space="0" w:color="5B9BD5" w:themeColor="accent1"/>
              <w:bottom w:val="single" w:sz="4" w:space="0" w:color="5B9BD5" w:themeColor="accent1"/>
            </w:tcBorders>
          </w:tcPr>
          <w:p w14:paraId="50794737" w14:textId="4AA23B33" w:rsidR="004E68CF" w:rsidRPr="00A2194A" w:rsidRDefault="004E68CF" w:rsidP="0097614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57ADF6F9" w14:textId="2D7FEBC0" w:rsidR="004E68CF" w:rsidRPr="002240D2" w:rsidRDefault="004E68CF" w:rsidP="007E458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28E575DC" w14:textId="77777777" w:rsidR="004E68CF" w:rsidRDefault="004E68CF" w:rsidP="007E458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3C4D5298" w14:textId="77777777" w:rsidR="004E68CF" w:rsidRDefault="004E68CF" w:rsidP="007E458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252A2A27" w14:textId="4921237D"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18" w:space="0" w:color="5B9BD5" w:themeColor="accent1"/>
            </w:tcBorders>
            <w:noWrap/>
          </w:tcPr>
          <w:p w14:paraId="006D0C68" w14:textId="77777777" w:rsidR="004E68CF" w:rsidRPr="00A2194A" w:rsidRDefault="004E68CF" w:rsidP="00976140">
            <w:pPr>
              <w:rPr>
                <w:rFonts w:ascii="Calibri" w:eastAsia="Times New Roman" w:hAnsi="Calibri" w:cs="Calibri"/>
                <w:bCs w:val="0"/>
                <w:i/>
                <w:sz w:val="18"/>
                <w:szCs w:val="18"/>
                <w:lang w:eastAsia="fr-FR"/>
              </w:rPr>
            </w:pPr>
          </w:p>
        </w:tc>
        <w:tc>
          <w:tcPr>
            <w:tcW w:w="262" w:type="dxa"/>
            <w:tcBorders>
              <w:top w:val="single" w:sz="4" w:space="0" w:color="5B9BD5" w:themeColor="accent1"/>
              <w:bottom w:val="single" w:sz="18" w:space="0" w:color="5B9BD5" w:themeColor="accent1"/>
            </w:tcBorders>
            <w:noWrap/>
          </w:tcPr>
          <w:p w14:paraId="728199A4" w14:textId="77777777"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262" w:type="dxa"/>
            <w:tcBorders>
              <w:top w:val="single" w:sz="4" w:space="0" w:color="5B9BD5" w:themeColor="accent1"/>
              <w:bottom w:val="single" w:sz="18" w:space="0" w:color="5B9BD5" w:themeColor="accent1"/>
            </w:tcBorders>
            <w:noWrap/>
          </w:tcPr>
          <w:p w14:paraId="70F01AB1" w14:textId="77777777"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18" w:space="0" w:color="5B9BD5" w:themeColor="accent1"/>
            </w:tcBorders>
            <w:noWrap/>
          </w:tcPr>
          <w:p w14:paraId="2BC0027E" w14:textId="311C15D6" w:rsidR="004E68CF" w:rsidRPr="00A7180B"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A7180B">
              <w:rPr>
                <w:rFonts w:ascii="Calibri" w:eastAsia="Times New Roman" w:hAnsi="Calibri" w:cs="Calibri"/>
                <w:i/>
                <w:sz w:val="18"/>
                <w:szCs w:val="18"/>
                <w:lang w:eastAsia="fr-FR"/>
              </w:rPr>
              <w:t>Dont au titre d’autres motifs</w:t>
            </w:r>
            <w:r>
              <w:rPr>
                <w:rFonts w:ascii="Calibri" w:eastAsia="Times New Roman" w:hAnsi="Calibri" w:cs="Calibri"/>
                <w:i/>
                <w:sz w:val="18"/>
                <w:szCs w:val="18"/>
                <w:lang w:eastAsia="fr-FR"/>
              </w:rPr>
              <w:t xml:space="preserve"> d’exclusion</w:t>
            </w:r>
          </w:p>
        </w:tc>
        <w:tc>
          <w:tcPr>
            <w:tcW w:w="3686" w:type="dxa"/>
            <w:tcBorders>
              <w:top w:val="single" w:sz="4" w:space="0" w:color="5B9BD5" w:themeColor="accent1"/>
              <w:bottom w:val="single" w:sz="18" w:space="0" w:color="5B9BD5" w:themeColor="accent1"/>
            </w:tcBorders>
          </w:tcPr>
          <w:p w14:paraId="002C5E50" w14:textId="5F35EC12" w:rsidR="004E68CF" w:rsidRPr="00A2194A" w:rsidRDefault="004E68CF" w:rsidP="0097614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18" w:space="0" w:color="5B9BD5" w:themeColor="accent1"/>
            </w:tcBorders>
            <w:noWrap/>
          </w:tcPr>
          <w:p w14:paraId="412AE1ED" w14:textId="3F68E1EF" w:rsidR="004E68CF" w:rsidRPr="002240D2" w:rsidRDefault="004E68CF" w:rsidP="007E45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18" w:space="0" w:color="5B9BD5" w:themeColor="accent1"/>
            </w:tcBorders>
          </w:tcPr>
          <w:p w14:paraId="41F3B6F9" w14:textId="77777777" w:rsidR="004E68CF" w:rsidRDefault="004E68CF" w:rsidP="007E45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18" w:space="0" w:color="5B9BD5" w:themeColor="accent1"/>
            </w:tcBorders>
          </w:tcPr>
          <w:p w14:paraId="175B52C5" w14:textId="77777777" w:rsidR="004E68CF" w:rsidRDefault="004E68CF" w:rsidP="007E45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03325046" w14:textId="5348F2F7"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tcBorders>
            <w:noWrap/>
            <w:hideMark/>
          </w:tcPr>
          <w:p w14:paraId="4AA3F098" w14:textId="63091A6C" w:rsidR="004E68CF" w:rsidRPr="00A2194A" w:rsidRDefault="004E68CF" w:rsidP="00976140">
            <w:pPr>
              <w:rPr>
                <w:rFonts w:ascii="Calibri" w:eastAsia="Times New Roman" w:hAnsi="Calibri" w:cs="Calibri"/>
                <w:i/>
                <w:sz w:val="18"/>
                <w:szCs w:val="18"/>
                <w:lang w:eastAsia="fr-FR"/>
              </w:rPr>
            </w:pPr>
          </w:p>
        </w:tc>
        <w:tc>
          <w:tcPr>
            <w:tcW w:w="2573" w:type="dxa"/>
            <w:gridSpan w:val="3"/>
            <w:tcBorders>
              <w:top w:val="single" w:sz="18" w:space="0" w:color="5B9BD5" w:themeColor="accent1"/>
              <w:bottom w:val="single" w:sz="4" w:space="0" w:color="5B9BD5" w:themeColor="accent1"/>
            </w:tcBorders>
            <w:noWrap/>
            <w:hideMark/>
          </w:tcPr>
          <w:p w14:paraId="0E51D3C2" w14:textId="6F478AA8"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sz w:val="18"/>
                <w:szCs w:val="18"/>
                <w:lang w:eastAsia="fr-FR"/>
              </w:rPr>
            </w:pPr>
            <w:r w:rsidRPr="00A2194A">
              <w:rPr>
                <w:rFonts w:ascii="Calibri" w:eastAsia="Times New Roman" w:hAnsi="Calibri" w:cs="Calibri"/>
                <w:b/>
                <w:bCs/>
                <w:i/>
                <w:sz w:val="18"/>
                <w:szCs w:val="18"/>
                <w:lang w:eastAsia="fr-FR"/>
              </w:rPr>
              <w:t>Dont paiements initiés en proximité</w:t>
            </w:r>
          </w:p>
        </w:tc>
        <w:tc>
          <w:tcPr>
            <w:tcW w:w="3686" w:type="dxa"/>
            <w:tcBorders>
              <w:top w:val="single" w:sz="18" w:space="0" w:color="5B9BD5" w:themeColor="accent1"/>
              <w:bottom w:val="single" w:sz="4" w:space="0" w:color="5B9BD5" w:themeColor="accent1"/>
            </w:tcBorders>
          </w:tcPr>
          <w:p w14:paraId="74357976" w14:textId="4E151DAF" w:rsidR="004E68CF" w:rsidRPr="00A2194A" w:rsidRDefault="004E68CF" w:rsidP="004E58C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A2194A">
              <w:rPr>
                <w:rFonts w:ascii="Calibri" w:eastAsia="Times New Roman" w:hAnsi="Calibri" w:cs="Calibri"/>
                <w:sz w:val="18"/>
                <w:szCs w:val="18"/>
                <w:lang w:eastAsia="fr-FR"/>
              </w:rPr>
              <w:t>Paiements initiés au point de vente ou sur automates, y compris en mode sans contact.</w:t>
            </w:r>
          </w:p>
        </w:tc>
        <w:tc>
          <w:tcPr>
            <w:tcW w:w="1019" w:type="dxa"/>
            <w:vMerge/>
            <w:tcBorders>
              <w:top w:val="single" w:sz="18" w:space="0" w:color="5B9BD5" w:themeColor="accent1"/>
              <w:bottom w:val="single" w:sz="4" w:space="0" w:color="5B9BD5" w:themeColor="accent1"/>
            </w:tcBorders>
            <w:noWrap/>
          </w:tcPr>
          <w:p w14:paraId="4281A8B7" w14:textId="3F4C1517" w:rsidR="004E68CF" w:rsidRPr="007E4585"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18" w:space="0" w:color="5B9BD5" w:themeColor="accent1"/>
              <w:bottom w:val="single" w:sz="4" w:space="0" w:color="5B9BD5" w:themeColor="accent1"/>
            </w:tcBorders>
          </w:tcPr>
          <w:p w14:paraId="0691997A"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18" w:space="0" w:color="5B9BD5" w:themeColor="accent1"/>
              <w:bottom w:val="single" w:sz="4" w:space="0" w:color="5B9BD5" w:themeColor="accent1"/>
            </w:tcBorders>
          </w:tcPr>
          <w:p w14:paraId="309DD116"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168B1C35" w14:textId="728ABF48"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4A178744" w14:textId="0D81EB82" w:rsidR="004E68CF" w:rsidRPr="00A2194A" w:rsidRDefault="004E68CF" w:rsidP="00976140">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03AD2668" w14:textId="4C34810A"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11" w:type="dxa"/>
            <w:gridSpan w:val="2"/>
            <w:tcBorders>
              <w:top w:val="single" w:sz="4" w:space="0" w:color="5B9BD5" w:themeColor="accent1"/>
              <w:bottom w:val="single" w:sz="4" w:space="0" w:color="5B9BD5" w:themeColor="accent1"/>
            </w:tcBorders>
            <w:noWrap/>
            <w:hideMark/>
          </w:tcPr>
          <w:p w14:paraId="24A70A12" w14:textId="1547456C" w:rsidR="004E68CF" w:rsidRPr="00D715F9"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sz w:val="18"/>
                <w:szCs w:val="18"/>
                <w:lang w:eastAsia="fr-FR"/>
              </w:rPr>
            </w:pPr>
            <w:r w:rsidRPr="00D715F9">
              <w:rPr>
                <w:rFonts w:ascii="Calibri" w:eastAsia="Times New Roman" w:hAnsi="Calibri" w:cs="Calibri"/>
                <w:b/>
                <w:i/>
                <w:sz w:val="18"/>
                <w:szCs w:val="18"/>
                <w:lang w:eastAsia="fr-FR"/>
              </w:rPr>
              <w:t>Dont avec authentification forte du client</w:t>
            </w:r>
          </w:p>
        </w:tc>
        <w:tc>
          <w:tcPr>
            <w:tcW w:w="3686" w:type="dxa"/>
            <w:tcBorders>
              <w:top w:val="single" w:sz="4" w:space="0" w:color="5B9BD5" w:themeColor="accent1"/>
              <w:bottom w:val="single" w:sz="4" w:space="0" w:color="5B9BD5" w:themeColor="accent1"/>
            </w:tcBorders>
          </w:tcPr>
          <w:p w14:paraId="373A2769" w14:textId="3D719B50" w:rsidR="004E68CF" w:rsidRPr="00A2194A" w:rsidRDefault="004E68C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4D06BCF0" w14:textId="4A077F6B"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632EA652" w14:textId="77777777" w:rsidR="004E68CF"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4FD91B26" w14:textId="77777777" w:rsidR="004E68CF"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42BEAB67" w14:textId="15DF25A4"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686E6C54" w14:textId="0F77F0F2" w:rsidR="004E68CF" w:rsidRPr="00A2194A" w:rsidRDefault="004E68CF" w:rsidP="00976140">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6F3EC05C" w14:textId="07633C60"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11" w:type="dxa"/>
            <w:gridSpan w:val="2"/>
            <w:tcBorders>
              <w:top w:val="single" w:sz="4" w:space="0" w:color="5B9BD5" w:themeColor="accent1"/>
              <w:bottom w:val="single" w:sz="4" w:space="0" w:color="5B9BD5" w:themeColor="accent1"/>
            </w:tcBorders>
            <w:noWrap/>
            <w:hideMark/>
          </w:tcPr>
          <w:p w14:paraId="55666E33" w14:textId="4B631FC6" w:rsidR="004E68CF" w:rsidRPr="00D715F9"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sz w:val="18"/>
                <w:szCs w:val="18"/>
                <w:lang w:eastAsia="fr-FR"/>
              </w:rPr>
            </w:pPr>
            <w:r w:rsidRPr="00D715F9">
              <w:rPr>
                <w:rFonts w:ascii="Calibri" w:eastAsia="Times New Roman" w:hAnsi="Calibri" w:cs="Calibri"/>
                <w:b/>
                <w:i/>
                <w:sz w:val="18"/>
                <w:szCs w:val="18"/>
                <w:lang w:eastAsia="fr-FR"/>
              </w:rPr>
              <w:t>Dont sans authentification forte du client</w:t>
            </w:r>
          </w:p>
        </w:tc>
        <w:tc>
          <w:tcPr>
            <w:tcW w:w="3686" w:type="dxa"/>
            <w:tcBorders>
              <w:top w:val="single" w:sz="4" w:space="0" w:color="5B9BD5" w:themeColor="accent1"/>
              <w:bottom w:val="single" w:sz="4" w:space="0" w:color="5B9BD5" w:themeColor="accent1"/>
            </w:tcBorders>
          </w:tcPr>
          <w:p w14:paraId="559E8034" w14:textId="16F07B6E"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3CA93763" w14:textId="4FBE81BD"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7D5390D0"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2CB3CA7D"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63C44CEF" w14:textId="608AC3B6"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100803A6" w14:textId="2861289F" w:rsidR="004E68CF" w:rsidRPr="00A2194A" w:rsidRDefault="004E68CF" w:rsidP="00976140">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1E80B3C6" w14:textId="32602591"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4A7D7CCF" w14:textId="2D8E024B"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4B29EEC9" w14:textId="3BFAD030"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Dont au titre de l’art. 13 RTS (bénéficiaire de confiance)</w:t>
            </w:r>
          </w:p>
        </w:tc>
        <w:tc>
          <w:tcPr>
            <w:tcW w:w="3686" w:type="dxa"/>
            <w:tcBorders>
              <w:top w:val="single" w:sz="4" w:space="0" w:color="5B9BD5" w:themeColor="accent1"/>
              <w:bottom w:val="single" w:sz="4" w:space="0" w:color="5B9BD5" w:themeColor="accent1"/>
            </w:tcBorders>
          </w:tcPr>
          <w:p w14:paraId="22BA69D7" w14:textId="054CBD2D" w:rsidR="004E68CF" w:rsidRPr="00A2194A" w:rsidRDefault="004E68CF" w:rsidP="0097614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647B2842" w14:textId="4C87A57F"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5D6B4E62" w14:textId="77777777" w:rsidR="004E68CF"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4683075E" w14:textId="77777777" w:rsidR="004E68CF"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302D9C5C" w14:textId="7ACCF8A9"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084DA143" w14:textId="26445570" w:rsidR="004E68CF" w:rsidRPr="00A2194A" w:rsidRDefault="004E68CF" w:rsidP="00976140">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25302A1C" w14:textId="268E67A8"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43CC3270" w14:textId="402B53D3"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0BB7CA5B" w14:textId="593B9D8B"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Dont au titre de l’art. 14 RTS (opération récurrente)</w:t>
            </w:r>
          </w:p>
        </w:tc>
        <w:tc>
          <w:tcPr>
            <w:tcW w:w="3686" w:type="dxa"/>
            <w:tcBorders>
              <w:top w:val="single" w:sz="4" w:space="0" w:color="5B9BD5" w:themeColor="accent1"/>
              <w:bottom w:val="single" w:sz="4" w:space="0" w:color="5B9BD5" w:themeColor="accent1"/>
            </w:tcBorders>
          </w:tcPr>
          <w:p w14:paraId="24DACC78" w14:textId="2A03CC1C" w:rsidR="004E68CF" w:rsidRPr="00A2194A" w:rsidRDefault="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78E2CF0A" w14:textId="3755FEC3"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17BDF7A2"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246C623C"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02D8E010" w14:textId="764CF79D"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56B6FAB1" w14:textId="0EF68312" w:rsidR="004E68CF" w:rsidRPr="00A2194A" w:rsidRDefault="004E68CF" w:rsidP="00976140">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44BC32F7" w14:textId="220EFFCA"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02FC0ACC" w14:textId="3477AF57"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1A36D827" w14:textId="424F5C63" w:rsidR="004E68CF" w:rsidRPr="00A2194A" w:rsidRDefault="004E68CF" w:rsidP="00D705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 xml:space="preserve">Dont au titre de l’art. </w:t>
            </w:r>
            <w:r w:rsidRPr="00E2783F">
              <w:rPr>
                <w:rFonts w:ascii="Calibri" w:eastAsia="Times New Roman" w:hAnsi="Calibri" w:cs="Calibri"/>
                <w:i/>
                <w:sz w:val="18"/>
                <w:szCs w:val="18"/>
                <w:lang w:eastAsia="fr-FR"/>
              </w:rPr>
              <w:t>11 RTS (paiement sans contact de faible montant)</w:t>
            </w:r>
          </w:p>
        </w:tc>
        <w:tc>
          <w:tcPr>
            <w:tcW w:w="3686" w:type="dxa"/>
            <w:tcBorders>
              <w:top w:val="single" w:sz="4" w:space="0" w:color="5B9BD5" w:themeColor="accent1"/>
              <w:bottom w:val="single" w:sz="4" w:space="0" w:color="5B9BD5" w:themeColor="accent1"/>
            </w:tcBorders>
          </w:tcPr>
          <w:p w14:paraId="450F11CF" w14:textId="7373313B" w:rsidR="004E68CF" w:rsidRPr="00A2194A" w:rsidRDefault="004E68CF" w:rsidP="0097614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6E2B012C" w14:textId="34F5EDF7"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0D4AD1BE" w14:textId="77777777" w:rsidR="004E68CF"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01C43295" w14:textId="77777777" w:rsidR="004E68CF"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12AD0FD6" w14:textId="143A0913" w:rsidTr="002262D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188471E9" w14:textId="5A44ADB5" w:rsidR="004E68CF" w:rsidRPr="00A2194A" w:rsidRDefault="004E68CF" w:rsidP="00976140">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2C12B96F" w14:textId="17C8DA17"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65609D3B" w14:textId="0F6355F6"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467CCC55" w14:textId="70E57B48"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Dont au titre de l’art. 12 RTS (automates transport/parking)</w:t>
            </w:r>
          </w:p>
        </w:tc>
        <w:tc>
          <w:tcPr>
            <w:tcW w:w="3686" w:type="dxa"/>
            <w:tcBorders>
              <w:top w:val="single" w:sz="4" w:space="0" w:color="5B9BD5" w:themeColor="accent1"/>
              <w:bottom w:val="single" w:sz="4" w:space="0" w:color="5B9BD5" w:themeColor="accent1"/>
            </w:tcBorders>
          </w:tcPr>
          <w:p w14:paraId="3CB7A1EF" w14:textId="25348910" w:rsidR="004E68CF" w:rsidRPr="00A2194A" w:rsidRDefault="004E68CF" w:rsidP="0097614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6BCC2B7B" w14:textId="66338905"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590EB89A"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117ADF2B"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7E4585" w14:paraId="05B26A6D" w14:textId="5C649336"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18" w:space="0" w:color="5B9BD5" w:themeColor="accent1"/>
            </w:tcBorders>
            <w:noWrap/>
          </w:tcPr>
          <w:p w14:paraId="20DF1077" w14:textId="77777777" w:rsidR="004E68CF" w:rsidRPr="007E4585" w:rsidRDefault="004E68CF" w:rsidP="00976140">
            <w:pPr>
              <w:rPr>
                <w:rFonts w:ascii="Calibri" w:eastAsia="Times New Roman" w:hAnsi="Calibri" w:cs="Calibri"/>
                <w:bCs w:val="0"/>
                <w:i/>
                <w:sz w:val="18"/>
                <w:szCs w:val="18"/>
                <w:lang w:eastAsia="fr-FR"/>
              </w:rPr>
            </w:pPr>
          </w:p>
        </w:tc>
        <w:tc>
          <w:tcPr>
            <w:tcW w:w="262" w:type="dxa"/>
            <w:tcBorders>
              <w:top w:val="single" w:sz="4" w:space="0" w:color="5B9BD5" w:themeColor="accent1"/>
              <w:bottom w:val="single" w:sz="18" w:space="0" w:color="5B9BD5" w:themeColor="accent1"/>
            </w:tcBorders>
            <w:noWrap/>
          </w:tcPr>
          <w:p w14:paraId="28875809" w14:textId="77777777" w:rsidR="004E68CF" w:rsidRPr="007E4585"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262" w:type="dxa"/>
            <w:tcBorders>
              <w:top w:val="single" w:sz="4" w:space="0" w:color="5B9BD5" w:themeColor="accent1"/>
              <w:bottom w:val="single" w:sz="18" w:space="0" w:color="5B9BD5" w:themeColor="accent1"/>
            </w:tcBorders>
            <w:noWrap/>
          </w:tcPr>
          <w:p w14:paraId="6B490A96" w14:textId="77777777" w:rsidR="004E68CF" w:rsidRPr="007E4585"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18" w:space="0" w:color="5B9BD5" w:themeColor="accent1"/>
            </w:tcBorders>
            <w:noWrap/>
          </w:tcPr>
          <w:p w14:paraId="599F8D4F" w14:textId="5D035A83" w:rsidR="004E68CF" w:rsidRPr="007E4585"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7E4585">
              <w:rPr>
                <w:rFonts w:ascii="Calibri" w:eastAsia="Times New Roman" w:hAnsi="Calibri" w:cs="Calibri"/>
                <w:i/>
                <w:sz w:val="18"/>
                <w:szCs w:val="18"/>
                <w:lang w:eastAsia="fr-FR"/>
              </w:rPr>
              <w:t>Dont au titre d’autres motifs</w:t>
            </w:r>
            <w:r>
              <w:rPr>
                <w:rFonts w:ascii="Calibri" w:eastAsia="Times New Roman" w:hAnsi="Calibri" w:cs="Calibri"/>
                <w:i/>
                <w:sz w:val="18"/>
                <w:szCs w:val="18"/>
                <w:lang w:eastAsia="fr-FR"/>
              </w:rPr>
              <w:t xml:space="preserve"> d’exclusion</w:t>
            </w:r>
          </w:p>
        </w:tc>
        <w:tc>
          <w:tcPr>
            <w:tcW w:w="3686" w:type="dxa"/>
            <w:tcBorders>
              <w:top w:val="single" w:sz="4" w:space="0" w:color="5B9BD5" w:themeColor="accent1"/>
              <w:bottom w:val="single" w:sz="18" w:space="0" w:color="5B9BD5" w:themeColor="accent1"/>
            </w:tcBorders>
          </w:tcPr>
          <w:p w14:paraId="58FCFB38" w14:textId="6B7B028D" w:rsidR="004E68CF" w:rsidRPr="007E4585" w:rsidRDefault="004E68CF" w:rsidP="0097614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18" w:space="0" w:color="5B9BD5" w:themeColor="accent1"/>
            </w:tcBorders>
            <w:noWrap/>
          </w:tcPr>
          <w:p w14:paraId="7C3E8648" w14:textId="04D556B2" w:rsidR="004E68CF" w:rsidRPr="002240D2" w:rsidRDefault="004E68CF" w:rsidP="007E45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18" w:space="0" w:color="5B9BD5" w:themeColor="accent1"/>
            </w:tcBorders>
          </w:tcPr>
          <w:p w14:paraId="4AE481A1" w14:textId="77777777" w:rsidR="004E68CF" w:rsidRDefault="004E68CF" w:rsidP="007E45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18" w:space="0" w:color="5B9BD5" w:themeColor="accent1"/>
            </w:tcBorders>
          </w:tcPr>
          <w:p w14:paraId="1970753B" w14:textId="77777777" w:rsidR="004E68CF" w:rsidRDefault="004E68CF" w:rsidP="007E45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645B2F0B" w14:textId="77777777" w:rsidR="008E304D" w:rsidRPr="007E4585" w:rsidRDefault="008E304D" w:rsidP="008E304D">
      <w:pPr>
        <w:pStyle w:val="Paragraphedeliste"/>
        <w:autoSpaceDE w:val="0"/>
        <w:autoSpaceDN w:val="0"/>
        <w:adjustRightInd w:val="0"/>
        <w:spacing w:after="0" w:line="240" w:lineRule="auto"/>
        <w:jc w:val="both"/>
        <w:rPr>
          <w:rFonts w:cstheme="minorHAnsi"/>
        </w:rPr>
      </w:pPr>
    </w:p>
    <w:p w14:paraId="1928A3B2" w14:textId="77777777" w:rsidR="008E304D" w:rsidRPr="007E4585" w:rsidRDefault="008E304D" w:rsidP="004E58CA">
      <w:pPr>
        <w:spacing w:after="0" w:line="240" w:lineRule="auto"/>
        <w:jc w:val="both"/>
        <w:rPr>
          <w:rFonts w:ascii="Calibri" w:hAnsi="Calibri"/>
          <w:b/>
          <w:smallCaps/>
          <w:sz w:val="24"/>
        </w:rPr>
      </w:pPr>
      <w:r w:rsidRPr="0025116C">
        <w:rPr>
          <w:rFonts w:ascii="Calibri" w:hAnsi="Calibri"/>
          <w:b/>
          <w:smallCaps/>
          <w:sz w:val="24"/>
        </w:rPr>
        <w:t>Contrôles :</w:t>
      </w:r>
    </w:p>
    <w:p w14:paraId="471CB051" w14:textId="04078FD4" w:rsidR="008E304D" w:rsidRPr="00D668C7" w:rsidRDefault="008E304D" w:rsidP="008E304D">
      <w:pPr>
        <w:pStyle w:val="Paragraphedeliste"/>
        <w:autoSpaceDE w:val="0"/>
        <w:autoSpaceDN w:val="0"/>
        <w:adjustRightInd w:val="0"/>
        <w:spacing w:after="0" w:line="240" w:lineRule="auto"/>
        <w:jc w:val="both"/>
        <w:rPr>
          <w:rFonts w:cstheme="minorHAnsi"/>
        </w:rPr>
      </w:pPr>
    </w:p>
    <w:p w14:paraId="312557C9" w14:textId="513CB266" w:rsidR="004A4E44" w:rsidRDefault="004A4E44" w:rsidP="00D715F9">
      <w:pPr>
        <w:autoSpaceDE w:val="0"/>
        <w:autoSpaceDN w:val="0"/>
        <w:adjustRightInd w:val="0"/>
        <w:spacing w:after="0" w:line="240" w:lineRule="auto"/>
        <w:jc w:val="both"/>
        <w:rPr>
          <w:rFonts w:cstheme="minorHAnsi"/>
        </w:rPr>
      </w:pPr>
      <w:r w:rsidRPr="00D715F9">
        <w:rPr>
          <w:rFonts w:cstheme="minorHAnsi"/>
        </w:rPr>
        <w:t>Les règles de contrôle suivantes doivent être app</w:t>
      </w:r>
      <w:r w:rsidR="00DA1236">
        <w:rPr>
          <w:rFonts w:cstheme="minorHAnsi"/>
        </w:rPr>
        <w:t>liquées en nombre et en valeur.</w:t>
      </w:r>
    </w:p>
    <w:p w14:paraId="2094E03A" w14:textId="77777777" w:rsidR="0025116C" w:rsidRPr="00D715F9" w:rsidRDefault="0025116C" w:rsidP="00D715F9">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25116C" w:rsidRPr="00913B52" w14:paraId="2A308EC6" w14:textId="77777777" w:rsidTr="0025116C">
        <w:tc>
          <w:tcPr>
            <w:tcW w:w="9054" w:type="dxa"/>
          </w:tcPr>
          <w:p w14:paraId="3E8C5F4B" w14:textId="20EF4CE5" w:rsidR="0025116C" w:rsidRPr="00913B52" w:rsidRDefault="0025116C" w:rsidP="003952EB">
            <w:pPr>
              <w:pStyle w:val="Paragraphedeliste"/>
              <w:autoSpaceDE w:val="0"/>
              <w:autoSpaceDN w:val="0"/>
              <w:adjustRightInd w:val="0"/>
              <w:ind w:left="0"/>
              <w:jc w:val="both"/>
              <w:rPr>
                <w:sz w:val="18"/>
              </w:rPr>
            </w:pPr>
            <w:r w:rsidRPr="00913B52">
              <w:rPr>
                <w:rFonts w:cstheme="minorHAnsi"/>
                <w:sz w:val="18"/>
                <w:szCs w:val="18"/>
              </w:rPr>
              <w:t>Le total de chaque indicateur est = à la somme des trois sous-ventilations géographiques associées (France, au sein de l’EEE et hors de l’EEE</w:t>
            </w:r>
            <w:r w:rsidR="003C3B09">
              <w:rPr>
                <w:rFonts w:cstheme="minorHAnsi"/>
                <w:sz w:val="18"/>
                <w:szCs w:val="18"/>
              </w:rPr>
              <w:t>)</w:t>
            </w:r>
            <w:r w:rsidRPr="00913B52">
              <w:rPr>
                <w:rFonts w:cstheme="minorHAnsi"/>
                <w:sz w:val="18"/>
                <w:szCs w:val="18"/>
              </w:rPr>
              <w:t>.</w:t>
            </w:r>
          </w:p>
        </w:tc>
      </w:tr>
      <w:tr w:rsidR="0025116C" w:rsidRPr="004E58CA" w14:paraId="30A150A9" w14:textId="77777777" w:rsidTr="0025116C">
        <w:tc>
          <w:tcPr>
            <w:tcW w:w="9054" w:type="dxa"/>
          </w:tcPr>
          <w:p w14:paraId="23E20332" w14:textId="77777777" w:rsidR="0025116C" w:rsidRPr="004E58CA" w:rsidRDefault="0025116C" w:rsidP="003952EB">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67393D" w:rsidRPr="00DA2B33" w14:paraId="4A869320" w14:textId="77777777" w:rsidTr="0025116C">
        <w:tc>
          <w:tcPr>
            <w:tcW w:w="9054" w:type="dxa"/>
          </w:tcPr>
          <w:p w14:paraId="10BD5585" w14:textId="299FA11C" w:rsidR="0067393D" w:rsidRPr="00433618" w:rsidRDefault="0067393D" w:rsidP="0067393D">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en monnaie électronique est = </w:t>
            </w:r>
            <w:r>
              <w:rPr>
                <w:sz w:val="18"/>
              </w:rPr>
              <w:t>à la somme de ceux déclarés trimestriellement au titre de la collecte « Déclaration trimestrielle des opérations impliquant des non –IFM).</w:t>
            </w:r>
          </w:p>
        </w:tc>
      </w:tr>
      <w:tr w:rsidR="00DA2B33" w:rsidRPr="00DA2B33" w14:paraId="119F3423" w14:textId="77777777" w:rsidTr="0025116C">
        <w:tc>
          <w:tcPr>
            <w:tcW w:w="9054" w:type="dxa"/>
          </w:tcPr>
          <w:p w14:paraId="7FC9BB56" w14:textId="1315B542" w:rsidR="00DA2B33" w:rsidRPr="004E58CA" w:rsidRDefault="00DA2B33" w:rsidP="00BE66A6">
            <w:pPr>
              <w:pStyle w:val="Paragraphedeliste"/>
              <w:autoSpaceDE w:val="0"/>
              <w:autoSpaceDN w:val="0"/>
              <w:adjustRightInd w:val="0"/>
              <w:ind w:left="0"/>
              <w:jc w:val="both"/>
              <w:rPr>
                <w:sz w:val="18"/>
              </w:rPr>
            </w:pPr>
            <w:r w:rsidRPr="00433618">
              <w:rPr>
                <w:rFonts w:cstheme="minorHAnsi"/>
                <w:sz w:val="18"/>
                <w:szCs w:val="18"/>
              </w:rPr>
              <w:t>Le</w:t>
            </w:r>
            <w:r w:rsidR="001D65C9">
              <w:rPr>
                <w:rFonts w:cstheme="minorHAnsi"/>
                <w:sz w:val="18"/>
                <w:szCs w:val="18"/>
              </w:rPr>
              <w:t xml:space="preserve"> total de</w:t>
            </w:r>
            <w:r w:rsidRPr="00433618">
              <w:rPr>
                <w:rFonts w:cstheme="minorHAnsi"/>
                <w:sz w:val="18"/>
                <w:szCs w:val="18"/>
              </w:rPr>
              <w:t xml:space="preserve">s paiements en monnaie électronique </w:t>
            </w:r>
            <w:r w:rsidR="001D65C9">
              <w:rPr>
                <w:rFonts w:cstheme="minorHAnsi"/>
                <w:sz w:val="18"/>
                <w:szCs w:val="18"/>
              </w:rPr>
              <w:t>est =</w:t>
            </w:r>
            <w:r w:rsidRPr="00433618">
              <w:rPr>
                <w:rFonts w:cstheme="minorHAnsi"/>
                <w:sz w:val="18"/>
                <w:szCs w:val="18"/>
              </w:rPr>
              <w:t xml:space="preserve"> </w:t>
            </w:r>
            <w:r w:rsidR="00BE66A6">
              <w:rPr>
                <w:rFonts w:cstheme="minorHAnsi"/>
                <w:sz w:val="18"/>
                <w:szCs w:val="18"/>
              </w:rPr>
              <w:t xml:space="preserve">au total des </w:t>
            </w:r>
            <w:r w:rsidRPr="00433618">
              <w:rPr>
                <w:rFonts w:cstheme="minorHAnsi"/>
                <w:sz w:val="18"/>
                <w:szCs w:val="18"/>
              </w:rPr>
              <w:t>paiements avec carte permettant le stockage direct de monnaie électronique</w:t>
            </w:r>
            <w:r>
              <w:rPr>
                <w:rFonts w:cstheme="minorHAnsi"/>
                <w:sz w:val="18"/>
                <w:szCs w:val="18"/>
              </w:rPr>
              <w:t xml:space="preserve"> </w:t>
            </w:r>
            <w:r w:rsidR="00BE66A6">
              <w:rPr>
                <w:rFonts w:cstheme="minorHAnsi"/>
                <w:sz w:val="18"/>
                <w:szCs w:val="18"/>
              </w:rPr>
              <w:t xml:space="preserve">+ total </w:t>
            </w:r>
            <w:r>
              <w:rPr>
                <w:rFonts w:cstheme="minorHAnsi"/>
                <w:sz w:val="18"/>
                <w:szCs w:val="18"/>
              </w:rPr>
              <w:t>des paiements avec des comptes de monnaie électronique</w:t>
            </w:r>
            <w:r w:rsidRPr="00433618">
              <w:rPr>
                <w:rFonts w:cstheme="minorHAnsi"/>
                <w:sz w:val="18"/>
                <w:szCs w:val="18"/>
              </w:rPr>
              <w:t>.</w:t>
            </w:r>
          </w:p>
        </w:tc>
      </w:tr>
      <w:tr w:rsidR="00DA2B33" w:rsidRPr="00F61197" w14:paraId="51681816" w14:textId="77777777" w:rsidTr="0025116C">
        <w:tc>
          <w:tcPr>
            <w:tcW w:w="9054" w:type="dxa"/>
          </w:tcPr>
          <w:p w14:paraId="7501CD94" w14:textId="019B5E93" w:rsidR="00DA2B33" w:rsidRPr="004E58CA" w:rsidRDefault="00DA2B33" w:rsidP="00BE66A6">
            <w:pPr>
              <w:pStyle w:val="Paragraphedeliste"/>
              <w:autoSpaceDE w:val="0"/>
              <w:autoSpaceDN w:val="0"/>
              <w:adjustRightInd w:val="0"/>
              <w:ind w:left="0"/>
              <w:jc w:val="both"/>
              <w:rPr>
                <w:sz w:val="18"/>
              </w:rPr>
            </w:pPr>
            <w:r w:rsidRPr="00C37E72">
              <w:rPr>
                <w:rFonts w:cstheme="minorHAnsi"/>
                <w:sz w:val="18"/>
                <w:szCs w:val="18"/>
              </w:rPr>
              <w:t>Le</w:t>
            </w:r>
            <w:r w:rsidR="001D65C9">
              <w:rPr>
                <w:rFonts w:cstheme="minorHAnsi"/>
                <w:sz w:val="18"/>
                <w:szCs w:val="18"/>
              </w:rPr>
              <w:t xml:space="preserve"> total des</w:t>
            </w:r>
            <w:r w:rsidRPr="00C37E72">
              <w:rPr>
                <w:rFonts w:cstheme="minorHAnsi"/>
                <w:sz w:val="18"/>
                <w:szCs w:val="18"/>
              </w:rPr>
              <w:t xml:space="preserve"> paiements </w:t>
            </w:r>
            <w:r w:rsidRPr="00A675AF">
              <w:rPr>
                <w:rFonts w:cstheme="minorHAnsi"/>
                <w:sz w:val="18"/>
                <w:szCs w:val="18"/>
              </w:rPr>
              <w:t>avec des comptes de monnaie électronique</w:t>
            </w:r>
            <w:r w:rsidRPr="00C37E72">
              <w:rPr>
                <w:rFonts w:cstheme="minorHAnsi"/>
                <w:sz w:val="18"/>
                <w:szCs w:val="18"/>
              </w:rPr>
              <w:t xml:space="preserve"> </w:t>
            </w:r>
            <w:r w:rsidR="001D65C9">
              <w:rPr>
                <w:rFonts w:cstheme="minorHAnsi"/>
                <w:sz w:val="18"/>
                <w:szCs w:val="18"/>
              </w:rPr>
              <w:t xml:space="preserve">est </w:t>
            </w:r>
            <w:r w:rsidR="00BE66A6">
              <w:rPr>
                <w:rFonts w:cstheme="minorHAnsi"/>
                <w:sz w:val="18"/>
                <w:szCs w:val="18"/>
              </w:rPr>
              <w:t xml:space="preserve">= au total de ces paiements </w:t>
            </w:r>
            <w:r w:rsidR="0067393D">
              <w:rPr>
                <w:rFonts w:cstheme="minorHAnsi"/>
                <w:sz w:val="18"/>
                <w:szCs w:val="18"/>
              </w:rPr>
              <w:t>effectués avec une carte</w:t>
            </w:r>
            <w:r w:rsidR="00BE66A6">
              <w:rPr>
                <w:rFonts w:cstheme="minorHAnsi"/>
                <w:sz w:val="18"/>
                <w:szCs w:val="18"/>
              </w:rPr>
              <w:t xml:space="preserve"> + total de ces paiements effectués avec </w:t>
            </w:r>
            <w:r w:rsidR="0067393D">
              <w:rPr>
                <w:rFonts w:cstheme="minorHAnsi"/>
                <w:sz w:val="18"/>
                <w:szCs w:val="18"/>
              </w:rPr>
              <w:t xml:space="preserve">une solution de paiement mobile </w:t>
            </w:r>
            <w:r w:rsidR="00BE66A6">
              <w:rPr>
                <w:rFonts w:cstheme="minorHAnsi"/>
                <w:sz w:val="18"/>
                <w:szCs w:val="18"/>
              </w:rPr>
              <w:t>+ total de ces paiements effectués avec</w:t>
            </w:r>
            <w:r w:rsidR="0067393D">
              <w:rPr>
                <w:rFonts w:cstheme="minorHAnsi"/>
                <w:sz w:val="18"/>
                <w:szCs w:val="18"/>
              </w:rPr>
              <w:t xml:space="preserve"> d’autres solutions</w:t>
            </w:r>
            <w:r w:rsidRPr="00C37E72">
              <w:rPr>
                <w:rFonts w:cstheme="minorHAnsi"/>
                <w:sz w:val="18"/>
                <w:szCs w:val="18"/>
              </w:rPr>
              <w:t>.</w:t>
            </w:r>
          </w:p>
        </w:tc>
      </w:tr>
      <w:tr w:rsidR="0067393D" w:rsidRPr="00DA2B33" w14:paraId="757A8F4D" w14:textId="77777777" w:rsidTr="0025116C">
        <w:tc>
          <w:tcPr>
            <w:tcW w:w="9054" w:type="dxa"/>
          </w:tcPr>
          <w:p w14:paraId="0041C04A" w14:textId="00F6D740" w:rsidR="0067393D" w:rsidRPr="00011453" w:rsidRDefault="0067393D" w:rsidP="0025116C">
            <w:pPr>
              <w:pStyle w:val="Paragraphedeliste"/>
              <w:autoSpaceDE w:val="0"/>
              <w:autoSpaceDN w:val="0"/>
              <w:adjustRightInd w:val="0"/>
              <w:ind w:left="0"/>
              <w:jc w:val="both"/>
              <w:rPr>
                <w:rFonts w:cstheme="minorHAnsi"/>
                <w:sz w:val="18"/>
                <w:szCs w:val="18"/>
              </w:rPr>
            </w:pPr>
            <w:r>
              <w:rPr>
                <w:rFonts w:cstheme="minorHAnsi"/>
                <w:sz w:val="18"/>
                <w:szCs w:val="18"/>
              </w:rPr>
              <w:t>Le total des paiements avec des comptes de monnaie électronique accessible depuis une solution de paiement mobile est &gt; ou = à ceux accessibles depuis une solution de paiement mobile P2P</w:t>
            </w:r>
            <w:r w:rsidR="003C3B09">
              <w:rPr>
                <w:rFonts w:cstheme="minorHAnsi"/>
                <w:sz w:val="18"/>
                <w:szCs w:val="18"/>
              </w:rPr>
              <w:t>.</w:t>
            </w:r>
          </w:p>
        </w:tc>
      </w:tr>
      <w:tr w:rsidR="00DA2B33" w:rsidRPr="00DA2B33" w14:paraId="329B0672" w14:textId="77777777" w:rsidTr="0025116C">
        <w:tc>
          <w:tcPr>
            <w:tcW w:w="9054" w:type="dxa"/>
          </w:tcPr>
          <w:p w14:paraId="0D090165" w14:textId="587B90B1" w:rsidR="00DA2B33" w:rsidRPr="004E58CA" w:rsidRDefault="00DA2B33" w:rsidP="00BE66A6">
            <w:pPr>
              <w:pStyle w:val="Paragraphedeliste"/>
              <w:autoSpaceDE w:val="0"/>
              <w:autoSpaceDN w:val="0"/>
              <w:adjustRightInd w:val="0"/>
              <w:ind w:left="0"/>
              <w:jc w:val="both"/>
              <w:rPr>
                <w:sz w:val="18"/>
              </w:rPr>
            </w:pPr>
            <w:r w:rsidRPr="00011453">
              <w:rPr>
                <w:rFonts w:cstheme="minorHAnsi"/>
                <w:sz w:val="18"/>
                <w:szCs w:val="18"/>
              </w:rPr>
              <w:t>Le</w:t>
            </w:r>
            <w:r w:rsidR="0025116C">
              <w:rPr>
                <w:rFonts w:cstheme="minorHAnsi"/>
                <w:sz w:val="18"/>
                <w:szCs w:val="18"/>
              </w:rPr>
              <w:t xml:space="preserve"> total de</w:t>
            </w:r>
            <w:r w:rsidRPr="00011453">
              <w:rPr>
                <w:rFonts w:cstheme="minorHAnsi"/>
                <w:sz w:val="18"/>
                <w:szCs w:val="18"/>
              </w:rPr>
              <w:t>s paiements</w:t>
            </w:r>
            <w:r w:rsidRPr="006A103B">
              <w:rPr>
                <w:rFonts w:cstheme="minorHAnsi"/>
                <w:sz w:val="18"/>
                <w:szCs w:val="18"/>
              </w:rPr>
              <w:t xml:space="preserve"> en monnaie électronique</w:t>
            </w:r>
            <w:r w:rsidRPr="00011453">
              <w:rPr>
                <w:rFonts w:cstheme="minorHAnsi"/>
                <w:sz w:val="18"/>
                <w:szCs w:val="18"/>
              </w:rPr>
              <w:t xml:space="preserve"> </w:t>
            </w:r>
            <w:r w:rsidR="0025116C">
              <w:rPr>
                <w:rFonts w:cstheme="minorHAnsi"/>
                <w:sz w:val="18"/>
                <w:szCs w:val="18"/>
              </w:rPr>
              <w:t xml:space="preserve">est = </w:t>
            </w:r>
            <w:r w:rsidR="00BE66A6">
              <w:rPr>
                <w:rFonts w:cstheme="minorHAnsi"/>
                <w:sz w:val="18"/>
                <w:szCs w:val="18"/>
              </w:rPr>
              <w:t>au total d</w:t>
            </w:r>
            <w:r w:rsidRPr="00011453">
              <w:rPr>
                <w:rFonts w:cstheme="minorHAnsi"/>
                <w:sz w:val="18"/>
                <w:szCs w:val="18"/>
              </w:rPr>
              <w:t>e</w:t>
            </w:r>
            <w:r w:rsidR="00BE66A6">
              <w:rPr>
                <w:rFonts w:cstheme="minorHAnsi"/>
                <w:sz w:val="18"/>
                <w:szCs w:val="18"/>
              </w:rPr>
              <w:t xml:space="preserve"> ce</w:t>
            </w:r>
            <w:r w:rsidRPr="00011453">
              <w:rPr>
                <w:rFonts w:cstheme="minorHAnsi"/>
                <w:sz w:val="18"/>
                <w:szCs w:val="18"/>
              </w:rPr>
              <w:t xml:space="preserve">s paiements </w:t>
            </w:r>
            <w:r w:rsidR="0025116C">
              <w:rPr>
                <w:rFonts w:cstheme="minorHAnsi"/>
                <w:sz w:val="18"/>
                <w:szCs w:val="18"/>
              </w:rPr>
              <w:t xml:space="preserve">initiés à distance </w:t>
            </w:r>
            <w:r w:rsidR="00BE66A6">
              <w:rPr>
                <w:rFonts w:cstheme="minorHAnsi"/>
                <w:sz w:val="18"/>
                <w:szCs w:val="18"/>
              </w:rPr>
              <w:t xml:space="preserve">+ total de ces paiements initiés </w:t>
            </w:r>
            <w:r w:rsidR="0025116C">
              <w:rPr>
                <w:rFonts w:cstheme="minorHAnsi"/>
                <w:sz w:val="18"/>
                <w:szCs w:val="18"/>
              </w:rPr>
              <w:t>en proximité</w:t>
            </w:r>
            <w:r w:rsidRPr="00011453">
              <w:rPr>
                <w:rFonts w:cstheme="minorHAnsi"/>
                <w:sz w:val="18"/>
                <w:szCs w:val="18"/>
              </w:rPr>
              <w:t>.</w:t>
            </w:r>
          </w:p>
        </w:tc>
      </w:tr>
      <w:tr w:rsidR="00DA2B33" w:rsidRPr="00223702" w14:paraId="113485AD" w14:textId="77777777" w:rsidTr="0025116C">
        <w:tc>
          <w:tcPr>
            <w:tcW w:w="9054" w:type="dxa"/>
          </w:tcPr>
          <w:p w14:paraId="3FA5B634" w14:textId="66EB4DF4" w:rsidR="00DA2B33" w:rsidRPr="00087E2B" w:rsidRDefault="00DA2B33" w:rsidP="003C3B09">
            <w:pPr>
              <w:pStyle w:val="Paragraphedeliste"/>
              <w:autoSpaceDE w:val="0"/>
              <w:autoSpaceDN w:val="0"/>
              <w:adjustRightInd w:val="0"/>
              <w:ind w:left="0"/>
              <w:jc w:val="both"/>
              <w:rPr>
                <w:rFonts w:cstheme="minorHAnsi"/>
                <w:sz w:val="18"/>
                <w:szCs w:val="18"/>
              </w:rPr>
            </w:pPr>
            <w:r w:rsidRPr="00087E2B">
              <w:rPr>
                <w:rFonts w:cstheme="minorHAnsi"/>
                <w:sz w:val="18"/>
                <w:szCs w:val="18"/>
              </w:rPr>
              <w:t>Le</w:t>
            </w:r>
            <w:r w:rsidR="0067393D">
              <w:rPr>
                <w:rFonts w:cstheme="minorHAnsi"/>
                <w:sz w:val="18"/>
                <w:szCs w:val="18"/>
              </w:rPr>
              <w:t xml:space="preserve"> total de</w:t>
            </w:r>
            <w:r w:rsidRPr="00087E2B">
              <w:rPr>
                <w:rFonts w:cstheme="minorHAnsi"/>
                <w:sz w:val="18"/>
                <w:szCs w:val="18"/>
              </w:rPr>
              <w:t xml:space="preserve">s paiements </w:t>
            </w:r>
            <w:r w:rsidR="0067393D">
              <w:rPr>
                <w:rFonts w:cstheme="minorHAnsi"/>
                <w:sz w:val="18"/>
                <w:szCs w:val="18"/>
              </w:rPr>
              <w:t xml:space="preserve">en monnaie électronique </w:t>
            </w:r>
            <w:r w:rsidR="003C3B09">
              <w:rPr>
                <w:rFonts w:cstheme="minorHAnsi"/>
                <w:sz w:val="18"/>
                <w:szCs w:val="18"/>
              </w:rPr>
              <w:t xml:space="preserve">initiés à </w:t>
            </w:r>
            <w:r w:rsidR="0067393D">
              <w:rPr>
                <w:rFonts w:cstheme="minorHAnsi"/>
                <w:sz w:val="18"/>
                <w:szCs w:val="18"/>
              </w:rPr>
              <w:t xml:space="preserve">distance est = </w:t>
            </w:r>
            <w:r w:rsidRPr="00087E2B">
              <w:rPr>
                <w:rFonts w:cstheme="minorHAnsi"/>
                <w:sz w:val="18"/>
                <w:szCs w:val="18"/>
              </w:rPr>
              <w:t xml:space="preserve">à la somme de </w:t>
            </w:r>
            <w:r w:rsidR="003C3B09">
              <w:rPr>
                <w:rFonts w:cstheme="minorHAnsi"/>
                <w:sz w:val="18"/>
                <w:szCs w:val="18"/>
              </w:rPr>
              <w:t xml:space="preserve">ces paiements ventilés </w:t>
            </w:r>
            <w:r w:rsidRPr="00087E2B">
              <w:rPr>
                <w:rFonts w:cstheme="minorHAnsi"/>
                <w:sz w:val="18"/>
                <w:szCs w:val="18"/>
              </w:rPr>
              <w:t>par niveau d’authentification (avec ou sans authentification forte)</w:t>
            </w:r>
            <w:r w:rsidR="003C3B09">
              <w:rPr>
                <w:rFonts w:cstheme="minorHAnsi"/>
                <w:sz w:val="18"/>
                <w:szCs w:val="18"/>
              </w:rPr>
              <w:t>.</w:t>
            </w:r>
          </w:p>
        </w:tc>
      </w:tr>
      <w:tr w:rsidR="003C3B09" w:rsidRPr="00223702" w14:paraId="49233571" w14:textId="77777777" w:rsidTr="0025116C">
        <w:tc>
          <w:tcPr>
            <w:tcW w:w="9054" w:type="dxa"/>
          </w:tcPr>
          <w:p w14:paraId="57789CC6" w14:textId="521A30FC" w:rsidR="003C3B09" w:rsidRPr="00087E2B" w:rsidRDefault="003C3B09" w:rsidP="003C3B09">
            <w:pPr>
              <w:pStyle w:val="Paragraphedeliste"/>
              <w:autoSpaceDE w:val="0"/>
              <w:autoSpaceDN w:val="0"/>
              <w:adjustRightInd w:val="0"/>
              <w:ind w:left="0"/>
              <w:jc w:val="both"/>
              <w:rPr>
                <w:rFonts w:cstheme="minorHAnsi"/>
                <w:sz w:val="18"/>
                <w:szCs w:val="18"/>
              </w:rPr>
            </w:pPr>
            <w:r w:rsidRPr="00087E2B">
              <w:rPr>
                <w:rFonts w:cstheme="minorHAnsi"/>
                <w:sz w:val="18"/>
                <w:szCs w:val="18"/>
              </w:rPr>
              <w:t>Le</w:t>
            </w:r>
            <w:r>
              <w:rPr>
                <w:rFonts w:cstheme="minorHAnsi"/>
                <w:sz w:val="18"/>
                <w:szCs w:val="18"/>
              </w:rPr>
              <w:t xml:space="preserve"> total de</w:t>
            </w:r>
            <w:r w:rsidRPr="00087E2B">
              <w:rPr>
                <w:rFonts w:cstheme="minorHAnsi"/>
                <w:sz w:val="18"/>
                <w:szCs w:val="18"/>
              </w:rPr>
              <w:t xml:space="preserve">s paiements </w:t>
            </w:r>
            <w:r>
              <w:rPr>
                <w:rFonts w:cstheme="minorHAnsi"/>
                <w:sz w:val="18"/>
                <w:szCs w:val="18"/>
              </w:rPr>
              <w:t xml:space="preserve">en monnaie électronique initiés en proximité est = </w:t>
            </w:r>
            <w:r w:rsidRPr="00087E2B">
              <w:rPr>
                <w:rFonts w:cstheme="minorHAnsi"/>
                <w:sz w:val="18"/>
                <w:szCs w:val="18"/>
              </w:rPr>
              <w:t xml:space="preserve">à la somme de </w:t>
            </w:r>
            <w:r>
              <w:rPr>
                <w:rFonts w:cstheme="minorHAnsi"/>
                <w:sz w:val="18"/>
                <w:szCs w:val="18"/>
              </w:rPr>
              <w:t xml:space="preserve">ces paiements ventilés </w:t>
            </w:r>
            <w:r w:rsidRPr="00087E2B">
              <w:rPr>
                <w:rFonts w:cstheme="minorHAnsi"/>
                <w:sz w:val="18"/>
                <w:szCs w:val="18"/>
              </w:rPr>
              <w:t>par niveau d’authentification (avec ou sans authentification forte)</w:t>
            </w:r>
            <w:r>
              <w:rPr>
                <w:rFonts w:cstheme="minorHAnsi"/>
                <w:sz w:val="18"/>
                <w:szCs w:val="18"/>
              </w:rPr>
              <w:t>.</w:t>
            </w:r>
          </w:p>
        </w:tc>
      </w:tr>
      <w:tr w:rsidR="003C3B09" w:rsidRPr="00DA2B33" w14:paraId="6757797F" w14:textId="77777777" w:rsidTr="0025116C">
        <w:tc>
          <w:tcPr>
            <w:tcW w:w="9054" w:type="dxa"/>
          </w:tcPr>
          <w:p w14:paraId="26F90747" w14:textId="18D40245" w:rsidR="003C3B09" w:rsidRPr="00087E2B" w:rsidRDefault="003C3B09" w:rsidP="003C3B09">
            <w:pPr>
              <w:pStyle w:val="Paragraphedeliste"/>
              <w:autoSpaceDE w:val="0"/>
              <w:autoSpaceDN w:val="0"/>
              <w:adjustRightInd w:val="0"/>
              <w:ind w:left="0"/>
              <w:jc w:val="both"/>
              <w:rPr>
                <w:rFonts w:cstheme="minorHAnsi"/>
                <w:sz w:val="18"/>
                <w:szCs w:val="18"/>
              </w:rPr>
            </w:pPr>
            <w:r w:rsidRPr="00087E2B">
              <w:rPr>
                <w:rFonts w:cstheme="minorHAnsi"/>
                <w:sz w:val="18"/>
                <w:szCs w:val="18"/>
              </w:rPr>
              <w:t>Le</w:t>
            </w:r>
            <w:r>
              <w:rPr>
                <w:rFonts w:cstheme="minorHAnsi"/>
                <w:sz w:val="18"/>
                <w:szCs w:val="18"/>
              </w:rPr>
              <w:t xml:space="preserve"> total des </w:t>
            </w:r>
            <w:r w:rsidRPr="00087E2B">
              <w:rPr>
                <w:rFonts w:cstheme="minorHAnsi"/>
                <w:sz w:val="18"/>
                <w:szCs w:val="18"/>
              </w:rPr>
              <w:t xml:space="preserve">paiements </w:t>
            </w:r>
            <w:r>
              <w:rPr>
                <w:rFonts w:cstheme="minorHAnsi"/>
                <w:sz w:val="18"/>
                <w:szCs w:val="18"/>
              </w:rPr>
              <w:t xml:space="preserve">en monnaie électronique </w:t>
            </w:r>
            <w:r w:rsidRPr="00087E2B">
              <w:rPr>
                <w:rFonts w:cstheme="minorHAnsi"/>
                <w:sz w:val="18"/>
                <w:szCs w:val="18"/>
              </w:rPr>
              <w:t xml:space="preserve">sans authentification forte </w:t>
            </w:r>
            <w:r>
              <w:rPr>
                <w:rFonts w:cstheme="minorHAnsi"/>
                <w:sz w:val="18"/>
                <w:szCs w:val="18"/>
              </w:rPr>
              <w:t>initiés à distance est =</w:t>
            </w:r>
            <w:r w:rsidRPr="00087E2B">
              <w:rPr>
                <w:rFonts w:cstheme="minorHAnsi"/>
                <w:sz w:val="18"/>
                <w:szCs w:val="18"/>
              </w:rPr>
              <w:t xml:space="preserve"> à la somme de </w:t>
            </w:r>
            <w:r>
              <w:rPr>
                <w:rFonts w:cstheme="minorHAnsi"/>
                <w:sz w:val="18"/>
                <w:szCs w:val="18"/>
              </w:rPr>
              <w:t xml:space="preserve">ces paiements ventilés </w:t>
            </w:r>
            <w:r w:rsidRPr="00087E2B">
              <w:rPr>
                <w:rFonts w:cstheme="minorHAnsi"/>
                <w:sz w:val="18"/>
                <w:szCs w:val="18"/>
              </w:rPr>
              <w:t>par motif d’exemption</w:t>
            </w:r>
            <w:r>
              <w:rPr>
                <w:rFonts w:cstheme="minorHAnsi"/>
                <w:sz w:val="18"/>
                <w:szCs w:val="18"/>
              </w:rPr>
              <w:t>.</w:t>
            </w:r>
          </w:p>
        </w:tc>
      </w:tr>
      <w:tr w:rsidR="003C3B09" w:rsidRPr="00DA2B33" w14:paraId="174BCD03" w14:textId="77777777" w:rsidTr="0025116C">
        <w:tc>
          <w:tcPr>
            <w:tcW w:w="9054" w:type="dxa"/>
          </w:tcPr>
          <w:p w14:paraId="58C84D56" w14:textId="79272DA3" w:rsidR="003C3B09" w:rsidRPr="00087E2B" w:rsidRDefault="003C3B09" w:rsidP="003C3B09">
            <w:pPr>
              <w:pStyle w:val="Paragraphedeliste"/>
              <w:autoSpaceDE w:val="0"/>
              <w:autoSpaceDN w:val="0"/>
              <w:adjustRightInd w:val="0"/>
              <w:ind w:left="0"/>
              <w:jc w:val="both"/>
              <w:rPr>
                <w:rFonts w:cstheme="minorHAnsi"/>
                <w:sz w:val="18"/>
                <w:szCs w:val="18"/>
              </w:rPr>
            </w:pPr>
            <w:r w:rsidRPr="00087E2B">
              <w:rPr>
                <w:rFonts w:cstheme="minorHAnsi"/>
                <w:sz w:val="18"/>
                <w:szCs w:val="18"/>
              </w:rPr>
              <w:t>Le</w:t>
            </w:r>
            <w:r>
              <w:rPr>
                <w:rFonts w:cstheme="minorHAnsi"/>
                <w:sz w:val="18"/>
                <w:szCs w:val="18"/>
              </w:rPr>
              <w:t xml:space="preserve"> total des </w:t>
            </w:r>
            <w:r w:rsidRPr="00087E2B">
              <w:rPr>
                <w:rFonts w:cstheme="minorHAnsi"/>
                <w:sz w:val="18"/>
                <w:szCs w:val="18"/>
              </w:rPr>
              <w:t xml:space="preserve">paiements </w:t>
            </w:r>
            <w:r>
              <w:rPr>
                <w:rFonts w:cstheme="minorHAnsi"/>
                <w:sz w:val="18"/>
                <w:szCs w:val="18"/>
              </w:rPr>
              <w:t xml:space="preserve">en monnaie électronique </w:t>
            </w:r>
            <w:r w:rsidRPr="00087E2B">
              <w:rPr>
                <w:rFonts w:cstheme="minorHAnsi"/>
                <w:sz w:val="18"/>
                <w:szCs w:val="18"/>
              </w:rPr>
              <w:t xml:space="preserve">sans authentification forte </w:t>
            </w:r>
            <w:r>
              <w:rPr>
                <w:rFonts w:cstheme="minorHAnsi"/>
                <w:sz w:val="18"/>
                <w:szCs w:val="18"/>
              </w:rPr>
              <w:t>initiés en proximité est =</w:t>
            </w:r>
            <w:r w:rsidRPr="00087E2B">
              <w:rPr>
                <w:rFonts w:cstheme="minorHAnsi"/>
                <w:sz w:val="18"/>
                <w:szCs w:val="18"/>
              </w:rPr>
              <w:t xml:space="preserve"> à la somme de </w:t>
            </w:r>
            <w:r>
              <w:rPr>
                <w:rFonts w:cstheme="minorHAnsi"/>
                <w:sz w:val="18"/>
                <w:szCs w:val="18"/>
              </w:rPr>
              <w:t xml:space="preserve">ces paiements ventilés </w:t>
            </w:r>
            <w:r w:rsidRPr="00087E2B">
              <w:rPr>
                <w:rFonts w:cstheme="minorHAnsi"/>
                <w:sz w:val="18"/>
                <w:szCs w:val="18"/>
              </w:rPr>
              <w:t>par motif d’exemption</w:t>
            </w:r>
            <w:r>
              <w:rPr>
                <w:rFonts w:cstheme="minorHAnsi"/>
                <w:sz w:val="18"/>
                <w:szCs w:val="18"/>
              </w:rPr>
              <w:t>.</w:t>
            </w:r>
          </w:p>
        </w:tc>
      </w:tr>
    </w:tbl>
    <w:p w14:paraId="4945679C" w14:textId="4DDD8D47" w:rsidR="008E304D" w:rsidRPr="00DA2B33" w:rsidRDefault="008E304D" w:rsidP="008E304D">
      <w:pPr>
        <w:pStyle w:val="Paragraphedeliste"/>
        <w:autoSpaceDE w:val="0"/>
        <w:autoSpaceDN w:val="0"/>
        <w:adjustRightInd w:val="0"/>
        <w:spacing w:after="0" w:line="240" w:lineRule="auto"/>
        <w:jc w:val="both"/>
        <w:rPr>
          <w:rFonts w:cstheme="minorHAnsi"/>
        </w:rPr>
      </w:pPr>
    </w:p>
    <w:p w14:paraId="4781B2AA" w14:textId="77777777" w:rsidR="00BF0340" w:rsidRPr="00DA2B33" w:rsidRDefault="00BF0340" w:rsidP="008E304D">
      <w:pPr>
        <w:pStyle w:val="Paragraphedeliste"/>
        <w:autoSpaceDE w:val="0"/>
        <w:autoSpaceDN w:val="0"/>
        <w:adjustRightInd w:val="0"/>
        <w:spacing w:after="0" w:line="240" w:lineRule="auto"/>
        <w:jc w:val="both"/>
        <w:rPr>
          <w:rFonts w:cstheme="minorHAnsi"/>
        </w:rPr>
      </w:pPr>
    </w:p>
    <w:p w14:paraId="1999C196" w14:textId="7BA6A3CA" w:rsidR="00BB3D2D" w:rsidRPr="0096058A" w:rsidRDefault="00BB3D2D" w:rsidP="007718A3">
      <w:pPr>
        <w:pStyle w:val="Titre4"/>
        <w:numPr>
          <w:ilvl w:val="3"/>
          <w:numId w:val="38"/>
        </w:numPr>
        <w:ind w:left="1180" w:hanging="1123"/>
      </w:pPr>
      <w:bookmarkStart w:id="47" w:name="_Toc222476877"/>
      <w:r w:rsidRPr="0096058A">
        <w:t>Paiements en monnaie électronique reçus par l’établissement</w:t>
      </w:r>
      <w:bookmarkEnd w:id="47"/>
    </w:p>
    <w:p w14:paraId="1A33C971" w14:textId="77777777" w:rsidR="00BB3D2D" w:rsidRPr="00567BFE" w:rsidRDefault="00BB3D2D" w:rsidP="00F735D7">
      <w:pPr>
        <w:spacing w:after="0" w:line="240" w:lineRule="auto"/>
        <w:rPr>
          <w:rFonts w:ascii="Calibri" w:eastAsia="Times New Roman" w:hAnsi="Calibri" w:cs="Calibri"/>
          <w:bCs/>
          <w:i/>
          <w:sz w:val="20"/>
          <w:szCs w:val="20"/>
          <w:lang w:eastAsia="fr-FR"/>
        </w:rPr>
      </w:pPr>
    </w:p>
    <w:p w14:paraId="3C4DE2E5" w14:textId="77777777" w:rsidR="006E2514" w:rsidRDefault="006E2514" w:rsidP="00FE5E9A">
      <w:pPr>
        <w:spacing w:after="0" w:line="240" w:lineRule="auto"/>
        <w:jc w:val="both"/>
        <w:rPr>
          <w:rFonts w:ascii="Calibri" w:eastAsia="Times New Roman" w:hAnsi="Calibri" w:cs="Calibri"/>
          <w:b/>
          <w:smallCaps/>
          <w:color w:val="2E74B5" w:themeColor="accent1" w:themeShade="BF"/>
          <w:sz w:val="24"/>
          <w:szCs w:val="24"/>
          <w:lang w:eastAsia="fr-FR"/>
        </w:rPr>
      </w:pPr>
    </w:p>
    <w:p w14:paraId="7FDF4797" w14:textId="74A6C12D"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33CA5D5F" w14:textId="77777777" w:rsidR="00FE5E9A" w:rsidRPr="00567BFE" w:rsidRDefault="00FE5E9A" w:rsidP="00F735D7">
      <w:pPr>
        <w:spacing w:after="0" w:line="240" w:lineRule="auto"/>
        <w:rPr>
          <w:rFonts w:ascii="Calibri" w:eastAsia="Times New Roman" w:hAnsi="Calibri" w:cs="Calibri"/>
          <w:bCs/>
          <w:i/>
          <w:sz w:val="20"/>
          <w:szCs w:val="20"/>
          <w:lang w:eastAsia="fr-FR"/>
        </w:rPr>
      </w:pPr>
    </w:p>
    <w:tbl>
      <w:tblPr>
        <w:tblStyle w:val="Tableausimple2"/>
        <w:tblW w:w="8789"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35"/>
        <w:gridCol w:w="2552"/>
        <w:gridCol w:w="1134"/>
        <w:gridCol w:w="1134"/>
        <w:gridCol w:w="1134"/>
      </w:tblGrid>
      <w:tr w:rsidR="00DA2B33" w:rsidRPr="00DF344D" w14:paraId="59FFA877" w14:textId="77777777" w:rsidTr="007A6C3B">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387" w:type="dxa"/>
            <w:gridSpan w:val="2"/>
            <w:tcBorders>
              <w:bottom w:val="single" w:sz="18" w:space="0" w:color="5B9BD5" w:themeColor="accent1"/>
            </w:tcBorders>
            <w:noWrap/>
          </w:tcPr>
          <w:p w14:paraId="45435973" w14:textId="77777777" w:rsidR="00DA2B33" w:rsidRPr="00D65CE2" w:rsidRDefault="00DA2B33" w:rsidP="00DA2B33">
            <w:pPr>
              <w:jc w:val="both"/>
              <w:rPr>
                <w:rFonts w:ascii="Calibri" w:eastAsia="Times New Roman" w:hAnsi="Calibri" w:cs="Calibri"/>
                <w:sz w:val="18"/>
                <w:szCs w:val="18"/>
                <w:lang w:eastAsia="fr-FR"/>
              </w:rPr>
            </w:pP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43CB6D77" w14:textId="18C65FC9" w:rsidR="00DA2B33" w:rsidRPr="00DF344D" w:rsidRDefault="004E68CF" w:rsidP="00DA2B3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bCs w:val="0"/>
                <w:sz w:val="14"/>
                <w:szCs w:val="18"/>
              </w:rPr>
              <w:t>Pays du PSP du payeur</w:t>
            </w: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E333C27" w14:textId="50559505" w:rsidR="00DA2B33" w:rsidRPr="00DF344D" w:rsidRDefault="00DA2B33" w:rsidP="00DA2B3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113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7E42C5D1" w14:textId="77777777" w:rsidR="00DA2B33" w:rsidRPr="007D187B" w:rsidRDefault="00DA2B33" w:rsidP="00DA2B3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3E97A0C6" w14:textId="62ABDD6F" w:rsidR="00DA2B33" w:rsidRPr="00DF344D" w:rsidRDefault="00DA2B33" w:rsidP="00DA2B3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sidRPr="007D187B">
              <w:rPr>
                <w:rFonts w:cstheme="minorHAnsi"/>
                <w:bCs w:val="0"/>
                <w:sz w:val="14"/>
                <w:szCs w:val="18"/>
              </w:rPr>
              <w:t>euros</w:t>
            </w:r>
            <w:proofErr w:type="gramEnd"/>
          </w:p>
        </w:tc>
      </w:tr>
      <w:tr w:rsidR="004E68CF" w:rsidRPr="00DF344D" w14:paraId="48DD00AA" w14:textId="0708A4A3" w:rsidTr="007A6C3B">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5" w:type="dxa"/>
            <w:tcBorders>
              <w:top w:val="single" w:sz="18" w:space="0" w:color="5B9BD5" w:themeColor="accent1"/>
              <w:bottom w:val="single" w:sz="18" w:space="0" w:color="5B9BD5" w:themeColor="accent1"/>
            </w:tcBorders>
            <w:noWrap/>
            <w:hideMark/>
          </w:tcPr>
          <w:p w14:paraId="1706FEDF" w14:textId="69076EF9" w:rsidR="004E68CF" w:rsidRPr="00DF344D" w:rsidRDefault="004E68CF" w:rsidP="004E68CF">
            <w:pPr>
              <w:rPr>
                <w:rFonts w:ascii="Calibri" w:eastAsia="Times New Roman" w:hAnsi="Calibri" w:cs="Calibri"/>
                <w:b w:val="0"/>
                <w:bCs w:val="0"/>
                <w:i/>
                <w:sz w:val="18"/>
                <w:szCs w:val="18"/>
                <w:lang w:eastAsia="fr-FR"/>
              </w:rPr>
            </w:pPr>
            <w:r w:rsidRPr="00DF344D">
              <w:rPr>
                <w:rFonts w:ascii="Calibri" w:eastAsia="Times New Roman" w:hAnsi="Calibri" w:cs="Calibri"/>
                <w:i/>
                <w:sz w:val="18"/>
                <w:szCs w:val="18"/>
                <w:lang w:eastAsia="fr-FR"/>
              </w:rPr>
              <w:t>Paiements en monnaie électronique reçus par l'établissement</w:t>
            </w:r>
          </w:p>
        </w:tc>
        <w:tc>
          <w:tcPr>
            <w:tcW w:w="2552" w:type="dxa"/>
            <w:tcBorders>
              <w:top w:val="single" w:sz="18" w:space="0" w:color="5B9BD5" w:themeColor="accent1"/>
              <w:bottom w:val="single" w:sz="18" w:space="0" w:color="5B9BD5" w:themeColor="accent1"/>
            </w:tcBorders>
          </w:tcPr>
          <w:p w14:paraId="026C682A" w14:textId="7C5D5573" w:rsidR="004E68CF" w:rsidRPr="00DF344D" w:rsidRDefault="004E68CF" w:rsidP="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134" w:type="dxa"/>
            <w:tcBorders>
              <w:top w:val="single" w:sz="18" w:space="0" w:color="5B9BD5" w:themeColor="accent1"/>
              <w:bottom w:val="single" w:sz="18" w:space="0" w:color="5B9BD5" w:themeColor="accent1"/>
            </w:tcBorders>
            <w:noWrap/>
          </w:tcPr>
          <w:p w14:paraId="13E4BABF" w14:textId="3FDE86F4" w:rsidR="004E68CF" w:rsidRPr="002262D6" w:rsidRDefault="004E68CF" w:rsidP="002262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sidRPr="002262D6">
              <w:rPr>
                <w:rFonts w:ascii="Calibri" w:eastAsia="Times New Roman" w:hAnsi="Calibri" w:cs="Calibri"/>
                <w:b/>
                <w:sz w:val="14"/>
                <w:szCs w:val="18"/>
                <w:lang w:eastAsia="fr-FR"/>
              </w:rPr>
              <w:t>Selon ventilation géographique en section 5</w:t>
            </w:r>
            <w:r w:rsidR="002262D6" w:rsidRPr="002262D6">
              <w:rPr>
                <w:rFonts w:ascii="Calibri" w:eastAsia="Times New Roman" w:hAnsi="Calibri" w:cs="Calibri"/>
                <w:b/>
                <w:sz w:val="14"/>
                <w:szCs w:val="18"/>
                <w:lang w:eastAsia="fr-FR"/>
              </w:rPr>
              <w:t>.1</w:t>
            </w:r>
          </w:p>
        </w:tc>
        <w:tc>
          <w:tcPr>
            <w:tcW w:w="1134" w:type="dxa"/>
            <w:tcBorders>
              <w:top w:val="single" w:sz="18" w:space="0" w:color="5B9BD5" w:themeColor="accent1"/>
              <w:bottom w:val="single" w:sz="18" w:space="0" w:color="5B9BD5" w:themeColor="accent1"/>
            </w:tcBorders>
          </w:tcPr>
          <w:p w14:paraId="71D3EC24" w14:textId="77777777" w:rsidR="004E68CF" w:rsidRPr="00DF344D"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4" w:type="dxa"/>
            <w:tcBorders>
              <w:top w:val="single" w:sz="18" w:space="0" w:color="5B9BD5" w:themeColor="accent1"/>
              <w:bottom w:val="single" w:sz="18" w:space="0" w:color="5B9BD5" w:themeColor="accent1"/>
            </w:tcBorders>
          </w:tcPr>
          <w:p w14:paraId="71A0AB79" w14:textId="77777777" w:rsidR="004E68CF" w:rsidRPr="00DF344D"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bl>
    <w:p w14:paraId="37FDD52B" w14:textId="77777777" w:rsidR="008E304D" w:rsidRDefault="008E304D" w:rsidP="008E304D">
      <w:pPr>
        <w:pStyle w:val="Paragraphedeliste"/>
        <w:autoSpaceDE w:val="0"/>
        <w:autoSpaceDN w:val="0"/>
        <w:adjustRightInd w:val="0"/>
        <w:spacing w:after="0" w:line="240" w:lineRule="auto"/>
        <w:jc w:val="both"/>
        <w:rPr>
          <w:rFonts w:cstheme="minorHAnsi"/>
        </w:rPr>
      </w:pPr>
    </w:p>
    <w:p w14:paraId="1FE7B694" w14:textId="77777777" w:rsidR="008E304D" w:rsidRPr="004E58CA" w:rsidRDefault="008E304D"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17540B15" w14:textId="32D1B6A0" w:rsidR="008E304D" w:rsidRPr="00DB5BC7" w:rsidRDefault="008E304D" w:rsidP="008E304D">
      <w:pPr>
        <w:pStyle w:val="Paragraphedeliste"/>
        <w:autoSpaceDE w:val="0"/>
        <w:autoSpaceDN w:val="0"/>
        <w:adjustRightInd w:val="0"/>
        <w:spacing w:after="0" w:line="240" w:lineRule="auto"/>
        <w:jc w:val="both"/>
        <w:rPr>
          <w:rFonts w:cstheme="minorHAnsi"/>
        </w:rPr>
      </w:pPr>
    </w:p>
    <w:p w14:paraId="3257E23B" w14:textId="060C394A" w:rsidR="00D668C7" w:rsidRPr="00187036" w:rsidRDefault="00D668C7" w:rsidP="00187036">
      <w:pPr>
        <w:autoSpaceDE w:val="0"/>
        <w:autoSpaceDN w:val="0"/>
        <w:adjustRightInd w:val="0"/>
        <w:spacing w:after="0" w:line="240" w:lineRule="auto"/>
        <w:jc w:val="both"/>
        <w:rPr>
          <w:rFonts w:cstheme="minorHAnsi"/>
        </w:rPr>
      </w:pPr>
      <w:r w:rsidRPr="00187036">
        <w:rPr>
          <w:rFonts w:cstheme="minorHAnsi"/>
        </w:rPr>
        <w:t>L</w:t>
      </w:r>
      <w:r w:rsidR="00DB5BC7" w:rsidRPr="00187036">
        <w:rPr>
          <w:rFonts w:cstheme="minorHAnsi"/>
        </w:rPr>
        <w:t>a</w:t>
      </w:r>
      <w:r w:rsidRPr="00187036">
        <w:rPr>
          <w:rFonts w:cstheme="minorHAnsi"/>
        </w:rPr>
        <w:t xml:space="preserve"> règle de contrôle suivante doit être ap</w:t>
      </w:r>
      <w:r w:rsidR="00DA1236">
        <w:rPr>
          <w:rFonts w:cstheme="minorHAnsi"/>
        </w:rPr>
        <w:t>pliquée en nombre et en valeur.</w:t>
      </w:r>
    </w:p>
    <w:p w14:paraId="2F0B05C5" w14:textId="77777777" w:rsidR="00D668C7" w:rsidRPr="00DB5BC7" w:rsidRDefault="00D668C7" w:rsidP="008E304D">
      <w:pPr>
        <w:pStyle w:val="Paragraphedeliste"/>
        <w:autoSpaceDE w:val="0"/>
        <w:autoSpaceDN w:val="0"/>
        <w:adjustRightInd w:val="0"/>
        <w:spacing w:after="0" w:line="240" w:lineRule="auto"/>
        <w:jc w:val="both"/>
        <w:rPr>
          <w:rFonts w:cstheme="minorHAnsi"/>
        </w:rPr>
      </w:pPr>
    </w:p>
    <w:tbl>
      <w:tblPr>
        <w:tblStyle w:val="Grilledutableau"/>
        <w:tblW w:w="8771"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8771"/>
      </w:tblGrid>
      <w:tr w:rsidR="00DA2B33" w:rsidRPr="00191426" w14:paraId="1044F958" w14:textId="77777777" w:rsidTr="004E68CF">
        <w:tc>
          <w:tcPr>
            <w:tcW w:w="8771" w:type="dxa"/>
            <w:shd w:val="clear" w:color="auto" w:fill="auto"/>
          </w:tcPr>
          <w:p w14:paraId="0E39EAC4" w14:textId="45884108" w:rsidR="00DA2B33" w:rsidRPr="004E58CA" w:rsidRDefault="00DA2B33" w:rsidP="0067393D">
            <w:pPr>
              <w:pStyle w:val="Paragraphedeliste"/>
              <w:autoSpaceDE w:val="0"/>
              <w:autoSpaceDN w:val="0"/>
              <w:adjustRightInd w:val="0"/>
              <w:ind w:left="0"/>
              <w:jc w:val="both"/>
              <w:rPr>
                <w:sz w:val="18"/>
              </w:rPr>
            </w:pPr>
            <w:r w:rsidRPr="00A675AF">
              <w:rPr>
                <w:rFonts w:cstheme="minorHAnsi"/>
                <w:sz w:val="18"/>
                <w:szCs w:val="18"/>
              </w:rPr>
              <w:t>Le</w:t>
            </w:r>
            <w:r w:rsidR="0067393D">
              <w:rPr>
                <w:rFonts w:cstheme="minorHAnsi"/>
                <w:sz w:val="18"/>
                <w:szCs w:val="18"/>
              </w:rPr>
              <w:t xml:space="preserve"> total des</w:t>
            </w:r>
            <w:r w:rsidRPr="00A675AF">
              <w:rPr>
                <w:rFonts w:cstheme="minorHAnsi"/>
                <w:sz w:val="18"/>
                <w:szCs w:val="18"/>
              </w:rPr>
              <w:t xml:space="preserve"> paiements en monnaie électronique reçu</w:t>
            </w:r>
            <w:r>
              <w:rPr>
                <w:rFonts w:cstheme="minorHAnsi"/>
                <w:sz w:val="18"/>
                <w:szCs w:val="18"/>
              </w:rPr>
              <w:t>s</w:t>
            </w:r>
            <w:r w:rsidRPr="00A675AF">
              <w:rPr>
                <w:rFonts w:cstheme="minorHAnsi"/>
                <w:sz w:val="18"/>
                <w:szCs w:val="18"/>
              </w:rPr>
              <w:t xml:space="preserve"> </w:t>
            </w:r>
            <w:r w:rsidR="0067393D">
              <w:rPr>
                <w:rFonts w:cstheme="minorHAnsi"/>
                <w:sz w:val="18"/>
                <w:szCs w:val="18"/>
              </w:rPr>
              <w:t xml:space="preserve">est = </w:t>
            </w:r>
            <w:r w:rsidR="0067393D" w:rsidRPr="00913B52">
              <w:rPr>
                <w:rFonts w:cstheme="minorHAnsi"/>
                <w:sz w:val="18"/>
                <w:szCs w:val="18"/>
              </w:rPr>
              <w:t>à la somme des trois sous-ventilations géographiques associées (France, au sein de l’EEE et hors de l’EEE</w:t>
            </w:r>
            <w:r w:rsidR="007A6C3B">
              <w:rPr>
                <w:rFonts w:cstheme="minorHAnsi"/>
                <w:sz w:val="18"/>
                <w:szCs w:val="18"/>
              </w:rPr>
              <w:t>)</w:t>
            </w:r>
            <w:r w:rsidR="0067393D" w:rsidRPr="00913B52">
              <w:rPr>
                <w:rFonts w:cstheme="minorHAnsi"/>
                <w:sz w:val="18"/>
                <w:szCs w:val="18"/>
              </w:rPr>
              <w:t>.</w:t>
            </w:r>
          </w:p>
        </w:tc>
      </w:tr>
      <w:tr w:rsidR="0067393D" w:rsidRPr="004E58CA" w14:paraId="6E9D0339" w14:textId="77777777" w:rsidTr="004E68CF">
        <w:tc>
          <w:tcPr>
            <w:tcW w:w="8771" w:type="dxa"/>
          </w:tcPr>
          <w:p w14:paraId="225D4140" w14:textId="728FB933" w:rsidR="0067393D" w:rsidRPr="004E58CA" w:rsidRDefault="0067393D" w:rsidP="0067393D">
            <w:pPr>
              <w:pStyle w:val="Paragraphedeliste"/>
              <w:autoSpaceDE w:val="0"/>
              <w:autoSpaceDN w:val="0"/>
              <w:adjustRightInd w:val="0"/>
              <w:ind w:left="0"/>
              <w:jc w:val="both"/>
              <w:rPr>
                <w:sz w:val="18"/>
              </w:rPr>
            </w:pPr>
            <w:r>
              <w:rPr>
                <w:rFonts w:cstheme="minorHAnsi"/>
                <w:sz w:val="18"/>
                <w:szCs w:val="18"/>
              </w:rPr>
              <w:t>Le total « au sein de la zone de l’EEE » des paiements en monnaie électronique reçus est = à la somme de la ventilation par pays de l’EEE.</w:t>
            </w:r>
          </w:p>
        </w:tc>
      </w:tr>
    </w:tbl>
    <w:p w14:paraId="6A4F3634" w14:textId="73018B1B" w:rsidR="008E304D" w:rsidRDefault="008E304D" w:rsidP="008E304D">
      <w:pPr>
        <w:pStyle w:val="Paragraphedeliste"/>
        <w:autoSpaceDE w:val="0"/>
        <w:autoSpaceDN w:val="0"/>
        <w:adjustRightInd w:val="0"/>
        <w:spacing w:after="0" w:line="240" w:lineRule="auto"/>
        <w:jc w:val="both"/>
        <w:rPr>
          <w:rFonts w:cstheme="minorHAnsi"/>
        </w:rPr>
      </w:pPr>
    </w:p>
    <w:p w14:paraId="6EC25A0C" w14:textId="77777777" w:rsidR="00A51F0E" w:rsidRDefault="00A51F0E" w:rsidP="008E304D">
      <w:pPr>
        <w:pStyle w:val="Paragraphedeliste"/>
        <w:autoSpaceDE w:val="0"/>
        <w:autoSpaceDN w:val="0"/>
        <w:adjustRightInd w:val="0"/>
        <w:spacing w:after="0" w:line="240" w:lineRule="auto"/>
        <w:jc w:val="both"/>
        <w:rPr>
          <w:rFonts w:cstheme="minorHAnsi"/>
        </w:rPr>
      </w:pPr>
    </w:p>
    <w:p w14:paraId="6401956B" w14:textId="10A3922A" w:rsidR="00BB3D2D" w:rsidRPr="0096058A" w:rsidRDefault="00BB3D2D" w:rsidP="007718A3">
      <w:pPr>
        <w:pStyle w:val="Titre3"/>
        <w:numPr>
          <w:ilvl w:val="2"/>
          <w:numId w:val="38"/>
        </w:numPr>
        <w:jc w:val="both"/>
      </w:pPr>
      <w:bookmarkStart w:id="48" w:name="_Toc222476878"/>
      <w:r w:rsidRPr="0096058A">
        <w:t>Commentaires sur la monnaie électronique</w:t>
      </w:r>
      <w:bookmarkEnd w:id="48"/>
    </w:p>
    <w:p w14:paraId="4A41379F" w14:textId="77777777" w:rsidR="006B0856" w:rsidRDefault="006B0856" w:rsidP="00917077">
      <w:pPr>
        <w:spacing w:after="0" w:line="240" w:lineRule="auto"/>
        <w:rPr>
          <w:rFonts w:ascii="Calibri" w:eastAsia="Times New Roman" w:hAnsi="Calibri" w:cs="Calibri"/>
          <w:i/>
          <w:sz w:val="20"/>
          <w:szCs w:val="20"/>
          <w:lang w:eastAsia="fr-FR"/>
        </w:rPr>
      </w:pPr>
    </w:p>
    <w:p w14:paraId="42FFA7DA"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554930CD" w14:textId="2D05C8F5" w:rsidR="006B0856" w:rsidRDefault="006B0856" w:rsidP="00917077">
      <w:pPr>
        <w:spacing w:after="0" w:line="240" w:lineRule="auto"/>
        <w:rPr>
          <w:rFonts w:ascii="Calibri" w:eastAsia="Times New Roman" w:hAnsi="Calibri" w:cs="Calibri"/>
          <w:i/>
          <w:sz w:val="20"/>
          <w:szCs w:val="20"/>
          <w:lang w:eastAsia="fr-FR"/>
        </w:rPr>
      </w:pPr>
    </w:p>
    <w:tbl>
      <w:tblPr>
        <w:tblStyle w:val="Tableausimple2"/>
        <w:tblW w:w="8789"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53"/>
        <w:gridCol w:w="4436"/>
      </w:tblGrid>
      <w:tr w:rsidR="00323441" w:rsidRPr="00567BFE" w14:paraId="2DE9F378" w14:textId="77777777" w:rsidTr="004E68CF">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353" w:type="dxa"/>
            <w:tcBorders>
              <w:bottom w:val="none" w:sz="0" w:space="0" w:color="auto"/>
            </w:tcBorders>
            <w:noWrap/>
          </w:tcPr>
          <w:p w14:paraId="6667B3D9" w14:textId="77777777" w:rsidR="00323441" w:rsidRDefault="00323441" w:rsidP="00273E19">
            <w:pPr>
              <w:rPr>
                <w:rFonts w:ascii="Calibri" w:eastAsia="Times New Roman" w:hAnsi="Calibri" w:cs="Calibri"/>
                <w:i/>
                <w:sz w:val="20"/>
                <w:szCs w:val="20"/>
                <w:lang w:eastAsia="fr-FR"/>
              </w:rPr>
            </w:pPr>
          </w:p>
          <w:p w14:paraId="7F4865C3" w14:textId="642479F6" w:rsidR="00323441" w:rsidRPr="00DF344D" w:rsidRDefault="00323441" w:rsidP="00273E19">
            <w:pPr>
              <w:rPr>
                <w:rFonts w:ascii="Calibri" w:eastAsia="Times New Roman" w:hAnsi="Calibri" w:cs="Calibri"/>
                <w:i/>
                <w:sz w:val="20"/>
                <w:szCs w:val="20"/>
                <w:lang w:eastAsia="fr-FR"/>
              </w:rPr>
            </w:pPr>
            <w:r w:rsidRPr="00DF344D">
              <w:rPr>
                <w:rFonts w:ascii="Calibri" w:eastAsia="Times New Roman" w:hAnsi="Calibri" w:cs="Calibri"/>
                <w:i/>
                <w:sz w:val="20"/>
                <w:szCs w:val="20"/>
                <w:lang w:eastAsia="fr-FR"/>
              </w:rPr>
              <w:t>Commentaires sur l'activité monnaie électronique</w:t>
            </w:r>
          </w:p>
          <w:p w14:paraId="1774DF8E" w14:textId="77777777" w:rsidR="00323441" w:rsidRPr="006D68DE" w:rsidRDefault="00323441" w:rsidP="00273E19">
            <w:pPr>
              <w:rPr>
                <w:rFonts w:ascii="Calibri" w:eastAsia="Times New Roman" w:hAnsi="Calibri" w:cs="Calibri"/>
                <w:b w:val="0"/>
                <w:i/>
                <w:sz w:val="20"/>
                <w:szCs w:val="20"/>
                <w:lang w:eastAsia="fr-FR"/>
              </w:rPr>
            </w:pPr>
          </w:p>
        </w:tc>
        <w:tc>
          <w:tcPr>
            <w:tcW w:w="4436" w:type="dxa"/>
            <w:tcBorders>
              <w:bottom w:val="none" w:sz="0" w:space="0" w:color="auto"/>
            </w:tcBorders>
          </w:tcPr>
          <w:p w14:paraId="182065B1" w14:textId="12B2CD54" w:rsidR="00323441" w:rsidRPr="00E755BB" w:rsidRDefault="00323441" w:rsidP="00273E1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i/>
                <w:sz w:val="20"/>
                <w:szCs w:val="20"/>
                <w:lang w:eastAsia="fr-FR"/>
              </w:rPr>
            </w:pPr>
          </w:p>
        </w:tc>
      </w:tr>
    </w:tbl>
    <w:p w14:paraId="51FB3911" w14:textId="2DC927C1" w:rsidR="00BB3D2D" w:rsidRDefault="00BB3D2D" w:rsidP="00917077">
      <w:pPr>
        <w:spacing w:after="0" w:line="240" w:lineRule="auto"/>
        <w:rPr>
          <w:rFonts w:ascii="Calibri" w:eastAsia="Times New Roman" w:hAnsi="Calibri" w:cs="Calibri"/>
          <w:i/>
          <w:sz w:val="20"/>
          <w:szCs w:val="20"/>
          <w:lang w:eastAsia="fr-FR"/>
        </w:rPr>
      </w:pPr>
    </w:p>
    <w:p w14:paraId="1906E424" w14:textId="386B086E" w:rsidR="00BB3D2D" w:rsidRDefault="00BB3D2D" w:rsidP="00917077">
      <w:pPr>
        <w:spacing w:after="0" w:line="240" w:lineRule="auto"/>
        <w:rPr>
          <w:rFonts w:ascii="Calibri" w:eastAsia="Times New Roman" w:hAnsi="Calibri" w:cs="Calibri"/>
          <w:i/>
          <w:sz w:val="20"/>
          <w:szCs w:val="20"/>
          <w:lang w:eastAsia="fr-FR"/>
        </w:rPr>
      </w:pPr>
    </w:p>
    <w:p w14:paraId="73E20EF9" w14:textId="7ADE4206" w:rsidR="00747A62" w:rsidRPr="0096058A" w:rsidRDefault="000A2742" w:rsidP="007718A3">
      <w:pPr>
        <w:pStyle w:val="Titre2"/>
        <w:numPr>
          <w:ilvl w:val="1"/>
          <w:numId w:val="38"/>
        </w:numPr>
      </w:pPr>
      <w:bookmarkStart w:id="49" w:name="_Toc222476879"/>
      <w:r w:rsidRPr="0096058A">
        <w:t>Virements</w:t>
      </w:r>
      <w:bookmarkEnd w:id="49"/>
      <w:r w:rsidRPr="0096058A">
        <w:t xml:space="preserve"> </w:t>
      </w:r>
    </w:p>
    <w:p w14:paraId="3FC8AA66" w14:textId="77777777" w:rsidR="006A1B3D" w:rsidRPr="00D65CE2" w:rsidRDefault="006A1B3D" w:rsidP="006A1B3D">
      <w:pPr>
        <w:jc w:val="both"/>
        <w:rPr>
          <w:rFonts w:cstheme="minorHAnsi"/>
          <w:color w:val="1F4E79" w:themeColor="accent1" w:themeShade="80"/>
        </w:rPr>
      </w:pPr>
    </w:p>
    <w:p w14:paraId="29860486" w14:textId="095FA412" w:rsidR="005B06B2" w:rsidRDefault="006A1B3D" w:rsidP="006A1B3D">
      <w:pPr>
        <w:jc w:val="both"/>
        <w:rPr>
          <w:rFonts w:cstheme="minorHAnsi"/>
        </w:rPr>
      </w:pPr>
      <w:r>
        <w:rPr>
          <w:rFonts w:cstheme="minorHAnsi"/>
        </w:rPr>
        <w:t>I</w:t>
      </w:r>
      <w:r w:rsidRPr="006A1B3D">
        <w:rPr>
          <w:rFonts w:cstheme="minorHAnsi"/>
        </w:rPr>
        <w:t>l s’</w:t>
      </w:r>
      <w:r>
        <w:rPr>
          <w:rFonts w:cstheme="minorHAnsi"/>
        </w:rPr>
        <w:t xml:space="preserve">agit de déclarer, en </w:t>
      </w:r>
      <w:r w:rsidR="00733E40">
        <w:rPr>
          <w:rFonts w:cstheme="minorHAnsi"/>
        </w:rPr>
        <w:t>volume</w:t>
      </w:r>
      <w:r>
        <w:rPr>
          <w:rFonts w:cstheme="minorHAnsi"/>
        </w:rPr>
        <w:t xml:space="preserve"> et valeur, les virements </w:t>
      </w:r>
      <w:r w:rsidR="00E43808">
        <w:rPr>
          <w:rFonts w:cstheme="minorHAnsi"/>
        </w:rPr>
        <w:t xml:space="preserve">de toute nature </w:t>
      </w:r>
      <w:r>
        <w:rPr>
          <w:rFonts w:cstheme="minorHAnsi"/>
        </w:rPr>
        <w:t>(SEPA ou non SEPA) traités pour le compte de la clientèle (particuliers</w:t>
      </w:r>
      <w:r w:rsidR="00697EED">
        <w:rPr>
          <w:rFonts w:cstheme="minorHAnsi"/>
        </w:rPr>
        <w:t>, professionnels, entreprises)</w:t>
      </w:r>
      <w:r w:rsidR="005B06B2">
        <w:rPr>
          <w:rFonts w:cstheme="minorHAnsi"/>
        </w:rPr>
        <w:t>.</w:t>
      </w:r>
    </w:p>
    <w:p w14:paraId="45AC7247" w14:textId="0E94F5BC" w:rsidR="00D31EDA" w:rsidRDefault="00D31EDA" w:rsidP="006A1B3D">
      <w:pPr>
        <w:jc w:val="both"/>
        <w:rPr>
          <w:rFonts w:cstheme="minorHAnsi"/>
          <w:u w:val="single"/>
        </w:rPr>
      </w:pPr>
      <w:r>
        <w:rPr>
          <w:rFonts w:cstheme="minorHAnsi"/>
          <w:u w:val="single"/>
        </w:rPr>
        <w:t>Remarques</w:t>
      </w:r>
      <w:r w:rsidRPr="00A675AF">
        <w:rPr>
          <w:rFonts w:cstheme="minorHAnsi"/>
        </w:rPr>
        <w:t> :</w:t>
      </w:r>
    </w:p>
    <w:p w14:paraId="03A3E02D" w14:textId="03A9F2BF" w:rsidR="005B06B2" w:rsidRDefault="00CA09B9" w:rsidP="006A1B3D">
      <w:pPr>
        <w:jc w:val="both"/>
        <w:rPr>
          <w:rFonts w:cstheme="minorHAnsi"/>
          <w:u w:val="single"/>
        </w:rPr>
      </w:pPr>
      <w:r>
        <w:rPr>
          <w:rFonts w:cstheme="minorHAnsi"/>
          <w:u w:val="single"/>
        </w:rPr>
        <w:t>Sont i</w:t>
      </w:r>
      <w:r w:rsidR="005B06B2">
        <w:rPr>
          <w:rFonts w:cstheme="minorHAnsi"/>
          <w:u w:val="single"/>
        </w:rPr>
        <w:t>nclu</w:t>
      </w:r>
      <w:r>
        <w:rPr>
          <w:rFonts w:cstheme="minorHAnsi"/>
          <w:u w:val="single"/>
        </w:rPr>
        <w:t>s</w:t>
      </w:r>
      <w:r w:rsidR="005B06B2" w:rsidRPr="00A675AF">
        <w:rPr>
          <w:rFonts w:cstheme="minorHAnsi"/>
        </w:rPr>
        <w:t> :</w:t>
      </w:r>
    </w:p>
    <w:p w14:paraId="11128589" w14:textId="6046937C" w:rsidR="00697EED" w:rsidRDefault="00697EED" w:rsidP="00594FDC">
      <w:pPr>
        <w:pStyle w:val="Paragraphedeliste"/>
        <w:numPr>
          <w:ilvl w:val="0"/>
          <w:numId w:val="3"/>
        </w:numPr>
        <w:jc w:val="both"/>
        <w:rPr>
          <w:rFonts w:cstheme="minorHAnsi"/>
        </w:rPr>
      </w:pPr>
      <w:r w:rsidRPr="00D31EDA">
        <w:rPr>
          <w:rFonts w:cstheme="minorHAnsi"/>
        </w:rPr>
        <w:t>Les virements de "</w:t>
      </w:r>
      <w:r w:rsidRPr="00D31EDA">
        <w:rPr>
          <w:rFonts w:cstheme="minorHAnsi"/>
          <w:i/>
        </w:rPr>
        <w:t>correspond</w:t>
      </w:r>
      <w:r w:rsidR="00536A48">
        <w:rPr>
          <w:rFonts w:cstheme="minorHAnsi"/>
          <w:i/>
        </w:rPr>
        <w:t>e</w:t>
      </w:r>
      <w:r w:rsidRPr="00D31EDA">
        <w:rPr>
          <w:rFonts w:cstheme="minorHAnsi"/>
          <w:i/>
        </w:rPr>
        <w:t xml:space="preserve">nt </w:t>
      </w:r>
      <w:proofErr w:type="spellStart"/>
      <w:r w:rsidRPr="00D31EDA">
        <w:rPr>
          <w:rFonts w:cstheme="minorHAnsi"/>
          <w:i/>
        </w:rPr>
        <w:t>banking</w:t>
      </w:r>
      <w:proofErr w:type="spellEnd"/>
      <w:r w:rsidRPr="00D31EDA">
        <w:rPr>
          <w:rFonts w:cstheme="minorHAnsi"/>
        </w:rPr>
        <w:t>" (virements sur comptes lori/</w:t>
      </w:r>
      <w:proofErr w:type="spellStart"/>
      <w:r w:rsidRPr="00D31EDA">
        <w:rPr>
          <w:rFonts w:cstheme="minorHAnsi"/>
        </w:rPr>
        <w:t>nostri</w:t>
      </w:r>
      <w:proofErr w:type="spellEnd"/>
      <w:r w:rsidRPr="00D31EDA">
        <w:rPr>
          <w:rFonts w:cstheme="minorHAnsi"/>
        </w:rPr>
        <w:t xml:space="preserve"> au format SWIFT qui ne sont pas émis ou reçus à travers un système de paiement) sont inclus dans cette rubrique. Les mandats et transferts de fonds internationaux doivent également être déclarés parmi les virements.</w:t>
      </w:r>
      <w:r w:rsidR="00D31EDA" w:rsidRPr="00D31EDA">
        <w:rPr>
          <w:rFonts w:cstheme="minorHAnsi"/>
        </w:rPr>
        <w:t xml:space="preserve"> </w:t>
      </w:r>
      <w:r w:rsidRPr="00D31EDA">
        <w:rPr>
          <w:rFonts w:cstheme="minorHAnsi"/>
        </w:rPr>
        <w:t>Concernant les virements de "</w:t>
      </w:r>
      <w:r w:rsidRPr="00D31EDA">
        <w:rPr>
          <w:rFonts w:cstheme="minorHAnsi"/>
          <w:i/>
        </w:rPr>
        <w:t>correspond</w:t>
      </w:r>
      <w:r w:rsidR="005B06B2">
        <w:rPr>
          <w:rFonts w:cstheme="minorHAnsi"/>
          <w:i/>
        </w:rPr>
        <w:t>e</w:t>
      </w:r>
      <w:r w:rsidRPr="00D31EDA">
        <w:rPr>
          <w:rFonts w:cstheme="minorHAnsi"/>
          <w:i/>
        </w:rPr>
        <w:t xml:space="preserve">nt </w:t>
      </w:r>
      <w:proofErr w:type="spellStart"/>
      <w:r w:rsidRPr="00D31EDA">
        <w:rPr>
          <w:rFonts w:cstheme="minorHAnsi"/>
          <w:i/>
        </w:rPr>
        <w:t>b</w:t>
      </w:r>
      <w:r w:rsidR="005B06B2">
        <w:rPr>
          <w:rFonts w:cstheme="minorHAnsi"/>
          <w:i/>
        </w:rPr>
        <w:t>a</w:t>
      </w:r>
      <w:r w:rsidRPr="00D31EDA">
        <w:rPr>
          <w:rFonts w:cstheme="minorHAnsi"/>
          <w:i/>
        </w:rPr>
        <w:t>nking</w:t>
      </w:r>
      <w:proofErr w:type="spellEnd"/>
      <w:r w:rsidRPr="00D31EDA">
        <w:rPr>
          <w:rFonts w:cstheme="minorHAnsi"/>
        </w:rPr>
        <w:t>", il est précisé que :</w:t>
      </w:r>
    </w:p>
    <w:p w14:paraId="497F2E21" w14:textId="02834516" w:rsidR="00D31EDA" w:rsidRDefault="00D31EDA" w:rsidP="00594FDC">
      <w:pPr>
        <w:pStyle w:val="Paragraphedeliste"/>
        <w:numPr>
          <w:ilvl w:val="1"/>
          <w:numId w:val="3"/>
        </w:numPr>
        <w:jc w:val="both"/>
        <w:rPr>
          <w:rFonts w:cstheme="minorHAnsi"/>
        </w:rPr>
      </w:pPr>
      <w:r>
        <w:rPr>
          <w:rFonts w:cstheme="minorHAnsi"/>
        </w:rPr>
        <w:t>C’est à la banque qui tient le compte du client de déclarer ces opérations, même si elles transitent par une banque intermédiaire ;</w:t>
      </w:r>
    </w:p>
    <w:p w14:paraId="00FE0E4D" w14:textId="1F62EA05" w:rsidR="00D31EDA" w:rsidRDefault="00D31EDA" w:rsidP="00594FDC">
      <w:pPr>
        <w:pStyle w:val="Paragraphedeliste"/>
        <w:numPr>
          <w:ilvl w:val="1"/>
          <w:numId w:val="3"/>
        </w:numPr>
        <w:jc w:val="both"/>
        <w:rPr>
          <w:rFonts w:cstheme="minorHAnsi"/>
        </w:rPr>
      </w:pPr>
      <w:r>
        <w:rPr>
          <w:rFonts w:cstheme="minorHAnsi"/>
        </w:rPr>
        <w:t>Ces opérations doivent être déclarées dans la rubrique « interbancaire hors système ».</w:t>
      </w:r>
    </w:p>
    <w:p w14:paraId="30B89151" w14:textId="459C1AE3" w:rsidR="00D31EDA" w:rsidRDefault="00D31EDA" w:rsidP="00594FDC">
      <w:pPr>
        <w:pStyle w:val="Paragraphedeliste"/>
        <w:numPr>
          <w:ilvl w:val="1"/>
          <w:numId w:val="3"/>
        </w:numPr>
        <w:jc w:val="both"/>
        <w:rPr>
          <w:rFonts w:cstheme="minorHAnsi"/>
        </w:rPr>
      </w:pPr>
      <w:r>
        <w:rPr>
          <w:rFonts w:cstheme="minorHAnsi"/>
        </w:rPr>
        <w:t xml:space="preserve">Exemple : </w:t>
      </w:r>
      <w:r w:rsidRPr="00FA6CC4">
        <w:rPr>
          <w:rFonts w:cstheme="minorHAnsi"/>
        </w:rPr>
        <w:t>une banque française émettant un virement de clientèle en faveur d’un bénéficiaire ayant un compte en Chine, traité via une banque intermédiaire située au Royaume-Uni, doit le déclarer dans</w:t>
      </w:r>
      <w:r>
        <w:rPr>
          <w:rFonts w:cstheme="minorHAnsi"/>
        </w:rPr>
        <w:t xml:space="preserve"> la catégorie des virements interbancaires hors systèmes.</w:t>
      </w:r>
    </w:p>
    <w:p w14:paraId="5D7EFDAE" w14:textId="7C229F52" w:rsidR="005B06B2" w:rsidRDefault="005B06B2" w:rsidP="00594FDC">
      <w:pPr>
        <w:pStyle w:val="Paragraphedeliste"/>
        <w:numPr>
          <w:ilvl w:val="0"/>
          <w:numId w:val="3"/>
        </w:numPr>
        <w:jc w:val="both"/>
        <w:rPr>
          <w:rFonts w:cstheme="minorHAnsi"/>
        </w:rPr>
      </w:pPr>
      <w:r>
        <w:rPr>
          <w:rFonts w:cstheme="minorHAnsi"/>
        </w:rPr>
        <w:lastRenderedPageBreak/>
        <w:t xml:space="preserve">Les virements initiés par l’établissement lui-même </w:t>
      </w:r>
      <w:r w:rsidR="009D28E9">
        <w:rPr>
          <w:rFonts w:cstheme="minorHAnsi"/>
        </w:rPr>
        <w:t xml:space="preserve">vers un bénéficiaire non IFM (par exemple, </w:t>
      </w:r>
      <w:r w:rsidR="00E96BE2">
        <w:rPr>
          <w:rFonts w:cstheme="minorHAnsi"/>
        </w:rPr>
        <w:t>pour le paiement des salaires des employés ou des factures de fournisseurs de l’établissement).</w:t>
      </w:r>
    </w:p>
    <w:p w14:paraId="6C25DC15" w14:textId="55AFF461" w:rsidR="0089190D" w:rsidRDefault="0089190D" w:rsidP="00594FDC">
      <w:pPr>
        <w:pStyle w:val="Paragraphedeliste"/>
        <w:numPr>
          <w:ilvl w:val="0"/>
          <w:numId w:val="3"/>
        </w:numPr>
        <w:jc w:val="both"/>
        <w:rPr>
          <w:rFonts w:cstheme="minorHAnsi"/>
        </w:rPr>
      </w:pPr>
      <w:r w:rsidRPr="00D31EDA">
        <w:rPr>
          <w:rFonts w:cstheme="minorHAnsi"/>
        </w:rPr>
        <w:t xml:space="preserve">Les virements </w:t>
      </w:r>
      <w:proofErr w:type="spellStart"/>
      <w:r w:rsidRPr="00D31EDA">
        <w:rPr>
          <w:rFonts w:cstheme="minorHAnsi"/>
        </w:rPr>
        <w:t>intrabancaires</w:t>
      </w:r>
      <w:proofErr w:type="spellEnd"/>
      <w:r w:rsidRPr="00D31EDA">
        <w:rPr>
          <w:rFonts w:cstheme="minorHAnsi"/>
        </w:rPr>
        <w:t xml:space="preserve"> (</w:t>
      </w:r>
      <w:r w:rsidR="008E304D">
        <w:rPr>
          <w:rFonts w:cstheme="minorHAnsi"/>
        </w:rPr>
        <w:t>c.-à-d</w:t>
      </w:r>
      <w:r w:rsidRPr="00D31EDA">
        <w:rPr>
          <w:rFonts w:cstheme="minorHAnsi"/>
        </w:rPr>
        <w:t>. au sein de votre établissement) doivent être déclarés à la fois en émission et en réception.</w:t>
      </w:r>
    </w:p>
    <w:p w14:paraId="2E656F62" w14:textId="59C8085B" w:rsidR="00697EED" w:rsidRPr="00AB22A4" w:rsidRDefault="00CA09B9" w:rsidP="006A1B3D">
      <w:pPr>
        <w:jc w:val="both"/>
        <w:rPr>
          <w:rFonts w:cstheme="minorHAnsi"/>
          <w:u w:val="single"/>
        </w:rPr>
      </w:pPr>
      <w:r>
        <w:rPr>
          <w:rFonts w:cstheme="minorHAnsi"/>
          <w:u w:val="single"/>
        </w:rPr>
        <w:t>Sont e</w:t>
      </w:r>
      <w:r w:rsidR="005B06B2">
        <w:rPr>
          <w:rFonts w:cstheme="minorHAnsi"/>
          <w:u w:val="single"/>
        </w:rPr>
        <w:t>xclu</w:t>
      </w:r>
      <w:r>
        <w:rPr>
          <w:rFonts w:cstheme="minorHAnsi"/>
          <w:u w:val="single"/>
        </w:rPr>
        <w:t>s</w:t>
      </w:r>
      <w:r w:rsidR="00697EED" w:rsidRPr="00A675AF">
        <w:rPr>
          <w:rFonts w:cstheme="minorHAnsi"/>
        </w:rPr>
        <w:t> :</w:t>
      </w:r>
      <w:r w:rsidR="00697EED" w:rsidRPr="00AB22A4">
        <w:rPr>
          <w:rFonts w:cstheme="minorHAnsi"/>
          <w:u w:val="single"/>
        </w:rPr>
        <w:t xml:space="preserve"> </w:t>
      </w:r>
    </w:p>
    <w:p w14:paraId="0C01B12B" w14:textId="2712ECC5" w:rsidR="006A1B3D" w:rsidRPr="00697EED" w:rsidRDefault="00697EED" w:rsidP="00594FDC">
      <w:pPr>
        <w:pStyle w:val="Paragraphedeliste"/>
        <w:numPr>
          <w:ilvl w:val="0"/>
          <w:numId w:val="3"/>
        </w:numPr>
        <w:autoSpaceDE w:val="0"/>
        <w:autoSpaceDN w:val="0"/>
        <w:adjustRightInd w:val="0"/>
        <w:jc w:val="both"/>
        <w:rPr>
          <w:rFonts w:cstheme="minorHAnsi"/>
        </w:rPr>
      </w:pPr>
      <w:r w:rsidRPr="00697EED">
        <w:rPr>
          <w:rFonts w:cstheme="minorHAnsi"/>
        </w:rPr>
        <w:t xml:space="preserve">Les virements entre </w:t>
      </w:r>
      <w:r w:rsidR="006A1B3D" w:rsidRPr="00697EED">
        <w:rPr>
          <w:rFonts w:cstheme="minorHAnsi"/>
        </w:rPr>
        <w:t>Institutions Financières et Monétaires (IFM), liés notamment au règlement d’opérations de marché, de trésorerie ou encore de compensation</w:t>
      </w:r>
      <w:r w:rsidRPr="00697EED">
        <w:rPr>
          <w:rFonts w:cstheme="minorHAnsi"/>
        </w:rPr>
        <w:t xml:space="preserve">. </w:t>
      </w:r>
      <w:r>
        <w:rPr>
          <w:rFonts w:cstheme="minorHAnsi"/>
        </w:rPr>
        <w:t>E</w:t>
      </w:r>
      <w:r w:rsidR="006A1B3D" w:rsidRPr="00697EED">
        <w:rPr>
          <w:rFonts w:cstheme="minorHAnsi"/>
        </w:rPr>
        <w:t>n pratique, si l’établissement déclarant, pour se conformer au périmètre réglementaire de la déclaration, ne prend en compte que les virements non SEPA de type MT10X et les virements SEPA, il est précisé que des opérations entre IFM peuvent être effectuées via ces formats ; il convient donc de veiller à bien les exclure.</w:t>
      </w:r>
    </w:p>
    <w:p w14:paraId="1DBB1C96" w14:textId="2E446E33" w:rsidR="00E755BB" w:rsidRDefault="00E755BB" w:rsidP="00DA1236">
      <w:pPr>
        <w:spacing w:after="0" w:line="240" w:lineRule="auto"/>
        <w:jc w:val="both"/>
        <w:rPr>
          <w:rFonts w:ascii="Calibri" w:eastAsia="Times New Roman" w:hAnsi="Calibri" w:cs="Calibri"/>
          <w:b/>
          <w:smallCaps/>
          <w:sz w:val="28"/>
          <w:szCs w:val="28"/>
          <w:lang w:eastAsia="fr-FR"/>
        </w:rPr>
      </w:pPr>
    </w:p>
    <w:p w14:paraId="2FCA9CF7" w14:textId="1F8A9263" w:rsidR="0019518E" w:rsidRPr="0096058A" w:rsidRDefault="00E755BB" w:rsidP="007718A3">
      <w:pPr>
        <w:pStyle w:val="Titre3"/>
        <w:numPr>
          <w:ilvl w:val="2"/>
          <w:numId w:val="38"/>
        </w:numPr>
        <w:jc w:val="both"/>
      </w:pPr>
      <w:bookmarkStart w:id="50" w:name="_Toc222476880"/>
      <w:r w:rsidRPr="0096058A">
        <w:t>Virements émis par l’établissement</w:t>
      </w:r>
      <w:r w:rsidR="0019518E" w:rsidRPr="0096058A">
        <w:t xml:space="preserve"> par</w:t>
      </w:r>
      <w:r w:rsidR="00B63123">
        <w:t xml:space="preserve"> </w:t>
      </w:r>
      <w:r w:rsidR="0019518E" w:rsidRPr="0096058A">
        <w:t xml:space="preserve">canal d’initiation, </w:t>
      </w:r>
      <w:r w:rsidR="0021028B">
        <w:t xml:space="preserve">schéma de virement, </w:t>
      </w:r>
      <w:r w:rsidR="007E02F7">
        <w:t xml:space="preserve">zone géographique, </w:t>
      </w:r>
      <w:r w:rsidR="0019518E" w:rsidRPr="0096058A">
        <w:t>méth</w:t>
      </w:r>
      <w:r w:rsidR="00824654">
        <w:t xml:space="preserve">ode d’authentification, motif d’exemption </w:t>
      </w:r>
      <w:r w:rsidR="0019518E" w:rsidRPr="0096058A">
        <w:t>à l’application de l’authentification forte</w:t>
      </w:r>
      <w:bookmarkEnd w:id="50"/>
    </w:p>
    <w:p w14:paraId="12446DDA" w14:textId="5F71B5EB" w:rsidR="00E755BB" w:rsidRDefault="00E755BB" w:rsidP="00BB3D2D">
      <w:pPr>
        <w:spacing w:after="0" w:line="240" w:lineRule="auto"/>
        <w:jc w:val="both"/>
        <w:rPr>
          <w:rFonts w:ascii="Calibri" w:eastAsia="Times New Roman" w:hAnsi="Calibri" w:cs="Calibri"/>
          <w:b/>
          <w:smallCaps/>
          <w:sz w:val="28"/>
          <w:szCs w:val="28"/>
          <w:lang w:eastAsia="fr-FR"/>
        </w:rPr>
      </w:pPr>
    </w:p>
    <w:p w14:paraId="579E9FB2" w14:textId="2F338810" w:rsidR="00DA532F" w:rsidRDefault="00DA532F" w:rsidP="00DA532F">
      <w:pPr>
        <w:spacing w:after="0" w:line="240" w:lineRule="auto"/>
        <w:jc w:val="both"/>
        <w:rPr>
          <w:rFonts w:ascii="Calibri" w:eastAsia="Times New Roman" w:hAnsi="Calibri" w:cs="Calibri"/>
          <w:b/>
          <w:lang w:eastAsia="fr-FR"/>
        </w:rPr>
      </w:pPr>
      <w:r w:rsidRPr="00C714BD">
        <w:rPr>
          <w:rFonts w:cstheme="minorHAnsi"/>
        </w:rPr>
        <w:t>Il s</w:t>
      </w:r>
      <w:r>
        <w:rPr>
          <w:rFonts w:cstheme="minorHAnsi"/>
        </w:rPr>
        <w:t xml:space="preserve">’agit de déclarer, en </w:t>
      </w:r>
      <w:r w:rsidR="00DC529F">
        <w:rPr>
          <w:rFonts w:cstheme="minorHAnsi"/>
        </w:rPr>
        <w:t xml:space="preserve">nombre et valeur, les virements émis </w:t>
      </w:r>
      <w:r>
        <w:rPr>
          <w:rFonts w:cstheme="minorHAnsi"/>
        </w:rPr>
        <w:t xml:space="preserve">par l’établissement en tant que PSP du </w:t>
      </w:r>
      <w:r w:rsidR="00DC529F">
        <w:rPr>
          <w:rFonts w:cstheme="minorHAnsi"/>
        </w:rPr>
        <w:t>payeur</w:t>
      </w:r>
      <w:r>
        <w:rPr>
          <w:rFonts w:cstheme="minorHAnsi"/>
        </w:rPr>
        <w:t>.</w:t>
      </w:r>
    </w:p>
    <w:p w14:paraId="4585C7BD" w14:textId="77777777" w:rsidR="00DC529F" w:rsidRDefault="00DC529F" w:rsidP="00FA6CA4">
      <w:pPr>
        <w:jc w:val="both"/>
        <w:rPr>
          <w:rFonts w:cstheme="minorHAnsi"/>
          <w:u w:val="single"/>
        </w:rPr>
      </w:pPr>
    </w:p>
    <w:p w14:paraId="5E228D79" w14:textId="7257C1E8" w:rsidR="00DA532F" w:rsidRPr="00DA532F" w:rsidRDefault="00DA532F" w:rsidP="00FA6CA4">
      <w:pPr>
        <w:jc w:val="both"/>
        <w:rPr>
          <w:rFonts w:cstheme="minorHAnsi"/>
          <w:u w:val="single"/>
        </w:rPr>
      </w:pPr>
      <w:r w:rsidRPr="00DA532F">
        <w:rPr>
          <w:rFonts w:cstheme="minorHAnsi"/>
          <w:u w:val="single"/>
        </w:rPr>
        <w:t>Remarque</w:t>
      </w:r>
      <w:r w:rsidR="00BF0340">
        <w:rPr>
          <w:rFonts w:cstheme="minorHAnsi"/>
          <w:u w:val="single"/>
        </w:rPr>
        <w:t>s</w:t>
      </w:r>
      <w:r w:rsidRPr="00A675AF">
        <w:rPr>
          <w:rFonts w:cstheme="minorHAnsi"/>
        </w:rPr>
        <w:t> :</w:t>
      </w:r>
    </w:p>
    <w:p w14:paraId="4E72D2F7" w14:textId="455A9F87" w:rsidR="00697EED" w:rsidRDefault="00AB22A4" w:rsidP="00594FDC">
      <w:pPr>
        <w:pStyle w:val="Paragraphedeliste"/>
        <w:numPr>
          <w:ilvl w:val="0"/>
          <w:numId w:val="3"/>
        </w:numPr>
        <w:jc w:val="both"/>
        <w:rPr>
          <w:rFonts w:cstheme="minorHAnsi"/>
        </w:rPr>
      </w:pPr>
      <w:r w:rsidRPr="00DA532F">
        <w:rPr>
          <w:rFonts w:cstheme="minorHAnsi"/>
        </w:rPr>
        <w:t>L’ensemble des virements émis par l’établissement sont à déclarer q</w:t>
      </w:r>
      <w:r w:rsidR="00697EED" w:rsidRPr="00DA532F">
        <w:rPr>
          <w:rFonts w:cstheme="minorHAnsi"/>
        </w:rPr>
        <w:t xml:space="preserve">uelles que soient leurs modalités d’échange : dans les systèmes de paiement implantés en France (STET-CORE/SEPA EU, Target2-BdF), dans d’autres systèmes de paiement (EURO1/STEP1, STEP2, TIPS, </w:t>
      </w:r>
      <w:proofErr w:type="spellStart"/>
      <w:r w:rsidR="00697EED" w:rsidRPr="00DA532F">
        <w:rPr>
          <w:rFonts w:cstheme="minorHAnsi"/>
        </w:rPr>
        <w:t>Voca</w:t>
      </w:r>
      <w:proofErr w:type="spellEnd"/>
      <w:r w:rsidR="00697EED" w:rsidRPr="00DA532F">
        <w:rPr>
          <w:rFonts w:cstheme="minorHAnsi"/>
        </w:rPr>
        <w:t xml:space="preserve">, </w:t>
      </w:r>
      <w:proofErr w:type="spellStart"/>
      <w:r w:rsidR="00697EED" w:rsidRPr="00DA532F">
        <w:rPr>
          <w:rFonts w:cstheme="minorHAnsi"/>
        </w:rPr>
        <w:t>Equens</w:t>
      </w:r>
      <w:proofErr w:type="spellEnd"/>
      <w:r w:rsidR="00697EED" w:rsidRPr="00DA532F">
        <w:rPr>
          <w:rFonts w:cstheme="minorHAnsi"/>
        </w:rPr>
        <w:t xml:space="preserve">, etc.) ou hors systèmes de paiement (en </w:t>
      </w:r>
      <w:proofErr w:type="spellStart"/>
      <w:r w:rsidR="00697EED" w:rsidRPr="00DA532F">
        <w:rPr>
          <w:rFonts w:cstheme="minorHAnsi"/>
        </w:rPr>
        <w:t>intrabancaire</w:t>
      </w:r>
      <w:proofErr w:type="spellEnd"/>
      <w:r w:rsidR="007D1E6E">
        <w:rPr>
          <w:rStyle w:val="Appelnotedebasdep"/>
          <w:rFonts w:cstheme="minorHAnsi"/>
        </w:rPr>
        <w:footnoteReference w:id="6"/>
      </w:r>
      <w:r w:rsidR="00697EED" w:rsidRPr="00DA532F">
        <w:rPr>
          <w:rFonts w:cstheme="minorHAnsi"/>
        </w:rPr>
        <w:t>, en intragroupe ou en bilatéral).</w:t>
      </w:r>
    </w:p>
    <w:p w14:paraId="40A6E9CA" w14:textId="5DA5BB99" w:rsidR="007D2309" w:rsidRPr="00DA532F" w:rsidRDefault="007D2309" w:rsidP="00594FDC">
      <w:pPr>
        <w:pStyle w:val="Paragraphedeliste"/>
        <w:numPr>
          <w:ilvl w:val="0"/>
          <w:numId w:val="3"/>
        </w:numPr>
        <w:jc w:val="both"/>
        <w:rPr>
          <w:rFonts w:cstheme="minorHAnsi"/>
        </w:rPr>
      </w:pPr>
      <w:r>
        <w:rPr>
          <w:rFonts w:cstheme="minorHAnsi"/>
        </w:rPr>
        <w:t>Les virements initiés par un PSIP et s’ils le sont depuis l’espace de banque en ligne du client doivent être déclarés à la rubrique « Dont virements initiés par un PSIP » et à la rubrique « Dont virements initiés depuis la banque en ligne ».</w:t>
      </w:r>
    </w:p>
    <w:p w14:paraId="53B04780" w14:textId="64267CD5" w:rsidR="00FE5E9A" w:rsidRDefault="00FE5E9A" w:rsidP="00917077">
      <w:pPr>
        <w:spacing w:after="0" w:line="240" w:lineRule="auto"/>
        <w:rPr>
          <w:rFonts w:ascii="Calibri" w:eastAsia="Times New Roman" w:hAnsi="Calibri" w:cs="Calibri"/>
          <w:sz w:val="20"/>
          <w:szCs w:val="20"/>
          <w:lang w:eastAsia="fr-FR"/>
        </w:rPr>
      </w:pPr>
    </w:p>
    <w:p w14:paraId="1931FE6B" w14:textId="28362572" w:rsidR="00E70D5F"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426552E1" w14:textId="77777777" w:rsidR="000A2742" w:rsidRDefault="000A2742" w:rsidP="00917077">
      <w:pPr>
        <w:spacing w:after="0" w:line="240" w:lineRule="auto"/>
        <w:rPr>
          <w:rFonts w:ascii="Calibri" w:eastAsia="Times New Roman" w:hAnsi="Calibri" w:cs="Calibri"/>
          <w:sz w:val="20"/>
          <w:szCs w:val="20"/>
          <w:lang w:eastAsia="fr-FR"/>
        </w:rPr>
      </w:pPr>
    </w:p>
    <w:tbl>
      <w:tblPr>
        <w:tblStyle w:val="Tableausimple2"/>
        <w:tblW w:w="9639" w:type="dxa"/>
        <w:tblLook w:val="04A0" w:firstRow="1" w:lastRow="0" w:firstColumn="1" w:lastColumn="0" w:noHBand="0" w:noVBand="1"/>
      </w:tblPr>
      <w:tblGrid>
        <w:gridCol w:w="263"/>
        <w:gridCol w:w="262"/>
        <w:gridCol w:w="262"/>
        <w:gridCol w:w="274"/>
        <w:gridCol w:w="236"/>
        <w:gridCol w:w="2956"/>
        <w:gridCol w:w="2551"/>
        <w:gridCol w:w="1259"/>
        <w:gridCol w:w="778"/>
        <w:gridCol w:w="798"/>
      </w:tblGrid>
      <w:tr w:rsidR="009C2262" w:rsidRPr="001E4FC4" w14:paraId="3ED57966" w14:textId="77777777" w:rsidTr="008B074A">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04" w:type="dxa"/>
            <w:gridSpan w:val="7"/>
            <w:tcBorders>
              <w:top w:val="single" w:sz="18" w:space="0" w:color="5B9BD5" w:themeColor="accent1"/>
              <w:bottom w:val="single" w:sz="4" w:space="0" w:color="5B9BD5" w:themeColor="accent1"/>
              <w:right w:val="single" w:sz="4" w:space="0" w:color="5B9BD5" w:themeColor="accent1"/>
            </w:tcBorders>
            <w:noWrap/>
          </w:tcPr>
          <w:p w14:paraId="2642938E" w14:textId="77777777" w:rsidR="009C2262" w:rsidRDefault="009C2262" w:rsidP="0035258B">
            <w:pPr>
              <w:jc w:val="both"/>
              <w:rPr>
                <w:rFonts w:ascii="Calibri" w:eastAsia="Times New Roman" w:hAnsi="Calibri" w:cs="Calibri"/>
                <w:sz w:val="18"/>
                <w:szCs w:val="18"/>
                <w:lang w:eastAsia="fr-FR"/>
              </w:rPr>
            </w:pPr>
          </w:p>
        </w:tc>
        <w:tc>
          <w:tcPr>
            <w:tcW w:w="125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3236F2C" w14:textId="6C7C65EA" w:rsidR="009C2262" w:rsidRDefault="004E68CF" w:rsidP="004E68C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cstheme="minorHAnsi"/>
                <w:sz w:val="14"/>
                <w:szCs w:val="18"/>
              </w:rPr>
              <w:t>Pays du PSP du payé</w:t>
            </w:r>
          </w:p>
        </w:tc>
        <w:tc>
          <w:tcPr>
            <w:tcW w:w="778"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16CDADA" w14:textId="0ECCBE9F" w:rsidR="009C2262" w:rsidRDefault="009C2262" w:rsidP="0035258B">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cstheme="minorHAnsi"/>
                <w:sz w:val="14"/>
                <w:szCs w:val="18"/>
              </w:rPr>
              <w:t>Volume en unités</w:t>
            </w:r>
          </w:p>
        </w:tc>
        <w:tc>
          <w:tcPr>
            <w:tcW w:w="798" w:type="dxa"/>
            <w:tcBorders>
              <w:top w:val="single" w:sz="18" w:space="0" w:color="5B9BD5" w:themeColor="accent1"/>
              <w:left w:val="single" w:sz="2" w:space="0" w:color="5B9BD5" w:themeColor="accent1"/>
              <w:bottom w:val="single" w:sz="18" w:space="0" w:color="5B9BD5" w:themeColor="accent1"/>
            </w:tcBorders>
            <w:shd w:val="solid" w:color="FFFFFF" w:fill="000000"/>
          </w:tcPr>
          <w:p w14:paraId="5FB983A5" w14:textId="77777777" w:rsidR="009C2262" w:rsidRDefault="009C2262" w:rsidP="0003060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2814BE4E" w14:textId="6AFC3F62" w:rsidR="009C2262" w:rsidRDefault="009C2262" w:rsidP="000306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roofErr w:type="gramStart"/>
            <w:r>
              <w:rPr>
                <w:rFonts w:cstheme="minorHAnsi"/>
                <w:sz w:val="14"/>
                <w:szCs w:val="18"/>
              </w:rPr>
              <w:t>euros</w:t>
            </w:r>
            <w:proofErr w:type="gramEnd"/>
          </w:p>
        </w:tc>
      </w:tr>
      <w:tr w:rsidR="004E68CF" w:rsidRPr="001E4FC4" w14:paraId="50795475" w14:textId="2456F9CF" w:rsidTr="00F63A8C">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4253" w:type="dxa"/>
            <w:gridSpan w:val="6"/>
            <w:tcBorders>
              <w:top w:val="single" w:sz="18" w:space="0" w:color="5B9BD5" w:themeColor="accent1"/>
              <w:bottom w:val="single" w:sz="4" w:space="0" w:color="5B9BD5" w:themeColor="accent1"/>
              <w:right w:val="single" w:sz="4" w:space="0" w:color="5B9BD5" w:themeColor="accent1"/>
            </w:tcBorders>
            <w:noWrap/>
            <w:hideMark/>
          </w:tcPr>
          <w:p w14:paraId="44295549" w14:textId="21ACC7D7" w:rsidR="004E68CF" w:rsidRPr="00DF344D" w:rsidRDefault="004E68CF">
            <w:pPr>
              <w:rPr>
                <w:rFonts w:ascii="Calibri" w:eastAsia="Times New Roman" w:hAnsi="Calibri" w:cs="Calibri"/>
                <w:b w:val="0"/>
                <w:i/>
                <w:sz w:val="18"/>
                <w:szCs w:val="18"/>
                <w:lang w:eastAsia="fr-FR"/>
              </w:rPr>
            </w:pPr>
            <w:r w:rsidRPr="00DF344D">
              <w:rPr>
                <w:rFonts w:ascii="Calibri" w:eastAsia="Times New Roman" w:hAnsi="Calibri" w:cs="Calibri"/>
                <w:i/>
                <w:sz w:val="18"/>
                <w:szCs w:val="18"/>
                <w:lang w:eastAsia="fr-FR"/>
              </w:rPr>
              <w:t>Virements émis</w:t>
            </w:r>
            <w:r>
              <w:rPr>
                <w:rFonts w:ascii="Calibri" w:eastAsia="Times New Roman" w:hAnsi="Calibri" w:cs="Calibri"/>
                <w:i/>
                <w:sz w:val="18"/>
                <w:szCs w:val="18"/>
                <w:lang w:eastAsia="fr-FR"/>
              </w:rPr>
              <w:t xml:space="preserve"> </w:t>
            </w:r>
            <w:r w:rsidRPr="00DF344D">
              <w:rPr>
                <w:rFonts w:ascii="Calibri" w:eastAsia="Times New Roman" w:hAnsi="Calibri" w:cs="Calibri"/>
                <w:i/>
                <w:sz w:val="18"/>
                <w:szCs w:val="18"/>
                <w:lang w:eastAsia="fr-FR"/>
              </w:rPr>
              <w:t>par l’établissement</w:t>
            </w:r>
          </w:p>
        </w:tc>
        <w:tc>
          <w:tcPr>
            <w:tcW w:w="2551"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00B9994E" w14:textId="5C6DD584" w:rsidR="004E68CF" w:rsidRPr="004E58CA" w:rsidRDefault="004E68CF" w:rsidP="008E13A0">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Pr>
                <w:rFonts w:ascii="Calibri" w:eastAsia="Times New Roman" w:hAnsi="Calibri" w:cs="Calibri"/>
                <w:sz w:val="18"/>
                <w:szCs w:val="18"/>
                <w:lang w:eastAsia="fr-FR"/>
              </w:rPr>
              <w:t>Virements émis q</w:t>
            </w:r>
            <w:r w:rsidRPr="00DF344D">
              <w:rPr>
                <w:rFonts w:ascii="Calibri" w:eastAsia="Times New Roman" w:hAnsi="Calibri" w:cs="Calibri"/>
                <w:sz w:val="18"/>
                <w:szCs w:val="18"/>
                <w:lang w:eastAsia="fr-FR"/>
              </w:rPr>
              <w:t>uels que soient le canal d’initiation et système d’échange.</w:t>
            </w:r>
          </w:p>
        </w:tc>
        <w:tc>
          <w:tcPr>
            <w:tcW w:w="1259" w:type="dxa"/>
            <w:vMerge w:val="restart"/>
            <w:tcBorders>
              <w:top w:val="single" w:sz="18" w:space="0" w:color="5B9BD5" w:themeColor="accent1"/>
              <w:left w:val="single" w:sz="4" w:space="0" w:color="5B9BD5" w:themeColor="accent1"/>
              <w:right w:val="single" w:sz="4" w:space="0" w:color="5B9BD5" w:themeColor="accent1"/>
            </w:tcBorders>
          </w:tcPr>
          <w:p w14:paraId="246210A5" w14:textId="3AC8AA4B" w:rsidR="004E68CF" w:rsidRPr="002262D6" w:rsidRDefault="004E68CF" w:rsidP="002262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4"/>
                <w:szCs w:val="18"/>
                <w:lang w:eastAsia="fr-FR"/>
              </w:rPr>
            </w:pPr>
            <w:r w:rsidRPr="002262D6">
              <w:rPr>
                <w:rFonts w:ascii="Calibri" w:eastAsia="Times New Roman" w:hAnsi="Calibri" w:cs="Calibri"/>
                <w:b/>
                <w:sz w:val="14"/>
                <w:szCs w:val="18"/>
                <w:lang w:eastAsia="fr-FR"/>
              </w:rPr>
              <w:t>Selon ventilation géographique en section 5</w:t>
            </w:r>
            <w:r w:rsidR="002262D6" w:rsidRPr="002262D6">
              <w:rPr>
                <w:rFonts w:ascii="Calibri" w:eastAsia="Times New Roman" w:hAnsi="Calibri" w:cs="Calibri"/>
                <w:b/>
                <w:sz w:val="14"/>
                <w:szCs w:val="18"/>
                <w:lang w:eastAsia="fr-FR"/>
              </w:rPr>
              <w:t>.1</w:t>
            </w:r>
          </w:p>
        </w:tc>
        <w:tc>
          <w:tcPr>
            <w:tcW w:w="77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5595357" w14:textId="77777777" w:rsidR="004E68CF" w:rsidRDefault="004E68CF" w:rsidP="00DF344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4" w:space="0" w:color="5B9BD5" w:themeColor="accent1"/>
              <w:right w:val="nil"/>
            </w:tcBorders>
          </w:tcPr>
          <w:p w14:paraId="37BA4ABF" w14:textId="77777777" w:rsidR="004E68CF" w:rsidRDefault="004E68CF" w:rsidP="00DF344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4000DBDD" w14:textId="67EAB776"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4" w:space="0" w:color="5B9BD5" w:themeColor="accent1"/>
              <w:right w:val="single" w:sz="4" w:space="0" w:color="5B9BD5" w:themeColor="accent1"/>
            </w:tcBorders>
            <w:noWrap/>
          </w:tcPr>
          <w:p w14:paraId="1B386CE5" w14:textId="0644A3DC" w:rsidR="004E68CF" w:rsidRPr="00DF344D" w:rsidRDefault="004E68CF" w:rsidP="00733E40">
            <w:pPr>
              <w:rPr>
                <w:rFonts w:ascii="Calibri" w:eastAsia="Times New Roman" w:hAnsi="Calibri" w:cs="Calibri"/>
                <w:i/>
                <w:sz w:val="18"/>
                <w:szCs w:val="18"/>
                <w:lang w:eastAsia="fr-FR"/>
              </w:rPr>
            </w:pPr>
          </w:p>
        </w:tc>
        <w:tc>
          <w:tcPr>
            <w:tcW w:w="3990" w:type="dxa"/>
            <w:gridSpan w:val="5"/>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5EB65439" w14:textId="124EF06A" w:rsidR="004E68CF" w:rsidRPr="00DF344D" w:rsidRDefault="004E68CF" w:rsidP="00733E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DF344D">
              <w:rPr>
                <w:rFonts w:ascii="Calibri" w:eastAsia="Times New Roman" w:hAnsi="Calibri" w:cs="Calibri"/>
                <w:b/>
                <w:i/>
                <w:sz w:val="18"/>
                <w:szCs w:val="18"/>
                <w:lang w:eastAsia="fr-FR"/>
              </w:rPr>
              <w:t>Dont virements initiés par un PSIP</w:t>
            </w:r>
          </w:p>
        </w:tc>
        <w:tc>
          <w:tcPr>
            <w:tcW w:w="2551"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3C9F00B" w14:textId="42F881A9" w:rsidR="004E68CF" w:rsidRPr="004E58CA" w:rsidRDefault="004E68CF" w:rsidP="008E13A0">
            <w:pPr>
              <w:jc w:val="both"/>
              <w:cnfStyle w:val="000000000000" w:firstRow="0" w:lastRow="0" w:firstColumn="0" w:lastColumn="0" w:oddVBand="0" w:evenVBand="0" w:oddHBand="0" w:evenHBand="0" w:firstRowFirstColumn="0" w:firstRowLastColumn="0" w:lastRowFirstColumn="0" w:lastRowLastColumn="0"/>
              <w:rPr>
                <w:rFonts w:ascii="Calibri" w:hAnsi="Calibri"/>
                <w:b/>
                <w:sz w:val="18"/>
              </w:rPr>
            </w:pPr>
            <w:r w:rsidRPr="00DF344D">
              <w:rPr>
                <w:rFonts w:ascii="Calibri" w:eastAsia="Times New Roman" w:hAnsi="Calibri" w:cs="Calibri"/>
                <w:sz w:val="18"/>
                <w:szCs w:val="18"/>
                <w:lang w:eastAsia="fr-FR"/>
              </w:rPr>
              <w:t>Virements initiés par un Prestataire de services d’initiation de paiement.</w:t>
            </w:r>
          </w:p>
        </w:tc>
        <w:tc>
          <w:tcPr>
            <w:tcW w:w="1259" w:type="dxa"/>
            <w:vMerge/>
            <w:tcBorders>
              <w:left w:val="single" w:sz="4" w:space="0" w:color="5B9BD5" w:themeColor="accent1"/>
              <w:right w:val="single" w:sz="4" w:space="0" w:color="5B9BD5" w:themeColor="accent1"/>
            </w:tcBorders>
          </w:tcPr>
          <w:p w14:paraId="19A36B2D" w14:textId="77777777" w:rsidR="004E68CF" w:rsidRPr="00DF344D" w:rsidRDefault="004E68CF" w:rsidP="00DF344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A94A6F2" w14:textId="77777777" w:rsidR="004E68CF" w:rsidRPr="00DF344D" w:rsidRDefault="004E68CF" w:rsidP="00DF344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4" w:space="0" w:color="5B9BD5" w:themeColor="accent1"/>
              <w:right w:val="nil"/>
            </w:tcBorders>
          </w:tcPr>
          <w:p w14:paraId="328D2786" w14:textId="77777777" w:rsidR="004E68CF" w:rsidRPr="00DF344D" w:rsidRDefault="004E68CF" w:rsidP="00DF344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6CFEA60A" w14:textId="090C0EDF"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18" w:space="0" w:color="5B9BD5" w:themeColor="accent1"/>
              <w:right w:val="single" w:sz="4" w:space="0" w:color="5B9BD5" w:themeColor="accent1"/>
            </w:tcBorders>
            <w:noWrap/>
          </w:tcPr>
          <w:p w14:paraId="56C5C91F" w14:textId="38F6FCD2" w:rsidR="004E68CF" w:rsidRPr="00DF344D" w:rsidRDefault="004E68CF" w:rsidP="00733E40">
            <w:pPr>
              <w:rPr>
                <w:rFonts w:ascii="Calibri" w:eastAsia="Times New Roman" w:hAnsi="Calibri" w:cs="Calibri"/>
                <w:i/>
                <w:sz w:val="18"/>
                <w:szCs w:val="18"/>
                <w:lang w:eastAsia="fr-FR"/>
              </w:rPr>
            </w:pPr>
          </w:p>
        </w:tc>
        <w:tc>
          <w:tcPr>
            <w:tcW w:w="3990" w:type="dxa"/>
            <w:gridSpan w:val="5"/>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hideMark/>
          </w:tcPr>
          <w:p w14:paraId="7CC1806D" w14:textId="02E16E19" w:rsidR="004E68CF" w:rsidRPr="00DF344D" w:rsidRDefault="004E68CF" w:rsidP="008E13A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4E58CA">
              <w:rPr>
                <w:rFonts w:ascii="Calibri" w:hAnsi="Calibri"/>
                <w:b/>
                <w:i/>
                <w:sz w:val="18"/>
              </w:rPr>
              <w:t>Dont virements non électronique</w:t>
            </w:r>
            <w:r>
              <w:rPr>
                <w:rFonts w:ascii="Calibri" w:hAnsi="Calibri"/>
                <w:b/>
                <w:i/>
                <w:sz w:val="18"/>
              </w:rPr>
              <w:t xml:space="preserve">s initiés sur </w:t>
            </w:r>
            <w:proofErr w:type="gramStart"/>
            <w:r>
              <w:rPr>
                <w:rFonts w:ascii="Calibri" w:hAnsi="Calibri"/>
                <w:b/>
                <w:i/>
                <w:sz w:val="18"/>
              </w:rPr>
              <w:t>support papier</w:t>
            </w:r>
            <w:proofErr w:type="gramEnd"/>
          </w:p>
        </w:tc>
        <w:tc>
          <w:tcPr>
            <w:tcW w:w="2551"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2668D175" w14:textId="630B5D3B" w:rsidR="004E68CF" w:rsidRPr="00DF344D" w:rsidRDefault="0030598F" w:rsidP="0030598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Virements initiés </w:t>
            </w:r>
            <w:r w:rsidRPr="0030598F">
              <w:rPr>
                <w:rFonts w:ascii="Calibri" w:eastAsia="Times New Roman" w:hAnsi="Calibri" w:cs="Calibri"/>
                <w:sz w:val="18"/>
                <w:szCs w:val="18"/>
                <w:lang w:eastAsia="fr-FR"/>
              </w:rPr>
              <w:t xml:space="preserve">par le payeur sur support papier ou en donnant l'instruction au </w:t>
            </w:r>
            <w:r w:rsidRPr="0030598F">
              <w:rPr>
                <w:rFonts w:ascii="Calibri" w:eastAsia="Times New Roman" w:hAnsi="Calibri" w:cs="Calibri"/>
                <w:sz w:val="18"/>
                <w:szCs w:val="18"/>
                <w:lang w:eastAsia="fr-FR"/>
              </w:rPr>
              <w:lastRenderedPageBreak/>
              <w:t>per</w:t>
            </w:r>
            <w:r>
              <w:rPr>
                <w:rFonts w:ascii="Calibri" w:eastAsia="Times New Roman" w:hAnsi="Calibri" w:cs="Calibri"/>
                <w:sz w:val="18"/>
                <w:szCs w:val="18"/>
                <w:lang w:eastAsia="fr-FR"/>
              </w:rPr>
              <w:t xml:space="preserve">sonnel d'une agence au guichet </w:t>
            </w:r>
            <w:r w:rsidRPr="0030598F">
              <w:rPr>
                <w:rFonts w:ascii="Calibri" w:eastAsia="Times New Roman" w:hAnsi="Calibri" w:cs="Calibri"/>
                <w:sz w:val="18"/>
                <w:szCs w:val="18"/>
                <w:lang w:eastAsia="fr-FR"/>
              </w:rPr>
              <w:t>d'initier un virement et tout autre virement qui nécessite un traitement manuel</w:t>
            </w:r>
          </w:p>
        </w:tc>
        <w:tc>
          <w:tcPr>
            <w:tcW w:w="1259" w:type="dxa"/>
            <w:vMerge/>
            <w:tcBorders>
              <w:left w:val="single" w:sz="4" w:space="0" w:color="5B9BD5" w:themeColor="accent1"/>
              <w:right w:val="single" w:sz="4" w:space="0" w:color="5B9BD5" w:themeColor="accent1"/>
            </w:tcBorders>
          </w:tcPr>
          <w:p w14:paraId="023F9628" w14:textId="77777777" w:rsidR="004E68CF" w:rsidRPr="00DF344D" w:rsidRDefault="004E68CF" w:rsidP="0082284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4A50F0D7" w14:textId="77777777" w:rsidR="004E68CF" w:rsidRPr="00DF344D" w:rsidRDefault="004E68CF" w:rsidP="0082284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18" w:space="0" w:color="5B9BD5" w:themeColor="accent1"/>
              <w:right w:val="nil"/>
            </w:tcBorders>
          </w:tcPr>
          <w:p w14:paraId="2EA32787" w14:textId="77777777" w:rsidR="004E68CF" w:rsidRPr="00DF344D" w:rsidRDefault="004E68CF" w:rsidP="0082284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094ACE7E"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18" w:space="0" w:color="5B9BD5" w:themeColor="accent1"/>
              <w:right w:val="single" w:sz="4" w:space="0" w:color="5B9BD5" w:themeColor="accent1"/>
            </w:tcBorders>
            <w:noWrap/>
          </w:tcPr>
          <w:p w14:paraId="706758B1" w14:textId="77777777" w:rsidR="004E68CF" w:rsidRPr="00DF344D" w:rsidRDefault="004E68CF" w:rsidP="00733E40">
            <w:pPr>
              <w:rPr>
                <w:rFonts w:ascii="Calibri" w:eastAsia="Times New Roman" w:hAnsi="Calibri" w:cs="Calibri"/>
                <w:i/>
                <w:sz w:val="18"/>
                <w:szCs w:val="18"/>
                <w:lang w:eastAsia="fr-FR"/>
              </w:rPr>
            </w:pPr>
          </w:p>
        </w:tc>
        <w:tc>
          <w:tcPr>
            <w:tcW w:w="3990" w:type="dxa"/>
            <w:gridSpan w:val="5"/>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tcPr>
          <w:p w14:paraId="086B2FFF" w14:textId="1D263A1C" w:rsidR="004E68CF" w:rsidRPr="008E13A0" w:rsidRDefault="004E68CF" w:rsidP="008E13A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8E13A0">
              <w:rPr>
                <w:rFonts w:ascii="Calibri" w:eastAsia="Times New Roman" w:hAnsi="Calibri" w:cs="Calibri"/>
                <w:b/>
                <w:i/>
                <w:sz w:val="18"/>
                <w:szCs w:val="18"/>
                <w:lang w:eastAsia="fr-FR"/>
              </w:rPr>
              <w:t>Dont virements non électroniques initiés via un autre support</w:t>
            </w:r>
          </w:p>
        </w:tc>
        <w:tc>
          <w:tcPr>
            <w:tcW w:w="2551"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131CF0C1" w14:textId="7A59C315" w:rsidR="004E68CF" w:rsidRPr="00DF344D" w:rsidRDefault="0030598F" w:rsidP="0030598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V</w:t>
            </w:r>
            <w:r w:rsidRPr="0030598F">
              <w:rPr>
                <w:rFonts w:ascii="Calibri" w:eastAsia="Times New Roman" w:hAnsi="Calibri" w:cs="Calibri"/>
                <w:sz w:val="18"/>
                <w:szCs w:val="18"/>
                <w:lang w:eastAsia="fr-FR"/>
              </w:rPr>
              <w:t xml:space="preserve">irements initiés </w:t>
            </w:r>
            <w:r>
              <w:rPr>
                <w:rFonts w:ascii="Calibri" w:eastAsia="Times New Roman" w:hAnsi="Calibri" w:cs="Calibri"/>
                <w:sz w:val="18"/>
                <w:szCs w:val="18"/>
                <w:lang w:eastAsia="fr-FR"/>
              </w:rPr>
              <w:t>par téléphone, par exemple.</w:t>
            </w:r>
          </w:p>
        </w:tc>
        <w:tc>
          <w:tcPr>
            <w:tcW w:w="1259" w:type="dxa"/>
            <w:vMerge/>
            <w:tcBorders>
              <w:left w:val="single" w:sz="4" w:space="0" w:color="5B9BD5" w:themeColor="accent1"/>
              <w:right w:val="single" w:sz="4" w:space="0" w:color="5B9BD5" w:themeColor="accent1"/>
            </w:tcBorders>
          </w:tcPr>
          <w:p w14:paraId="584CC88B" w14:textId="77777777" w:rsidR="004E68CF" w:rsidRPr="00DF344D" w:rsidRDefault="004E68CF" w:rsidP="00DF344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14B671B0" w14:textId="77777777" w:rsidR="004E68CF" w:rsidRPr="00DF344D" w:rsidRDefault="004E68CF" w:rsidP="00DF344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18" w:space="0" w:color="5B9BD5" w:themeColor="accent1"/>
              <w:right w:val="nil"/>
            </w:tcBorders>
          </w:tcPr>
          <w:p w14:paraId="363423B6" w14:textId="77777777" w:rsidR="004E68CF" w:rsidRPr="00DF344D" w:rsidRDefault="004E68CF" w:rsidP="00DF344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1DFD0083" w14:textId="146E32F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4" w:space="0" w:color="5B9BD5" w:themeColor="accent1"/>
              <w:right w:val="single" w:sz="4" w:space="0" w:color="5B9BD5" w:themeColor="accent1"/>
            </w:tcBorders>
            <w:noWrap/>
          </w:tcPr>
          <w:p w14:paraId="0C84F4CC" w14:textId="60A8EE71" w:rsidR="004E68CF" w:rsidRPr="00DF344D" w:rsidRDefault="004E68CF" w:rsidP="005E7AF5">
            <w:pPr>
              <w:rPr>
                <w:rFonts w:ascii="Calibri" w:eastAsia="Times New Roman" w:hAnsi="Calibri" w:cs="Calibri"/>
                <w:i/>
                <w:sz w:val="18"/>
                <w:szCs w:val="18"/>
                <w:lang w:eastAsia="fr-FR"/>
              </w:rPr>
            </w:pPr>
          </w:p>
        </w:tc>
        <w:tc>
          <w:tcPr>
            <w:tcW w:w="3990" w:type="dxa"/>
            <w:gridSpan w:val="5"/>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63AFF738" w14:textId="4BD04D0D" w:rsidR="004E68CF" w:rsidRPr="00DF344D" w:rsidRDefault="004E68CF" w:rsidP="005E7A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DF344D">
              <w:rPr>
                <w:rFonts w:ascii="Calibri" w:eastAsia="Times New Roman" w:hAnsi="Calibri" w:cs="Calibri"/>
                <w:b/>
                <w:i/>
                <w:sz w:val="18"/>
                <w:szCs w:val="18"/>
                <w:lang w:eastAsia="fr-FR"/>
              </w:rPr>
              <w:t>Dont virements initiés par voie électronique</w:t>
            </w:r>
          </w:p>
        </w:tc>
        <w:tc>
          <w:tcPr>
            <w:tcW w:w="2551"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0AC19A0" w14:textId="1B20961F" w:rsidR="004E68CF" w:rsidRPr="00DF344D" w:rsidRDefault="004E68CF" w:rsidP="00FA4C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r w:rsidRPr="00DF344D">
              <w:rPr>
                <w:rFonts w:ascii="Calibri" w:eastAsia="Times New Roman" w:hAnsi="Calibri" w:cs="Calibri"/>
                <w:sz w:val="18"/>
                <w:szCs w:val="18"/>
                <w:lang w:eastAsia="fr-FR"/>
              </w:rPr>
              <w:t>V</w:t>
            </w:r>
            <w:r>
              <w:rPr>
                <w:rFonts w:ascii="Calibri" w:eastAsia="Times New Roman" w:hAnsi="Calibri" w:cs="Calibri"/>
                <w:sz w:val="18"/>
                <w:szCs w:val="18"/>
                <w:lang w:eastAsia="fr-FR"/>
              </w:rPr>
              <w:t xml:space="preserve">irements initiés à distance + via un canal de communication non distant </w:t>
            </w:r>
            <w:r w:rsidRPr="00DF344D">
              <w:rPr>
                <w:rFonts w:ascii="Calibri" w:eastAsia="Times New Roman" w:hAnsi="Calibri" w:cs="Calibri"/>
                <w:sz w:val="18"/>
                <w:szCs w:val="18"/>
                <w:lang w:eastAsia="fr-FR"/>
              </w:rPr>
              <w:t xml:space="preserve">(Cf. </w:t>
            </w:r>
            <w:r>
              <w:rPr>
                <w:rFonts w:ascii="Calibri" w:eastAsia="Times New Roman" w:hAnsi="Calibri" w:cs="Calibri"/>
                <w:sz w:val="18"/>
                <w:szCs w:val="18"/>
                <w:lang w:eastAsia="fr-FR"/>
              </w:rPr>
              <w:t>infra</w:t>
            </w:r>
            <w:r w:rsidRPr="00DF344D">
              <w:rPr>
                <w:rFonts w:ascii="Calibri" w:eastAsia="Times New Roman" w:hAnsi="Calibri" w:cs="Calibri"/>
                <w:sz w:val="18"/>
                <w:szCs w:val="18"/>
                <w:lang w:eastAsia="fr-FR"/>
              </w:rPr>
              <w:t>).</w:t>
            </w:r>
          </w:p>
        </w:tc>
        <w:tc>
          <w:tcPr>
            <w:tcW w:w="1259" w:type="dxa"/>
            <w:vMerge/>
            <w:tcBorders>
              <w:left w:val="single" w:sz="4" w:space="0" w:color="5B9BD5" w:themeColor="accent1"/>
              <w:right w:val="single" w:sz="4" w:space="0" w:color="5B9BD5" w:themeColor="accent1"/>
            </w:tcBorders>
          </w:tcPr>
          <w:p w14:paraId="670EAFEA" w14:textId="77777777" w:rsidR="004E68CF" w:rsidRPr="00DF344D" w:rsidRDefault="004E68CF" w:rsidP="00FA4C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42914379" w14:textId="77777777" w:rsidR="004E68CF" w:rsidRPr="00DF344D" w:rsidRDefault="004E68CF" w:rsidP="00FA4C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4" w:space="0" w:color="5B9BD5" w:themeColor="accent1"/>
              <w:right w:val="nil"/>
            </w:tcBorders>
          </w:tcPr>
          <w:p w14:paraId="62A5F403" w14:textId="77777777" w:rsidR="004E68CF" w:rsidRPr="00DF344D" w:rsidRDefault="004E68CF" w:rsidP="00FA4C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4059CCAC"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18" w:space="0" w:color="5B9BD5" w:themeColor="accent1"/>
              <w:right w:val="single" w:sz="4" w:space="0" w:color="5B9BD5" w:themeColor="accent1"/>
            </w:tcBorders>
            <w:noWrap/>
          </w:tcPr>
          <w:p w14:paraId="00D5203D"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tcPr>
          <w:p w14:paraId="0B427611" w14:textId="77777777"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4"/>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tcPr>
          <w:p w14:paraId="0FB8281B" w14:textId="17E3940E"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865CA9">
              <w:rPr>
                <w:rFonts w:ascii="Calibri" w:eastAsia="Times New Roman" w:hAnsi="Calibri" w:cs="Calibri"/>
                <w:b/>
                <w:i/>
                <w:sz w:val="18"/>
                <w:szCs w:val="18"/>
                <w:lang w:eastAsia="fr-FR"/>
              </w:rPr>
              <w:t>Dont virements initiés par lot/fichier</w:t>
            </w:r>
          </w:p>
        </w:tc>
        <w:tc>
          <w:tcPr>
            <w:tcW w:w="2551"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26E7484F" w14:textId="10B3A0AD"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865CA9">
              <w:rPr>
                <w:rFonts w:ascii="Calibri" w:eastAsia="Times New Roman" w:hAnsi="Calibri" w:cs="Calibri"/>
                <w:sz w:val="18"/>
                <w:szCs w:val="18"/>
                <w:lang w:eastAsia="fr-FR"/>
              </w:rPr>
              <w:t>Virement</w:t>
            </w:r>
            <w:r>
              <w:rPr>
                <w:rFonts w:ascii="Calibri" w:eastAsia="Times New Roman" w:hAnsi="Calibri" w:cs="Calibri"/>
                <w:sz w:val="18"/>
                <w:szCs w:val="18"/>
                <w:lang w:eastAsia="fr-FR"/>
              </w:rPr>
              <w:t xml:space="preserve">s (SEPA ou non) </w:t>
            </w:r>
            <w:r w:rsidRPr="00865CA9">
              <w:rPr>
                <w:rFonts w:ascii="Calibri" w:eastAsia="Times New Roman" w:hAnsi="Calibri" w:cs="Calibri"/>
                <w:sz w:val="18"/>
                <w:szCs w:val="18"/>
                <w:lang w:eastAsia="fr-FR"/>
              </w:rPr>
              <w:t>initié</w:t>
            </w:r>
            <w:r>
              <w:rPr>
                <w:rFonts w:ascii="Calibri" w:eastAsia="Times New Roman" w:hAnsi="Calibri" w:cs="Calibri"/>
                <w:sz w:val="18"/>
                <w:szCs w:val="18"/>
                <w:lang w:eastAsia="fr-FR"/>
              </w:rPr>
              <w:t>s</w:t>
            </w:r>
            <w:r w:rsidRPr="00865CA9">
              <w:rPr>
                <w:rFonts w:ascii="Calibri" w:eastAsia="Times New Roman" w:hAnsi="Calibri" w:cs="Calibri"/>
                <w:sz w:val="18"/>
                <w:szCs w:val="18"/>
                <w:lang w:eastAsia="fr-FR"/>
              </w:rPr>
              <w:t xml:space="preserve"> par voie électronique faisant partie d’un groupe de virements initiés ensemble par le payeur via une ligne dédiée. Chaque virement compris dans un lot est recensé comme un virement distinct lors de la déclaration du nombre d’opérations.</w:t>
            </w:r>
          </w:p>
        </w:tc>
        <w:tc>
          <w:tcPr>
            <w:tcW w:w="1259" w:type="dxa"/>
            <w:vMerge/>
            <w:tcBorders>
              <w:left w:val="single" w:sz="4" w:space="0" w:color="5B9BD5" w:themeColor="accent1"/>
              <w:bottom w:val="single" w:sz="18" w:space="0" w:color="5B9BD5" w:themeColor="accent1"/>
              <w:right w:val="single" w:sz="4" w:space="0" w:color="5B9BD5" w:themeColor="accent1"/>
            </w:tcBorders>
          </w:tcPr>
          <w:p w14:paraId="11CDB76C" w14:textId="21762BA3"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1C0270F8"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18" w:space="0" w:color="5B9BD5" w:themeColor="accent1"/>
              <w:right w:val="nil"/>
            </w:tcBorders>
          </w:tcPr>
          <w:p w14:paraId="24B49F8E"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7E981072"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2" w:space="0" w:color="5B9BD5" w:themeColor="accent1"/>
              <w:right w:val="single" w:sz="2" w:space="0" w:color="5B9BD5" w:themeColor="accent1"/>
            </w:tcBorders>
            <w:noWrap/>
          </w:tcPr>
          <w:p w14:paraId="6B7DC112"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5264CC12" w14:textId="7777777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4"/>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7FF5A42E" w14:textId="5627BA2E"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865CA9">
              <w:rPr>
                <w:rFonts w:ascii="Calibri" w:eastAsia="Times New Roman" w:hAnsi="Calibri" w:cs="Calibri"/>
                <w:b/>
                <w:i/>
                <w:sz w:val="18"/>
                <w:szCs w:val="18"/>
                <w:lang w:eastAsia="fr-FR"/>
              </w:rPr>
              <w:t>Dont virements initiés sur la base d’un paiement unique</w:t>
            </w:r>
          </w:p>
        </w:tc>
        <w:tc>
          <w:tcPr>
            <w:tcW w:w="2551"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0DA86A28" w14:textId="4D1E4C6E"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865CA9">
              <w:rPr>
                <w:rFonts w:ascii="Calibri" w:eastAsia="Times New Roman" w:hAnsi="Calibri" w:cs="Calibri"/>
                <w:sz w:val="18"/>
                <w:szCs w:val="18"/>
                <w:lang w:eastAsia="fr-FR"/>
              </w:rPr>
              <w:t>Virement</w:t>
            </w:r>
            <w:r>
              <w:rPr>
                <w:rFonts w:ascii="Calibri" w:eastAsia="Times New Roman" w:hAnsi="Calibri" w:cs="Calibri"/>
                <w:sz w:val="18"/>
                <w:szCs w:val="18"/>
                <w:lang w:eastAsia="fr-FR"/>
              </w:rPr>
              <w:t>s (SEPA ou non)</w:t>
            </w:r>
            <w:r w:rsidRPr="00865CA9">
              <w:rPr>
                <w:rFonts w:ascii="Calibri" w:eastAsia="Times New Roman" w:hAnsi="Calibri" w:cs="Calibri"/>
                <w:sz w:val="18"/>
                <w:szCs w:val="18"/>
                <w:lang w:eastAsia="fr-FR"/>
              </w:rPr>
              <w:t xml:space="preserve"> initié</w:t>
            </w:r>
            <w:r>
              <w:rPr>
                <w:rFonts w:ascii="Calibri" w:eastAsia="Times New Roman" w:hAnsi="Calibri" w:cs="Calibri"/>
                <w:sz w:val="18"/>
                <w:szCs w:val="18"/>
                <w:lang w:eastAsia="fr-FR"/>
              </w:rPr>
              <w:t>s</w:t>
            </w:r>
            <w:r w:rsidRPr="00865CA9">
              <w:rPr>
                <w:rFonts w:ascii="Calibri" w:eastAsia="Times New Roman" w:hAnsi="Calibri" w:cs="Calibri"/>
                <w:sz w:val="18"/>
                <w:szCs w:val="18"/>
                <w:lang w:eastAsia="fr-FR"/>
              </w:rPr>
              <w:t xml:space="preserve"> par voie électronique et de façon indépendante, c’est-à-dire qui ne fait pas partie d’un groupe de virements initiés ensemble.</w:t>
            </w:r>
          </w:p>
        </w:tc>
        <w:tc>
          <w:tcPr>
            <w:tcW w:w="1259" w:type="dxa"/>
            <w:vMerge/>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10FD344F"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5CCC81E1"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2" w:space="0" w:color="5B9BD5" w:themeColor="accent1"/>
              <w:bottom w:val="single" w:sz="2" w:space="0" w:color="5B9BD5" w:themeColor="accent1"/>
              <w:right w:val="nil"/>
            </w:tcBorders>
          </w:tcPr>
          <w:p w14:paraId="2C9F8402"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5C4850E5"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2" w:space="0" w:color="5B9BD5" w:themeColor="accent1"/>
              <w:right w:val="single" w:sz="2" w:space="0" w:color="5B9BD5" w:themeColor="accent1"/>
            </w:tcBorders>
            <w:noWrap/>
          </w:tcPr>
          <w:p w14:paraId="3DA36AB3"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1413BE7" w14:textId="77777777"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8C9614A" w14:textId="77777777" w:rsidR="004E68CF" w:rsidRPr="00865CA9"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3466" w:type="dxa"/>
            <w:gridSpan w:val="3"/>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7EA3F5D0" w14:textId="584D38D1" w:rsidR="004E68CF" w:rsidRPr="00865CA9"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865CA9">
              <w:rPr>
                <w:rFonts w:ascii="Calibri" w:eastAsia="Times New Roman" w:hAnsi="Calibri" w:cs="Calibri"/>
                <w:b/>
                <w:i/>
                <w:sz w:val="18"/>
                <w:szCs w:val="18"/>
                <w:lang w:eastAsia="fr-FR"/>
              </w:rPr>
              <w:t>Dont virements initiés depuis la banque en ligne</w:t>
            </w:r>
          </w:p>
        </w:tc>
        <w:tc>
          <w:tcPr>
            <w:tcW w:w="255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731A3827" w14:textId="175CCE72" w:rsidR="004E68CF" w:rsidRPr="00865CA9" w:rsidRDefault="007E6250"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Virements initiés depuis un service de banque en ligne</w:t>
            </w:r>
            <w:r w:rsidR="00F63A8C">
              <w:rPr>
                <w:rFonts w:ascii="Calibri" w:eastAsia="Times New Roman" w:hAnsi="Calibri" w:cs="Calibri"/>
                <w:sz w:val="18"/>
                <w:szCs w:val="18"/>
                <w:lang w:eastAsia="fr-FR"/>
              </w:rPr>
              <w:t xml:space="preserve"> ou une application mobile ou depuis un service d’initiation de paiement en ligne.</w:t>
            </w:r>
          </w:p>
        </w:tc>
        <w:tc>
          <w:tcPr>
            <w:tcW w:w="1259"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4FE9194B"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C7C2617"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nil"/>
            </w:tcBorders>
          </w:tcPr>
          <w:p w14:paraId="01CE2404"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754DE3E0" w14:textId="77777777" w:rsidTr="006841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2" w:space="0" w:color="5B9BD5" w:themeColor="accent1"/>
              <w:right w:val="single" w:sz="2" w:space="0" w:color="5B9BD5" w:themeColor="accent1"/>
            </w:tcBorders>
            <w:noWrap/>
          </w:tcPr>
          <w:p w14:paraId="5926E929"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4CBB26B" w14:textId="7777777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75FFDF5" w14:textId="77777777" w:rsidR="004E68CF" w:rsidRPr="00865CA9"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A58C216" w14:textId="77777777" w:rsidR="004E68CF" w:rsidRPr="00865CA9"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3192"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5889B9F" w14:textId="0E243A3A" w:rsidR="004E68CF" w:rsidRPr="00865CA9"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Dont virements initiés pour le e-commerce</w:t>
            </w:r>
          </w:p>
        </w:tc>
        <w:tc>
          <w:tcPr>
            <w:tcW w:w="255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74C6FA0D" w14:textId="74FB66AA" w:rsidR="004E68CF" w:rsidRPr="00865CA9" w:rsidRDefault="00F63A8C" w:rsidP="00F63A8C">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Virements initiés pour le règlement d’achat en ligne de biens ou de services.</w:t>
            </w:r>
          </w:p>
        </w:tc>
        <w:tc>
          <w:tcPr>
            <w:tcW w:w="1259"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073B604"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421A8381"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nil"/>
            </w:tcBorders>
          </w:tcPr>
          <w:p w14:paraId="0E33D3B8"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556B92E2" w14:textId="77777777" w:rsidTr="0068417B">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18" w:space="0" w:color="5B9BD5" w:themeColor="accent1"/>
              <w:right w:val="single" w:sz="2" w:space="0" w:color="5B9BD5" w:themeColor="accent1"/>
            </w:tcBorders>
            <w:noWrap/>
          </w:tcPr>
          <w:p w14:paraId="416D49C2"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18B37BBC" w14:textId="77777777"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389E901F" w14:textId="77777777" w:rsidR="004E68CF" w:rsidRPr="00865CA9"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3466" w:type="dxa"/>
            <w:gridSpan w:val="3"/>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7E68465D" w14:textId="6D28271B" w:rsidR="004E68CF"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430AB4">
              <w:rPr>
                <w:rFonts w:ascii="Calibri" w:eastAsia="Times New Roman" w:hAnsi="Calibri" w:cs="Calibri"/>
                <w:b/>
                <w:i/>
                <w:sz w:val="18"/>
                <w:szCs w:val="18"/>
                <w:lang w:eastAsia="fr-FR"/>
              </w:rPr>
              <w:t>Dont virements initiés depuis GAB ou autre terminal</w:t>
            </w:r>
          </w:p>
        </w:tc>
        <w:tc>
          <w:tcPr>
            <w:tcW w:w="2551"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0160591F" w14:textId="2FEDD6CA" w:rsidR="004E68CF" w:rsidRPr="00F63A8C" w:rsidRDefault="00F63A8C"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F63A8C">
              <w:rPr>
                <w:rFonts w:ascii="Calibri" w:eastAsia="Times New Roman" w:hAnsi="Calibri" w:cs="Calibri"/>
                <w:sz w:val="18"/>
                <w:szCs w:val="18"/>
                <w:lang w:eastAsia="fr-FR"/>
              </w:rPr>
              <w:t>Virements initiés uniquement depuis des terminaux physiques.</w:t>
            </w:r>
          </w:p>
        </w:tc>
        <w:tc>
          <w:tcPr>
            <w:tcW w:w="1259" w:type="dxa"/>
            <w:vMerge/>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6847AD23"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20C9FE5F"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18" w:space="0" w:color="5B9BD5" w:themeColor="accent1"/>
              <w:right w:val="nil"/>
            </w:tcBorders>
          </w:tcPr>
          <w:p w14:paraId="00303B9C"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5C028BC1" w14:textId="77777777" w:rsidTr="006841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2" w:space="0" w:color="5B9BD5" w:themeColor="accent1"/>
              <w:right w:val="single" w:sz="2" w:space="0" w:color="5B9BD5" w:themeColor="accent1"/>
            </w:tcBorders>
            <w:noWrap/>
          </w:tcPr>
          <w:p w14:paraId="1E1CFB71"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58E6EA7A" w14:textId="7777777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5F3BF690" w14:textId="77777777" w:rsidR="004E68CF" w:rsidRPr="00865CA9"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3466" w:type="dxa"/>
            <w:gridSpan w:val="3"/>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2DBE2EA7" w14:textId="06329077" w:rsidR="004E68CF" w:rsidRPr="00865CA9"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Dont virements initiés depuis une solution de paiement mobile</w:t>
            </w:r>
          </w:p>
        </w:tc>
        <w:tc>
          <w:tcPr>
            <w:tcW w:w="2551"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74107875" w14:textId="421D919D" w:rsidR="004E68CF" w:rsidRPr="00865CA9" w:rsidRDefault="00F63A8C" w:rsidP="00F63A8C">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F63A8C">
              <w:rPr>
                <w:rFonts w:ascii="Calibri" w:eastAsia="Times New Roman" w:hAnsi="Calibri" w:cs="Calibri"/>
                <w:sz w:val="18"/>
                <w:szCs w:val="18"/>
                <w:lang w:eastAsia="fr-FR"/>
              </w:rPr>
              <w:t xml:space="preserve">Solution utilisée pour initier des </w:t>
            </w:r>
            <w:r>
              <w:rPr>
                <w:rFonts w:ascii="Calibri" w:eastAsia="Times New Roman" w:hAnsi="Calibri" w:cs="Calibri"/>
                <w:sz w:val="18"/>
                <w:szCs w:val="18"/>
                <w:lang w:eastAsia="fr-FR"/>
              </w:rPr>
              <w:t xml:space="preserve">virements </w:t>
            </w:r>
            <w:r w:rsidRPr="00F63A8C">
              <w:rPr>
                <w:rFonts w:ascii="Calibri" w:eastAsia="Times New Roman" w:hAnsi="Calibri" w:cs="Calibri"/>
                <w:sz w:val="18"/>
                <w:szCs w:val="18"/>
                <w:lang w:eastAsia="fr-FR"/>
              </w:rPr>
              <w:t>pour laquelle les données concernant les paiements et les instructions de paiement sont transmises et/ou confirmées par une technologie mobile de communication et de transmission de données via un appareil mobile. Cette catégorie comprend les porte-monnaie numériques et autres solutions de paiement mobile utilisées pour initier des opérations P2P (de particulier à particulier) et/ou de consommateur à entreprise (C2B)</w:t>
            </w:r>
            <w:r>
              <w:rPr>
                <w:rFonts w:ascii="Calibri" w:eastAsia="Times New Roman" w:hAnsi="Calibri" w:cs="Calibri"/>
                <w:sz w:val="18"/>
                <w:szCs w:val="18"/>
                <w:lang w:eastAsia="fr-FR"/>
              </w:rPr>
              <w:t>.</w:t>
            </w:r>
          </w:p>
        </w:tc>
        <w:tc>
          <w:tcPr>
            <w:tcW w:w="1259" w:type="dxa"/>
            <w:vMerge/>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36EA1EC2"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4EAAD4DD"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2" w:space="0" w:color="5B9BD5" w:themeColor="accent1"/>
              <w:bottom w:val="single" w:sz="2" w:space="0" w:color="5B9BD5" w:themeColor="accent1"/>
              <w:right w:val="nil"/>
            </w:tcBorders>
          </w:tcPr>
          <w:p w14:paraId="0AB4FAB4"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3B7C6A33"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18" w:space="0" w:color="5B9BD5" w:themeColor="accent1"/>
              <w:right w:val="single" w:sz="2" w:space="0" w:color="5B9BD5" w:themeColor="accent1"/>
            </w:tcBorders>
            <w:noWrap/>
          </w:tcPr>
          <w:p w14:paraId="68B84613"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00653460" w14:textId="77777777"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noWrap/>
          </w:tcPr>
          <w:p w14:paraId="29D10020" w14:textId="77777777" w:rsidR="004E68CF" w:rsidRPr="00865CA9"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274"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51FE9FEB" w14:textId="77777777" w:rsidR="004E68CF" w:rsidRPr="00865CA9"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3192" w:type="dxa"/>
            <w:gridSpan w:val="2"/>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459708D0" w14:textId="214F881A" w:rsidR="004E68CF" w:rsidRPr="00865CA9"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Dont solutions de paiement mobile P2P</w:t>
            </w:r>
          </w:p>
        </w:tc>
        <w:tc>
          <w:tcPr>
            <w:tcW w:w="2551"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4E39E768" w14:textId="09D96CCB" w:rsidR="004E68CF" w:rsidRPr="00865CA9" w:rsidRDefault="00F63A8C" w:rsidP="00F63A8C">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F63A8C">
              <w:rPr>
                <w:rFonts w:ascii="Calibri" w:eastAsia="Times New Roman" w:hAnsi="Calibri" w:cs="Calibri"/>
                <w:sz w:val="18"/>
                <w:szCs w:val="18"/>
                <w:lang w:eastAsia="fr-FR"/>
              </w:rPr>
              <w:t xml:space="preserve">Solution par laquelle les </w:t>
            </w:r>
            <w:r>
              <w:rPr>
                <w:rFonts w:ascii="Calibri" w:eastAsia="Times New Roman" w:hAnsi="Calibri" w:cs="Calibri"/>
                <w:sz w:val="18"/>
                <w:szCs w:val="18"/>
                <w:lang w:eastAsia="fr-FR"/>
              </w:rPr>
              <w:t>virements</w:t>
            </w:r>
            <w:r w:rsidRPr="00F63A8C">
              <w:rPr>
                <w:rFonts w:ascii="Calibri" w:eastAsia="Times New Roman" w:hAnsi="Calibri" w:cs="Calibri"/>
                <w:sz w:val="18"/>
                <w:szCs w:val="18"/>
                <w:lang w:eastAsia="fr-FR"/>
              </w:rPr>
              <w:t xml:space="preserve"> sont initiés, confirmés et/ou reçus par une personne physique vers une autre personne physique (P2P) à l’aide d’un appareil mobile. L’instruction de paiement et les autres données relatives au paiement sont transmises et/ou confirmées au moyen d’un appareil mobile. Un identifiant </w:t>
            </w:r>
            <w:r w:rsidRPr="00F63A8C">
              <w:rPr>
                <w:rFonts w:ascii="Calibri" w:eastAsia="Times New Roman" w:hAnsi="Calibri" w:cs="Calibri"/>
                <w:sz w:val="18"/>
                <w:szCs w:val="18"/>
                <w:lang w:eastAsia="fr-FR"/>
              </w:rPr>
              <w:lastRenderedPageBreak/>
              <w:t xml:space="preserve">de paiement mobile unique, tel qu'un numéro de téléphone portable ou une adresse électronique, peut être utilisé comme serveur mandataire pour identifier le payeur et/ou le payé. </w:t>
            </w:r>
          </w:p>
        </w:tc>
        <w:tc>
          <w:tcPr>
            <w:tcW w:w="1259" w:type="dxa"/>
            <w:vMerge/>
            <w:tcBorders>
              <w:top w:val="single" w:sz="2" w:space="0" w:color="5B9BD5" w:themeColor="accent1"/>
              <w:left w:val="single" w:sz="2" w:space="0" w:color="5B9BD5" w:themeColor="accent1"/>
              <w:right w:val="single" w:sz="2" w:space="0" w:color="5B9BD5" w:themeColor="accent1"/>
            </w:tcBorders>
          </w:tcPr>
          <w:p w14:paraId="1E6F72D3"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3494CDAA"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18" w:space="0" w:color="5B9BD5" w:themeColor="accent1"/>
              <w:right w:val="nil"/>
            </w:tcBorders>
          </w:tcPr>
          <w:p w14:paraId="4BA2B166"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24470138" w14:textId="5535DDA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4" w:space="0" w:color="5B9BD5" w:themeColor="accent1"/>
              <w:right w:val="single" w:sz="4" w:space="0" w:color="5B9BD5" w:themeColor="accent1"/>
            </w:tcBorders>
            <w:noWrap/>
          </w:tcPr>
          <w:p w14:paraId="284018C9" w14:textId="6F82289D" w:rsidR="004E68CF" w:rsidRPr="00DF344D" w:rsidRDefault="004E68CF" w:rsidP="00E70D5F">
            <w:pPr>
              <w:rPr>
                <w:rFonts w:ascii="Calibri" w:eastAsia="Times New Roman" w:hAnsi="Calibri" w:cs="Calibri"/>
                <w:i/>
                <w:sz w:val="18"/>
                <w:szCs w:val="18"/>
                <w:lang w:eastAsia="fr-FR"/>
              </w:rPr>
            </w:pPr>
          </w:p>
        </w:tc>
        <w:tc>
          <w:tcPr>
            <w:tcW w:w="26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3E03ABC4" w14:textId="6F5CEF1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2DE14264" w14:textId="37A2A31E"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DF344D">
              <w:rPr>
                <w:rFonts w:ascii="Calibri" w:eastAsia="Times New Roman" w:hAnsi="Calibri" w:cs="Calibri"/>
                <w:b/>
                <w:i/>
                <w:sz w:val="18"/>
                <w:szCs w:val="18"/>
                <w:lang w:eastAsia="fr-FR"/>
              </w:rPr>
              <w:t xml:space="preserve">Dont virements initiés </w:t>
            </w:r>
            <w:r>
              <w:rPr>
                <w:rFonts w:ascii="Calibri" w:eastAsia="Times New Roman" w:hAnsi="Calibri" w:cs="Calibri"/>
                <w:b/>
                <w:i/>
                <w:sz w:val="18"/>
                <w:szCs w:val="18"/>
                <w:lang w:eastAsia="fr-FR"/>
              </w:rPr>
              <w:t xml:space="preserve">via un canal de paiement </w:t>
            </w:r>
            <w:r w:rsidRPr="00DF344D">
              <w:rPr>
                <w:rFonts w:ascii="Calibri" w:eastAsia="Times New Roman" w:hAnsi="Calibri" w:cs="Calibri"/>
                <w:b/>
                <w:i/>
                <w:sz w:val="18"/>
                <w:szCs w:val="18"/>
                <w:lang w:eastAsia="fr-FR"/>
              </w:rPr>
              <w:t>à distance</w:t>
            </w:r>
          </w:p>
        </w:tc>
        <w:tc>
          <w:tcPr>
            <w:tcW w:w="2551"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5BCB50B" w14:textId="1C9D832D" w:rsidR="004E68CF" w:rsidRPr="00DF344D" w:rsidRDefault="004E68CF" w:rsidP="009147D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DF344D">
              <w:rPr>
                <w:rFonts w:ascii="Calibri" w:eastAsia="Times New Roman" w:hAnsi="Calibri" w:cs="Calibri"/>
                <w:sz w:val="18"/>
                <w:szCs w:val="18"/>
                <w:lang w:eastAsia="fr-FR"/>
              </w:rPr>
              <w:t>Virements initiés depuis la banque en ligne</w:t>
            </w:r>
            <w:r>
              <w:rPr>
                <w:rFonts w:ascii="Calibri" w:eastAsia="Times New Roman" w:hAnsi="Calibri" w:cs="Calibri"/>
                <w:sz w:val="18"/>
                <w:szCs w:val="18"/>
                <w:lang w:eastAsia="fr-FR"/>
              </w:rPr>
              <w:t xml:space="preserve"> ou</w:t>
            </w:r>
            <w:r w:rsidRPr="00DF344D">
              <w:rPr>
                <w:rFonts w:ascii="Calibri" w:eastAsia="Times New Roman" w:hAnsi="Calibri" w:cs="Calibri"/>
                <w:sz w:val="18"/>
                <w:szCs w:val="18"/>
                <w:lang w:eastAsia="fr-FR"/>
              </w:rPr>
              <w:t xml:space="preserve"> </w:t>
            </w:r>
            <w:r>
              <w:rPr>
                <w:rFonts w:ascii="Calibri" w:eastAsia="Times New Roman" w:hAnsi="Calibri" w:cs="Calibri"/>
                <w:sz w:val="18"/>
                <w:szCs w:val="18"/>
                <w:lang w:eastAsia="fr-FR"/>
              </w:rPr>
              <w:t>u</w:t>
            </w:r>
            <w:r w:rsidRPr="00DF344D">
              <w:rPr>
                <w:rFonts w:ascii="Calibri" w:eastAsia="Times New Roman" w:hAnsi="Calibri" w:cs="Calibri"/>
                <w:sz w:val="18"/>
                <w:szCs w:val="18"/>
                <w:lang w:eastAsia="fr-FR"/>
              </w:rPr>
              <w:t>ne application mobile</w:t>
            </w:r>
            <w:r w:rsidR="00F9312C">
              <w:rPr>
                <w:rFonts w:ascii="Calibri" w:eastAsia="Times New Roman" w:hAnsi="Calibri" w:cs="Calibri"/>
                <w:sz w:val="18"/>
                <w:szCs w:val="18"/>
                <w:lang w:eastAsia="fr-FR"/>
              </w:rPr>
              <w:t xml:space="preserve"> ou via d’autres canaux télématiques, tels que par exemple le système EBICS</w:t>
            </w:r>
            <w:r w:rsidRPr="00DF344D">
              <w:rPr>
                <w:rFonts w:ascii="Calibri" w:eastAsia="Times New Roman" w:hAnsi="Calibri" w:cs="Calibri"/>
                <w:sz w:val="18"/>
                <w:szCs w:val="18"/>
                <w:lang w:eastAsia="fr-FR"/>
              </w:rPr>
              <w:t>.</w:t>
            </w:r>
          </w:p>
        </w:tc>
        <w:tc>
          <w:tcPr>
            <w:tcW w:w="1259" w:type="dxa"/>
            <w:vMerge/>
            <w:tcBorders>
              <w:left w:val="single" w:sz="4" w:space="0" w:color="5B9BD5" w:themeColor="accent1"/>
              <w:right w:val="single" w:sz="4" w:space="0" w:color="5B9BD5" w:themeColor="accent1"/>
            </w:tcBorders>
          </w:tcPr>
          <w:p w14:paraId="698D07D4"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5411A098"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4" w:space="0" w:color="5B9BD5" w:themeColor="accent1"/>
              <w:right w:val="nil"/>
            </w:tcBorders>
          </w:tcPr>
          <w:p w14:paraId="0E854562"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7EB2F1E7"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F203BCD"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2A3335E" w14:textId="77777777"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9F6556C" w14:textId="77777777"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46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A37D386" w14:textId="3E8B48EC" w:rsidR="004E68CF" w:rsidRPr="00187036"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Dont virements traités par le schéma SEPA CT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BA7380" w14:textId="39EBFE9D" w:rsidR="004E68CF" w:rsidRPr="00DF344D" w:rsidRDefault="005D42B0" w:rsidP="005D42B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Virements traités selon les règles du </w:t>
            </w:r>
            <w:r w:rsidRPr="00E74C9F">
              <w:rPr>
                <w:rFonts w:ascii="Calibri" w:eastAsia="Times New Roman" w:hAnsi="Calibri" w:cs="Calibri"/>
                <w:i/>
                <w:sz w:val="18"/>
                <w:szCs w:val="18"/>
                <w:lang w:eastAsia="fr-FR"/>
              </w:rPr>
              <w:t xml:space="preserve">SEPA </w:t>
            </w:r>
            <w:proofErr w:type="spellStart"/>
            <w:r w:rsidRPr="00E74C9F">
              <w:rPr>
                <w:rFonts w:ascii="Calibri" w:eastAsia="Times New Roman" w:hAnsi="Calibri" w:cs="Calibri"/>
                <w:i/>
                <w:sz w:val="18"/>
                <w:szCs w:val="18"/>
                <w:lang w:eastAsia="fr-FR"/>
              </w:rPr>
              <w:t>C</w:t>
            </w:r>
            <w:r w:rsidR="0046310B" w:rsidRPr="00E74C9F">
              <w:rPr>
                <w:rFonts w:ascii="Calibri" w:eastAsia="Times New Roman" w:hAnsi="Calibri" w:cs="Calibri"/>
                <w:i/>
                <w:sz w:val="18"/>
                <w:szCs w:val="18"/>
                <w:lang w:eastAsia="fr-FR"/>
              </w:rPr>
              <w:t>redit</w:t>
            </w:r>
            <w:proofErr w:type="spellEnd"/>
            <w:r w:rsidR="0046310B" w:rsidRPr="00E74C9F">
              <w:rPr>
                <w:rFonts w:ascii="Calibri" w:eastAsia="Times New Roman" w:hAnsi="Calibri" w:cs="Calibri"/>
                <w:i/>
                <w:sz w:val="18"/>
                <w:szCs w:val="18"/>
                <w:lang w:eastAsia="fr-FR"/>
              </w:rPr>
              <w:t xml:space="preserve"> Transfer Scheme</w:t>
            </w:r>
            <w:r w:rsidRPr="00E74C9F">
              <w:rPr>
                <w:rFonts w:ascii="Calibri" w:eastAsia="Times New Roman" w:hAnsi="Calibri" w:cs="Calibri"/>
                <w:i/>
                <w:sz w:val="18"/>
                <w:szCs w:val="18"/>
                <w:lang w:eastAsia="fr-FR"/>
              </w:rPr>
              <w:t>.</w:t>
            </w:r>
          </w:p>
        </w:tc>
        <w:tc>
          <w:tcPr>
            <w:tcW w:w="1259" w:type="dxa"/>
            <w:vMerge/>
            <w:tcBorders>
              <w:left w:val="single" w:sz="4" w:space="0" w:color="5B9BD5" w:themeColor="accent1"/>
              <w:right w:val="single" w:sz="4" w:space="0" w:color="5B9BD5" w:themeColor="accent1"/>
            </w:tcBorders>
          </w:tcPr>
          <w:p w14:paraId="0DEDDBB5"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1258EF"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FEAD324"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5FB3C360" w14:textId="4872FA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3098590" w14:textId="0CC1C010" w:rsidR="004E68CF" w:rsidRPr="00DF344D" w:rsidRDefault="004E68CF" w:rsidP="00E70D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F55E60A" w14:textId="7FF1DC22"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D66F543" w14:textId="7C96F8A3"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1A6EF1A6" w14:textId="0CCB5D90" w:rsidR="004E68CF" w:rsidRPr="00187036"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DBC6D5" w14:textId="0AA78E70" w:rsidR="004E68CF" w:rsidRPr="0045469A"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45469A">
              <w:rPr>
                <w:rFonts w:ascii="Calibri" w:eastAsia="Times New Roman" w:hAnsi="Calibri" w:cs="Calibri"/>
                <w:i/>
                <w:sz w:val="18"/>
                <w:szCs w:val="18"/>
                <w:lang w:eastAsia="fr-FR"/>
              </w:rPr>
              <w:t>Dont avec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67BBC2" w14:textId="73632CC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E2650C3"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207369"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DFF7BF9"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59F4CD3E" w14:textId="145CE8ED"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05D1D93" w14:textId="08115778" w:rsidR="004E68CF" w:rsidRPr="00DF344D" w:rsidRDefault="004E68CF" w:rsidP="00E70D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F445CC1" w14:textId="1C554CEB"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CA73579" w14:textId="0F74A14D"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29E972B1" w14:textId="460B0DE1" w:rsidR="004E68CF" w:rsidRPr="00187036"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BB493D" w14:textId="7D84A504" w:rsidR="004E68CF" w:rsidRPr="0045469A"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45469A">
              <w:rPr>
                <w:rFonts w:ascii="Calibri" w:eastAsia="Times New Roman" w:hAnsi="Calibri" w:cs="Calibri"/>
                <w:i/>
                <w:sz w:val="18"/>
                <w:szCs w:val="18"/>
                <w:lang w:eastAsia="fr-FR"/>
              </w:rPr>
              <w:t>Dont sans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F55A50" w14:textId="3397AC06"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71D7986"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34B499"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B6096CD"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10AE77C6"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ED40DC0"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8202E40" w14:textId="7777777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59B539A" w14:textId="7777777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2E2E249" w14:textId="7777777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AECB20C" w14:textId="42EDFFE6"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50FCBDB" w14:textId="05FF3A6B"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13 RTS (bénéficiaire de confiance)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0C7963"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B9982DD"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3E1F17"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93BA825"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048FDD0A" w14:textId="09B467A1"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71D5BA0" w14:textId="12820C7C" w:rsidR="004E68CF" w:rsidRPr="00DF344D" w:rsidRDefault="004E68CF" w:rsidP="00E70D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C50C512" w14:textId="2225A786"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1A50302" w14:textId="1998752E"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2711170" w14:textId="08D433B7"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273933C2" w14:textId="1D6CFC8C"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B6A185" w14:textId="46037115"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14 RTS (opération récurrente</w:t>
            </w:r>
            <w:r>
              <w:rPr>
                <w:rFonts w:ascii="Calibri" w:eastAsia="Times New Roman" w:hAnsi="Calibri" w:cs="Calibri"/>
                <w:i/>
                <w:sz w:val="18"/>
                <w:szCs w:val="18"/>
                <w:lang w:eastAsia="fr-FR"/>
              </w:rPr>
              <w: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5F4F1F" w14:textId="5CAF3BA5"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05D12CC"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394704"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8F84D33"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53D4C870" w14:textId="51DDE80E"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BBFADB6" w14:textId="1164D739"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37800C0" w14:textId="64A168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DC19339" w14:textId="1F31975E"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639EADE" w14:textId="4C88A779"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9C8DD44" w14:textId="0383F07D"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F4158C" w14:textId="667AFA82"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15 RTS (paiement à soi-même)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EB7FF7" w14:textId="498FFE22"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068ED3A2"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20CFC4"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91C535B"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0572FDC5" w14:textId="2AC8CA33"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11014DF" w14:textId="11EA0F8C"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0FD652F" w14:textId="5B632142"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41FA26D" w14:textId="04FFD20C"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A7198B" w14:textId="6529CD81"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1E2A7AD" w14:textId="77ADB0DE"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8BE3B5" w14:textId="16E9382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16 RTS (faible montant)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AB541E" w14:textId="0210E31B"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70E84B6E"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1DE4EC"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401CCF5"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21CD2205" w14:textId="5579D715"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B241D65" w14:textId="4ED08967"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38881B5" w14:textId="313407E4"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6E4EAAC" w14:textId="341F76A4"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0BB44F" w14:textId="36174FFD"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996CBA3" w14:textId="5D671D19" w:rsidR="004E68CF" w:rsidRPr="00B83DE6"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10FCCA" w14:textId="0C1BEB5D" w:rsidR="004E68CF" w:rsidRPr="00B83DE6"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83DE6">
              <w:rPr>
                <w:rFonts w:ascii="Calibri" w:eastAsia="Times New Roman" w:hAnsi="Calibri" w:cs="Calibri"/>
                <w:i/>
                <w:sz w:val="18"/>
                <w:szCs w:val="18"/>
                <w:lang w:eastAsia="fr-FR"/>
              </w:rPr>
              <w:t>Dont au titre de l’art. 17 RTS (protocole de paiement sécurisé)</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BE8CCD" w14:textId="09EA370A" w:rsidR="004E68CF" w:rsidRPr="00B83DE6"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0055D304" w14:textId="77777777" w:rsidR="004E68CF" w:rsidRPr="00B83DE6"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EAFE37" w14:textId="77777777" w:rsidR="004E68CF" w:rsidRPr="00B83DE6"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3E3D2243" w14:textId="77777777" w:rsidR="004E68CF" w:rsidRPr="00B83DE6"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002D1AE2" w14:textId="427CB841"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C3884D3" w14:textId="20CD22DF"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F4C96E7" w14:textId="78BF87FF"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845E652" w14:textId="66D12A4F"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A1BFCB" w14:textId="01510F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3A8794C" w14:textId="57D42A03"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4786B8" w14:textId="2621154B"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18 RTS (analyse des risques)</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080E9F" w14:textId="01CC6F2D"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D7D1891"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21F496"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5B57D2A"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2688E735"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9D521E9"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0829521" w14:textId="7777777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C9FD047" w14:textId="7777777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46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9E6AFC" w14:textId="00C2C9FA" w:rsidR="004E68CF" w:rsidRPr="003E4DF1"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3E4DF1">
              <w:rPr>
                <w:rFonts w:ascii="Calibri" w:eastAsia="Times New Roman" w:hAnsi="Calibri" w:cs="Calibri"/>
                <w:b/>
                <w:i/>
                <w:sz w:val="18"/>
                <w:szCs w:val="18"/>
                <w:lang w:eastAsia="fr-FR"/>
              </w:rPr>
              <w:t>Dont traités par le schéma SEPA CT INST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7B1E7E" w14:textId="07F8730D" w:rsidR="004E68CF" w:rsidRPr="00DF344D" w:rsidRDefault="005D42B0" w:rsidP="005D42B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Virements traités selon les règles du </w:t>
            </w:r>
            <w:r w:rsidR="00DD75A3" w:rsidRPr="00E74C9F">
              <w:rPr>
                <w:rFonts w:ascii="Calibri" w:eastAsia="Times New Roman" w:hAnsi="Calibri" w:cs="Calibri"/>
                <w:i/>
                <w:sz w:val="18"/>
                <w:szCs w:val="18"/>
                <w:lang w:eastAsia="fr-FR"/>
              </w:rPr>
              <w:t xml:space="preserve">SEPA Instant </w:t>
            </w:r>
            <w:proofErr w:type="spellStart"/>
            <w:r w:rsidR="00DD75A3" w:rsidRPr="00E74C9F">
              <w:rPr>
                <w:rFonts w:ascii="Calibri" w:eastAsia="Times New Roman" w:hAnsi="Calibri" w:cs="Calibri"/>
                <w:i/>
                <w:sz w:val="18"/>
                <w:szCs w:val="18"/>
                <w:lang w:eastAsia="fr-FR"/>
              </w:rPr>
              <w:t>Credit</w:t>
            </w:r>
            <w:proofErr w:type="spellEnd"/>
            <w:r w:rsidR="00DD75A3" w:rsidRPr="00E74C9F">
              <w:rPr>
                <w:rFonts w:ascii="Calibri" w:eastAsia="Times New Roman" w:hAnsi="Calibri" w:cs="Calibri"/>
                <w:i/>
                <w:sz w:val="18"/>
                <w:szCs w:val="18"/>
                <w:lang w:eastAsia="fr-FR"/>
              </w:rPr>
              <w:t xml:space="preserve"> Transfer Scheme</w:t>
            </w:r>
            <w:r w:rsidR="00DD75A3" w:rsidRPr="00DD75A3">
              <w:rPr>
                <w:rFonts w:ascii="Calibri" w:eastAsia="Times New Roman" w:hAnsi="Calibri" w:cs="Calibri"/>
                <w:sz w:val="18"/>
                <w:szCs w:val="18"/>
                <w:lang w:eastAsia="fr-FR"/>
              </w:rPr>
              <w:t>.</w:t>
            </w:r>
          </w:p>
        </w:tc>
        <w:tc>
          <w:tcPr>
            <w:tcW w:w="1259" w:type="dxa"/>
            <w:vMerge/>
            <w:tcBorders>
              <w:left w:val="single" w:sz="4" w:space="0" w:color="5B9BD5" w:themeColor="accent1"/>
              <w:right w:val="single" w:sz="4" w:space="0" w:color="5B9BD5" w:themeColor="accent1"/>
            </w:tcBorders>
          </w:tcPr>
          <w:p w14:paraId="0E4D6C31"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3C51EB"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41F799A"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2D1603BF"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B154740" w14:textId="77777777"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A5B4D8C"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BBAD1E4"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131675"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C515F71" w14:textId="0367C195"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45469A">
              <w:rPr>
                <w:rFonts w:ascii="Calibri" w:eastAsia="Times New Roman" w:hAnsi="Calibri" w:cs="Calibri"/>
                <w:i/>
                <w:sz w:val="18"/>
                <w:szCs w:val="18"/>
                <w:lang w:eastAsia="fr-FR"/>
              </w:rPr>
              <w:t>Dont avec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C76331"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7435336D"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02DAA1"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08A1A0B"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415EFEEF"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7FDB38B" w14:textId="77777777"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ADDB6FB"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6C1B311"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FF84FD"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89DDABD" w14:textId="3E7A3278"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45469A">
              <w:rPr>
                <w:rFonts w:ascii="Calibri" w:eastAsia="Times New Roman" w:hAnsi="Calibri" w:cs="Calibri"/>
                <w:i/>
                <w:sz w:val="18"/>
                <w:szCs w:val="18"/>
                <w:lang w:eastAsia="fr-FR"/>
              </w:rPr>
              <w:t>Dont sans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DD7608"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6D05BD90"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46210C"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D6E73D7"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02B03502"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466EC2A" w14:textId="77777777"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B7F0331"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2AA3310"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75B280"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E2D37DA"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4D8921" w14:textId="1C2F9D3F"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13 RTS (bénéficiaire de confiance)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928C69"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62214E51"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C65FC7"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F5533C6"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1F31DC5F"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076EFBF" w14:textId="77777777"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DD83C31"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B89FA6B"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58B3D1"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BA67A60"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F6FD57" w14:textId="69B04471"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14 RTS (opération récurrente</w:t>
            </w:r>
            <w:r>
              <w:rPr>
                <w:rFonts w:ascii="Calibri" w:eastAsia="Times New Roman" w:hAnsi="Calibri" w:cs="Calibri"/>
                <w:i/>
                <w:sz w:val="18"/>
                <w:szCs w:val="18"/>
                <w:lang w:eastAsia="fr-FR"/>
              </w:rPr>
              <w: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61D715"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A8530CD"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ADD8BB"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2603082"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20BE52C4"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6DFFDA1" w14:textId="77777777"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A11F083"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D44C86D"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C9DA95"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74428C0"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D36FED" w14:textId="2A3E89A1"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15 RTS (paiement à soi-même)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79C337"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0431961"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317694"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399EEB86"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4048ABD1"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079EFF0" w14:textId="77777777"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0F68FA6"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DF19565"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FCFF1D"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56E2C24"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D3B096" w14:textId="3C32B284"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16 RTS (faible montant)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2A350B"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941DCEF"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C592EB"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0CA20FE6"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6215AD3F"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EF452C8" w14:textId="77777777"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E18A50A"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2803711"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CD5720"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DEB3C69"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943933" w14:textId="7FF7414C"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83DE6">
              <w:rPr>
                <w:rFonts w:ascii="Calibri" w:eastAsia="Times New Roman" w:hAnsi="Calibri" w:cs="Calibri"/>
                <w:i/>
                <w:sz w:val="18"/>
                <w:szCs w:val="18"/>
                <w:lang w:eastAsia="fr-FR"/>
              </w:rPr>
              <w:t>Dont au titre de l’art. 17 RTS (protocole de paiement sécurisé)</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631372"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7EDE5EA"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9A1242"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0DBB3610"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570A6B07"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BF6748B"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8E1CB24"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93B0B55"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2E7AE6"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72D73D0"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C0DD7D" w14:textId="0AD3C8B2"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18 RTS (analyse des risques)</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FDBF9A"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6BAC63D0"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7E1FD8"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34986FEB"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48FE4C82"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77A1496"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1747AE2"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C9B1961"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46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4AA8F8" w14:textId="71A03A51"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3E4DF1">
              <w:rPr>
                <w:rFonts w:ascii="Calibri" w:eastAsia="Times New Roman" w:hAnsi="Calibri" w:cs="Calibri"/>
                <w:b/>
                <w:i/>
                <w:sz w:val="18"/>
                <w:szCs w:val="18"/>
                <w:lang w:eastAsia="fr-FR"/>
              </w:rPr>
              <w:t xml:space="preserve">Dont traités par </w:t>
            </w:r>
            <w:r>
              <w:rPr>
                <w:rFonts w:ascii="Calibri" w:eastAsia="Times New Roman" w:hAnsi="Calibri" w:cs="Calibri"/>
                <w:b/>
                <w:i/>
                <w:sz w:val="18"/>
                <w:szCs w:val="18"/>
                <w:lang w:eastAsia="fr-FR"/>
              </w:rPr>
              <w:t>un schéma non SEPA de type VGM</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4101AC" w14:textId="38243389"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Virements traités par les systèmes TARGET2 et EURO1.</w:t>
            </w:r>
          </w:p>
        </w:tc>
        <w:tc>
          <w:tcPr>
            <w:tcW w:w="1259" w:type="dxa"/>
            <w:vMerge/>
            <w:tcBorders>
              <w:left w:val="single" w:sz="4" w:space="0" w:color="5B9BD5" w:themeColor="accent1"/>
              <w:right w:val="single" w:sz="4" w:space="0" w:color="5B9BD5" w:themeColor="accent1"/>
            </w:tcBorders>
          </w:tcPr>
          <w:p w14:paraId="6FE9D336"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58B381"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DEB5A9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7B834FEC"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775C88B"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C9B5D01"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F4BC767"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2DA4AA"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E8D44D3" w14:textId="0A560559"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45469A">
              <w:rPr>
                <w:rFonts w:ascii="Calibri" w:eastAsia="Times New Roman" w:hAnsi="Calibri" w:cs="Calibri"/>
                <w:i/>
                <w:sz w:val="18"/>
                <w:szCs w:val="18"/>
                <w:lang w:eastAsia="fr-FR"/>
              </w:rPr>
              <w:t>Dont avec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962D2A"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84F8E48"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123AE4"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96A3BC1"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D0397A9"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45974DA"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6E4B6AC"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F40B867"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EF320A"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500EB26" w14:textId="2117DDCF"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45469A">
              <w:rPr>
                <w:rFonts w:ascii="Calibri" w:eastAsia="Times New Roman" w:hAnsi="Calibri" w:cs="Calibri"/>
                <w:i/>
                <w:sz w:val="18"/>
                <w:szCs w:val="18"/>
                <w:lang w:eastAsia="fr-FR"/>
              </w:rPr>
              <w:t>Dont sans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49E91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17F3054"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6DE9B8"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5EAC249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299BC24"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DDDDEB9"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3B63F1E"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1A0288F"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40B471"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5571943"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70DA61" w14:textId="15BCC235"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13 RTS (bénéficiaire de confiance)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76C088"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BC52701"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76261C"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0A0C45C"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D212C8A"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DBDD51D"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6A582AB"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6929862"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ECE5A2"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B323F42"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B1A4CA" w14:textId="05733A02"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14 RTS (opération récurrente</w:t>
            </w:r>
            <w:r>
              <w:rPr>
                <w:rFonts w:ascii="Calibri" w:eastAsia="Times New Roman" w:hAnsi="Calibri" w:cs="Calibri"/>
                <w:i/>
                <w:sz w:val="18"/>
                <w:szCs w:val="18"/>
                <w:lang w:eastAsia="fr-FR"/>
              </w:rPr>
              <w: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0B9CBE"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3890A2D"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58426D"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03F946E3"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1C73161B"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CB654D7"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9E1AA7A"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155D327"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9247EC"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ADE10E3"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3A9A5F" w14:textId="30850E88"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15 RTS (paiement à soi-même)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411A6A"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679EF733"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7E3D30"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DFE3639"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305EFD65"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623C4C8"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540DE43"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49B6D42"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BB4A4E"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11E5732"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03F03B" w14:textId="7B8B4CE5"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16 RTS (faible montant)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23E3D1"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09E7C7B5"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E52B1F"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1B3F8DD"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7347E52"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72BCDA1"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67C6D54"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E7B3989"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5B06B8"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71DCBC2"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1EC8B0" w14:textId="2A11F710"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83DE6">
              <w:rPr>
                <w:rFonts w:ascii="Calibri" w:eastAsia="Times New Roman" w:hAnsi="Calibri" w:cs="Calibri"/>
                <w:i/>
                <w:sz w:val="18"/>
                <w:szCs w:val="18"/>
                <w:lang w:eastAsia="fr-FR"/>
              </w:rPr>
              <w:t>Dont au titre de l’art. 17 RTS (protocole de paiement sécurisé)</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05E168"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9A5019D"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3BABAB"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E358B7A"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466C3658"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D48410A"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7F3F725"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55D3076"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191FE6"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5E965F0"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F8888C" w14:textId="00DF0BFA"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18 RTS (analyse des risques)</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9B2CF7"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3E18CBDC"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517F6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9907884"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3F99A40A"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29433E8"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A982C4F"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AE8DB85"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46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B7AD36" w14:textId="31426621"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A3A58">
              <w:rPr>
                <w:rFonts w:ascii="Calibri" w:eastAsia="Times New Roman" w:hAnsi="Calibri" w:cs="Calibri"/>
                <w:b/>
                <w:i/>
                <w:sz w:val="18"/>
                <w:szCs w:val="18"/>
                <w:lang w:eastAsia="fr-FR"/>
              </w:rPr>
              <w:t xml:space="preserve">Dont traités par un schéma non SEPA </w:t>
            </w:r>
            <w:r>
              <w:rPr>
                <w:rFonts w:ascii="Calibri" w:eastAsia="Times New Roman" w:hAnsi="Calibri" w:cs="Calibri"/>
                <w:b/>
                <w:i/>
                <w:sz w:val="18"/>
                <w:szCs w:val="18"/>
                <w:lang w:eastAsia="fr-FR"/>
              </w:rPr>
              <w:t>–</w:t>
            </w:r>
            <w:r w:rsidRPr="00CA3A58">
              <w:rPr>
                <w:rFonts w:ascii="Calibri" w:eastAsia="Times New Roman" w:hAnsi="Calibri" w:cs="Calibri"/>
                <w:b/>
                <w:i/>
                <w:sz w:val="18"/>
                <w:szCs w:val="18"/>
                <w:lang w:eastAsia="fr-FR"/>
              </w:rPr>
              <w:t xml:space="preserve"> </w:t>
            </w:r>
            <w:r>
              <w:rPr>
                <w:rFonts w:ascii="Calibri" w:eastAsia="Times New Roman" w:hAnsi="Calibri" w:cs="Calibri"/>
                <w:b/>
                <w:i/>
                <w:sz w:val="18"/>
                <w:szCs w:val="18"/>
                <w:lang w:eastAsia="fr-FR"/>
              </w:rPr>
              <w:t>non applicable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7CCE20" w14:textId="196E46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Virements non traités selon les règles SEPA (virements internationaux, par exemple) hors VGM.</w:t>
            </w:r>
          </w:p>
        </w:tc>
        <w:tc>
          <w:tcPr>
            <w:tcW w:w="1259" w:type="dxa"/>
            <w:vMerge/>
            <w:tcBorders>
              <w:left w:val="single" w:sz="4" w:space="0" w:color="5B9BD5" w:themeColor="accent1"/>
              <w:right w:val="single" w:sz="4" w:space="0" w:color="5B9BD5" w:themeColor="accent1"/>
            </w:tcBorders>
          </w:tcPr>
          <w:p w14:paraId="74FC95D6"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0D2862"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28D2F1F9"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8629B52"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2C8545A"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A58DAFB"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DD5CAAA"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CCC2C9"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833C3A1" w14:textId="6507B25F"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45469A">
              <w:rPr>
                <w:rFonts w:ascii="Calibri" w:eastAsia="Times New Roman" w:hAnsi="Calibri" w:cs="Calibri"/>
                <w:i/>
                <w:sz w:val="18"/>
                <w:szCs w:val="18"/>
                <w:lang w:eastAsia="fr-FR"/>
              </w:rPr>
              <w:t>Dont avec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E4DD5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B0B407E"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B61A55"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3A1D12AF"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1FA30B7B"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C1044D1"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72CBBCD"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A2D71F3"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79663F"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6EB0899" w14:textId="7352C272"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45469A">
              <w:rPr>
                <w:rFonts w:ascii="Calibri" w:eastAsia="Times New Roman" w:hAnsi="Calibri" w:cs="Calibri"/>
                <w:i/>
                <w:sz w:val="18"/>
                <w:szCs w:val="18"/>
                <w:lang w:eastAsia="fr-FR"/>
              </w:rPr>
              <w:t>Dont sans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B59A5F"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EEFD840"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47C966"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570616BC"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259A9DF3"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0476714"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E4A545C"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493556C"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40B76D"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4C98401"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D9BEB4" w14:textId="477FE0C6"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13 RTS (bénéficiaire de confiance)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75DCE6"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9A857C5"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3BEFD7"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86CEBB1"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1319AAFD"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7AA330B"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774F694"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D244D79"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BD269F"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77F91C8"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4086E6A" w14:textId="0FDEF249"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14 RTS (opération récurrente</w:t>
            </w:r>
            <w:r>
              <w:rPr>
                <w:rFonts w:ascii="Calibri" w:eastAsia="Times New Roman" w:hAnsi="Calibri" w:cs="Calibri"/>
                <w:i/>
                <w:sz w:val="18"/>
                <w:szCs w:val="18"/>
                <w:lang w:eastAsia="fr-FR"/>
              </w:rPr>
              <w: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809A4C"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3AAC1B85"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A882D9"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6B0AE41"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420EC7DD"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76FFE64"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E7F16D9"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C9C587A"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FB0B67"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DF1220B"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B3DF9B" w14:textId="770192A3"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15 RTS (paiement à soi-même)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960E75"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70B56D7A"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35CC64"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59EF07E5"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55E2F46C"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C1643CC"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D33D323"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8379A04"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81C5D0D"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32A8E24"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9BF3C9" w14:textId="1263794B"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16 RTS (faible montant)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E457C2"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A07A37D"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17CF79"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067F1F5D"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1EDCF899"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EC7B191"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DF3FBD0"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4104962"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DC00E1"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61A8E21"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CB7263" w14:textId="0D30F250"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83DE6">
              <w:rPr>
                <w:rFonts w:ascii="Calibri" w:eastAsia="Times New Roman" w:hAnsi="Calibri" w:cs="Calibri"/>
                <w:i/>
                <w:sz w:val="18"/>
                <w:szCs w:val="18"/>
                <w:lang w:eastAsia="fr-FR"/>
              </w:rPr>
              <w:t>Dont au titre de l’art. 17 RTS (protocole de paiement sécurisé)</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F0171B"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BB34A2B"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31018D"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B156554"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171FCE90"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AC310CB"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8682AF0"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F44284F"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CB207C"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FAA2151"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CD0C53" w14:textId="0DCBB807"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18 RTS (analyse des risques)</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5E9536"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48EEFEB"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96BFCC"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2448C7A5"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3F4400AA" w14:textId="1E845C61"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4" w:space="0" w:color="5B9BD5" w:themeColor="accent1"/>
              <w:right w:val="single" w:sz="4" w:space="0" w:color="5B9BD5" w:themeColor="accent1"/>
            </w:tcBorders>
            <w:noWrap/>
          </w:tcPr>
          <w:p w14:paraId="5EAAD00A" w14:textId="641A7668" w:rsidR="00876BA8" w:rsidRPr="00DF344D" w:rsidRDefault="00876BA8" w:rsidP="00876BA8">
            <w:pPr>
              <w:rPr>
                <w:rFonts w:ascii="Calibri" w:eastAsia="Times New Roman" w:hAnsi="Calibri" w:cs="Calibri"/>
                <w:i/>
                <w:sz w:val="18"/>
                <w:szCs w:val="18"/>
                <w:lang w:eastAsia="fr-FR"/>
              </w:rPr>
            </w:pPr>
          </w:p>
        </w:tc>
        <w:tc>
          <w:tcPr>
            <w:tcW w:w="26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59FC07F7" w14:textId="663D6D9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34CA83FF" w14:textId="5DA30736"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DF344D">
              <w:rPr>
                <w:rFonts w:ascii="Calibri" w:eastAsia="Times New Roman" w:hAnsi="Calibri" w:cs="Calibri"/>
                <w:b/>
                <w:i/>
                <w:sz w:val="18"/>
                <w:szCs w:val="18"/>
                <w:lang w:eastAsia="fr-FR"/>
              </w:rPr>
              <w:t>Dont virements initiés via un canal de paiement non distant</w:t>
            </w:r>
          </w:p>
        </w:tc>
        <w:tc>
          <w:tcPr>
            <w:tcW w:w="2551"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58368B60" w14:textId="2BF53C2C"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DF344D">
              <w:rPr>
                <w:rFonts w:ascii="Calibri" w:eastAsia="Times New Roman" w:hAnsi="Calibri" w:cs="Calibri"/>
                <w:sz w:val="18"/>
                <w:szCs w:val="18"/>
                <w:lang w:eastAsia="fr-FR"/>
              </w:rPr>
              <w:t xml:space="preserve">Virements </w:t>
            </w:r>
            <w:r>
              <w:rPr>
                <w:rFonts w:ascii="Calibri" w:eastAsia="Times New Roman" w:hAnsi="Calibri" w:cs="Calibri"/>
                <w:sz w:val="18"/>
                <w:szCs w:val="18"/>
                <w:lang w:eastAsia="fr-FR"/>
              </w:rPr>
              <w:t>d</w:t>
            </w:r>
            <w:r w:rsidRPr="00DF344D">
              <w:rPr>
                <w:rFonts w:ascii="Calibri" w:eastAsia="Times New Roman" w:hAnsi="Calibri" w:cs="Calibri"/>
                <w:sz w:val="18"/>
                <w:szCs w:val="18"/>
                <w:lang w:eastAsia="fr-FR"/>
              </w:rPr>
              <w:t>epuis un GAB</w:t>
            </w:r>
            <w:r>
              <w:rPr>
                <w:rFonts w:ascii="Calibri" w:eastAsia="Times New Roman" w:hAnsi="Calibri" w:cs="Calibri"/>
                <w:sz w:val="18"/>
                <w:szCs w:val="18"/>
                <w:lang w:eastAsia="fr-FR"/>
              </w:rPr>
              <w:t xml:space="preserve"> ou autre terminal</w:t>
            </w:r>
            <w:r w:rsidRPr="00DF344D">
              <w:rPr>
                <w:rFonts w:ascii="Calibri" w:eastAsia="Times New Roman" w:hAnsi="Calibri" w:cs="Calibri"/>
                <w:sz w:val="18"/>
                <w:szCs w:val="18"/>
                <w:lang w:eastAsia="fr-FR"/>
              </w:rPr>
              <w:t>.</w:t>
            </w:r>
          </w:p>
        </w:tc>
        <w:tc>
          <w:tcPr>
            <w:tcW w:w="1259" w:type="dxa"/>
            <w:vMerge/>
            <w:tcBorders>
              <w:left w:val="single" w:sz="4" w:space="0" w:color="5B9BD5" w:themeColor="accent1"/>
              <w:right w:val="single" w:sz="4" w:space="0" w:color="5B9BD5" w:themeColor="accent1"/>
            </w:tcBorders>
          </w:tcPr>
          <w:p w14:paraId="016C440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F2726E9"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4" w:space="0" w:color="5B9BD5" w:themeColor="accent1"/>
              <w:right w:val="nil"/>
            </w:tcBorders>
          </w:tcPr>
          <w:p w14:paraId="56D8AB7C"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54CBEC9" w14:textId="598A7BB9"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921838F" w14:textId="202C9CF2"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5C0F798" w14:textId="6A8DA5DC"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6E73266" w14:textId="5720E0BB"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46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E854508" w14:textId="425B9AAE" w:rsidR="00876BA8" w:rsidRPr="0018703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Dont virements traités par le schéma SEPA CT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B5EC72" w14:textId="34250DF5"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Virements traités selon les règles du </w:t>
            </w:r>
            <w:r w:rsidRPr="00E74C9F">
              <w:rPr>
                <w:rFonts w:ascii="Calibri" w:eastAsia="Times New Roman" w:hAnsi="Calibri" w:cs="Calibri"/>
                <w:i/>
                <w:sz w:val="18"/>
                <w:szCs w:val="18"/>
                <w:lang w:eastAsia="fr-FR"/>
              </w:rPr>
              <w:t xml:space="preserve">SEPA </w:t>
            </w:r>
            <w:proofErr w:type="spellStart"/>
            <w:r w:rsidRPr="00E74C9F">
              <w:rPr>
                <w:rFonts w:ascii="Calibri" w:eastAsia="Times New Roman" w:hAnsi="Calibri" w:cs="Calibri"/>
                <w:i/>
                <w:sz w:val="18"/>
                <w:szCs w:val="18"/>
                <w:lang w:eastAsia="fr-FR"/>
              </w:rPr>
              <w:t>Credit</w:t>
            </w:r>
            <w:proofErr w:type="spellEnd"/>
            <w:r w:rsidRPr="00E74C9F">
              <w:rPr>
                <w:rFonts w:ascii="Calibri" w:eastAsia="Times New Roman" w:hAnsi="Calibri" w:cs="Calibri"/>
                <w:i/>
                <w:sz w:val="18"/>
                <w:szCs w:val="18"/>
                <w:lang w:eastAsia="fr-FR"/>
              </w:rPr>
              <w:t xml:space="preserve"> Transfer Scheme.</w:t>
            </w:r>
          </w:p>
        </w:tc>
        <w:tc>
          <w:tcPr>
            <w:tcW w:w="1259" w:type="dxa"/>
            <w:vMerge/>
            <w:tcBorders>
              <w:left w:val="single" w:sz="4" w:space="0" w:color="5B9BD5" w:themeColor="accent1"/>
              <w:right w:val="single" w:sz="4" w:space="0" w:color="5B9BD5" w:themeColor="accent1"/>
            </w:tcBorders>
          </w:tcPr>
          <w:p w14:paraId="7AD29819"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413A81"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30B93DDA"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F592458" w14:textId="2B39F9EA"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107A948" w14:textId="6B116899"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DF61DFA" w14:textId="15E69C16"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5E8CC19" w14:textId="4AFEBE0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EEAB179" w14:textId="29CDCC32"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6CA7595A" w14:textId="2E6D3BBC" w:rsidR="00876BA8" w:rsidRPr="00DF344D" w:rsidRDefault="00876BA8" w:rsidP="004763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F35BC">
              <w:rPr>
                <w:rFonts w:ascii="Calibri" w:eastAsia="Times New Roman" w:hAnsi="Calibri" w:cs="Calibri"/>
                <w:b/>
                <w:i/>
                <w:sz w:val="18"/>
                <w:szCs w:val="18"/>
                <w:lang w:eastAsia="fr-FR"/>
              </w:rPr>
              <w:t xml:space="preserve">Dont </w:t>
            </w:r>
            <w:r w:rsidR="004763F2">
              <w:rPr>
                <w:rFonts w:ascii="Calibri" w:eastAsia="Times New Roman" w:hAnsi="Calibri" w:cs="Calibri"/>
                <w:b/>
                <w:i/>
                <w:sz w:val="18"/>
                <w:szCs w:val="18"/>
                <w:lang w:eastAsia="fr-FR"/>
              </w:rPr>
              <w:t>avec</w:t>
            </w:r>
            <w:r w:rsidR="004763F2" w:rsidRPr="00BF35BC">
              <w:rPr>
                <w:rFonts w:ascii="Calibri" w:eastAsia="Times New Roman" w:hAnsi="Calibri" w:cs="Calibri"/>
                <w:b/>
                <w:i/>
                <w:sz w:val="18"/>
                <w:szCs w:val="18"/>
                <w:lang w:eastAsia="fr-FR"/>
              </w:rPr>
              <w:t xml:space="preserve"> </w:t>
            </w:r>
            <w:r w:rsidRPr="00BF35BC">
              <w:rPr>
                <w:rFonts w:ascii="Calibri" w:eastAsia="Times New Roman" w:hAnsi="Calibri" w:cs="Calibri"/>
                <w:b/>
                <w:i/>
                <w:sz w:val="18"/>
                <w:szCs w:val="18"/>
                <w:lang w:eastAsia="fr-FR"/>
              </w:rPr>
              <w:t>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1BCF33" w14:textId="042E0B81"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BBA67B1"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3A315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A354D9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76D9E239" w14:textId="19ED7910"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9D4078D" w14:textId="68F2073A"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632A649" w14:textId="280C372E"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021EDDF" w14:textId="77ADA3E5"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0AF7C6D" w14:textId="5B756D45"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3745111A" w14:textId="1688A12A"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F35BC">
              <w:rPr>
                <w:rFonts w:ascii="Calibri" w:eastAsia="Times New Roman" w:hAnsi="Calibri" w:cs="Calibri"/>
                <w:b/>
                <w:i/>
                <w:sz w:val="18"/>
                <w:szCs w:val="18"/>
                <w:lang w:eastAsia="fr-FR"/>
              </w:rPr>
              <w:t>Dont sans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ADF26D" w14:textId="757BF43B"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D4AF2A6"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21E1F5"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64A15EE"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58F4A926" w14:textId="2B742FF9"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8B48FC0" w14:textId="4B2FB1BF"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1FBA1B9" w14:textId="7FC2D13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D782267" w14:textId="6FE1FDBB"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4CCAE59" w14:textId="4BCFD06A"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B495981" w14:textId="7E7B587B"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7FBAD83" w14:textId="69AEF52F"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11 RTS (paiement sans contact de faible montant)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3C59FA" w14:textId="7A671123"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EB7938E"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AECB9D"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23611D3B"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555C09F7" w14:textId="5FAB15A2"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D0A00C1" w14:textId="27F7360B"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3CBBFCF" w14:textId="51E10230"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A8A3DEA" w14:textId="401DBC23"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476326B" w14:textId="4FC7563E"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57908D0" w14:textId="2D4465F6"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6F53FA83" w14:textId="3D6447AD"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12 RTS (automates transport/parking)</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BE6376" w14:textId="5F0954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8FBBBD0"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EF2173"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169C058"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3D088A88" w14:textId="1104B74E"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6F73441" w14:textId="3EBB4BA5"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49C6E31" w14:textId="3251D92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03C19B4" w14:textId="0904695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CB2E84E" w14:textId="0949DC9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686D0F9" w14:textId="71A13AB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D0BDC16" w14:textId="3E714E4E"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13 RTS (bénéficiaire de confiance)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072CF5" w14:textId="03FA30AD"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0E5AA1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F2643A"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CF8DBD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6996221E" w14:textId="16A54D5F"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8C03A5B" w14:textId="4E132464"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18B93EB" w14:textId="4F67E239"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2B67690" w14:textId="5F5E9300"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EF4422" w14:textId="4A3A4F3A"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15B3AE" w14:textId="39FE30F3"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59AE031" w14:textId="3D61FDB6"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14 RTS (opération récurrente)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97AAAB" w14:textId="302A0F5A"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7187BCF"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07C0D1"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5E95F367"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36336406" w14:textId="39A7919B"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FA7D787" w14:textId="4A699EBB"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5042ED6" w14:textId="50FB4612"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C858496" w14:textId="52BC0E15"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3C34DA" w14:textId="13752AE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C4582D" w14:textId="10FB8948"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8778D0A" w14:textId="00E7F20F"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83450E">
              <w:rPr>
                <w:rFonts w:ascii="Calibri" w:eastAsia="Times New Roman" w:hAnsi="Calibri" w:cs="Calibri"/>
                <w:i/>
                <w:sz w:val="18"/>
                <w:szCs w:val="18"/>
                <w:lang w:eastAsia="fr-FR"/>
              </w:rPr>
              <w:t>Dont Art. 15 RTS (paiement à soi-même)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6A988B" w14:textId="589BB381"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039C2FCA"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1473E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C89C351"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66B9B071" w14:textId="7C16FCB9"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C910089" w14:textId="316600F0"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1CE771E" w14:textId="313EB933"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8BC6A61" w14:textId="4E53B45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46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81D65D" w14:textId="143D7480"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
                <w:i/>
                <w:sz w:val="18"/>
                <w:szCs w:val="18"/>
                <w:lang w:eastAsia="fr-FR"/>
              </w:rPr>
              <w:t>Dont virements traités par le schéma SEPA CT INST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099351" w14:textId="63ABBDF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Virements traités selon les règles du </w:t>
            </w:r>
            <w:r w:rsidRPr="00E74C9F">
              <w:rPr>
                <w:rFonts w:ascii="Calibri" w:eastAsia="Times New Roman" w:hAnsi="Calibri" w:cs="Calibri"/>
                <w:i/>
                <w:sz w:val="18"/>
                <w:szCs w:val="18"/>
                <w:lang w:eastAsia="fr-FR"/>
              </w:rPr>
              <w:t xml:space="preserve">SEPA Instant </w:t>
            </w:r>
            <w:proofErr w:type="spellStart"/>
            <w:r w:rsidRPr="00E74C9F">
              <w:rPr>
                <w:rFonts w:ascii="Calibri" w:eastAsia="Times New Roman" w:hAnsi="Calibri" w:cs="Calibri"/>
                <w:i/>
                <w:sz w:val="18"/>
                <w:szCs w:val="18"/>
                <w:lang w:eastAsia="fr-FR"/>
              </w:rPr>
              <w:t>Credit</w:t>
            </w:r>
            <w:proofErr w:type="spellEnd"/>
            <w:r w:rsidRPr="00E74C9F">
              <w:rPr>
                <w:rFonts w:ascii="Calibri" w:eastAsia="Times New Roman" w:hAnsi="Calibri" w:cs="Calibri"/>
                <w:i/>
                <w:sz w:val="18"/>
                <w:szCs w:val="18"/>
                <w:lang w:eastAsia="fr-FR"/>
              </w:rPr>
              <w:t xml:space="preserve"> Transfer Scheme</w:t>
            </w:r>
            <w:r w:rsidRPr="00DD75A3">
              <w:rPr>
                <w:rFonts w:ascii="Calibri" w:eastAsia="Times New Roman" w:hAnsi="Calibri" w:cs="Calibri"/>
                <w:sz w:val="18"/>
                <w:szCs w:val="18"/>
                <w:lang w:eastAsia="fr-FR"/>
              </w:rPr>
              <w:t>.</w:t>
            </w:r>
          </w:p>
        </w:tc>
        <w:tc>
          <w:tcPr>
            <w:tcW w:w="1259" w:type="dxa"/>
            <w:vMerge/>
            <w:tcBorders>
              <w:left w:val="single" w:sz="4" w:space="0" w:color="5B9BD5" w:themeColor="accent1"/>
              <w:right w:val="single" w:sz="4" w:space="0" w:color="5B9BD5" w:themeColor="accent1"/>
            </w:tcBorders>
          </w:tcPr>
          <w:p w14:paraId="0DB4A234"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1D4025"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8EA409E"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7F26F679" w14:textId="6DBDA72A"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CB2C15A" w14:textId="00C53FFC"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0B0A5E2" w14:textId="2A344498"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3D8C99C" w14:textId="32384ED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EBB3EE9" w14:textId="3535685C"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2069574C" w14:textId="08125621" w:rsidR="00876BA8" w:rsidRPr="00DF344D" w:rsidRDefault="00876BA8" w:rsidP="004763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F35BC">
              <w:rPr>
                <w:rFonts w:ascii="Calibri" w:eastAsia="Times New Roman" w:hAnsi="Calibri" w:cs="Calibri"/>
                <w:b/>
                <w:i/>
                <w:sz w:val="18"/>
                <w:szCs w:val="18"/>
                <w:lang w:eastAsia="fr-FR"/>
              </w:rPr>
              <w:t xml:space="preserve">Dont </w:t>
            </w:r>
            <w:r w:rsidR="004763F2">
              <w:rPr>
                <w:rFonts w:ascii="Calibri" w:eastAsia="Times New Roman" w:hAnsi="Calibri" w:cs="Calibri"/>
                <w:b/>
                <w:i/>
                <w:sz w:val="18"/>
                <w:szCs w:val="18"/>
                <w:lang w:eastAsia="fr-FR"/>
              </w:rPr>
              <w:t>avec</w:t>
            </w:r>
            <w:r w:rsidRPr="00BF35BC">
              <w:rPr>
                <w:rFonts w:ascii="Calibri" w:eastAsia="Times New Roman" w:hAnsi="Calibri" w:cs="Calibri"/>
                <w:b/>
                <w:i/>
                <w:sz w:val="18"/>
                <w:szCs w:val="18"/>
                <w:lang w:eastAsia="fr-FR"/>
              </w:rPr>
              <w:t xml:space="preserve">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46D2C2" w14:textId="21120F0C"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7A294EBF"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FC0F5C"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FC2F83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7F400A37"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E831EA0"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73AACDB"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1060109"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E6287F2"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50601F1" w14:textId="249CC128"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F35BC">
              <w:rPr>
                <w:rFonts w:ascii="Calibri" w:eastAsia="Times New Roman" w:hAnsi="Calibri" w:cs="Calibri"/>
                <w:b/>
                <w:i/>
                <w:sz w:val="18"/>
                <w:szCs w:val="18"/>
                <w:lang w:eastAsia="fr-FR"/>
              </w:rPr>
              <w:t>Dont sans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8548C7"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E45C60C"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5CB8655"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BED7221"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20B6BAE7" w14:textId="15B7FBB8"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4CA7E70" w14:textId="70070C7A"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761598B" w14:textId="597699BB"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CB4EE95" w14:textId="35F48D0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4318FBD" w14:textId="01D3F7B4"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C6415AE" w14:textId="3BD26EE9"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6A0B41D" w14:textId="633859F3"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11 RTS (paiement sans contact de faible montant)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2A98C5" w14:textId="51495296"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0C6C047"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0B0FDF"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E4070C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35EC5821" w14:textId="1932445A"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D2CF1C8" w14:textId="7733F8E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0445288" w14:textId="1FE09E4C"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81F132F" w14:textId="07257E23"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B2FBB82" w14:textId="4464C4DB"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1391E01" w14:textId="68E0CB9D"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740D38B" w14:textId="3862F322"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12 RTS (automates transport/parking)</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006AC3" w14:textId="04F217AB"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54AB592"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E810A4"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3874F8ED"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21742400" w14:textId="7A7E79D4"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6FDB045" w14:textId="25CF0ED4"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D602F72" w14:textId="13789311"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E08DCDD" w14:textId="13AEA18F"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50DE9D1" w14:textId="2D78AF23"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1CFE778" w14:textId="09E3906F"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FEFB9D8" w14:textId="3B26D844"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13 RTS (bénéficiaire de confiance)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B93F60" w14:textId="5682A00F"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369D7056"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3BF99D7"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114C32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7BC860B1" w14:textId="6E3EBAC0"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3E12211" w14:textId="53074334"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EE49D2D" w14:textId="58AA1295"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36E8742" w14:textId="0F97BF2A"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47ECDA" w14:textId="4B8D6A5A"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566D64" w14:textId="0B35CC1A"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2AAF7B75" w14:textId="23FCAB4B"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14 RTS (opération récurrente)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200116" w14:textId="6C434E5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22386C3"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48B925"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78F5B79"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3C0DC26" w14:textId="51B51762"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1325651" w14:textId="1D870B98"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326508C" w14:textId="60D47C9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FECCCA6" w14:textId="52BD8E4B"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73C236" w14:textId="4D08A55E"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5EE7D84" w14:textId="5FBCE3FC"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6951FA02" w14:textId="62696EE0"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83450E">
              <w:rPr>
                <w:rFonts w:ascii="Calibri" w:eastAsia="Times New Roman" w:hAnsi="Calibri" w:cs="Calibri"/>
                <w:i/>
                <w:sz w:val="18"/>
                <w:szCs w:val="18"/>
                <w:lang w:eastAsia="fr-FR"/>
              </w:rPr>
              <w:t>Dont Art. 15 RTS (paiement à soi-même)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8F0FC64" w14:textId="6D215936"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6CE1A2DE"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56FFB1"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2B4EF02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D0BC3B5" w14:textId="68D3D970"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71EA45F" w14:textId="7A29BDB9"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D94BDFC" w14:textId="2E605E4A"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E492E7B" w14:textId="420E0EEE"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46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F72F490" w14:textId="689461D1"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3E4DF1">
              <w:rPr>
                <w:rFonts w:ascii="Calibri" w:eastAsia="Times New Roman" w:hAnsi="Calibri" w:cs="Calibri"/>
                <w:b/>
                <w:i/>
                <w:sz w:val="18"/>
                <w:szCs w:val="18"/>
                <w:lang w:eastAsia="fr-FR"/>
              </w:rPr>
              <w:t xml:space="preserve">Dont traités par </w:t>
            </w:r>
            <w:r>
              <w:rPr>
                <w:rFonts w:ascii="Calibri" w:eastAsia="Times New Roman" w:hAnsi="Calibri" w:cs="Calibri"/>
                <w:b/>
                <w:i/>
                <w:sz w:val="18"/>
                <w:szCs w:val="18"/>
                <w:lang w:eastAsia="fr-FR"/>
              </w:rPr>
              <w:t>un schéma non SEPA de type VGM</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1CE2B9" w14:textId="3654184B"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Virements traités par les systèmes TARGET2 et EURO1.</w:t>
            </w:r>
          </w:p>
        </w:tc>
        <w:tc>
          <w:tcPr>
            <w:tcW w:w="1259" w:type="dxa"/>
            <w:vMerge/>
            <w:tcBorders>
              <w:left w:val="single" w:sz="4" w:space="0" w:color="5B9BD5" w:themeColor="accent1"/>
              <w:right w:val="single" w:sz="4" w:space="0" w:color="5B9BD5" w:themeColor="accent1"/>
            </w:tcBorders>
          </w:tcPr>
          <w:p w14:paraId="2AB1DA7C"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0DD205"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22498384"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29155F35"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D923691"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D443283"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C52C3A1"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E27AA84"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7D4A877" w14:textId="078CF655" w:rsidR="00876BA8" w:rsidRPr="00DF344D" w:rsidRDefault="00876BA8" w:rsidP="004763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F35BC">
              <w:rPr>
                <w:rFonts w:ascii="Calibri" w:eastAsia="Times New Roman" w:hAnsi="Calibri" w:cs="Calibri"/>
                <w:b/>
                <w:i/>
                <w:sz w:val="18"/>
                <w:szCs w:val="18"/>
                <w:lang w:eastAsia="fr-FR"/>
              </w:rPr>
              <w:t xml:space="preserve">Dont </w:t>
            </w:r>
            <w:r w:rsidR="004763F2">
              <w:rPr>
                <w:rFonts w:ascii="Calibri" w:eastAsia="Times New Roman" w:hAnsi="Calibri" w:cs="Calibri"/>
                <w:b/>
                <w:i/>
                <w:sz w:val="18"/>
                <w:szCs w:val="18"/>
                <w:lang w:eastAsia="fr-FR"/>
              </w:rPr>
              <w:t>avec</w:t>
            </w:r>
            <w:r w:rsidRPr="00BF35BC">
              <w:rPr>
                <w:rFonts w:ascii="Calibri" w:eastAsia="Times New Roman" w:hAnsi="Calibri" w:cs="Calibri"/>
                <w:b/>
                <w:i/>
                <w:sz w:val="18"/>
                <w:szCs w:val="18"/>
                <w:lang w:eastAsia="fr-FR"/>
              </w:rPr>
              <w:t xml:space="preserve">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4FA936"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F1B3723"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1F0E3B"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2C71E971"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56C2361F"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3F22ED9"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CFC1651"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DF11950"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564DD84"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3C4E53D" w14:textId="6DABC7FD"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F35BC">
              <w:rPr>
                <w:rFonts w:ascii="Calibri" w:eastAsia="Times New Roman" w:hAnsi="Calibri" w:cs="Calibri"/>
                <w:b/>
                <w:i/>
                <w:sz w:val="18"/>
                <w:szCs w:val="18"/>
                <w:lang w:eastAsia="fr-FR"/>
              </w:rPr>
              <w:t>Dont sans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9B282E"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02615072"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57CFD2"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5CCA427"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7E734EB"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3A327D0"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53B4D9F"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F1DBEBA"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32AC9FA"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B933E94"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AD4ADE7" w14:textId="0C58C0FF"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11 RTS (paiement sans contact de faible montant)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202D65"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97A3131"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BDF2CC"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35187FAF"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29ED9454"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BE5D4C4"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B204249"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F9BD79E"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8AB8DDC"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86DF302"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D107581" w14:textId="43F0A265"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12 RTS (automates transport/parking)</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78D7A4"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5F57921"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534DCED"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80C4631"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22824952" w14:textId="79473305"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75FBE03" w14:textId="31AEA020"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F0948F6" w14:textId="1341CC5C"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240F756" w14:textId="5E49AC01"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15D5C49" w14:textId="4B588040"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5AA1F47" w14:textId="1D3CE195"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1A7EE0EE" w14:textId="79AFEBE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13 RTS (bénéficiaire de confiance)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87CC53" w14:textId="470412F8"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9A95475"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088CA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3B7D3F6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634C64F5"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2241811"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DBBF70D"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F019460"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AA611E0"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0088089"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137F086" w14:textId="6CF9F148"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14 RTS (opération récurrente)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12F59B"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4652C9A"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6CDBFF"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0340AD7E"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14DB1704" w14:textId="4EF529C1"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B439837" w14:textId="70E53390"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B33767B" w14:textId="23F80F14"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0553A4E" w14:textId="7E673E2A"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0AA9249" w14:textId="59C8D189"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ABACD17" w14:textId="081B4D6A"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2B5ACBA4" w14:textId="5D655E84"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83450E">
              <w:rPr>
                <w:rFonts w:ascii="Calibri" w:eastAsia="Times New Roman" w:hAnsi="Calibri" w:cs="Calibri"/>
                <w:i/>
                <w:sz w:val="18"/>
                <w:szCs w:val="18"/>
                <w:lang w:eastAsia="fr-FR"/>
              </w:rPr>
              <w:t>Dont Art. 15 RTS (paiement à soi-même)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4315B7" w14:textId="02588A91"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A4DCAAB"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27F07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2E4FAFD3"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73815DDD" w14:textId="77777777" w:rsidTr="00FA77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4EE84F5"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D6F71E4"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770E4DD"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46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0DDD2B0" w14:textId="7EE9F852"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A3A58">
              <w:rPr>
                <w:rFonts w:ascii="Calibri" w:eastAsia="Times New Roman" w:hAnsi="Calibri" w:cs="Calibri"/>
                <w:b/>
                <w:i/>
                <w:sz w:val="18"/>
                <w:szCs w:val="18"/>
                <w:lang w:eastAsia="fr-FR"/>
              </w:rPr>
              <w:t xml:space="preserve">Dont traités par un schéma non SEPA </w:t>
            </w:r>
            <w:r>
              <w:rPr>
                <w:rFonts w:ascii="Calibri" w:eastAsia="Times New Roman" w:hAnsi="Calibri" w:cs="Calibri"/>
                <w:b/>
                <w:i/>
                <w:sz w:val="18"/>
                <w:szCs w:val="18"/>
                <w:lang w:eastAsia="fr-FR"/>
              </w:rPr>
              <w:t>–</w:t>
            </w:r>
            <w:r w:rsidRPr="00CA3A58">
              <w:rPr>
                <w:rFonts w:ascii="Calibri" w:eastAsia="Times New Roman" w:hAnsi="Calibri" w:cs="Calibri"/>
                <w:b/>
                <w:i/>
                <w:sz w:val="18"/>
                <w:szCs w:val="18"/>
                <w:lang w:eastAsia="fr-FR"/>
              </w:rPr>
              <w:t xml:space="preserve"> </w:t>
            </w:r>
            <w:r>
              <w:rPr>
                <w:rFonts w:ascii="Calibri" w:eastAsia="Times New Roman" w:hAnsi="Calibri" w:cs="Calibri"/>
                <w:b/>
                <w:i/>
                <w:sz w:val="18"/>
                <w:szCs w:val="18"/>
                <w:lang w:eastAsia="fr-FR"/>
              </w:rPr>
              <w:t>non applicable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E871A5" w14:textId="705D8036"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Virements non traités selon les règles SEPA (virements internationaux, par exemple) hors VGM.</w:t>
            </w:r>
          </w:p>
        </w:tc>
        <w:tc>
          <w:tcPr>
            <w:tcW w:w="1259" w:type="dxa"/>
            <w:vMerge/>
            <w:tcBorders>
              <w:left w:val="single" w:sz="4" w:space="0" w:color="5B9BD5" w:themeColor="accent1"/>
              <w:right w:val="single" w:sz="4" w:space="0" w:color="5B9BD5" w:themeColor="accent1"/>
            </w:tcBorders>
          </w:tcPr>
          <w:p w14:paraId="185C9A44"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3396D595"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C8C756B"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76F7CA6B"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1463056"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CB93EFE"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9B2518A"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8EF0EF9"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0874171" w14:textId="16271CCB" w:rsidR="00876BA8" w:rsidRPr="00DF344D" w:rsidRDefault="00876BA8" w:rsidP="004763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F35BC">
              <w:rPr>
                <w:rFonts w:ascii="Calibri" w:eastAsia="Times New Roman" w:hAnsi="Calibri" w:cs="Calibri"/>
                <w:b/>
                <w:i/>
                <w:sz w:val="18"/>
                <w:szCs w:val="18"/>
                <w:lang w:eastAsia="fr-FR"/>
              </w:rPr>
              <w:t xml:space="preserve">Dont </w:t>
            </w:r>
            <w:r w:rsidR="004763F2">
              <w:rPr>
                <w:rFonts w:ascii="Calibri" w:eastAsia="Times New Roman" w:hAnsi="Calibri" w:cs="Calibri"/>
                <w:b/>
                <w:i/>
                <w:sz w:val="18"/>
                <w:szCs w:val="18"/>
                <w:lang w:eastAsia="fr-FR"/>
              </w:rPr>
              <w:t>avec</w:t>
            </w:r>
            <w:r w:rsidRPr="00BF35BC">
              <w:rPr>
                <w:rFonts w:ascii="Calibri" w:eastAsia="Times New Roman" w:hAnsi="Calibri" w:cs="Calibri"/>
                <w:b/>
                <w:i/>
                <w:sz w:val="18"/>
                <w:szCs w:val="18"/>
                <w:lang w:eastAsia="fr-FR"/>
              </w:rPr>
              <w:t xml:space="preserve"> authentification forte du client</w:t>
            </w:r>
          </w:p>
        </w:tc>
        <w:tc>
          <w:tcPr>
            <w:tcW w:w="2551" w:type="dxa"/>
            <w:tcBorders>
              <w:top w:val="single" w:sz="2" w:space="0" w:color="5B9BD5" w:themeColor="accent1"/>
              <w:left w:val="single" w:sz="2" w:space="0" w:color="5B9BD5" w:themeColor="accent1"/>
              <w:bottom w:val="single" w:sz="2" w:space="0" w:color="5B9BD5" w:themeColor="accent1"/>
              <w:right w:val="single" w:sz="4" w:space="0" w:color="5B9BD5" w:themeColor="accent1"/>
            </w:tcBorders>
          </w:tcPr>
          <w:p w14:paraId="5FE642D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F9E6A07"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1B565787"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A68865F"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1220989"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B1D57E5"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FC1AAC2"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3C0A1A7"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00660F5"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C81F8EA" w14:textId="67AC67DC"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F35BC">
              <w:rPr>
                <w:rFonts w:ascii="Calibri" w:eastAsia="Times New Roman" w:hAnsi="Calibri" w:cs="Calibri"/>
                <w:b/>
                <w:i/>
                <w:sz w:val="18"/>
                <w:szCs w:val="18"/>
                <w:lang w:eastAsia="fr-FR"/>
              </w:rPr>
              <w:t>Dont sans authentification forte du client</w:t>
            </w:r>
          </w:p>
        </w:tc>
        <w:tc>
          <w:tcPr>
            <w:tcW w:w="2551" w:type="dxa"/>
            <w:tcBorders>
              <w:top w:val="single" w:sz="2" w:space="0" w:color="5B9BD5" w:themeColor="accent1"/>
              <w:left w:val="single" w:sz="2" w:space="0" w:color="5B9BD5" w:themeColor="accent1"/>
              <w:bottom w:val="single" w:sz="2" w:space="0" w:color="5B9BD5" w:themeColor="accent1"/>
              <w:right w:val="single" w:sz="4" w:space="0" w:color="5B9BD5" w:themeColor="accent1"/>
            </w:tcBorders>
          </w:tcPr>
          <w:p w14:paraId="31370878"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74CA6CE"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42A8040D"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42B0510C"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7FB0A8EC"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F51451B"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BD4FA9F"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49F6920"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290AF6B"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3A65797"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F7B0CC8" w14:textId="77AE6CF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11 RTS (paiement sans contact de faible montant)</w:t>
            </w:r>
          </w:p>
        </w:tc>
        <w:tc>
          <w:tcPr>
            <w:tcW w:w="2551" w:type="dxa"/>
            <w:tcBorders>
              <w:top w:val="single" w:sz="2" w:space="0" w:color="5B9BD5" w:themeColor="accent1"/>
              <w:left w:val="single" w:sz="2" w:space="0" w:color="5B9BD5" w:themeColor="accent1"/>
              <w:bottom w:val="single" w:sz="2" w:space="0" w:color="5B9BD5" w:themeColor="accent1"/>
              <w:right w:val="single" w:sz="4" w:space="0" w:color="5B9BD5" w:themeColor="accent1"/>
            </w:tcBorders>
          </w:tcPr>
          <w:p w14:paraId="1EA60EBA"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638FC6A4"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1DC46FF3"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407861C"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20ABEB66"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74D7440"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171814F"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A7A872B"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9A063CB"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9216786"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18D2E10" w14:textId="79980F08"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12 RTS (automates transport/parking)</w:t>
            </w:r>
          </w:p>
        </w:tc>
        <w:tc>
          <w:tcPr>
            <w:tcW w:w="2551" w:type="dxa"/>
            <w:tcBorders>
              <w:top w:val="single" w:sz="2" w:space="0" w:color="5B9BD5" w:themeColor="accent1"/>
              <w:left w:val="single" w:sz="2" w:space="0" w:color="5B9BD5" w:themeColor="accent1"/>
              <w:bottom w:val="single" w:sz="2" w:space="0" w:color="5B9BD5" w:themeColor="accent1"/>
              <w:right w:val="single" w:sz="4" w:space="0" w:color="5B9BD5" w:themeColor="accent1"/>
            </w:tcBorders>
          </w:tcPr>
          <w:p w14:paraId="102CE000"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49A1EB8"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47992D98"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A76F543"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5D49A56"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E727CA5"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924C8EB"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33CA654"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8C5BEE2"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53899D3"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772168F" w14:textId="5985A01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13 RTS (bénéficiaire de confiance)</w:t>
            </w:r>
          </w:p>
        </w:tc>
        <w:tc>
          <w:tcPr>
            <w:tcW w:w="2551" w:type="dxa"/>
            <w:tcBorders>
              <w:top w:val="single" w:sz="2" w:space="0" w:color="5B9BD5" w:themeColor="accent1"/>
              <w:left w:val="single" w:sz="2" w:space="0" w:color="5B9BD5" w:themeColor="accent1"/>
              <w:bottom w:val="single" w:sz="2" w:space="0" w:color="5B9BD5" w:themeColor="accent1"/>
              <w:right w:val="single" w:sz="4" w:space="0" w:color="5B9BD5" w:themeColor="accent1"/>
            </w:tcBorders>
          </w:tcPr>
          <w:p w14:paraId="5ED83CCC"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8A13793"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4BDDD798"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8A4D037"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2F26EA5B"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7CB2F1A"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8DABCDC"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A8BF12E"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5B04077"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5A5C509"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384BFC3" w14:textId="765C5C43"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14 RTS (opération récurrente)</w:t>
            </w:r>
          </w:p>
        </w:tc>
        <w:tc>
          <w:tcPr>
            <w:tcW w:w="2551" w:type="dxa"/>
            <w:tcBorders>
              <w:top w:val="single" w:sz="2" w:space="0" w:color="5B9BD5" w:themeColor="accent1"/>
              <w:left w:val="single" w:sz="2" w:space="0" w:color="5B9BD5" w:themeColor="accent1"/>
              <w:bottom w:val="single" w:sz="2" w:space="0" w:color="5B9BD5" w:themeColor="accent1"/>
              <w:right w:val="single" w:sz="4" w:space="0" w:color="5B9BD5" w:themeColor="accent1"/>
            </w:tcBorders>
          </w:tcPr>
          <w:p w14:paraId="26BD7F59"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ECB3533"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64C4C462"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6BAEE227"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58375A45" w14:textId="77777777" w:rsidTr="0068417B">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02F96607"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34CBBA2A"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06B1A9C4"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68CA79C6"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3AAE9C43"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57AD8F6E" w14:textId="504C6D7A"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83450E">
              <w:rPr>
                <w:rFonts w:ascii="Calibri" w:eastAsia="Times New Roman" w:hAnsi="Calibri" w:cs="Calibri"/>
                <w:i/>
                <w:sz w:val="18"/>
                <w:szCs w:val="18"/>
                <w:lang w:eastAsia="fr-FR"/>
              </w:rPr>
              <w:t>Dont Art. 15 RTS (paiement à soi-même)</w:t>
            </w:r>
          </w:p>
        </w:tc>
        <w:tc>
          <w:tcPr>
            <w:tcW w:w="2551" w:type="dxa"/>
            <w:tcBorders>
              <w:top w:val="single" w:sz="2" w:space="0" w:color="5B9BD5" w:themeColor="accent1"/>
              <w:left w:val="single" w:sz="2" w:space="0" w:color="5B9BD5" w:themeColor="accent1"/>
              <w:bottom w:val="single" w:sz="18" w:space="0" w:color="5B9BD5" w:themeColor="accent1"/>
              <w:right w:val="single" w:sz="4" w:space="0" w:color="5B9BD5" w:themeColor="accent1"/>
            </w:tcBorders>
          </w:tcPr>
          <w:p w14:paraId="386447AD"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bottom w:val="single" w:sz="18" w:space="0" w:color="5B9BD5" w:themeColor="accent1"/>
              <w:right w:val="single" w:sz="4" w:space="0" w:color="5B9BD5" w:themeColor="accent1"/>
            </w:tcBorders>
          </w:tcPr>
          <w:p w14:paraId="7A1E9415"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4" w:space="0" w:color="5B9BD5" w:themeColor="accent1"/>
              <w:bottom w:val="single" w:sz="18" w:space="0" w:color="5B9BD5" w:themeColor="accent1"/>
              <w:right w:val="single" w:sz="2" w:space="0" w:color="5B9BD5" w:themeColor="accent1"/>
            </w:tcBorders>
          </w:tcPr>
          <w:p w14:paraId="0223DA7A"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34811CB7"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68696766" w14:textId="77777777" w:rsidR="001826FB" w:rsidRDefault="001826FB" w:rsidP="001826FB">
      <w:pPr>
        <w:pStyle w:val="Paragraphedeliste"/>
        <w:autoSpaceDE w:val="0"/>
        <w:autoSpaceDN w:val="0"/>
        <w:adjustRightInd w:val="0"/>
        <w:spacing w:after="0" w:line="240" w:lineRule="auto"/>
        <w:jc w:val="both"/>
        <w:rPr>
          <w:rFonts w:cstheme="minorHAnsi"/>
        </w:rPr>
      </w:pPr>
    </w:p>
    <w:p w14:paraId="2EB0B096" w14:textId="77777777" w:rsidR="001826FB" w:rsidRPr="004E58CA" w:rsidRDefault="001826FB"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4B733FFC" w14:textId="0065564F" w:rsidR="001826FB" w:rsidRPr="003E1647" w:rsidRDefault="001826FB" w:rsidP="001826FB">
      <w:pPr>
        <w:pStyle w:val="Paragraphedeliste"/>
        <w:autoSpaceDE w:val="0"/>
        <w:autoSpaceDN w:val="0"/>
        <w:adjustRightInd w:val="0"/>
        <w:spacing w:after="0" w:line="240" w:lineRule="auto"/>
        <w:jc w:val="both"/>
        <w:rPr>
          <w:rFonts w:cstheme="minorHAnsi"/>
        </w:rPr>
      </w:pPr>
    </w:p>
    <w:p w14:paraId="4AACCD92" w14:textId="4EA45FD8" w:rsidR="003E1647" w:rsidRPr="00187036" w:rsidRDefault="003E1647" w:rsidP="00187036">
      <w:pPr>
        <w:autoSpaceDE w:val="0"/>
        <w:autoSpaceDN w:val="0"/>
        <w:adjustRightInd w:val="0"/>
        <w:spacing w:after="0" w:line="240" w:lineRule="auto"/>
        <w:jc w:val="both"/>
        <w:rPr>
          <w:rFonts w:cstheme="minorHAnsi"/>
        </w:rPr>
      </w:pPr>
      <w:r w:rsidRPr="00187036">
        <w:rPr>
          <w:rFonts w:cstheme="minorHAnsi"/>
        </w:rPr>
        <w:t>Les règles de contrôle suivantes doivent être app</w:t>
      </w:r>
      <w:r w:rsidR="00DA1236">
        <w:rPr>
          <w:rFonts w:cstheme="minorHAnsi"/>
        </w:rPr>
        <w:t>liquées en nombre et en valeur.</w:t>
      </w:r>
    </w:p>
    <w:p w14:paraId="24DF7504" w14:textId="2B98D44D" w:rsidR="003E1647" w:rsidRDefault="003E1647" w:rsidP="001826FB">
      <w:pPr>
        <w:pStyle w:val="Paragraphedeliste"/>
        <w:autoSpaceDE w:val="0"/>
        <w:autoSpaceDN w:val="0"/>
        <w:adjustRightInd w:val="0"/>
        <w:spacing w:after="0" w:line="240" w:lineRule="auto"/>
        <w:jc w:val="both"/>
        <w:rPr>
          <w:rFonts w:cstheme="minorHAnsi"/>
        </w:rPr>
      </w:pPr>
    </w:p>
    <w:tbl>
      <w:tblPr>
        <w:tblStyle w:val="Grilledutableau"/>
        <w:tblW w:w="9621"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621"/>
      </w:tblGrid>
      <w:tr w:rsidR="00FD2BD5" w:rsidRPr="00FD2BD5" w14:paraId="405EFEDC" w14:textId="77777777" w:rsidTr="00FD2BD5">
        <w:tc>
          <w:tcPr>
            <w:tcW w:w="9621" w:type="dxa"/>
          </w:tcPr>
          <w:p w14:paraId="6B3C5620" w14:textId="04B21A80" w:rsidR="00FD2BD5" w:rsidRPr="00B33F6D" w:rsidRDefault="008371D9" w:rsidP="008371D9">
            <w:pPr>
              <w:pStyle w:val="Paragraphedeliste"/>
              <w:autoSpaceDE w:val="0"/>
              <w:autoSpaceDN w:val="0"/>
              <w:adjustRightInd w:val="0"/>
              <w:ind w:left="0"/>
              <w:jc w:val="both"/>
              <w:rPr>
                <w:sz w:val="18"/>
              </w:rPr>
            </w:pPr>
            <w:r w:rsidRPr="00B33F6D">
              <w:rPr>
                <w:rFonts w:cstheme="minorHAnsi"/>
                <w:sz w:val="18"/>
                <w:szCs w:val="18"/>
              </w:rPr>
              <w:t xml:space="preserve">Le total de chaque indicateur est = à la somme des trois sous-ventilations géographiques associées (France, </w:t>
            </w:r>
            <w:r w:rsidR="00E90F55" w:rsidRPr="00B33F6D">
              <w:rPr>
                <w:rFonts w:cstheme="minorHAnsi"/>
                <w:sz w:val="18"/>
                <w:szCs w:val="18"/>
              </w:rPr>
              <w:t xml:space="preserve">au sein de l’EEE et </w:t>
            </w:r>
            <w:r w:rsidR="00FD2BD5" w:rsidRPr="00B33F6D">
              <w:rPr>
                <w:rFonts w:cstheme="minorHAnsi"/>
                <w:sz w:val="18"/>
                <w:szCs w:val="18"/>
              </w:rPr>
              <w:t>hors de l’EEE.</w:t>
            </w:r>
          </w:p>
        </w:tc>
      </w:tr>
      <w:tr w:rsidR="00FD2BD5" w:rsidRPr="005771F5" w14:paraId="18360905" w14:textId="77777777" w:rsidTr="00FD2BD5">
        <w:tc>
          <w:tcPr>
            <w:tcW w:w="9621" w:type="dxa"/>
          </w:tcPr>
          <w:p w14:paraId="17642780" w14:textId="17FA10AB" w:rsidR="00FD2BD5" w:rsidRPr="004E58CA" w:rsidRDefault="008371D9" w:rsidP="008A0C3B">
            <w:pPr>
              <w:pStyle w:val="Paragraphedeliste"/>
              <w:autoSpaceDE w:val="0"/>
              <w:autoSpaceDN w:val="0"/>
              <w:adjustRightInd w:val="0"/>
              <w:ind w:left="0"/>
              <w:jc w:val="both"/>
              <w:rPr>
                <w:sz w:val="18"/>
              </w:rPr>
            </w:pPr>
            <w:r>
              <w:rPr>
                <w:rFonts w:cstheme="minorHAnsi"/>
                <w:sz w:val="18"/>
                <w:szCs w:val="18"/>
              </w:rPr>
              <w:t xml:space="preserve">Le total </w:t>
            </w:r>
            <w:r w:rsidR="00C93EDB">
              <w:rPr>
                <w:rFonts w:cstheme="minorHAnsi"/>
                <w:sz w:val="18"/>
                <w:szCs w:val="18"/>
              </w:rPr>
              <w:t xml:space="preserve">« au sein de la zone de l’EEE » </w:t>
            </w:r>
            <w:r>
              <w:rPr>
                <w:rFonts w:cstheme="minorHAnsi"/>
                <w:sz w:val="18"/>
                <w:szCs w:val="18"/>
              </w:rPr>
              <w:t>de chaque indicateur est = à la somme de</w:t>
            </w:r>
            <w:r w:rsidR="00C93EDB">
              <w:rPr>
                <w:rFonts w:cstheme="minorHAnsi"/>
                <w:sz w:val="18"/>
                <w:szCs w:val="18"/>
              </w:rPr>
              <w:t xml:space="preserve"> la </w:t>
            </w:r>
            <w:r w:rsidR="008A0C3B">
              <w:rPr>
                <w:rFonts w:cstheme="minorHAnsi"/>
                <w:sz w:val="18"/>
                <w:szCs w:val="18"/>
              </w:rPr>
              <w:t>ventilation p</w:t>
            </w:r>
            <w:r w:rsidR="00C93EDB">
              <w:rPr>
                <w:rFonts w:cstheme="minorHAnsi"/>
                <w:sz w:val="18"/>
                <w:szCs w:val="18"/>
              </w:rPr>
              <w:t>ar pays de l’EEE.</w:t>
            </w:r>
          </w:p>
        </w:tc>
      </w:tr>
      <w:tr w:rsidR="00FC625C" w:rsidRPr="00FD1FD6" w14:paraId="5554A849" w14:textId="77777777" w:rsidTr="00FD2BD5">
        <w:tc>
          <w:tcPr>
            <w:tcW w:w="9621" w:type="dxa"/>
          </w:tcPr>
          <w:p w14:paraId="7ED8918C" w14:textId="4278C57A" w:rsidR="00FC625C" w:rsidRDefault="00274B72" w:rsidP="000459A6">
            <w:pPr>
              <w:pStyle w:val="Paragraphedeliste"/>
              <w:autoSpaceDE w:val="0"/>
              <w:autoSpaceDN w:val="0"/>
              <w:adjustRightInd w:val="0"/>
              <w:ind w:left="0"/>
              <w:jc w:val="both"/>
              <w:rPr>
                <w:sz w:val="18"/>
              </w:rPr>
            </w:pPr>
            <w:r>
              <w:rPr>
                <w:sz w:val="18"/>
              </w:rPr>
              <w:t xml:space="preserve">Le total des virements </w:t>
            </w:r>
            <w:r w:rsidR="005F14B3">
              <w:rPr>
                <w:sz w:val="18"/>
              </w:rPr>
              <w:t xml:space="preserve">émis </w:t>
            </w:r>
            <w:r>
              <w:rPr>
                <w:sz w:val="18"/>
              </w:rPr>
              <w:t>est = à la somme de ceux déclarés trimestriellement</w:t>
            </w:r>
            <w:r w:rsidR="000459A6">
              <w:rPr>
                <w:sz w:val="18"/>
              </w:rPr>
              <w:t xml:space="preserve"> au titre de la collecte « Déclaration trimestrielle des opérations impliquant des non –IFM).</w:t>
            </w:r>
          </w:p>
        </w:tc>
      </w:tr>
      <w:tr w:rsidR="00274B72" w:rsidRPr="00FD1FD6" w14:paraId="2EB341F8" w14:textId="77777777" w:rsidTr="00FD2BD5">
        <w:tc>
          <w:tcPr>
            <w:tcW w:w="9621" w:type="dxa"/>
          </w:tcPr>
          <w:p w14:paraId="5C9DD9A4" w14:textId="67CB462B" w:rsidR="00274B72" w:rsidRDefault="00274B72">
            <w:pPr>
              <w:pStyle w:val="Paragraphedeliste"/>
              <w:autoSpaceDE w:val="0"/>
              <w:autoSpaceDN w:val="0"/>
              <w:adjustRightInd w:val="0"/>
              <w:ind w:left="0"/>
              <w:jc w:val="both"/>
              <w:rPr>
                <w:sz w:val="18"/>
              </w:rPr>
            </w:pPr>
            <w:r>
              <w:rPr>
                <w:sz w:val="18"/>
              </w:rPr>
              <w:t>Le total des virements initiés par voie électronique initiés par un canal de paiement à distance est = à la somme de ceux déclarés trimestriellement</w:t>
            </w:r>
            <w:r w:rsidR="000459A6">
              <w:rPr>
                <w:sz w:val="18"/>
              </w:rPr>
              <w:t xml:space="preserve"> au titre de la collecte « Déclaration trimestrielle des opérations impliquant des non –IFM). </w:t>
            </w:r>
            <w:r>
              <w:rPr>
                <w:sz w:val="18"/>
              </w:rPr>
              <w:t>.</w:t>
            </w:r>
          </w:p>
        </w:tc>
      </w:tr>
      <w:tr w:rsidR="00274B72" w:rsidRPr="00FD1FD6" w14:paraId="5D26289F" w14:textId="77777777" w:rsidTr="00FD2BD5">
        <w:tc>
          <w:tcPr>
            <w:tcW w:w="9621" w:type="dxa"/>
          </w:tcPr>
          <w:p w14:paraId="4FA73842" w14:textId="4733E73A" w:rsidR="00274B72" w:rsidRDefault="00274B72" w:rsidP="00274B72">
            <w:pPr>
              <w:pStyle w:val="Paragraphedeliste"/>
              <w:autoSpaceDE w:val="0"/>
              <w:autoSpaceDN w:val="0"/>
              <w:adjustRightInd w:val="0"/>
              <w:ind w:left="0"/>
              <w:jc w:val="both"/>
              <w:rPr>
                <w:sz w:val="18"/>
              </w:rPr>
            </w:pPr>
            <w:r>
              <w:rPr>
                <w:sz w:val="18"/>
              </w:rPr>
              <w:t>Le total des virements initiés par voie électronique initiés par un canal de paiement non distant est = à la somme de ceux déclarés trimestriellement</w:t>
            </w:r>
            <w:r w:rsidR="000459A6">
              <w:rPr>
                <w:sz w:val="18"/>
              </w:rPr>
              <w:t xml:space="preserve"> au titre de la collecte « Déclaration trimestrielle des opérations impliquant des non –IFM). </w:t>
            </w:r>
            <w:r>
              <w:rPr>
                <w:sz w:val="18"/>
              </w:rPr>
              <w:t>.</w:t>
            </w:r>
          </w:p>
        </w:tc>
      </w:tr>
      <w:tr w:rsidR="00FD2BD5" w:rsidRPr="00FD1FD6" w14:paraId="022C74EE" w14:textId="77777777" w:rsidTr="00FD2BD5">
        <w:tc>
          <w:tcPr>
            <w:tcW w:w="9621" w:type="dxa"/>
          </w:tcPr>
          <w:p w14:paraId="6C04D510" w14:textId="0B3C3A73" w:rsidR="00FD2BD5" w:rsidRPr="004E58CA" w:rsidRDefault="00C95790">
            <w:pPr>
              <w:pStyle w:val="Paragraphedeliste"/>
              <w:autoSpaceDE w:val="0"/>
              <w:autoSpaceDN w:val="0"/>
              <w:adjustRightInd w:val="0"/>
              <w:ind w:left="0"/>
              <w:jc w:val="both"/>
              <w:rPr>
                <w:sz w:val="18"/>
              </w:rPr>
            </w:pPr>
            <w:r>
              <w:rPr>
                <w:sz w:val="18"/>
              </w:rPr>
              <w:t>Le total des virements initiés par un PSIP est &lt; ou = au total des virements.</w:t>
            </w:r>
          </w:p>
        </w:tc>
      </w:tr>
      <w:tr w:rsidR="00FD2BD5" w:rsidRPr="007C75F3" w14:paraId="4308B9EC" w14:textId="77777777" w:rsidTr="00FD2BD5">
        <w:tc>
          <w:tcPr>
            <w:tcW w:w="9621" w:type="dxa"/>
          </w:tcPr>
          <w:p w14:paraId="7E8E7AAA" w14:textId="397C69DB" w:rsidR="00FD2BD5" w:rsidRPr="004E58CA" w:rsidRDefault="006C6463" w:rsidP="005F14B3">
            <w:pPr>
              <w:pStyle w:val="Paragraphedeliste"/>
              <w:autoSpaceDE w:val="0"/>
              <w:autoSpaceDN w:val="0"/>
              <w:adjustRightInd w:val="0"/>
              <w:ind w:left="0"/>
              <w:jc w:val="both"/>
              <w:rPr>
                <w:sz w:val="18"/>
              </w:rPr>
            </w:pPr>
            <w:r>
              <w:rPr>
                <w:sz w:val="18"/>
              </w:rPr>
              <w:t xml:space="preserve">Le total des virements </w:t>
            </w:r>
            <w:r w:rsidR="005F14B3">
              <w:rPr>
                <w:sz w:val="18"/>
              </w:rPr>
              <w:t xml:space="preserve">émis </w:t>
            </w:r>
            <w:r>
              <w:rPr>
                <w:sz w:val="18"/>
              </w:rPr>
              <w:t xml:space="preserve">est = </w:t>
            </w:r>
            <w:r w:rsidR="00EF31EC">
              <w:rPr>
                <w:sz w:val="18"/>
              </w:rPr>
              <w:t xml:space="preserve">au total </w:t>
            </w:r>
            <w:r w:rsidR="00A2070F">
              <w:rPr>
                <w:sz w:val="18"/>
              </w:rPr>
              <w:t xml:space="preserve">des virements non électroniques initiés sur </w:t>
            </w:r>
            <w:proofErr w:type="gramStart"/>
            <w:r w:rsidR="00A2070F">
              <w:rPr>
                <w:sz w:val="18"/>
              </w:rPr>
              <w:t>support papier</w:t>
            </w:r>
            <w:r w:rsidR="00EF31EC">
              <w:rPr>
                <w:sz w:val="18"/>
              </w:rPr>
              <w:t xml:space="preserve"> + total</w:t>
            </w:r>
            <w:proofErr w:type="gramEnd"/>
            <w:r w:rsidR="00EF31EC">
              <w:rPr>
                <w:sz w:val="18"/>
              </w:rPr>
              <w:t xml:space="preserve"> </w:t>
            </w:r>
            <w:r w:rsidR="00A2070F">
              <w:rPr>
                <w:sz w:val="18"/>
              </w:rPr>
              <w:t xml:space="preserve">des virements non électroniques initiés par un autre support </w:t>
            </w:r>
            <w:r w:rsidR="00EF31EC">
              <w:rPr>
                <w:sz w:val="18"/>
              </w:rPr>
              <w:t>+ total d</w:t>
            </w:r>
            <w:r w:rsidR="00A2070F">
              <w:rPr>
                <w:sz w:val="18"/>
              </w:rPr>
              <w:t>es virements électroniques.</w:t>
            </w:r>
          </w:p>
        </w:tc>
      </w:tr>
      <w:tr w:rsidR="00FD2BD5" w:rsidRPr="007C75F3" w14:paraId="759B5484" w14:textId="77777777" w:rsidTr="00FD2BD5">
        <w:tc>
          <w:tcPr>
            <w:tcW w:w="9621" w:type="dxa"/>
          </w:tcPr>
          <w:p w14:paraId="40D159EB" w14:textId="291F6F53" w:rsidR="00FD2BD5" w:rsidRPr="004E58CA" w:rsidRDefault="00A2070F" w:rsidP="00EF31EC">
            <w:pPr>
              <w:pStyle w:val="Paragraphedeliste"/>
              <w:autoSpaceDE w:val="0"/>
              <w:autoSpaceDN w:val="0"/>
              <w:adjustRightInd w:val="0"/>
              <w:ind w:left="0"/>
              <w:jc w:val="both"/>
              <w:rPr>
                <w:sz w:val="18"/>
              </w:rPr>
            </w:pPr>
            <w:r>
              <w:rPr>
                <w:rFonts w:cstheme="minorHAnsi"/>
                <w:sz w:val="18"/>
                <w:szCs w:val="18"/>
              </w:rPr>
              <w:t xml:space="preserve">Le total des virements initiés par voie électronique est = </w:t>
            </w:r>
            <w:r w:rsidR="00EF31EC">
              <w:rPr>
                <w:rFonts w:cstheme="minorHAnsi"/>
                <w:sz w:val="18"/>
                <w:szCs w:val="18"/>
              </w:rPr>
              <w:t xml:space="preserve">au total de ces virements </w:t>
            </w:r>
            <w:r>
              <w:rPr>
                <w:rFonts w:cstheme="minorHAnsi"/>
                <w:sz w:val="18"/>
                <w:szCs w:val="18"/>
              </w:rPr>
              <w:t xml:space="preserve">initiés à distance </w:t>
            </w:r>
            <w:r w:rsidR="00EF31EC">
              <w:rPr>
                <w:rFonts w:cstheme="minorHAnsi"/>
                <w:sz w:val="18"/>
                <w:szCs w:val="18"/>
              </w:rPr>
              <w:t xml:space="preserve">+ total de ces virements initiés via un canal </w:t>
            </w:r>
            <w:r>
              <w:rPr>
                <w:rFonts w:cstheme="minorHAnsi"/>
                <w:sz w:val="18"/>
                <w:szCs w:val="18"/>
              </w:rPr>
              <w:t>non distant.</w:t>
            </w:r>
          </w:p>
        </w:tc>
      </w:tr>
      <w:tr w:rsidR="00FD2BD5" w:rsidRPr="00FD2BD5" w14:paraId="2C21835F" w14:textId="77777777" w:rsidTr="00FD2BD5">
        <w:tc>
          <w:tcPr>
            <w:tcW w:w="9621" w:type="dxa"/>
          </w:tcPr>
          <w:p w14:paraId="42756706" w14:textId="199FE1FC" w:rsidR="00FD2BD5" w:rsidRPr="00A675AF" w:rsidRDefault="00A2070F" w:rsidP="00EF31EC">
            <w:pPr>
              <w:pStyle w:val="Paragraphedeliste"/>
              <w:autoSpaceDE w:val="0"/>
              <w:autoSpaceDN w:val="0"/>
              <w:adjustRightInd w:val="0"/>
              <w:ind w:left="0"/>
              <w:jc w:val="both"/>
              <w:rPr>
                <w:rFonts w:cstheme="minorHAnsi"/>
                <w:sz w:val="18"/>
                <w:szCs w:val="18"/>
              </w:rPr>
            </w:pPr>
            <w:r>
              <w:rPr>
                <w:rFonts w:cstheme="minorHAnsi"/>
                <w:sz w:val="18"/>
                <w:szCs w:val="18"/>
              </w:rPr>
              <w:lastRenderedPageBreak/>
              <w:t xml:space="preserve">Le total des virements initiés par voie électronique </w:t>
            </w:r>
            <w:r w:rsidR="00EF31EC">
              <w:rPr>
                <w:rFonts w:cstheme="minorHAnsi"/>
                <w:sz w:val="18"/>
                <w:szCs w:val="18"/>
              </w:rPr>
              <w:t>est = au total d</w:t>
            </w:r>
            <w:r>
              <w:rPr>
                <w:rFonts w:cstheme="minorHAnsi"/>
                <w:sz w:val="18"/>
                <w:szCs w:val="18"/>
              </w:rPr>
              <w:t xml:space="preserve">es virements initiés par lot/fichier </w:t>
            </w:r>
            <w:r w:rsidR="00EF31EC">
              <w:rPr>
                <w:rFonts w:cstheme="minorHAnsi"/>
                <w:sz w:val="18"/>
                <w:szCs w:val="18"/>
              </w:rPr>
              <w:t xml:space="preserve">+ total des virements </w:t>
            </w:r>
            <w:r>
              <w:rPr>
                <w:rFonts w:cstheme="minorHAnsi"/>
                <w:sz w:val="18"/>
                <w:szCs w:val="18"/>
              </w:rPr>
              <w:t>initiés sur la base d’un paiement unique.</w:t>
            </w:r>
          </w:p>
        </w:tc>
      </w:tr>
      <w:tr w:rsidR="00FD2BD5" w:rsidRPr="007C75F3" w14:paraId="00E6FB82" w14:textId="77777777" w:rsidTr="00FD2BD5">
        <w:tc>
          <w:tcPr>
            <w:tcW w:w="9621" w:type="dxa"/>
          </w:tcPr>
          <w:p w14:paraId="324BAEE5" w14:textId="6BA597E1" w:rsidR="00FD2BD5" w:rsidRPr="006A103B" w:rsidRDefault="00A2070F" w:rsidP="005F14B3">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virements initiés sur la base d’un paiement unique est = </w:t>
            </w:r>
            <w:r w:rsidR="00E16A8E">
              <w:rPr>
                <w:rFonts w:cstheme="minorHAnsi"/>
                <w:sz w:val="18"/>
                <w:szCs w:val="18"/>
              </w:rPr>
              <w:t xml:space="preserve">au total </w:t>
            </w:r>
            <w:r w:rsidR="005F14B3">
              <w:rPr>
                <w:rFonts w:cstheme="minorHAnsi"/>
                <w:sz w:val="18"/>
                <w:szCs w:val="18"/>
              </w:rPr>
              <w:t>d</w:t>
            </w:r>
            <w:r>
              <w:rPr>
                <w:rFonts w:cstheme="minorHAnsi"/>
                <w:sz w:val="18"/>
                <w:szCs w:val="18"/>
              </w:rPr>
              <w:t>es virements initiés depuis la banque en ligne</w:t>
            </w:r>
            <w:r w:rsidR="00E16A8E">
              <w:rPr>
                <w:rFonts w:cstheme="minorHAnsi"/>
                <w:sz w:val="18"/>
                <w:szCs w:val="18"/>
              </w:rPr>
              <w:t xml:space="preserve"> + total </w:t>
            </w:r>
            <w:r>
              <w:rPr>
                <w:rFonts w:cstheme="minorHAnsi"/>
                <w:sz w:val="18"/>
                <w:szCs w:val="18"/>
              </w:rPr>
              <w:t xml:space="preserve">des virements initiés depuis un GAB ou autre terminal </w:t>
            </w:r>
            <w:r w:rsidR="00E16A8E">
              <w:rPr>
                <w:rFonts w:cstheme="minorHAnsi"/>
                <w:sz w:val="18"/>
                <w:szCs w:val="18"/>
              </w:rPr>
              <w:t>+ total d</w:t>
            </w:r>
            <w:r>
              <w:rPr>
                <w:rFonts w:cstheme="minorHAnsi"/>
                <w:sz w:val="18"/>
                <w:szCs w:val="18"/>
              </w:rPr>
              <w:t>es virements initiés depuis une solution de paiement mobile.</w:t>
            </w:r>
          </w:p>
        </w:tc>
      </w:tr>
      <w:tr w:rsidR="00FD2BD5" w:rsidRPr="005926B3" w14:paraId="7145104E" w14:textId="77777777" w:rsidTr="00FD2BD5">
        <w:tc>
          <w:tcPr>
            <w:tcW w:w="9621" w:type="dxa"/>
          </w:tcPr>
          <w:p w14:paraId="7191ADD5" w14:textId="4A55A6C6" w:rsidR="00FD2BD5" w:rsidRPr="00DD5AFB" w:rsidRDefault="00A2070F" w:rsidP="00A2070F">
            <w:pPr>
              <w:pStyle w:val="Paragraphedeliste"/>
              <w:autoSpaceDE w:val="0"/>
              <w:autoSpaceDN w:val="0"/>
              <w:adjustRightInd w:val="0"/>
              <w:ind w:left="0"/>
              <w:jc w:val="both"/>
              <w:rPr>
                <w:rFonts w:cstheme="minorHAnsi"/>
                <w:sz w:val="18"/>
                <w:szCs w:val="18"/>
              </w:rPr>
            </w:pPr>
            <w:r>
              <w:rPr>
                <w:rFonts w:cstheme="minorHAnsi"/>
                <w:sz w:val="18"/>
                <w:szCs w:val="18"/>
              </w:rPr>
              <w:t>Le total des</w:t>
            </w:r>
            <w:r>
              <w:rPr>
                <w:rFonts w:ascii="Calibri" w:eastAsia="Times New Roman" w:hAnsi="Calibri" w:cs="Calibri"/>
                <w:b/>
                <w:i/>
                <w:sz w:val="18"/>
                <w:szCs w:val="18"/>
                <w:lang w:eastAsia="fr-FR"/>
              </w:rPr>
              <w:t xml:space="preserve"> </w:t>
            </w:r>
            <w:r w:rsidRPr="00A2070F">
              <w:rPr>
                <w:rFonts w:cstheme="minorHAnsi"/>
                <w:sz w:val="18"/>
                <w:szCs w:val="18"/>
              </w:rPr>
              <w:t>virements initiés pour le e-commerce</w:t>
            </w:r>
            <w:r>
              <w:rPr>
                <w:rFonts w:cstheme="minorHAnsi"/>
                <w:sz w:val="18"/>
                <w:szCs w:val="18"/>
              </w:rPr>
              <w:t xml:space="preserve"> est &lt; ou = au total des virements initiés depuis la banque en ligne.</w:t>
            </w:r>
          </w:p>
        </w:tc>
      </w:tr>
      <w:tr w:rsidR="00FD2BD5" w:rsidRPr="00FD2BD5" w14:paraId="6CC8A5D7" w14:textId="77777777" w:rsidTr="00AF18B6">
        <w:tc>
          <w:tcPr>
            <w:tcW w:w="9621" w:type="dxa"/>
            <w:tcBorders>
              <w:bottom w:val="single" w:sz="18" w:space="0" w:color="5B9BD5" w:themeColor="accent1"/>
            </w:tcBorders>
          </w:tcPr>
          <w:p w14:paraId="11A332C7" w14:textId="1537D27C" w:rsidR="00FD2BD5" w:rsidRDefault="00A2070F" w:rsidP="008745E7">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virements initiés </w:t>
            </w:r>
            <w:r w:rsidR="00C811F0">
              <w:rPr>
                <w:rFonts w:cstheme="minorHAnsi"/>
                <w:sz w:val="18"/>
                <w:szCs w:val="18"/>
              </w:rPr>
              <w:t>depuis une solution de paiement mobile P2B est &lt; ou = au total des virements initiés depuis une solution de paiement mobile.</w:t>
            </w:r>
          </w:p>
        </w:tc>
      </w:tr>
      <w:tr w:rsidR="00AF18B6" w:rsidRPr="00F438A2" w14:paraId="713FDB05" w14:textId="77777777" w:rsidTr="00AF18B6">
        <w:tc>
          <w:tcPr>
            <w:tcW w:w="9621"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53BC1594" w14:textId="7E274334" w:rsidR="00AF18B6" w:rsidRDefault="00AF18B6" w:rsidP="005F14B3">
            <w:pPr>
              <w:pStyle w:val="Paragraphedeliste"/>
              <w:autoSpaceDE w:val="0"/>
              <w:autoSpaceDN w:val="0"/>
              <w:adjustRightInd w:val="0"/>
              <w:ind w:left="0"/>
              <w:jc w:val="both"/>
              <w:rPr>
                <w:rFonts w:cstheme="minorHAnsi"/>
                <w:sz w:val="18"/>
                <w:szCs w:val="18"/>
              </w:rPr>
            </w:pPr>
            <w:r>
              <w:rPr>
                <w:rFonts w:cstheme="minorHAnsi"/>
                <w:sz w:val="18"/>
                <w:szCs w:val="18"/>
              </w:rPr>
              <w:t>Le total des v</w:t>
            </w:r>
            <w:r w:rsidRPr="00AF18B6">
              <w:rPr>
                <w:rFonts w:cstheme="minorHAnsi"/>
                <w:sz w:val="18"/>
                <w:szCs w:val="18"/>
              </w:rPr>
              <w:t>irements initiés</w:t>
            </w:r>
            <w:r w:rsidR="004578E7">
              <w:rPr>
                <w:rFonts w:cstheme="minorHAnsi"/>
                <w:sz w:val="18"/>
                <w:szCs w:val="18"/>
              </w:rPr>
              <w:t xml:space="preserve"> par voie électronique </w:t>
            </w:r>
            <w:r w:rsidRPr="00AF18B6">
              <w:rPr>
                <w:rFonts w:cstheme="minorHAnsi"/>
                <w:sz w:val="18"/>
                <w:szCs w:val="18"/>
              </w:rPr>
              <w:t>via un canal de paiement à distance</w:t>
            </w:r>
            <w:r w:rsidR="005F14B3">
              <w:rPr>
                <w:rFonts w:cstheme="minorHAnsi"/>
                <w:sz w:val="18"/>
                <w:szCs w:val="18"/>
              </w:rPr>
              <w:t xml:space="preserve"> est = à la somme de ces virements ventilés par </w:t>
            </w:r>
            <w:r>
              <w:rPr>
                <w:rFonts w:cstheme="minorHAnsi"/>
                <w:sz w:val="18"/>
                <w:szCs w:val="18"/>
              </w:rPr>
              <w:t>schéma</w:t>
            </w:r>
            <w:r w:rsidR="005F14B3">
              <w:rPr>
                <w:rFonts w:cstheme="minorHAnsi"/>
                <w:sz w:val="18"/>
                <w:szCs w:val="18"/>
              </w:rPr>
              <w:t xml:space="preserve"> de</w:t>
            </w:r>
            <w:r w:rsidR="004578E7">
              <w:rPr>
                <w:rFonts w:cstheme="minorHAnsi"/>
                <w:sz w:val="18"/>
                <w:szCs w:val="18"/>
              </w:rPr>
              <w:t xml:space="preserve"> virement</w:t>
            </w:r>
            <w:r>
              <w:rPr>
                <w:rFonts w:cstheme="minorHAnsi"/>
                <w:sz w:val="18"/>
                <w:szCs w:val="18"/>
              </w:rPr>
              <w:t>.</w:t>
            </w:r>
          </w:p>
        </w:tc>
      </w:tr>
      <w:tr w:rsidR="00AF18B6" w:rsidRPr="00223702" w14:paraId="29E8CEC6" w14:textId="77777777" w:rsidTr="00323441">
        <w:tc>
          <w:tcPr>
            <w:tcW w:w="9621"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C4C000E" w14:textId="6BA599DE" w:rsidR="00AF18B6" w:rsidRDefault="00AF18B6" w:rsidP="005F14B3">
            <w:pPr>
              <w:pStyle w:val="Paragraphedeliste"/>
              <w:autoSpaceDE w:val="0"/>
              <w:autoSpaceDN w:val="0"/>
              <w:adjustRightInd w:val="0"/>
              <w:ind w:left="0"/>
              <w:jc w:val="both"/>
              <w:rPr>
                <w:rFonts w:cstheme="minorHAnsi"/>
                <w:sz w:val="18"/>
                <w:szCs w:val="18"/>
              </w:rPr>
            </w:pPr>
            <w:r>
              <w:rPr>
                <w:rFonts w:cstheme="minorHAnsi"/>
                <w:sz w:val="18"/>
                <w:szCs w:val="18"/>
              </w:rPr>
              <w:t>Le total des v</w:t>
            </w:r>
            <w:r w:rsidRPr="00AF18B6">
              <w:rPr>
                <w:rFonts w:cstheme="minorHAnsi"/>
                <w:sz w:val="18"/>
                <w:szCs w:val="18"/>
              </w:rPr>
              <w:t xml:space="preserve">irements initiés </w:t>
            </w:r>
            <w:r w:rsidR="004578E7">
              <w:rPr>
                <w:rFonts w:cstheme="minorHAnsi"/>
                <w:sz w:val="18"/>
                <w:szCs w:val="18"/>
              </w:rPr>
              <w:t xml:space="preserve">par voie électronique </w:t>
            </w:r>
            <w:r w:rsidRPr="00AF18B6">
              <w:rPr>
                <w:rFonts w:cstheme="minorHAnsi"/>
                <w:sz w:val="18"/>
                <w:szCs w:val="18"/>
              </w:rPr>
              <w:t xml:space="preserve">via un canal de paiement </w:t>
            </w:r>
            <w:r>
              <w:rPr>
                <w:rFonts w:cstheme="minorHAnsi"/>
                <w:sz w:val="18"/>
                <w:szCs w:val="18"/>
              </w:rPr>
              <w:t xml:space="preserve">non distant est = à la somme de </w:t>
            </w:r>
            <w:r w:rsidR="005F14B3">
              <w:rPr>
                <w:rFonts w:cstheme="minorHAnsi"/>
                <w:sz w:val="18"/>
                <w:szCs w:val="18"/>
              </w:rPr>
              <w:t xml:space="preserve">ces virements ventilés par </w:t>
            </w:r>
            <w:r>
              <w:rPr>
                <w:rFonts w:cstheme="minorHAnsi"/>
                <w:sz w:val="18"/>
                <w:szCs w:val="18"/>
              </w:rPr>
              <w:t>schéma</w:t>
            </w:r>
            <w:r w:rsidR="005F14B3">
              <w:rPr>
                <w:rFonts w:cstheme="minorHAnsi"/>
                <w:sz w:val="18"/>
                <w:szCs w:val="18"/>
              </w:rPr>
              <w:t xml:space="preserve"> de </w:t>
            </w:r>
            <w:r w:rsidR="004578E7">
              <w:rPr>
                <w:rFonts w:cstheme="minorHAnsi"/>
                <w:sz w:val="18"/>
                <w:szCs w:val="18"/>
              </w:rPr>
              <w:t>virement</w:t>
            </w:r>
            <w:r>
              <w:rPr>
                <w:rFonts w:cstheme="minorHAnsi"/>
                <w:sz w:val="18"/>
                <w:szCs w:val="18"/>
              </w:rPr>
              <w:t>.</w:t>
            </w:r>
          </w:p>
        </w:tc>
      </w:tr>
      <w:tr w:rsidR="00AF18B6" w:rsidRPr="000E00AC" w14:paraId="4B424D93" w14:textId="77777777" w:rsidTr="00FD2BD5">
        <w:tc>
          <w:tcPr>
            <w:tcW w:w="9621" w:type="dxa"/>
          </w:tcPr>
          <w:p w14:paraId="376B0E2B" w14:textId="316887EB" w:rsidR="00AF18B6" w:rsidRDefault="00AF18B6" w:rsidP="001E7C8E">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 virements </w:t>
            </w:r>
            <w:r w:rsidR="001E7C8E">
              <w:rPr>
                <w:rFonts w:cstheme="minorHAnsi"/>
                <w:sz w:val="18"/>
                <w:szCs w:val="18"/>
              </w:rPr>
              <w:t>initiés par voie électronique à distance et traités par le schéma SEPA CT e</w:t>
            </w:r>
            <w:r>
              <w:rPr>
                <w:rFonts w:cstheme="minorHAnsi"/>
                <w:sz w:val="18"/>
                <w:szCs w:val="18"/>
              </w:rPr>
              <w:t>st = à la somme de</w:t>
            </w:r>
            <w:r w:rsidR="004578E7">
              <w:rPr>
                <w:rFonts w:cstheme="minorHAnsi"/>
                <w:sz w:val="18"/>
                <w:szCs w:val="18"/>
              </w:rPr>
              <w:t xml:space="preserve"> </w:t>
            </w:r>
            <w:r w:rsidR="001E7C8E">
              <w:rPr>
                <w:rFonts w:cstheme="minorHAnsi"/>
                <w:sz w:val="18"/>
                <w:szCs w:val="18"/>
              </w:rPr>
              <w:t>ces paiements ventilés par niveau d’authentification (</w:t>
            </w:r>
            <w:r>
              <w:rPr>
                <w:rFonts w:cstheme="minorHAnsi"/>
                <w:sz w:val="18"/>
                <w:szCs w:val="18"/>
              </w:rPr>
              <w:t xml:space="preserve">avec </w:t>
            </w:r>
            <w:r w:rsidR="001E7C8E">
              <w:rPr>
                <w:rFonts w:cstheme="minorHAnsi"/>
                <w:sz w:val="18"/>
                <w:szCs w:val="18"/>
              </w:rPr>
              <w:t>ou</w:t>
            </w:r>
            <w:r>
              <w:rPr>
                <w:rFonts w:cstheme="minorHAnsi"/>
                <w:sz w:val="18"/>
                <w:szCs w:val="18"/>
              </w:rPr>
              <w:t xml:space="preserve"> sans authentification forte</w:t>
            </w:r>
            <w:r w:rsidR="001E7C8E">
              <w:rPr>
                <w:rFonts w:cstheme="minorHAnsi"/>
                <w:sz w:val="18"/>
                <w:szCs w:val="18"/>
              </w:rPr>
              <w:t>)</w:t>
            </w:r>
            <w:r>
              <w:rPr>
                <w:rFonts w:cstheme="minorHAnsi"/>
                <w:sz w:val="18"/>
                <w:szCs w:val="18"/>
              </w:rPr>
              <w:t>.</w:t>
            </w:r>
            <w:r w:rsidR="001E7C8E">
              <w:rPr>
                <w:rFonts w:cstheme="minorHAnsi"/>
                <w:sz w:val="18"/>
                <w:szCs w:val="18"/>
              </w:rPr>
              <w:t xml:space="preserve"> Cette règle s’applique à chaque schéma de virement.</w:t>
            </w:r>
          </w:p>
        </w:tc>
      </w:tr>
      <w:tr w:rsidR="001E7C8E" w:rsidRPr="000E00AC" w14:paraId="3EB0A2F3" w14:textId="77777777" w:rsidTr="00FD2BD5">
        <w:tc>
          <w:tcPr>
            <w:tcW w:w="9621" w:type="dxa"/>
          </w:tcPr>
          <w:p w14:paraId="77B03A11" w14:textId="0F793772" w:rsidR="001E7C8E" w:rsidRDefault="001E7C8E" w:rsidP="001E7C8E">
            <w:pPr>
              <w:pStyle w:val="Paragraphedeliste"/>
              <w:autoSpaceDE w:val="0"/>
              <w:autoSpaceDN w:val="0"/>
              <w:adjustRightInd w:val="0"/>
              <w:ind w:left="0"/>
              <w:jc w:val="both"/>
              <w:rPr>
                <w:rFonts w:cstheme="minorHAnsi"/>
                <w:sz w:val="18"/>
                <w:szCs w:val="18"/>
              </w:rPr>
            </w:pPr>
            <w:r>
              <w:rPr>
                <w:rFonts w:cstheme="minorHAnsi"/>
                <w:sz w:val="18"/>
                <w:szCs w:val="18"/>
              </w:rPr>
              <w:t>Le total de virements initiés par voie électronique en proximité et traités par le schéma SEPA CT est = à la somme de ces paiements ventilés par niveau d’authentification (avec ou sans authentification forte). Cette règle s’applique à chaque schéma de virement.</w:t>
            </w:r>
          </w:p>
        </w:tc>
      </w:tr>
      <w:tr w:rsidR="001E7C8E" w:rsidRPr="00223702" w14:paraId="0217E62C" w14:textId="77777777" w:rsidTr="00FD2BD5">
        <w:tc>
          <w:tcPr>
            <w:tcW w:w="9621" w:type="dxa"/>
          </w:tcPr>
          <w:p w14:paraId="63062FFB" w14:textId="363FC337" w:rsidR="001E7C8E" w:rsidRPr="001368BE" w:rsidRDefault="001E7C8E" w:rsidP="001E7C8E">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 virements initiés par voie électronique à distance sans authentification </w:t>
            </w:r>
            <w:r w:rsidR="005A2E23">
              <w:rPr>
                <w:rFonts w:cstheme="minorHAnsi"/>
                <w:sz w:val="18"/>
                <w:szCs w:val="18"/>
              </w:rPr>
              <w:t xml:space="preserve">et traités par le schéma SEPA CT </w:t>
            </w:r>
            <w:r>
              <w:rPr>
                <w:rFonts w:cstheme="minorHAnsi"/>
                <w:sz w:val="18"/>
                <w:szCs w:val="18"/>
              </w:rPr>
              <w:t>est = la somme de ces virements ventilés par motif d’exemption.</w:t>
            </w:r>
            <w:r w:rsidR="005A2E23">
              <w:rPr>
                <w:rFonts w:cstheme="minorHAnsi"/>
                <w:sz w:val="18"/>
                <w:szCs w:val="18"/>
              </w:rPr>
              <w:t xml:space="preserve"> Cette règle s’applique à chaque schéma de virement.</w:t>
            </w:r>
          </w:p>
        </w:tc>
      </w:tr>
      <w:tr w:rsidR="001E7C8E" w:rsidRPr="00223702" w14:paraId="58EF66AF" w14:textId="77777777" w:rsidTr="00FD2BD5">
        <w:tc>
          <w:tcPr>
            <w:tcW w:w="9621" w:type="dxa"/>
          </w:tcPr>
          <w:p w14:paraId="537F626A" w14:textId="1BA2D678" w:rsidR="001E7C8E" w:rsidRDefault="001E7C8E" w:rsidP="001E7C8E">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 virements initiés par voie électronique en proximité sans authentification </w:t>
            </w:r>
            <w:r w:rsidR="005A2E23">
              <w:rPr>
                <w:rFonts w:cstheme="minorHAnsi"/>
                <w:sz w:val="18"/>
                <w:szCs w:val="18"/>
              </w:rPr>
              <w:t xml:space="preserve">et traités par le schéma SEPA CT </w:t>
            </w:r>
            <w:r>
              <w:rPr>
                <w:rFonts w:cstheme="minorHAnsi"/>
                <w:sz w:val="18"/>
                <w:szCs w:val="18"/>
              </w:rPr>
              <w:t>est = la somme de ces virements ventilés par motif d’exemption.</w:t>
            </w:r>
            <w:r w:rsidR="005A2E23">
              <w:rPr>
                <w:rFonts w:cstheme="minorHAnsi"/>
                <w:sz w:val="18"/>
                <w:szCs w:val="18"/>
              </w:rPr>
              <w:t xml:space="preserve"> Cette règle s’applique à chaque schéma de virement.</w:t>
            </w:r>
          </w:p>
        </w:tc>
      </w:tr>
    </w:tbl>
    <w:p w14:paraId="78FA6A30" w14:textId="77777777" w:rsidR="001826FB" w:rsidRPr="00FD2BD5" w:rsidRDefault="001826FB" w:rsidP="001826FB">
      <w:pPr>
        <w:pStyle w:val="Paragraphedeliste"/>
        <w:autoSpaceDE w:val="0"/>
        <w:autoSpaceDN w:val="0"/>
        <w:adjustRightInd w:val="0"/>
        <w:spacing w:after="0" w:line="240" w:lineRule="auto"/>
        <w:jc w:val="both"/>
        <w:rPr>
          <w:rFonts w:cstheme="minorHAnsi"/>
        </w:rPr>
      </w:pPr>
    </w:p>
    <w:p w14:paraId="528CA998" w14:textId="77777777" w:rsidR="005341AA" w:rsidRPr="00FD2BD5" w:rsidRDefault="005341AA" w:rsidP="003C2333">
      <w:pPr>
        <w:spacing w:after="0" w:line="240" w:lineRule="auto"/>
        <w:rPr>
          <w:rFonts w:ascii="Calibri" w:eastAsia="Times New Roman" w:hAnsi="Calibri" w:cs="Calibri"/>
          <w:b/>
          <w:smallCaps/>
          <w:sz w:val="24"/>
          <w:szCs w:val="24"/>
          <w:lang w:eastAsia="fr-FR"/>
        </w:rPr>
      </w:pPr>
    </w:p>
    <w:p w14:paraId="5E51E5B2" w14:textId="5F33199F" w:rsidR="003C2333" w:rsidRPr="0096058A" w:rsidRDefault="003C2333" w:rsidP="007718A3">
      <w:pPr>
        <w:pStyle w:val="Titre3"/>
        <w:numPr>
          <w:ilvl w:val="2"/>
          <w:numId w:val="38"/>
        </w:numPr>
        <w:jc w:val="both"/>
      </w:pPr>
      <w:bookmarkStart w:id="51" w:name="_Toc222476881"/>
      <w:r w:rsidRPr="0096058A">
        <w:t>V</w:t>
      </w:r>
      <w:r w:rsidR="00C31856" w:rsidRPr="0096058A">
        <w:t>irements</w:t>
      </w:r>
      <w:r w:rsidR="00F45FBB" w:rsidRPr="0096058A">
        <w:t xml:space="preserve"> émis</w:t>
      </w:r>
      <w:r w:rsidRPr="0096058A">
        <w:t xml:space="preserve"> </w:t>
      </w:r>
      <w:r w:rsidR="00E90FAD" w:rsidRPr="0096058A">
        <w:t xml:space="preserve">par l’établissement </w:t>
      </w:r>
      <w:r w:rsidR="007E1952" w:rsidRPr="0096058A">
        <w:t xml:space="preserve">ventilés </w:t>
      </w:r>
      <w:r w:rsidRPr="0096058A">
        <w:t xml:space="preserve">par </w:t>
      </w:r>
      <w:r w:rsidR="00BA065E" w:rsidRPr="0096058A">
        <w:t>canal d’échange</w:t>
      </w:r>
      <w:bookmarkEnd w:id="51"/>
    </w:p>
    <w:p w14:paraId="7926EB25" w14:textId="77777777" w:rsidR="00555289" w:rsidRDefault="00555289" w:rsidP="003C2333">
      <w:pPr>
        <w:spacing w:after="0" w:line="240" w:lineRule="auto"/>
        <w:rPr>
          <w:rFonts w:ascii="Calibri" w:eastAsia="Times New Roman" w:hAnsi="Calibri" w:cs="Calibri"/>
          <w:b/>
          <w:smallCaps/>
          <w:sz w:val="24"/>
          <w:szCs w:val="24"/>
          <w:lang w:eastAsia="fr-FR"/>
        </w:rPr>
      </w:pPr>
    </w:p>
    <w:p w14:paraId="74D2CBAA" w14:textId="4BE4DF49" w:rsidR="00CF43FC" w:rsidRDefault="00CF43FC" w:rsidP="00CF43FC">
      <w:pPr>
        <w:spacing w:after="0" w:line="240" w:lineRule="auto"/>
        <w:jc w:val="both"/>
        <w:rPr>
          <w:rFonts w:cstheme="minorHAnsi"/>
        </w:rPr>
      </w:pPr>
      <w:r w:rsidRPr="00C714BD">
        <w:rPr>
          <w:rFonts w:cstheme="minorHAnsi"/>
        </w:rPr>
        <w:t>Il s</w:t>
      </w:r>
      <w:r>
        <w:rPr>
          <w:rFonts w:cstheme="minorHAnsi"/>
        </w:rPr>
        <w:t xml:space="preserve">’agit de déclarer, en nombre et valeur, les virements émis par l’établissement ventilés par </w:t>
      </w:r>
      <w:r w:rsidR="007E1952">
        <w:rPr>
          <w:rFonts w:cstheme="minorHAnsi"/>
        </w:rPr>
        <w:t>circuit d’échange utilisé pour le transfert des fonds</w:t>
      </w:r>
      <w:r>
        <w:rPr>
          <w:rFonts w:cstheme="minorHAnsi"/>
        </w:rPr>
        <w:t>.</w:t>
      </w:r>
    </w:p>
    <w:p w14:paraId="1E58507F" w14:textId="183E135C" w:rsidR="00554E7C" w:rsidRDefault="00554E7C" w:rsidP="00CF43FC">
      <w:pPr>
        <w:spacing w:after="0" w:line="240" w:lineRule="auto"/>
        <w:jc w:val="both"/>
        <w:rPr>
          <w:rFonts w:cstheme="minorHAnsi"/>
        </w:rPr>
      </w:pPr>
    </w:p>
    <w:p w14:paraId="47368A20"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125DC5F8" w14:textId="77777777" w:rsidR="00FE5E9A" w:rsidRPr="003B1F12" w:rsidRDefault="00FE5E9A" w:rsidP="003C2333">
      <w:pPr>
        <w:spacing w:after="0" w:line="240" w:lineRule="auto"/>
        <w:rPr>
          <w:rFonts w:ascii="Calibri" w:eastAsia="Times New Roman" w:hAnsi="Calibri" w:cs="Calibri"/>
          <w:b/>
          <w:smallCaps/>
          <w:sz w:val="24"/>
          <w:szCs w:val="24"/>
          <w:lang w:eastAsia="fr-FR"/>
        </w:rPr>
      </w:pPr>
    </w:p>
    <w:tbl>
      <w:tblPr>
        <w:tblStyle w:val="Tableausimple2"/>
        <w:tblW w:w="9072" w:type="dxa"/>
        <w:tblLayout w:type="fixed"/>
        <w:tblLook w:val="04A0" w:firstRow="1" w:lastRow="0" w:firstColumn="1" w:lastColumn="0" w:noHBand="0" w:noVBand="1"/>
      </w:tblPr>
      <w:tblGrid>
        <w:gridCol w:w="236"/>
        <w:gridCol w:w="2458"/>
        <w:gridCol w:w="3260"/>
        <w:gridCol w:w="1134"/>
        <w:gridCol w:w="992"/>
        <w:gridCol w:w="992"/>
      </w:tblGrid>
      <w:tr w:rsidR="00323441" w:rsidRPr="001E4FC4" w14:paraId="5E60A632" w14:textId="77777777" w:rsidTr="0068417B">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954" w:type="dxa"/>
            <w:gridSpan w:val="3"/>
            <w:tcBorders>
              <w:top w:val="single" w:sz="18" w:space="0" w:color="5B9BD5" w:themeColor="accent1"/>
              <w:bottom w:val="single" w:sz="4" w:space="0" w:color="5B9BD5" w:themeColor="accent1"/>
              <w:right w:val="single" w:sz="4" w:space="0" w:color="5B9BD5" w:themeColor="accent1"/>
            </w:tcBorders>
            <w:noWrap/>
          </w:tcPr>
          <w:p w14:paraId="391293A7" w14:textId="77777777" w:rsidR="00323441" w:rsidRDefault="00323441" w:rsidP="00FE3B84">
            <w:pPr>
              <w:jc w:val="both"/>
              <w:rPr>
                <w:rFonts w:ascii="Calibri" w:eastAsia="Times New Roman" w:hAnsi="Calibri" w:cs="Calibri"/>
                <w:b w:val="0"/>
                <w:sz w:val="18"/>
                <w:szCs w:val="18"/>
                <w:lang w:eastAsia="fr-FR"/>
              </w:rPr>
            </w:pPr>
          </w:p>
        </w:tc>
        <w:tc>
          <w:tcPr>
            <w:tcW w:w="1134" w:type="dxa"/>
            <w:tcBorders>
              <w:top w:val="single" w:sz="18" w:space="0" w:color="5B9BD5" w:themeColor="accent1"/>
              <w:bottom w:val="single" w:sz="18" w:space="0" w:color="5B9BD5" w:themeColor="accent1"/>
              <w:right w:val="single" w:sz="2" w:space="0" w:color="5B9BD5" w:themeColor="accent1"/>
            </w:tcBorders>
            <w:shd w:val="clear" w:color="auto" w:fill="A6A6A6" w:themeFill="background1" w:themeFillShade="A6"/>
          </w:tcPr>
          <w:p w14:paraId="6FA026AD" w14:textId="2DEBF628" w:rsidR="00323441" w:rsidRDefault="00323441" w:rsidP="00FE3B84">
            <w:pPr>
              <w:cnfStyle w:val="100000000000" w:firstRow="1" w:lastRow="0" w:firstColumn="0" w:lastColumn="0" w:oddVBand="0" w:evenVBand="0" w:oddHBand="0" w:evenHBand="0" w:firstRowFirstColumn="0" w:firstRowLastColumn="0" w:lastRowFirstColumn="0" w:lastRowLastColumn="0"/>
              <w:rPr>
                <w:rFonts w:cstheme="minorHAnsi"/>
                <w:sz w:val="14"/>
                <w:szCs w:val="18"/>
              </w:rPr>
            </w:pPr>
          </w:p>
        </w:tc>
        <w:tc>
          <w:tcPr>
            <w:tcW w:w="992"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18B73168" w14:textId="310A3501" w:rsidR="00323441" w:rsidRPr="00555289" w:rsidRDefault="00323441" w:rsidP="004E68C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4AE902C4" w14:textId="77777777" w:rsidR="00323441" w:rsidRDefault="00323441" w:rsidP="004E68C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46EF1E0D" w14:textId="681BF091" w:rsidR="00323441" w:rsidRPr="00555289" w:rsidRDefault="00323441" w:rsidP="004E68C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Pr>
                <w:rFonts w:cstheme="minorHAnsi"/>
                <w:sz w:val="14"/>
                <w:szCs w:val="18"/>
              </w:rPr>
              <w:t>euros</w:t>
            </w:r>
            <w:proofErr w:type="gramEnd"/>
          </w:p>
        </w:tc>
      </w:tr>
      <w:tr w:rsidR="00323441" w:rsidRPr="001E4FC4" w14:paraId="08BC6EAF" w14:textId="73C7783E" w:rsidTr="006841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18" w:space="0" w:color="5B9BD5" w:themeColor="accent1"/>
              <w:bottom w:val="single" w:sz="4" w:space="0" w:color="5B9BD5" w:themeColor="accent1"/>
              <w:right w:val="single" w:sz="4" w:space="0" w:color="5B9BD5" w:themeColor="accent1"/>
            </w:tcBorders>
            <w:noWrap/>
            <w:hideMark/>
          </w:tcPr>
          <w:p w14:paraId="2C4AD02D" w14:textId="2DF81454" w:rsidR="00323441" w:rsidRPr="00555289" w:rsidRDefault="00323441" w:rsidP="00EC4F18">
            <w:pPr>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transactions interbancaires</w:t>
            </w:r>
          </w:p>
        </w:tc>
        <w:tc>
          <w:tcPr>
            <w:tcW w:w="3260"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4D211A66" w14:textId="51A137E1" w:rsidR="00323441" w:rsidRPr="00536A48" w:rsidRDefault="00323441" w:rsidP="00E90F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Pr>
                <w:rFonts w:ascii="Calibri" w:eastAsia="Times New Roman" w:hAnsi="Calibri" w:cs="Calibri"/>
                <w:b/>
                <w:sz w:val="18"/>
                <w:szCs w:val="18"/>
                <w:lang w:eastAsia="fr-FR"/>
              </w:rPr>
              <w:t>Transferts de fonds effectués via un système de paiement.</w:t>
            </w:r>
          </w:p>
        </w:tc>
        <w:tc>
          <w:tcPr>
            <w:tcW w:w="1134" w:type="dxa"/>
            <w:vMerge w:val="restart"/>
            <w:tcBorders>
              <w:top w:val="single" w:sz="18" w:space="0" w:color="5B9BD5" w:themeColor="accent1"/>
              <w:left w:val="single" w:sz="4" w:space="0" w:color="5B9BD5" w:themeColor="accent1"/>
              <w:right w:val="single" w:sz="4" w:space="0" w:color="5B9BD5" w:themeColor="accent1"/>
            </w:tcBorders>
            <w:shd w:val="clear" w:color="auto" w:fill="A6A6A6" w:themeFill="background1" w:themeFillShade="A6"/>
          </w:tcPr>
          <w:p w14:paraId="7738B567" w14:textId="77777777" w:rsidR="00323441" w:rsidRPr="00555289" w:rsidRDefault="00323441" w:rsidP="00EC4F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92" w:type="dxa"/>
            <w:tcBorders>
              <w:top w:val="single" w:sz="18" w:space="0" w:color="5B9BD5" w:themeColor="accent1"/>
              <w:left w:val="single" w:sz="4" w:space="0" w:color="5B9BD5" w:themeColor="accent1"/>
              <w:bottom w:val="single" w:sz="4" w:space="0" w:color="5B9BD5" w:themeColor="accent1"/>
            </w:tcBorders>
            <w:noWrap/>
          </w:tcPr>
          <w:p w14:paraId="09FEA2E9" w14:textId="6DF8A757" w:rsidR="00323441" w:rsidRPr="00555289" w:rsidRDefault="00323441" w:rsidP="00EC4F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92" w:type="dxa"/>
            <w:tcBorders>
              <w:top w:val="single" w:sz="18" w:space="0" w:color="5B9BD5" w:themeColor="accent1"/>
              <w:left w:val="single" w:sz="4" w:space="0" w:color="5B9BD5" w:themeColor="accent1"/>
              <w:bottom w:val="single" w:sz="4" w:space="0" w:color="5B9BD5" w:themeColor="accent1"/>
            </w:tcBorders>
          </w:tcPr>
          <w:p w14:paraId="465CC5A7" w14:textId="77777777" w:rsidR="00323441" w:rsidRPr="00555289" w:rsidRDefault="00323441" w:rsidP="00EC4F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323441" w:rsidRPr="001E4FC4" w14:paraId="3DCAFF7E" w14:textId="70177D7E" w:rsidTr="0068417B">
        <w:trPr>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3FEEDF3B" w14:textId="21309BC8" w:rsidR="00323441" w:rsidRPr="00555289" w:rsidRDefault="00323441" w:rsidP="00EC4F18">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49F6A1FD" w14:textId="60D50326" w:rsidR="00323441" w:rsidRPr="00555289" w:rsidRDefault="00323441" w:rsidP="00EC4F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Target2-Banque de France</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B152A9" w14:textId="28009BD4" w:rsidR="00323441" w:rsidRPr="00536A48" w:rsidRDefault="00323441" w:rsidP="00E90F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8"/>
                <w:szCs w:val="18"/>
                <w:lang w:eastAsia="fr-FR"/>
              </w:rPr>
            </w:pPr>
            <w:r>
              <w:rPr>
                <w:rFonts w:ascii="Calibri" w:eastAsia="Times New Roman" w:hAnsi="Calibri" w:cs="Calibri"/>
                <w:bCs/>
                <w:sz w:val="18"/>
                <w:szCs w:val="18"/>
                <w:lang w:eastAsia="fr-FR"/>
              </w:rPr>
              <w:t>Système de paiement de montant élevé de l’Eurosystème.</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327E8579" w14:textId="77777777" w:rsidR="00323441" w:rsidRPr="00555289" w:rsidRDefault="00323441" w:rsidP="00EC4F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4EBCD883" w14:textId="559439E9" w:rsidR="00323441" w:rsidRPr="00555289" w:rsidRDefault="00323441" w:rsidP="00EC4F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50364535" w14:textId="77777777" w:rsidR="00323441" w:rsidRPr="00555289" w:rsidRDefault="00323441" w:rsidP="00EC4F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08182DC8" w14:textId="4D09D49A" w:rsidTr="006841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2FB85FD0" w14:textId="66E6AB2F" w:rsidR="00323441" w:rsidRPr="00555289" w:rsidRDefault="00323441" w:rsidP="00EC4F18">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4F407CA3" w14:textId="3A4216DF" w:rsidR="00323441" w:rsidRPr="00555289" w:rsidRDefault="00323441" w:rsidP="00536A4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STET (CORE</w:t>
            </w:r>
            <w:r>
              <w:rPr>
                <w:rFonts w:ascii="Calibri" w:eastAsia="Times New Roman" w:hAnsi="Calibri" w:cs="Calibri"/>
                <w:i/>
                <w:sz w:val="18"/>
                <w:szCs w:val="18"/>
                <w:lang w:eastAsia="fr-FR"/>
              </w:rPr>
              <w:t xml:space="preserve"> et </w:t>
            </w:r>
            <w:r w:rsidRPr="00555289">
              <w:rPr>
                <w:rFonts w:ascii="Calibri" w:eastAsia="Times New Roman" w:hAnsi="Calibri" w:cs="Calibri"/>
                <w:i/>
                <w:sz w:val="18"/>
                <w:szCs w:val="18"/>
                <w:lang w:eastAsia="fr-FR"/>
              </w:rPr>
              <w:t>SEPA.EU)</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FA5D64" w14:textId="7C5D6F2C" w:rsidR="00323441" w:rsidRPr="00536A48" w:rsidRDefault="00323441" w:rsidP="00DE0E1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18"/>
                <w:szCs w:val="18"/>
                <w:lang w:eastAsia="fr-FR"/>
              </w:rPr>
            </w:pPr>
            <w:r>
              <w:rPr>
                <w:rFonts w:ascii="Calibri" w:eastAsia="Times New Roman" w:hAnsi="Calibri" w:cs="Calibri"/>
                <w:bCs/>
                <w:sz w:val="18"/>
                <w:szCs w:val="18"/>
                <w:lang w:eastAsia="fr-FR"/>
              </w:rPr>
              <w:t>Système de paiement de détail implanté en France.</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5658A9BD" w14:textId="77777777" w:rsidR="00323441" w:rsidRPr="00555289" w:rsidRDefault="00323441" w:rsidP="00EC4F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5ADDBFE9" w14:textId="3AD34707" w:rsidR="00323441" w:rsidRPr="00555289" w:rsidRDefault="00323441" w:rsidP="00EC4F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0D2DE354" w14:textId="77777777" w:rsidR="00323441" w:rsidRPr="00555289" w:rsidRDefault="00323441" w:rsidP="00EC4F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2C8D86F2" w14:textId="3476B6A7" w:rsidTr="0068417B">
        <w:trPr>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22A106DC" w14:textId="147438F7" w:rsidR="00323441" w:rsidRPr="00555289" w:rsidRDefault="00323441" w:rsidP="00EC4F18">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1690D80D" w14:textId="49BA07F0" w:rsidR="00323441" w:rsidRPr="00555289" w:rsidRDefault="00323441" w:rsidP="00EC4F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EURO1</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BD320E" w14:textId="41973A29" w:rsidR="00323441" w:rsidRPr="00536A48" w:rsidRDefault="00323441" w:rsidP="00E90F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8"/>
                <w:szCs w:val="18"/>
                <w:lang w:eastAsia="fr-FR"/>
              </w:rPr>
            </w:pPr>
            <w:r w:rsidRPr="00536A48">
              <w:rPr>
                <w:rFonts w:ascii="Calibri" w:eastAsia="Times New Roman" w:hAnsi="Calibri" w:cs="Calibri"/>
                <w:bCs/>
                <w:sz w:val="18"/>
                <w:szCs w:val="18"/>
                <w:lang w:eastAsia="fr-FR"/>
              </w:rPr>
              <w:t>Système de paiement</w:t>
            </w:r>
            <w:r>
              <w:rPr>
                <w:rFonts w:ascii="Calibri" w:eastAsia="Times New Roman" w:hAnsi="Calibri" w:cs="Calibri"/>
                <w:bCs/>
                <w:sz w:val="18"/>
                <w:szCs w:val="18"/>
                <w:lang w:eastAsia="fr-FR"/>
              </w:rPr>
              <w:t xml:space="preserve"> montant </w:t>
            </w:r>
            <w:proofErr w:type="gramStart"/>
            <w:r>
              <w:rPr>
                <w:rFonts w:ascii="Calibri" w:eastAsia="Times New Roman" w:hAnsi="Calibri" w:cs="Calibri"/>
                <w:bCs/>
                <w:sz w:val="18"/>
                <w:szCs w:val="18"/>
                <w:lang w:eastAsia="fr-FR"/>
              </w:rPr>
              <w:t>élevé</w:t>
            </w:r>
            <w:proofErr w:type="gramEnd"/>
            <w:r w:rsidRPr="00536A48">
              <w:rPr>
                <w:rFonts w:ascii="Calibri" w:eastAsia="Times New Roman" w:hAnsi="Calibri" w:cs="Calibri"/>
                <w:bCs/>
                <w:sz w:val="18"/>
                <w:szCs w:val="18"/>
                <w:lang w:eastAsia="fr-FR"/>
              </w:rPr>
              <w:t xml:space="preserve"> transeuropéen.</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6E7CFBF8" w14:textId="77777777" w:rsidR="00323441" w:rsidRPr="00555289" w:rsidRDefault="00323441" w:rsidP="00EC4F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6E3619ED" w14:textId="22749B77" w:rsidR="00323441" w:rsidRPr="00555289" w:rsidRDefault="00323441" w:rsidP="00EC4F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4949F3CB" w14:textId="77777777" w:rsidR="00323441" w:rsidRPr="00555289" w:rsidRDefault="00323441" w:rsidP="00EC4F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1BC113F4" w14:textId="351A8565" w:rsidTr="006841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4C7EB07B" w14:textId="00CF6279" w:rsidR="00323441" w:rsidRPr="00555289" w:rsidRDefault="00323441" w:rsidP="00995469">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33452BDC" w14:textId="2F017F18"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STET IP</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B07434" w14:textId="343552A3" w:rsidR="00323441" w:rsidRPr="00536A48" w:rsidRDefault="00323441" w:rsidP="0099546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18"/>
                <w:szCs w:val="18"/>
                <w:lang w:eastAsia="fr-FR"/>
              </w:rPr>
            </w:pPr>
            <w:r>
              <w:rPr>
                <w:rFonts w:ascii="Calibri" w:eastAsia="Times New Roman" w:hAnsi="Calibri" w:cs="Calibri"/>
                <w:bCs/>
                <w:sz w:val="18"/>
                <w:szCs w:val="18"/>
                <w:lang w:eastAsia="fr-FR"/>
              </w:rPr>
              <w:t>Système de paiement instantané implanté en France.</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3745BE38" w14:textId="77777777"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2F66F490" w14:textId="4BDB4DD5"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557C3494" w14:textId="77777777"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5F86ACDD" w14:textId="18F9F725" w:rsidTr="0068417B">
        <w:trPr>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592730BC" w14:textId="67758BF7" w:rsidR="00323441" w:rsidRPr="00555289" w:rsidRDefault="00323441" w:rsidP="00995469">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4F8585DF" w14:textId="23877CAE" w:rsidR="00323441" w:rsidRPr="00555289" w:rsidRDefault="00323441" w:rsidP="009954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STEP2</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6D933A" w14:textId="3E438B93" w:rsidR="00323441" w:rsidRPr="00536A48" w:rsidRDefault="00323441" w:rsidP="0099546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8"/>
                <w:szCs w:val="18"/>
                <w:lang w:eastAsia="fr-FR"/>
              </w:rPr>
            </w:pPr>
            <w:r w:rsidRPr="00536A48">
              <w:rPr>
                <w:rFonts w:ascii="Calibri" w:eastAsia="Times New Roman" w:hAnsi="Calibri" w:cs="Calibri"/>
                <w:bCs/>
                <w:sz w:val="18"/>
                <w:szCs w:val="18"/>
                <w:lang w:eastAsia="fr-FR"/>
              </w:rPr>
              <w:t>Système de paiement transeuropéen.</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3CCE3ED8" w14:textId="77777777" w:rsidR="00323441" w:rsidRPr="00555289" w:rsidRDefault="00323441" w:rsidP="009954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16B60265" w14:textId="099F3C05" w:rsidR="00323441" w:rsidRPr="00555289" w:rsidRDefault="00323441" w:rsidP="009954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488B1710" w14:textId="77777777" w:rsidR="00323441" w:rsidRPr="00555289" w:rsidRDefault="00323441" w:rsidP="009954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580719FB" w14:textId="1B00ABBD" w:rsidTr="006841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4CA281C3" w14:textId="1FC6D742" w:rsidR="00323441" w:rsidRPr="00555289" w:rsidRDefault="00323441" w:rsidP="00995469">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1158E9C3" w14:textId="2A3CD3B9"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TIPS</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0CA21A" w14:textId="19A440F9" w:rsidR="00323441" w:rsidRPr="00536A48" w:rsidRDefault="00323441" w:rsidP="00A928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18"/>
                <w:szCs w:val="18"/>
                <w:lang w:eastAsia="fr-FR"/>
              </w:rPr>
            </w:pPr>
            <w:r>
              <w:rPr>
                <w:rFonts w:ascii="Calibri" w:eastAsia="Times New Roman" w:hAnsi="Calibri" w:cs="Calibri"/>
                <w:bCs/>
                <w:sz w:val="18"/>
                <w:szCs w:val="18"/>
                <w:lang w:eastAsia="fr-FR"/>
              </w:rPr>
              <w:t>Service de paiement instantané.</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72CD226A" w14:textId="77777777"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4EB38521" w14:textId="4F4DB2B1"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03C92CDC" w14:textId="77777777"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420D2691" w14:textId="57CA9411" w:rsidTr="0068417B">
        <w:trPr>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237C879B" w14:textId="7A932463" w:rsidR="00323441" w:rsidRPr="00555289" w:rsidRDefault="00323441" w:rsidP="00995469">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7B6AFB7A" w14:textId="79E7F567" w:rsidR="00323441" w:rsidRPr="00555289" w:rsidRDefault="00323441" w:rsidP="009954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RT1</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3E8409" w14:textId="44F12342" w:rsidR="00323441" w:rsidRPr="00536A48" w:rsidRDefault="00323441" w:rsidP="0099546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8"/>
                <w:szCs w:val="18"/>
                <w:lang w:eastAsia="fr-FR"/>
              </w:rPr>
            </w:pPr>
            <w:r>
              <w:rPr>
                <w:rFonts w:ascii="Calibri" w:eastAsia="Times New Roman" w:hAnsi="Calibri" w:cs="Calibri"/>
                <w:bCs/>
                <w:sz w:val="18"/>
                <w:szCs w:val="18"/>
                <w:lang w:eastAsia="fr-FR"/>
              </w:rPr>
              <w:t>Système de paiement instantané européen.</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2F481BDE" w14:textId="77777777" w:rsidR="00323441" w:rsidRPr="00555289" w:rsidRDefault="00323441" w:rsidP="009954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435C2BE7" w14:textId="42AE2ED9" w:rsidR="00323441" w:rsidRPr="00555289" w:rsidRDefault="00323441" w:rsidP="009954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119F2719" w14:textId="77777777" w:rsidR="00323441" w:rsidRPr="00555289" w:rsidRDefault="00323441" w:rsidP="009954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0655A405" w14:textId="21AB922C" w:rsidTr="006841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0D8D66DD" w14:textId="52BE71F8" w:rsidR="00323441" w:rsidRPr="00555289" w:rsidRDefault="00323441" w:rsidP="00995469">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04AFEC21" w14:textId="6F27132E"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autres systèmes</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02582C" w14:textId="2306241F" w:rsidR="00323441" w:rsidRPr="00536A48" w:rsidRDefault="00323441" w:rsidP="0099546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18"/>
                <w:szCs w:val="18"/>
                <w:lang w:eastAsia="fr-FR"/>
              </w:rPr>
            </w:pP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4F6B796C" w14:textId="77777777"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30FD73F1" w14:textId="7C61CFBD"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4E135C47" w14:textId="77777777"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71EAA883" w14:textId="57C7F5C5" w:rsidTr="0068417B">
        <w:trPr>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1E820186" w14:textId="4917AE9E" w:rsidR="00323441" w:rsidRPr="00555289" w:rsidRDefault="00323441" w:rsidP="00505507">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7C8143DF" w14:textId="2C92B43F" w:rsidR="00323441" w:rsidRPr="00555289" w:rsidRDefault="00323441"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hors systèmes</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15CC2F" w14:textId="2263FD76" w:rsidR="00323441" w:rsidRPr="00536A48" w:rsidRDefault="0032344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8"/>
                <w:szCs w:val="18"/>
                <w:lang w:eastAsia="fr-FR"/>
              </w:rPr>
            </w:pPr>
            <w:r w:rsidRPr="00A707C6">
              <w:rPr>
                <w:rFonts w:ascii="Calibri" w:eastAsia="Times New Roman" w:hAnsi="Calibri" w:cs="Calibri"/>
                <w:sz w:val="18"/>
                <w:szCs w:val="18"/>
                <w:lang w:eastAsia="fr-FR"/>
              </w:rPr>
              <w:t xml:space="preserve">Transfert des fonds effectué </w:t>
            </w:r>
            <w:r>
              <w:rPr>
                <w:rFonts w:ascii="Calibri" w:eastAsia="Times New Roman" w:hAnsi="Calibri" w:cs="Calibri"/>
                <w:sz w:val="18"/>
                <w:szCs w:val="18"/>
                <w:lang w:eastAsia="fr-FR"/>
              </w:rPr>
              <w:t xml:space="preserve">hors </w:t>
            </w:r>
            <w:r w:rsidRPr="00A707C6">
              <w:rPr>
                <w:rFonts w:ascii="Calibri" w:eastAsia="Times New Roman" w:hAnsi="Calibri" w:cs="Calibri"/>
                <w:sz w:val="18"/>
                <w:szCs w:val="18"/>
                <w:lang w:eastAsia="fr-FR"/>
              </w:rPr>
              <w:t>système de paiement.</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4252066A" w14:textId="77777777" w:rsidR="00323441" w:rsidRPr="00555289" w:rsidRDefault="00323441"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0D46D875" w14:textId="691E167F" w:rsidR="00323441" w:rsidRPr="00555289" w:rsidRDefault="00323441"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2D2C6893" w14:textId="77777777" w:rsidR="00323441" w:rsidRPr="00555289" w:rsidRDefault="00323441"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0C60EE0E" w14:textId="1BB4995C" w:rsidTr="006841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4" w:space="0" w:color="5B9BD5" w:themeColor="accent1"/>
              <w:bottom w:val="single" w:sz="4" w:space="0" w:color="5B9BD5" w:themeColor="accent1"/>
              <w:right w:val="single" w:sz="4" w:space="0" w:color="5B9BD5" w:themeColor="accent1"/>
            </w:tcBorders>
            <w:noWrap/>
            <w:hideMark/>
          </w:tcPr>
          <w:p w14:paraId="524FA9A4" w14:textId="70FF6437" w:rsidR="00323441" w:rsidRPr="00555289" w:rsidRDefault="00323441" w:rsidP="00505507">
            <w:pPr>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 xml:space="preserve">Dont transactions </w:t>
            </w:r>
            <w:proofErr w:type="spellStart"/>
            <w:r w:rsidRPr="00555289">
              <w:rPr>
                <w:rFonts w:ascii="Calibri" w:eastAsia="Times New Roman" w:hAnsi="Calibri" w:cs="Calibri"/>
                <w:i/>
                <w:sz w:val="18"/>
                <w:szCs w:val="18"/>
                <w:lang w:eastAsia="fr-FR"/>
              </w:rPr>
              <w:t>intrabancaires</w:t>
            </w:r>
            <w:proofErr w:type="spellEnd"/>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2BE2C0" w14:textId="0A6C4398" w:rsidR="00323441" w:rsidRPr="00536A48" w:rsidRDefault="00323441" w:rsidP="0050550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18"/>
                <w:szCs w:val="18"/>
                <w:lang w:eastAsia="fr-FR"/>
              </w:rPr>
            </w:pPr>
            <w:r>
              <w:rPr>
                <w:rFonts w:ascii="Calibri" w:eastAsia="Times New Roman" w:hAnsi="Calibri" w:cs="Calibri"/>
                <w:bCs/>
                <w:sz w:val="18"/>
                <w:szCs w:val="18"/>
                <w:lang w:eastAsia="fr-FR"/>
              </w:rPr>
              <w:t>Transferts de fonds effectués entre 2 comptes de paiement tenus par l’établissement sans recours à un système de paiement.</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53192C12" w14:textId="77777777" w:rsidR="00323441" w:rsidRPr="00555289" w:rsidRDefault="00323441"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0FA6C85A" w14:textId="5FCCE925" w:rsidR="00323441" w:rsidRPr="00555289" w:rsidRDefault="00323441"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7A6C1C9C" w14:textId="77777777" w:rsidR="00323441" w:rsidRPr="00555289" w:rsidRDefault="00323441"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7D57064F" w14:textId="209283BC" w:rsidTr="0068417B">
        <w:trPr>
          <w:trHeight w:val="330"/>
        </w:trPr>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4" w:space="0" w:color="5B9BD5" w:themeColor="accent1"/>
              <w:bottom w:val="single" w:sz="18" w:space="0" w:color="5B9BD5" w:themeColor="accent1"/>
              <w:right w:val="single" w:sz="4" w:space="0" w:color="5B9BD5" w:themeColor="accent1"/>
            </w:tcBorders>
            <w:noWrap/>
            <w:hideMark/>
          </w:tcPr>
          <w:p w14:paraId="7D993BE4" w14:textId="10B495B5" w:rsidR="00323441" w:rsidRPr="00555289" w:rsidRDefault="00323441" w:rsidP="00505507">
            <w:pPr>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transactions intragroupes</w:t>
            </w:r>
          </w:p>
        </w:tc>
        <w:tc>
          <w:tcPr>
            <w:tcW w:w="3260"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7A9B8B7E" w14:textId="1FC2F3D2" w:rsidR="00323441" w:rsidRPr="00536A48" w:rsidRDefault="00323441" w:rsidP="0050550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8"/>
                <w:szCs w:val="18"/>
                <w:lang w:eastAsia="fr-FR"/>
              </w:rPr>
            </w:pPr>
            <w:r>
              <w:rPr>
                <w:rFonts w:ascii="Calibri" w:eastAsia="Times New Roman" w:hAnsi="Calibri" w:cs="Calibri"/>
                <w:bCs/>
                <w:sz w:val="18"/>
                <w:szCs w:val="18"/>
                <w:lang w:eastAsia="fr-FR"/>
              </w:rPr>
              <w:t>Transferts de fonds effectués entre 2 comptes de paiement tenus au sein d’un même groupe bancaire sans recours à un système de paiement.</w:t>
            </w:r>
          </w:p>
        </w:tc>
        <w:tc>
          <w:tcPr>
            <w:tcW w:w="1134" w:type="dxa"/>
            <w:vMerge/>
            <w:tcBorders>
              <w:left w:val="single" w:sz="4" w:space="0" w:color="5B9BD5" w:themeColor="accent1"/>
              <w:bottom w:val="single" w:sz="18" w:space="0" w:color="5B9BD5" w:themeColor="accent1"/>
              <w:right w:val="single" w:sz="4" w:space="0" w:color="5B9BD5" w:themeColor="accent1"/>
            </w:tcBorders>
            <w:shd w:val="clear" w:color="auto" w:fill="A6A6A6" w:themeFill="background1" w:themeFillShade="A6"/>
          </w:tcPr>
          <w:p w14:paraId="6AD95418" w14:textId="77777777" w:rsidR="00323441" w:rsidRPr="00555289" w:rsidRDefault="00323441"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18" w:space="0" w:color="5B9BD5" w:themeColor="accent1"/>
            </w:tcBorders>
            <w:noWrap/>
          </w:tcPr>
          <w:p w14:paraId="3C434FBE" w14:textId="07BCA382" w:rsidR="00323441" w:rsidRPr="00555289" w:rsidRDefault="00323441"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18" w:space="0" w:color="5B9BD5" w:themeColor="accent1"/>
            </w:tcBorders>
          </w:tcPr>
          <w:p w14:paraId="2FD48EE7" w14:textId="77777777" w:rsidR="00323441" w:rsidRPr="00555289" w:rsidRDefault="00323441"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58D5B3F8" w14:textId="77777777" w:rsidR="00433BE2" w:rsidRDefault="00433BE2" w:rsidP="00433BE2">
      <w:pPr>
        <w:pStyle w:val="Paragraphedeliste"/>
        <w:autoSpaceDE w:val="0"/>
        <w:autoSpaceDN w:val="0"/>
        <w:adjustRightInd w:val="0"/>
        <w:spacing w:after="0" w:line="240" w:lineRule="auto"/>
        <w:jc w:val="both"/>
        <w:rPr>
          <w:rFonts w:cstheme="minorHAnsi"/>
        </w:rPr>
      </w:pPr>
    </w:p>
    <w:p w14:paraId="19662935" w14:textId="77777777" w:rsidR="00433BE2" w:rsidRPr="004E58CA" w:rsidRDefault="00433BE2"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7F47903F" w14:textId="6712D3B3" w:rsidR="00433BE2" w:rsidRDefault="00433BE2" w:rsidP="00433BE2">
      <w:pPr>
        <w:pStyle w:val="Paragraphedeliste"/>
        <w:autoSpaceDE w:val="0"/>
        <w:autoSpaceDN w:val="0"/>
        <w:adjustRightInd w:val="0"/>
        <w:spacing w:after="0" w:line="240" w:lineRule="auto"/>
        <w:jc w:val="both"/>
        <w:rPr>
          <w:rFonts w:cstheme="minorHAnsi"/>
        </w:rPr>
      </w:pPr>
    </w:p>
    <w:p w14:paraId="5850676C" w14:textId="4D0499D4" w:rsidR="001368BE" w:rsidRPr="00187036" w:rsidRDefault="001368BE" w:rsidP="00187036">
      <w:pPr>
        <w:autoSpaceDE w:val="0"/>
        <w:autoSpaceDN w:val="0"/>
        <w:adjustRightInd w:val="0"/>
        <w:spacing w:after="0" w:line="240" w:lineRule="auto"/>
        <w:jc w:val="both"/>
        <w:rPr>
          <w:rFonts w:cstheme="minorHAnsi"/>
        </w:rPr>
      </w:pPr>
      <w:r w:rsidRPr="00187036">
        <w:rPr>
          <w:rFonts w:cstheme="minorHAnsi"/>
        </w:rPr>
        <w:t>Les règles de contrôle suivantes doivent être app</w:t>
      </w:r>
      <w:r w:rsidR="00DA1236">
        <w:rPr>
          <w:rFonts w:cstheme="minorHAnsi"/>
        </w:rPr>
        <w:t>liquées en nombre et en valeur.</w:t>
      </w:r>
    </w:p>
    <w:p w14:paraId="513D41A4" w14:textId="77777777" w:rsidR="001368BE" w:rsidRDefault="001368BE" w:rsidP="00433BE2">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FD2BD5" w:rsidRPr="00191426" w14:paraId="03765D8A" w14:textId="77777777" w:rsidTr="004E68CF">
        <w:tc>
          <w:tcPr>
            <w:tcW w:w="9054" w:type="dxa"/>
          </w:tcPr>
          <w:p w14:paraId="7775B15A" w14:textId="02566C18" w:rsidR="00FD2BD5" w:rsidRPr="004E58CA" w:rsidRDefault="00FD2BD5" w:rsidP="00222618">
            <w:pPr>
              <w:pStyle w:val="Paragraphedeliste"/>
              <w:autoSpaceDE w:val="0"/>
              <w:autoSpaceDN w:val="0"/>
              <w:adjustRightInd w:val="0"/>
              <w:ind w:left="0"/>
              <w:jc w:val="both"/>
              <w:rPr>
                <w:sz w:val="18"/>
              </w:rPr>
            </w:pPr>
            <w:r w:rsidRPr="00A675AF">
              <w:rPr>
                <w:rFonts w:cstheme="minorHAnsi"/>
                <w:sz w:val="18"/>
                <w:szCs w:val="18"/>
              </w:rPr>
              <w:t>Le</w:t>
            </w:r>
            <w:r w:rsidR="00222618">
              <w:rPr>
                <w:rFonts w:cstheme="minorHAnsi"/>
                <w:sz w:val="18"/>
                <w:szCs w:val="18"/>
              </w:rPr>
              <w:t xml:space="preserve"> total de</w:t>
            </w:r>
            <w:r w:rsidRPr="00A675AF">
              <w:rPr>
                <w:rFonts w:cstheme="minorHAnsi"/>
                <w:sz w:val="18"/>
                <w:szCs w:val="18"/>
              </w:rPr>
              <w:t xml:space="preserve">s virements </w:t>
            </w:r>
            <w:r w:rsidR="00222618">
              <w:rPr>
                <w:rFonts w:cstheme="minorHAnsi"/>
                <w:sz w:val="18"/>
                <w:szCs w:val="18"/>
              </w:rPr>
              <w:t>est =</w:t>
            </w:r>
            <w:r w:rsidRPr="00A675AF">
              <w:rPr>
                <w:rFonts w:cstheme="minorHAnsi"/>
                <w:sz w:val="18"/>
                <w:szCs w:val="18"/>
              </w:rPr>
              <w:t xml:space="preserve"> à la somme de</w:t>
            </w:r>
            <w:r w:rsidR="00222618">
              <w:rPr>
                <w:rFonts w:cstheme="minorHAnsi"/>
                <w:sz w:val="18"/>
                <w:szCs w:val="18"/>
              </w:rPr>
              <w:t xml:space="preserve">s transactions interbancaires, </w:t>
            </w:r>
            <w:proofErr w:type="spellStart"/>
            <w:r w:rsidR="00222618">
              <w:rPr>
                <w:rFonts w:cstheme="minorHAnsi"/>
                <w:sz w:val="18"/>
                <w:szCs w:val="18"/>
              </w:rPr>
              <w:t>intrabancaires</w:t>
            </w:r>
            <w:proofErr w:type="spellEnd"/>
            <w:r w:rsidR="00222618">
              <w:rPr>
                <w:rFonts w:cstheme="minorHAnsi"/>
                <w:sz w:val="18"/>
                <w:szCs w:val="18"/>
              </w:rPr>
              <w:t xml:space="preserve"> et intragroupes.</w:t>
            </w:r>
          </w:p>
        </w:tc>
      </w:tr>
      <w:tr w:rsidR="00FD2BD5" w:rsidRPr="00FD2BD5" w14:paraId="0B11573A" w14:textId="77777777" w:rsidTr="004E68CF">
        <w:tc>
          <w:tcPr>
            <w:tcW w:w="9054" w:type="dxa"/>
          </w:tcPr>
          <w:p w14:paraId="6EEF1DDE" w14:textId="29A14BAE" w:rsidR="00FD2BD5" w:rsidRPr="004E58CA" w:rsidRDefault="00FD2BD5" w:rsidP="00222618">
            <w:pPr>
              <w:pStyle w:val="Paragraphedeliste"/>
              <w:autoSpaceDE w:val="0"/>
              <w:autoSpaceDN w:val="0"/>
              <w:adjustRightInd w:val="0"/>
              <w:ind w:left="0"/>
              <w:jc w:val="both"/>
              <w:rPr>
                <w:sz w:val="18"/>
              </w:rPr>
            </w:pPr>
            <w:r w:rsidRPr="00A675AF">
              <w:rPr>
                <w:rFonts w:cstheme="minorHAnsi"/>
                <w:sz w:val="18"/>
                <w:szCs w:val="18"/>
              </w:rPr>
              <w:t>Le</w:t>
            </w:r>
            <w:r w:rsidR="00222618">
              <w:rPr>
                <w:rFonts w:cstheme="minorHAnsi"/>
                <w:sz w:val="18"/>
                <w:szCs w:val="18"/>
              </w:rPr>
              <w:t xml:space="preserve"> total des</w:t>
            </w:r>
            <w:r w:rsidRPr="00A675AF">
              <w:rPr>
                <w:rFonts w:cstheme="minorHAnsi"/>
                <w:sz w:val="18"/>
                <w:szCs w:val="18"/>
              </w:rPr>
              <w:t xml:space="preserve"> virements </w:t>
            </w:r>
            <w:r w:rsidR="00222618">
              <w:rPr>
                <w:rFonts w:cstheme="minorHAnsi"/>
                <w:sz w:val="18"/>
                <w:szCs w:val="18"/>
              </w:rPr>
              <w:t xml:space="preserve">interbancaires est = à la somme de la ventilation </w:t>
            </w:r>
            <w:r w:rsidRPr="00A675AF">
              <w:rPr>
                <w:rFonts w:cstheme="minorHAnsi"/>
                <w:sz w:val="18"/>
                <w:szCs w:val="18"/>
              </w:rPr>
              <w:t>par système de paiement.</w:t>
            </w:r>
          </w:p>
        </w:tc>
      </w:tr>
    </w:tbl>
    <w:p w14:paraId="5DBE3BC5" w14:textId="3D14E996" w:rsidR="00433BE2" w:rsidRPr="00FD2BD5" w:rsidRDefault="00433BE2" w:rsidP="00433BE2">
      <w:pPr>
        <w:pStyle w:val="Paragraphedeliste"/>
        <w:autoSpaceDE w:val="0"/>
        <w:autoSpaceDN w:val="0"/>
        <w:adjustRightInd w:val="0"/>
        <w:spacing w:after="0" w:line="240" w:lineRule="auto"/>
        <w:jc w:val="both"/>
      </w:pPr>
    </w:p>
    <w:p w14:paraId="6651E3FA" w14:textId="77777777" w:rsidR="00554E7C" w:rsidRPr="00FD2BD5" w:rsidRDefault="00554E7C" w:rsidP="00433BE2">
      <w:pPr>
        <w:pStyle w:val="Paragraphedeliste"/>
        <w:autoSpaceDE w:val="0"/>
        <w:autoSpaceDN w:val="0"/>
        <w:adjustRightInd w:val="0"/>
        <w:spacing w:after="0" w:line="240" w:lineRule="auto"/>
        <w:jc w:val="both"/>
      </w:pPr>
    </w:p>
    <w:p w14:paraId="776901DD" w14:textId="1BFE10CB" w:rsidR="00E755BB" w:rsidRPr="0096058A" w:rsidRDefault="003C2333" w:rsidP="007718A3">
      <w:pPr>
        <w:pStyle w:val="Titre3"/>
        <w:numPr>
          <w:ilvl w:val="2"/>
          <w:numId w:val="38"/>
        </w:numPr>
        <w:jc w:val="both"/>
      </w:pPr>
      <w:bookmarkStart w:id="52" w:name="_Toc222476882"/>
      <w:r w:rsidRPr="0096058A">
        <w:t>V</w:t>
      </w:r>
      <w:r w:rsidR="00E755BB" w:rsidRPr="0096058A">
        <w:t>irements reçus</w:t>
      </w:r>
      <w:r w:rsidR="00E90FAD" w:rsidRPr="0096058A">
        <w:t xml:space="preserve"> par l’établissement</w:t>
      </w:r>
      <w:bookmarkEnd w:id="52"/>
    </w:p>
    <w:p w14:paraId="3E9D593D" w14:textId="08B80D5B" w:rsidR="00E755BB" w:rsidRDefault="00E755BB" w:rsidP="00AF35E9">
      <w:pPr>
        <w:spacing w:after="0" w:line="240" w:lineRule="auto"/>
        <w:rPr>
          <w:rFonts w:ascii="Calibri" w:eastAsia="Times New Roman" w:hAnsi="Calibri" w:cs="Calibri"/>
          <w:b/>
          <w:sz w:val="24"/>
          <w:szCs w:val="24"/>
          <w:lang w:eastAsia="fr-FR"/>
        </w:rPr>
      </w:pPr>
    </w:p>
    <w:p w14:paraId="449D9604" w14:textId="133423EB" w:rsidR="003C2333" w:rsidRPr="004E58CA" w:rsidRDefault="00CF43FC" w:rsidP="00CF43FC">
      <w:pPr>
        <w:spacing w:after="0" w:line="240" w:lineRule="auto"/>
        <w:jc w:val="both"/>
      </w:pPr>
      <w:r w:rsidRPr="00C714BD">
        <w:rPr>
          <w:rFonts w:cstheme="minorHAnsi"/>
        </w:rPr>
        <w:t>Il s</w:t>
      </w:r>
      <w:r>
        <w:rPr>
          <w:rFonts w:cstheme="minorHAnsi"/>
        </w:rPr>
        <w:t>’agit de déclarer, en nombre et valeur, les virements reçus par l’établissement en tant que PSP du bénéficiaire.</w:t>
      </w:r>
    </w:p>
    <w:p w14:paraId="11EFA01E" w14:textId="30DE4E54" w:rsidR="003C2333" w:rsidRPr="004E58CA" w:rsidRDefault="003C2333" w:rsidP="004E58CA">
      <w:pPr>
        <w:spacing w:after="0" w:line="240" w:lineRule="auto"/>
        <w:jc w:val="both"/>
      </w:pPr>
    </w:p>
    <w:p w14:paraId="13BBB9B8" w14:textId="77777777" w:rsidR="00020CC9" w:rsidRDefault="00020CC9" w:rsidP="00AF35E9">
      <w:pPr>
        <w:spacing w:after="0" w:line="240" w:lineRule="auto"/>
        <w:rPr>
          <w:rFonts w:ascii="Calibri" w:eastAsia="Times New Roman" w:hAnsi="Calibri" w:cs="Calibri"/>
          <w:b/>
          <w:lang w:eastAsia="fr-FR"/>
        </w:rPr>
      </w:pPr>
    </w:p>
    <w:p w14:paraId="23D08A28"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5B6FC587" w14:textId="77777777" w:rsidR="003C2333" w:rsidRDefault="003C2333" w:rsidP="00AF35E9">
      <w:pPr>
        <w:spacing w:after="0" w:line="240" w:lineRule="auto"/>
        <w:rPr>
          <w:rFonts w:ascii="Calibri" w:eastAsia="Times New Roman" w:hAnsi="Calibri" w:cs="Calibri"/>
          <w:b/>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80" w:firstRow="0" w:lastRow="0" w:firstColumn="1" w:lastColumn="0" w:noHBand="0" w:noVBand="1"/>
      </w:tblPr>
      <w:tblGrid>
        <w:gridCol w:w="2835"/>
        <w:gridCol w:w="2694"/>
        <w:gridCol w:w="1417"/>
        <w:gridCol w:w="992"/>
        <w:gridCol w:w="1134"/>
      </w:tblGrid>
      <w:tr w:rsidR="00FD2BD5" w:rsidRPr="001E4FC4" w14:paraId="6ECF6528" w14:textId="77777777" w:rsidTr="0068417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35" w:type="dxa"/>
            <w:tcBorders>
              <w:top w:val="single" w:sz="18" w:space="0" w:color="5B9BD5" w:themeColor="accent1"/>
              <w:bottom w:val="single" w:sz="18" w:space="0" w:color="5B9BD5" w:themeColor="accent1"/>
            </w:tcBorders>
            <w:noWrap/>
          </w:tcPr>
          <w:p w14:paraId="0C202772" w14:textId="77777777" w:rsidR="00FD2BD5" w:rsidRPr="00555289" w:rsidRDefault="00FD2BD5" w:rsidP="00FD2BD5">
            <w:pPr>
              <w:rPr>
                <w:rFonts w:ascii="Calibri" w:eastAsia="Times New Roman" w:hAnsi="Calibri" w:cs="Calibri"/>
                <w:i/>
                <w:sz w:val="18"/>
                <w:szCs w:val="18"/>
                <w:lang w:eastAsia="fr-FR"/>
              </w:rPr>
            </w:pPr>
          </w:p>
        </w:tc>
        <w:tc>
          <w:tcPr>
            <w:tcW w:w="2694" w:type="dxa"/>
            <w:tcBorders>
              <w:top w:val="single" w:sz="18" w:space="0" w:color="5B9BD5" w:themeColor="accent1"/>
              <w:bottom w:val="single" w:sz="18" w:space="0" w:color="5B9BD5" w:themeColor="accent1"/>
            </w:tcBorders>
          </w:tcPr>
          <w:p w14:paraId="4895FADC" w14:textId="77777777" w:rsidR="00FD2BD5" w:rsidRDefault="00FD2BD5" w:rsidP="00FD2BD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417"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3CC59779" w14:textId="38DFA0B4" w:rsidR="00FD2BD5" w:rsidRDefault="004E68CF" w:rsidP="00FD2BD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Pr>
                <w:rFonts w:cstheme="minorHAnsi"/>
                <w:sz w:val="14"/>
                <w:szCs w:val="18"/>
              </w:rPr>
              <w:t>Pays du PSP du payeur</w:t>
            </w:r>
          </w:p>
        </w:tc>
        <w:tc>
          <w:tcPr>
            <w:tcW w:w="992"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0350D6BA" w14:textId="6A87D008" w:rsidR="00FD2BD5" w:rsidRDefault="00FD2BD5" w:rsidP="00FD2BD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Pr>
                <w:rFonts w:cstheme="minorHAnsi"/>
                <w:sz w:val="14"/>
                <w:szCs w:val="18"/>
              </w:rPr>
              <w:t>Volume en unités</w:t>
            </w:r>
          </w:p>
        </w:tc>
        <w:tc>
          <w:tcPr>
            <w:tcW w:w="113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7744C474" w14:textId="77777777" w:rsidR="00FD2BD5" w:rsidRDefault="00FD2BD5" w:rsidP="00FD2BD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b/>
                <w:bCs/>
                <w:sz w:val="14"/>
                <w:szCs w:val="18"/>
              </w:rPr>
            </w:pPr>
            <w:r>
              <w:rPr>
                <w:rFonts w:cstheme="minorHAnsi"/>
                <w:sz w:val="14"/>
                <w:szCs w:val="18"/>
              </w:rPr>
              <w:t>Valeur en</w:t>
            </w:r>
          </w:p>
          <w:p w14:paraId="4F4A41E9" w14:textId="24319885" w:rsidR="00FD2BD5" w:rsidRDefault="00FD2BD5" w:rsidP="00FD2BD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roofErr w:type="gramStart"/>
            <w:r>
              <w:rPr>
                <w:rFonts w:cstheme="minorHAnsi"/>
                <w:sz w:val="14"/>
                <w:szCs w:val="18"/>
              </w:rPr>
              <w:t>euros</w:t>
            </w:r>
            <w:proofErr w:type="gramEnd"/>
          </w:p>
        </w:tc>
      </w:tr>
      <w:tr w:rsidR="00FD2BD5" w:rsidRPr="001E4FC4" w14:paraId="5BA2C5D8" w14:textId="6E30E46B" w:rsidTr="0068417B">
        <w:trPr>
          <w:trHeight w:val="315"/>
        </w:trPr>
        <w:tc>
          <w:tcPr>
            <w:cnfStyle w:val="001000000000" w:firstRow="0" w:lastRow="0" w:firstColumn="1" w:lastColumn="0" w:oddVBand="0" w:evenVBand="0" w:oddHBand="0" w:evenHBand="0" w:firstRowFirstColumn="0" w:firstRowLastColumn="0" w:lastRowFirstColumn="0" w:lastRowLastColumn="0"/>
            <w:tcW w:w="2835" w:type="dxa"/>
            <w:tcBorders>
              <w:top w:val="single" w:sz="18" w:space="0" w:color="5B9BD5" w:themeColor="accent1"/>
              <w:bottom w:val="single" w:sz="18" w:space="0" w:color="5B9BD5" w:themeColor="accent1"/>
            </w:tcBorders>
            <w:noWrap/>
          </w:tcPr>
          <w:p w14:paraId="233E6CEA" w14:textId="7AE000D0" w:rsidR="00FD2BD5" w:rsidRPr="00FD2BD5" w:rsidRDefault="00FD2BD5">
            <w:pPr>
              <w:rPr>
                <w:rFonts w:ascii="Calibri" w:eastAsia="Times New Roman" w:hAnsi="Calibri" w:cs="Calibri"/>
                <w:i/>
                <w:sz w:val="18"/>
                <w:szCs w:val="18"/>
                <w:lang w:eastAsia="fr-FR"/>
              </w:rPr>
            </w:pPr>
            <w:r w:rsidRPr="00FD2BD5">
              <w:rPr>
                <w:rFonts w:ascii="Calibri" w:eastAsia="Times New Roman" w:hAnsi="Calibri" w:cs="Calibri"/>
                <w:i/>
                <w:sz w:val="18"/>
                <w:szCs w:val="18"/>
                <w:lang w:eastAsia="fr-FR"/>
              </w:rPr>
              <w:t>Virements reçus par l’établissement</w:t>
            </w:r>
          </w:p>
        </w:tc>
        <w:tc>
          <w:tcPr>
            <w:tcW w:w="2694" w:type="dxa"/>
            <w:tcBorders>
              <w:top w:val="single" w:sz="18" w:space="0" w:color="5B9BD5" w:themeColor="accent1"/>
              <w:bottom w:val="single" w:sz="18" w:space="0" w:color="5B9BD5" w:themeColor="accent1"/>
            </w:tcBorders>
          </w:tcPr>
          <w:p w14:paraId="4B621B4C" w14:textId="293071A4" w:rsidR="00FD2BD5" w:rsidRPr="00FD2BD5" w:rsidRDefault="00FD2BD5" w:rsidP="00E90F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FD2BD5">
              <w:rPr>
                <w:rFonts w:ascii="Calibri" w:eastAsia="Times New Roman" w:hAnsi="Calibri" w:cs="Calibri"/>
                <w:sz w:val="18"/>
                <w:szCs w:val="18"/>
                <w:lang w:eastAsia="fr-FR"/>
              </w:rPr>
              <w:t>Virements reçus quels que soient le canal d’initiation et système d’échange.</w:t>
            </w:r>
          </w:p>
          <w:p w14:paraId="2CE5079A" w14:textId="01C61E55" w:rsidR="00FD2BD5" w:rsidRPr="00FD2BD5" w:rsidRDefault="00FD2BD5" w:rsidP="00030F1C">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20"/>
                <w:szCs w:val="20"/>
                <w:lang w:eastAsia="fr-FR"/>
              </w:rPr>
            </w:pPr>
          </w:p>
        </w:tc>
        <w:tc>
          <w:tcPr>
            <w:tcW w:w="1417" w:type="dxa"/>
            <w:tcBorders>
              <w:top w:val="single" w:sz="18" w:space="0" w:color="5B9BD5" w:themeColor="accent1"/>
              <w:bottom w:val="single" w:sz="18" w:space="0" w:color="5B9BD5" w:themeColor="accent1"/>
            </w:tcBorders>
          </w:tcPr>
          <w:p w14:paraId="1D5C603B" w14:textId="3CB2C966" w:rsidR="00FD2BD5" w:rsidRDefault="004E68CF" w:rsidP="0032344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r>
              <w:rPr>
                <w:rFonts w:cstheme="minorHAnsi"/>
                <w:sz w:val="14"/>
                <w:szCs w:val="18"/>
              </w:rPr>
              <w:t>Selon ventilation géographique en section 5</w:t>
            </w:r>
            <w:r w:rsidR="002262D6">
              <w:rPr>
                <w:rFonts w:cstheme="minorHAnsi"/>
                <w:sz w:val="14"/>
                <w:szCs w:val="18"/>
              </w:rPr>
              <w:t>.1</w:t>
            </w:r>
          </w:p>
        </w:tc>
        <w:tc>
          <w:tcPr>
            <w:tcW w:w="992" w:type="dxa"/>
            <w:tcBorders>
              <w:top w:val="single" w:sz="18" w:space="0" w:color="5B9BD5" w:themeColor="accent1"/>
              <w:bottom w:val="single" w:sz="18" w:space="0" w:color="5B9BD5" w:themeColor="accent1"/>
            </w:tcBorders>
          </w:tcPr>
          <w:p w14:paraId="11154A1A" w14:textId="77777777" w:rsidR="00FD2BD5" w:rsidRDefault="00FD2BD5" w:rsidP="00E90F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c>
          <w:tcPr>
            <w:tcW w:w="1134" w:type="dxa"/>
            <w:tcBorders>
              <w:top w:val="single" w:sz="18" w:space="0" w:color="5B9BD5" w:themeColor="accent1"/>
              <w:bottom w:val="single" w:sz="18" w:space="0" w:color="5B9BD5" w:themeColor="accent1"/>
            </w:tcBorders>
          </w:tcPr>
          <w:p w14:paraId="64B7D3B5" w14:textId="77777777" w:rsidR="00FD2BD5" w:rsidRDefault="00FD2BD5" w:rsidP="00E90F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r>
    </w:tbl>
    <w:p w14:paraId="0C966A82" w14:textId="77777777" w:rsidR="00433BE2" w:rsidRDefault="00433BE2" w:rsidP="00433BE2">
      <w:pPr>
        <w:pStyle w:val="Paragraphedeliste"/>
        <w:autoSpaceDE w:val="0"/>
        <w:autoSpaceDN w:val="0"/>
        <w:adjustRightInd w:val="0"/>
        <w:spacing w:after="0" w:line="240" w:lineRule="auto"/>
        <w:jc w:val="both"/>
        <w:rPr>
          <w:rFonts w:cstheme="minorHAnsi"/>
        </w:rPr>
      </w:pPr>
    </w:p>
    <w:p w14:paraId="18D52311" w14:textId="77777777" w:rsidR="00A51F0E" w:rsidRDefault="00A51F0E" w:rsidP="004E58CA">
      <w:pPr>
        <w:spacing w:after="0" w:line="240" w:lineRule="auto"/>
        <w:jc w:val="both"/>
        <w:rPr>
          <w:rFonts w:ascii="Calibri" w:hAnsi="Calibri"/>
          <w:b/>
          <w:smallCaps/>
          <w:color w:val="2E74B5" w:themeColor="accent1" w:themeShade="BF"/>
          <w:sz w:val="24"/>
        </w:rPr>
      </w:pPr>
    </w:p>
    <w:p w14:paraId="0180AB50" w14:textId="41375557" w:rsidR="00433BE2" w:rsidRPr="004E58CA" w:rsidRDefault="00433BE2"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4038C460" w14:textId="5AA6C591" w:rsidR="00433BE2" w:rsidRPr="001C08FB" w:rsidRDefault="00433BE2" w:rsidP="00433BE2">
      <w:pPr>
        <w:pStyle w:val="Paragraphedeliste"/>
        <w:autoSpaceDE w:val="0"/>
        <w:autoSpaceDN w:val="0"/>
        <w:adjustRightInd w:val="0"/>
        <w:spacing w:after="0" w:line="240" w:lineRule="auto"/>
        <w:jc w:val="both"/>
        <w:rPr>
          <w:rFonts w:cstheme="minorHAnsi"/>
        </w:rPr>
      </w:pPr>
    </w:p>
    <w:p w14:paraId="4AF63FBD" w14:textId="7EB85BFE" w:rsidR="001C08FB" w:rsidRPr="00D432DB" w:rsidRDefault="001C08FB" w:rsidP="00D432DB">
      <w:pPr>
        <w:autoSpaceDE w:val="0"/>
        <w:autoSpaceDN w:val="0"/>
        <w:adjustRightInd w:val="0"/>
        <w:spacing w:after="0" w:line="240" w:lineRule="auto"/>
        <w:jc w:val="both"/>
        <w:rPr>
          <w:rFonts w:cstheme="minorHAnsi"/>
        </w:rPr>
      </w:pPr>
      <w:r w:rsidRPr="00D432DB">
        <w:rPr>
          <w:rFonts w:cstheme="minorHAnsi"/>
        </w:rPr>
        <w:t>Les règles de contrôle suivantes doivent être app</w:t>
      </w:r>
      <w:r w:rsidR="00DA1236">
        <w:rPr>
          <w:rFonts w:cstheme="minorHAnsi"/>
        </w:rPr>
        <w:t>liquées en nombre et en valeur.</w:t>
      </w:r>
    </w:p>
    <w:p w14:paraId="408B3B3F" w14:textId="77777777" w:rsidR="001C08FB" w:rsidRDefault="001C08FB" w:rsidP="00433BE2">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222618" w:rsidRPr="00191426" w14:paraId="1AA320F2" w14:textId="77777777" w:rsidTr="004E68CF">
        <w:tc>
          <w:tcPr>
            <w:tcW w:w="9054" w:type="dxa"/>
          </w:tcPr>
          <w:p w14:paraId="5CD26613" w14:textId="50A2B18C" w:rsidR="00222618" w:rsidRPr="004E58CA" w:rsidRDefault="00222618" w:rsidP="00222618">
            <w:pPr>
              <w:pStyle w:val="Paragraphedeliste"/>
              <w:autoSpaceDE w:val="0"/>
              <w:autoSpaceDN w:val="0"/>
              <w:adjustRightInd w:val="0"/>
              <w:ind w:left="0"/>
              <w:jc w:val="both"/>
              <w:rPr>
                <w:sz w:val="18"/>
              </w:rPr>
            </w:pPr>
            <w:r>
              <w:rPr>
                <w:rFonts w:cstheme="minorHAnsi"/>
                <w:sz w:val="18"/>
                <w:szCs w:val="18"/>
              </w:rPr>
              <w:t>Le total des virements</w:t>
            </w:r>
            <w:r w:rsidR="00C2026C">
              <w:rPr>
                <w:rFonts w:cstheme="minorHAnsi"/>
                <w:sz w:val="18"/>
                <w:szCs w:val="18"/>
              </w:rPr>
              <w:t xml:space="preserve"> reçus</w:t>
            </w:r>
            <w:r>
              <w:rPr>
                <w:rFonts w:cstheme="minorHAnsi"/>
                <w:sz w:val="18"/>
                <w:szCs w:val="18"/>
              </w:rPr>
              <w:t xml:space="preserve"> est = à la somme des trois sous-ventilations géographiques associées (France, au sein de l’EEE et </w:t>
            </w:r>
            <w:r w:rsidRPr="000945DD">
              <w:rPr>
                <w:rFonts w:cstheme="minorHAnsi"/>
                <w:sz w:val="18"/>
                <w:szCs w:val="18"/>
              </w:rPr>
              <w:t>hors de l’EEE</w:t>
            </w:r>
            <w:r w:rsidR="00966CA6">
              <w:rPr>
                <w:rFonts w:cstheme="minorHAnsi"/>
                <w:sz w:val="18"/>
                <w:szCs w:val="18"/>
              </w:rPr>
              <w:t>)</w:t>
            </w:r>
            <w:r w:rsidRPr="000945DD">
              <w:rPr>
                <w:rFonts w:cstheme="minorHAnsi"/>
                <w:sz w:val="18"/>
                <w:szCs w:val="18"/>
              </w:rPr>
              <w:t>.</w:t>
            </w:r>
          </w:p>
        </w:tc>
      </w:tr>
      <w:tr w:rsidR="00222618" w:rsidRPr="004E58CA" w14:paraId="6B46871C" w14:textId="77777777" w:rsidTr="004E68CF">
        <w:tc>
          <w:tcPr>
            <w:tcW w:w="9054" w:type="dxa"/>
          </w:tcPr>
          <w:p w14:paraId="50912508" w14:textId="4E16326D" w:rsidR="00222618" w:rsidRDefault="00222618" w:rsidP="00222618">
            <w:pPr>
              <w:pStyle w:val="Paragraphedeliste"/>
              <w:autoSpaceDE w:val="0"/>
              <w:autoSpaceDN w:val="0"/>
              <w:adjustRightInd w:val="0"/>
              <w:ind w:left="0"/>
              <w:jc w:val="both"/>
              <w:rPr>
                <w:rFonts w:cstheme="minorHAnsi"/>
                <w:sz w:val="18"/>
                <w:szCs w:val="18"/>
              </w:rPr>
            </w:pPr>
            <w:r>
              <w:rPr>
                <w:rFonts w:cstheme="minorHAnsi"/>
                <w:sz w:val="18"/>
                <w:szCs w:val="18"/>
              </w:rPr>
              <w:t>Le total des virements</w:t>
            </w:r>
            <w:r w:rsidR="00C2026C">
              <w:rPr>
                <w:rFonts w:cstheme="minorHAnsi"/>
                <w:sz w:val="18"/>
                <w:szCs w:val="18"/>
              </w:rPr>
              <w:t xml:space="preserve"> reçus</w:t>
            </w:r>
            <w:r>
              <w:rPr>
                <w:rFonts w:cstheme="minorHAnsi"/>
                <w:sz w:val="18"/>
                <w:szCs w:val="18"/>
              </w:rPr>
              <w:t xml:space="preserve"> « au sein de la zone de l’EEE » est = à la somme de la ventilation par pays de l’EEE.</w:t>
            </w:r>
          </w:p>
        </w:tc>
      </w:tr>
    </w:tbl>
    <w:p w14:paraId="2E2B8B4C" w14:textId="0E89A674" w:rsidR="00433BE2" w:rsidRDefault="00433BE2" w:rsidP="00433BE2">
      <w:pPr>
        <w:pStyle w:val="Paragraphedeliste"/>
        <w:autoSpaceDE w:val="0"/>
        <w:autoSpaceDN w:val="0"/>
        <w:adjustRightInd w:val="0"/>
        <w:spacing w:after="0" w:line="240" w:lineRule="auto"/>
        <w:jc w:val="both"/>
        <w:rPr>
          <w:rFonts w:cstheme="minorHAnsi"/>
        </w:rPr>
      </w:pPr>
    </w:p>
    <w:p w14:paraId="51C361AB" w14:textId="77777777" w:rsidR="00E06F9C" w:rsidRDefault="00E06F9C" w:rsidP="00433BE2">
      <w:pPr>
        <w:pStyle w:val="Paragraphedeliste"/>
        <w:autoSpaceDE w:val="0"/>
        <w:autoSpaceDN w:val="0"/>
        <w:adjustRightInd w:val="0"/>
        <w:spacing w:after="0" w:line="240" w:lineRule="auto"/>
        <w:jc w:val="both"/>
        <w:rPr>
          <w:rFonts w:cstheme="minorHAnsi"/>
        </w:rPr>
      </w:pPr>
    </w:p>
    <w:p w14:paraId="12EAE754" w14:textId="75DB67C2" w:rsidR="00E755BB" w:rsidRPr="0096058A" w:rsidRDefault="00E755BB" w:rsidP="007718A3">
      <w:pPr>
        <w:pStyle w:val="Titre3"/>
        <w:numPr>
          <w:ilvl w:val="2"/>
          <w:numId w:val="38"/>
        </w:numPr>
        <w:jc w:val="both"/>
      </w:pPr>
      <w:bookmarkStart w:id="53" w:name="_Toc222476883"/>
      <w:r w:rsidRPr="0096058A">
        <w:t>Commentaires sur les virements</w:t>
      </w:r>
      <w:bookmarkEnd w:id="53"/>
    </w:p>
    <w:p w14:paraId="7785352E" w14:textId="77777777" w:rsidR="00E755BB" w:rsidRDefault="00E755BB" w:rsidP="00AF35E9">
      <w:pPr>
        <w:spacing w:after="0" w:line="240" w:lineRule="auto"/>
        <w:rPr>
          <w:rFonts w:ascii="Calibri" w:eastAsia="Times New Roman" w:hAnsi="Calibri" w:cs="Calibri"/>
          <w:b/>
          <w:lang w:eastAsia="fr-FR"/>
        </w:rPr>
      </w:pPr>
    </w:p>
    <w:p w14:paraId="4C56289C"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58CB446F" w14:textId="5246DE85" w:rsidR="00E755BB" w:rsidRDefault="00E755BB" w:rsidP="00AF35E9">
      <w:pPr>
        <w:spacing w:after="0" w:line="240" w:lineRule="auto"/>
        <w:rPr>
          <w:rFonts w:ascii="Calibri" w:eastAsia="Times New Roman" w:hAnsi="Calibri" w:cs="Calibri"/>
          <w:b/>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32"/>
        <w:gridCol w:w="4940"/>
      </w:tblGrid>
      <w:tr w:rsidR="00323441" w:rsidRPr="001E4FC4" w14:paraId="39F162CD" w14:textId="77777777" w:rsidTr="00867A1D">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132" w:type="dxa"/>
            <w:tcBorders>
              <w:bottom w:val="none" w:sz="0" w:space="0" w:color="auto"/>
            </w:tcBorders>
            <w:noWrap/>
            <w:hideMark/>
          </w:tcPr>
          <w:p w14:paraId="13D55F5D" w14:textId="77777777" w:rsidR="00323441" w:rsidRDefault="00323441" w:rsidP="00252B59">
            <w:pPr>
              <w:rPr>
                <w:rFonts w:ascii="Calibri" w:eastAsia="Times New Roman" w:hAnsi="Calibri" w:cs="Calibri"/>
                <w:i/>
                <w:sz w:val="20"/>
                <w:szCs w:val="20"/>
                <w:lang w:eastAsia="fr-FR"/>
              </w:rPr>
            </w:pPr>
          </w:p>
          <w:p w14:paraId="62A0AA03" w14:textId="2CCA03C6" w:rsidR="00323441" w:rsidRPr="00555289" w:rsidRDefault="00323441" w:rsidP="00252B59">
            <w:pPr>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Commentaires sur l'activité virements</w:t>
            </w:r>
          </w:p>
          <w:p w14:paraId="64D07CB0" w14:textId="7BB82642" w:rsidR="00323441" w:rsidRPr="001E4FC4" w:rsidRDefault="00323441" w:rsidP="00252B59">
            <w:pPr>
              <w:rPr>
                <w:rFonts w:ascii="Calibri" w:eastAsia="Times New Roman" w:hAnsi="Calibri" w:cs="Calibri"/>
                <w:i/>
                <w:sz w:val="20"/>
                <w:szCs w:val="20"/>
                <w:lang w:eastAsia="fr-FR"/>
              </w:rPr>
            </w:pPr>
          </w:p>
        </w:tc>
        <w:tc>
          <w:tcPr>
            <w:tcW w:w="4940" w:type="dxa"/>
            <w:tcBorders>
              <w:bottom w:val="none" w:sz="0" w:space="0" w:color="auto"/>
            </w:tcBorders>
          </w:tcPr>
          <w:p w14:paraId="65063378" w14:textId="18F87844" w:rsidR="00323441" w:rsidRPr="00555289" w:rsidRDefault="00323441" w:rsidP="00252B5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03D38636" w14:textId="77777777" w:rsidR="00E755BB" w:rsidRDefault="00E755BB" w:rsidP="00AF35E9">
      <w:pPr>
        <w:spacing w:after="0" w:line="240" w:lineRule="auto"/>
        <w:rPr>
          <w:rFonts w:ascii="Calibri" w:eastAsia="Times New Roman" w:hAnsi="Calibri" w:cs="Calibri"/>
          <w:b/>
          <w:lang w:eastAsia="fr-FR"/>
        </w:rPr>
      </w:pPr>
    </w:p>
    <w:p w14:paraId="4EA7B62E" w14:textId="0589FC2F" w:rsidR="00AF35E9" w:rsidRPr="0096058A" w:rsidRDefault="00AF35E9" w:rsidP="007718A3">
      <w:pPr>
        <w:pStyle w:val="Titre2"/>
        <w:numPr>
          <w:ilvl w:val="1"/>
          <w:numId w:val="38"/>
        </w:numPr>
      </w:pPr>
      <w:bookmarkStart w:id="54" w:name="_Toc222476884"/>
      <w:r w:rsidRPr="0096058A">
        <w:t>Prélèvement</w:t>
      </w:r>
      <w:r w:rsidR="00110993" w:rsidRPr="0096058A">
        <w:t>s</w:t>
      </w:r>
      <w:bookmarkEnd w:id="54"/>
    </w:p>
    <w:p w14:paraId="67889049" w14:textId="7D143149" w:rsidR="0089190D" w:rsidRDefault="0089190D" w:rsidP="00AF35E9">
      <w:pPr>
        <w:spacing w:after="0" w:line="240" w:lineRule="auto"/>
        <w:rPr>
          <w:rFonts w:ascii="Calibri" w:eastAsia="Times New Roman" w:hAnsi="Calibri" w:cs="Calibri"/>
          <w:b/>
          <w:smallCaps/>
          <w:sz w:val="24"/>
          <w:szCs w:val="24"/>
          <w:lang w:eastAsia="fr-FR"/>
        </w:rPr>
      </w:pPr>
    </w:p>
    <w:p w14:paraId="4B267754" w14:textId="05F446FA" w:rsidR="0089190D" w:rsidRDefault="0089190D" w:rsidP="004004A6">
      <w:pPr>
        <w:jc w:val="both"/>
        <w:rPr>
          <w:rFonts w:cstheme="minorHAnsi"/>
        </w:rPr>
      </w:pPr>
      <w:r>
        <w:rPr>
          <w:rFonts w:cstheme="minorHAnsi"/>
        </w:rPr>
        <w:t>I</w:t>
      </w:r>
      <w:r w:rsidRPr="006A1B3D">
        <w:rPr>
          <w:rFonts w:cstheme="minorHAnsi"/>
        </w:rPr>
        <w:t>l s’</w:t>
      </w:r>
      <w:r>
        <w:rPr>
          <w:rFonts w:cstheme="minorHAnsi"/>
        </w:rPr>
        <w:t xml:space="preserve">agit de déclarer, en volume et valeur, les prélèvements </w:t>
      </w:r>
      <w:r w:rsidR="004004A6">
        <w:rPr>
          <w:rFonts w:cstheme="minorHAnsi"/>
        </w:rPr>
        <w:t xml:space="preserve">au format européen SEPA (SEPA direct </w:t>
      </w:r>
      <w:proofErr w:type="spellStart"/>
      <w:r w:rsidR="004004A6">
        <w:rPr>
          <w:rFonts w:cstheme="minorHAnsi"/>
        </w:rPr>
        <w:t>debit</w:t>
      </w:r>
      <w:proofErr w:type="spellEnd"/>
      <w:r w:rsidR="004004A6">
        <w:rPr>
          <w:rFonts w:cstheme="minorHAnsi"/>
        </w:rPr>
        <w:t xml:space="preserve">) émis et reçus par l’établissement </w:t>
      </w:r>
      <w:r>
        <w:rPr>
          <w:rFonts w:cstheme="minorHAnsi"/>
        </w:rPr>
        <w:t xml:space="preserve">pour le compte de la clientèle (particuliers, professionnels, entreprises). </w:t>
      </w:r>
    </w:p>
    <w:p w14:paraId="5A850BD2" w14:textId="5221D20C" w:rsidR="0089190D" w:rsidRPr="006D2167" w:rsidRDefault="006D2167" w:rsidP="00D7057C">
      <w:pPr>
        <w:jc w:val="both"/>
        <w:rPr>
          <w:rFonts w:cstheme="minorHAnsi"/>
          <w:u w:val="single"/>
        </w:rPr>
      </w:pPr>
      <w:r w:rsidRPr="006D2167">
        <w:rPr>
          <w:rFonts w:cstheme="minorHAnsi"/>
          <w:u w:val="single"/>
        </w:rPr>
        <w:t>Remarques</w:t>
      </w:r>
      <w:r w:rsidRPr="00A675AF">
        <w:rPr>
          <w:rFonts w:cstheme="minorHAnsi"/>
        </w:rPr>
        <w:t> :</w:t>
      </w:r>
    </w:p>
    <w:p w14:paraId="076E5BD7" w14:textId="50577C4B" w:rsidR="006D2167" w:rsidRDefault="00E90FAD" w:rsidP="00D7057C">
      <w:pPr>
        <w:pStyle w:val="Paragraphedeliste"/>
        <w:numPr>
          <w:ilvl w:val="0"/>
          <w:numId w:val="3"/>
        </w:numPr>
        <w:jc w:val="both"/>
        <w:rPr>
          <w:rFonts w:cstheme="minorHAnsi"/>
        </w:rPr>
      </w:pPr>
      <w:r>
        <w:rPr>
          <w:rFonts w:cstheme="minorHAnsi"/>
        </w:rPr>
        <w:lastRenderedPageBreak/>
        <w:t>I</w:t>
      </w:r>
      <w:r w:rsidR="006D2167">
        <w:rPr>
          <w:rFonts w:cstheme="minorHAnsi"/>
        </w:rPr>
        <w:t>nclu</w:t>
      </w:r>
      <w:r w:rsidR="00FB1B54">
        <w:rPr>
          <w:rFonts w:cstheme="minorHAnsi"/>
        </w:rPr>
        <w:t>s</w:t>
      </w:r>
      <w:r w:rsidR="006D2167">
        <w:rPr>
          <w:rFonts w:cstheme="minorHAnsi"/>
        </w:rPr>
        <w:t> :</w:t>
      </w:r>
    </w:p>
    <w:p w14:paraId="12724E2D" w14:textId="7EB1D612" w:rsidR="004004A6" w:rsidRDefault="004004A6" w:rsidP="00D7057C">
      <w:pPr>
        <w:pStyle w:val="Paragraphedeliste"/>
        <w:numPr>
          <w:ilvl w:val="1"/>
          <w:numId w:val="3"/>
        </w:numPr>
        <w:jc w:val="both"/>
        <w:rPr>
          <w:rFonts w:cstheme="minorHAnsi"/>
        </w:rPr>
      </w:pPr>
      <w:r>
        <w:rPr>
          <w:rFonts w:cstheme="minorHAnsi"/>
        </w:rPr>
        <w:t xml:space="preserve">Les </w:t>
      </w:r>
      <w:r w:rsidR="0089190D" w:rsidRPr="0089190D">
        <w:rPr>
          <w:rFonts w:cstheme="minorHAnsi"/>
        </w:rPr>
        <w:t>prélèvements ponctuels</w:t>
      </w:r>
      <w:r>
        <w:rPr>
          <w:rFonts w:cstheme="minorHAnsi"/>
        </w:rPr>
        <w:t> ;</w:t>
      </w:r>
    </w:p>
    <w:p w14:paraId="3D17E59F" w14:textId="2656C8A4" w:rsidR="0089190D" w:rsidRDefault="004004A6" w:rsidP="00D7057C">
      <w:pPr>
        <w:pStyle w:val="Paragraphedeliste"/>
        <w:numPr>
          <w:ilvl w:val="1"/>
          <w:numId w:val="3"/>
        </w:numPr>
        <w:jc w:val="both"/>
        <w:rPr>
          <w:rFonts w:cstheme="minorHAnsi"/>
        </w:rPr>
      </w:pPr>
      <w:r w:rsidRPr="004004A6">
        <w:rPr>
          <w:rFonts w:cstheme="minorHAnsi"/>
        </w:rPr>
        <w:t>Les prélèvements périodiques, chaque pai</w:t>
      </w:r>
      <w:r>
        <w:rPr>
          <w:rFonts w:cstheme="minorHAnsi"/>
        </w:rPr>
        <w:t xml:space="preserve">ement </w:t>
      </w:r>
      <w:r w:rsidR="00FF0604">
        <w:rPr>
          <w:rFonts w:cstheme="minorHAnsi"/>
        </w:rPr>
        <w:t xml:space="preserve">comptant </w:t>
      </w:r>
      <w:r>
        <w:rPr>
          <w:rFonts w:cstheme="minorHAnsi"/>
        </w:rPr>
        <w:t xml:space="preserve">pour une </w:t>
      </w:r>
      <w:r w:rsidR="00554E7C">
        <w:rPr>
          <w:rFonts w:cstheme="minorHAnsi"/>
        </w:rPr>
        <w:t>transaction</w:t>
      </w:r>
      <w:r>
        <w:rPr>
          <w:rFonts w:cstheme="minorHAnsi"/>
        </w:rPr>
        <w:t> ;</w:t>
      </w:r>
    </w:p>
    <w:p w14:paraId="141315B3" w14:textId="77777777" w:rsidR="00296997" w:rsidRDefault="004004A6" w:rsidP="00FF0604">
      <w:pPr>
        <w:pStyle w:val="Paragraphedeliste"/>
        <w:numPr>
          <w:ilvl w:val="1"/>
          <w:numId w:val="3"/>
        </w:numPr>
        <w:spacing w:after="0" w:line="280" w:lineRule="exact"/>
        <w:jc w:val="both"/>
        <w:rPr>
          <w:rFonts w:cstheme="minorHAnsi"/>
        </w:rPr>
      </w:pPr>
      <w:r w:rsidRPr="00E36CC3">
        <w:rPr>
          <w:rFonts w:cstheme="minorHAnsi"/>
        </w:rPr>
        <w:t>Les frais prélevés sur les comptes des employés de l’établissement déclarant (ex : services sociaux) sont à déclarer dans cette section même lorsque le compte débité est tenu sur les livres de l’établissement déclarant</w:t>
      </w:r>
      <w:r w:rsidR="00296997">
        <w:rPr>
          <w:rFonts w:cstheme="minorHAnsi"/>
        </w:rPr>
        <w:t> ;</w:t>
      </w:r>
    </w:p>
    <w:p w14:paraId="10C4D989" w14:textId="79B7D302" w:rsidR="004004A6" w:rsidRPr="00296997" w:rsidRDefault="00296997" w:rsidP="00F12806">
      <w:pPr>
        <w:pStyle w:val="Paragraphedeliste"/>
        <w:numPr>
          <w:ilvl w:val="1"/>
          <w:numId w:val="3"/>
        </w:numPr>
        <w:jc w:val="both"/>
        <w:rPr>
          <w:rFonts w:cstheme="minorHAnsi"/>
        </w:rPr>
      </w:pPr>
      <w:r>
        <w:rPr>
          <w:rFonts w:cstheme="minorHAnsi"/>
        </w:rPr>
        <w:t xml:space="preserve">Les prélèvements </w:t>
      </w:r>
      <w:proofErr w:type="spellStart"/>
      <w:r>
        <w:rPr>
          <w:rFonts w:cstheme="minorHAnsi"/>
        </w:rPr>
        <w:t>intrabancaires</w:t>
      </w:r>
      <w:proofErr w:type="spellEnd"/>
      <w:r>
        <w:rPr>
          <w:rFonts w:cstheme="minorHAnsi"/>
        </w:rPr>
        <w:t xml:space="preserve"> (c.-à-d. au sein de votre établissement) doivent être déclarés à la fois dans les rubriques « Prélèvements émis » et « Prélèvements reçus ».</w:t>
      </w:r>
    </w:p>
    <w:p w14:paraId="59A4862B" w14:textId="51C94069" w:rsidR="00A65ACC" w:rsidRDefault="00A65ACC">
      <w:pPr>
        <w:pStyle w:val="Paragraphedeliste"/>
        <w:spacing w:after="0" w:line="280" w:lineRule="exact"/>
        <w:ind w:left="1440"/>
        <w:jc w:val="both"/>
        <w:rPr>
          <w:rFonts w:cstheme="minorHAnsi"/>
        </w:rPr>
      </w:pPr>
    </w:p>
    <w:p w14:paraId="30B8DE60" w14:textId="77777777" w:rsidR="005341AA" w:rsidRDefault="005341AA">
      <w:pPr>
        <w:pStyle w:val="Paragraphedeliste"/>
        <w:spacing w:after="0" w:line="280" w:lineRule="exact"/>
        <w:ind w:left="1440"/>
        <w:jc w:val="both"/>
        <w:rPr>
          <w:rFonts w:cstheme="minorHAnsi"/>
        </w:rPr>
      </w:pPr>
    </w:p>
    <w:p w14:paraId="40BDDC1F" w14:textId="0F45242F" w:rsidR="00004ABC" w:rsidRDefault="00542039" w:rsidP="00D7057C">
      <w:pPr>
        <w:pStyle w:val="Paragraphedeliste"/>
        <w:numPr>
          <w:ilvl w:val="0"/>
          <w:numId w:val="3"/>
        </w:numPr>
        <w:jc w:val="both"/>
        <w:rPr>
          <w:rFonts w:cstheme="minorHAnsi"/>
        </w:rPr>
      </w:pPr>
      <w:r>
        <w:rPr>
          <w:rFonts w:cstheme="minorHAnsi"/>
        </w:rPr>
        <w:t>Exclu</w:t>
      </w:r>
      <w:r w:rsidR="00FB1B54">
        <w:rPr>
          <w:rFonts w:cstheme="minorHAnsi"/>
        </w:rPr>
        <w:t>s</w:t>
      </w:r>
      <w:r w:rsidR="00004ABC">
        <w:rPr>
          <w:rFonts w:cstheme="minorHAnsi"/>
        </w:rPr>
        <w:t> :</w:t>
      </w:r>
    </w:p>
    <w:p w14:paraId="629D7F74" w14:textId="4551FD2D" w:rsidR="00004ABC" w:rsidRDefault="00004ABC" w:rsidP="00D7057C">
      <w:pPr>
        <w:pStyle w:val="Paragraphedeliste"/>
        <w:numPr>
          <w:ilvl w:val="1"/>
          <w:numId w:val="3"/>
        </w:numPr>
        <w:jc w:val="both"/>
        <w:rPr>
          <w:rFonts w:cstheme="minorHAnsi"/>
        </w:rPr>
      </w:pPr>
      <w:r>
        <w:rPr>
          <w:rFonts w:cstheme="minorHAnsi"/>
        </w:rPr>
        <w:t>Les opérations de débit en compte, dites « écritures en compte » pour lesquelles il n’existe pas « d’autorisation de prélèvement » ou de « mandat de prélèvement », dont l’établissement teneur de compte est la contrepartie bénéficiaire (comme par exemple, le prélèvement de commissions</w:t>
      </w:r>
      <w:r w:rsidR="00EC2AF7">
        <w:rPr>
          <w:rFonts w:cstheme="minorHAnsi"/>
        </w:rPr>
        <w:t xml:space="preserve"> ou le débit pour remboursement de prêt effectués directement</w:t>
      </w:r>
      <w:r w:rsidR="00433BE2">
        <w:rPr>
          <w:rFonts w:cstheme="minorHAnsi"/>
        </w:rPr>
        <w:t xml:space="preserve"> par</w:t>
      </w:r>
      <w:r w:rsidR="00EC2AF7">
        <w:rPr>
          <w:rFonts w:cstheme="minorHAnsi"/>
        </w:rPr>
        <w:t xml:space="preserve"> l’établissement teneur de compte).</w:t>
      </w:r>
    </w:p>
    <w:p w14:paraId="1D00BF76" w14:textId="77777777" w:rsidR="00004ABC" w:rsidRDefault="00004ABC" w:rsidP="00A65ACC">
      <w:pPr>
        <w:pStyle w:val="Paragraphedeliste"/>
        <w:spacing w:after="0" w:line="280" w:lineRule="exact"/>
        <w:ind w:left="1440"/>
        <w:jc w:val="both"/>
        <w:rPr>
          <w:rFonts w:cstheme="minorHAnsi"/>
        </w:rPr>
      </w:pPr>
    </w:p>
    <w:p w14:paraId="2D72AA88" w14:textId="77777777" w:rsidR="00A65ACC" w:rsidRPr="00110993" w:rsidRDefault="00A65ACC" w:rsidP="00AF35E9">
      <w:pPr>
        <w:spacing w:after="0" w:line="240" w:lineRule="auto"/>
        <w:rPr>
          <w:rFonts w:ascii="Calibri" w:eastAsia="Times New Roman" w:hAnsi="Calibri" w:cs="Calibri"/>
          <w:b/>
          <w:smallCaps/>
          <w:sz w:val="24"/>
          <w:szCs w:val="24"/>
          <w:lang w:eastAsia="fr-FR"/>
        </w:rPr>
      </w:pPr>
    </w:p>
    <w:p w14:paraId="7D96F5DB" w14:textId="113EE109" w:rsidR="00047F61" w:rsidRPr="0096058A" w:rsidRDefault="00047F61" w:rsidP="007718A3">
      <w:pPr>
        <w:pStyle w:val="Titre3"/>
        <w:numPr>
          <w:ilvl w:val="2"/>
          <w:numId w:val="38"/>
        </w:numPr>
        <w:jc w:val="both"/>
      </w:pPr>
      <w:bookmarkStart w:id="55" w:name="_Toc222476885"/>
      <w:r w:rsidRPr="0096058A">
        <w:t>Prélèvements émis</w:t>
      </w:r>
      <w:r w:rsidR="004C2BE5" w:rsidRPr="0096058A">
        <w:t xml:space="preserve"> par l’établissement</w:t>
      </w:r>
      <w:r w:rsidR="007E02F7">
        <w:t xml:space="preserve"> par canal d’autorisation, </w:t>
      </w:r>
      <w:r w:rsidR="0021028B">
        <w:t xml:space="preserve">schéma de prélèvement, </w:t>
      </w:r>
      <w:r w:rsidR="007E02F7">
        <w:t>zone géographique</w:t>
      </w:r>
      <w:bookmarkEnd w:id="55"/>
    </w:p>
    <w:p w14:paraId="52B3567B" w14:textId="45098ADE" w:rsidR="00C50721" w:rsidRDefault="00C50721" w:rsidP="00047F61">
      <w:pPr>
        <w:spacing w:after="0" w:line="240" w:lineRule="auto"/>
        <w:rPr>
          <w:rFonts w:ascii="Calibri" w:eastAsia="Times New Roman" w:hAnsi="Calibri" w:cs="Calibri"/>
          <w:b/>
          <w:smallCaps/>
          <w:sz w:val="24"/>
          <w:szCs w:val="24"/>
          <w:lang w:eastAsia="fr-FR"/>
        </w:rPr>
      </w:pPr>
    </w:p>
    <w:p w14:paraId="1A214CDA" w14:textId="047D2393" w:rsidR="00C50721" w:rsidRPr="004E58CA" w:rsidRDefault="00C50721" w:rsidP="00C50721">
      <w:pPr>
        <w:spacing w:after="0" w:line="240" w:lineRule="auto"/>
        <w:jc w:val="both"/>
      </w:pPr>
      <w:r w:rsidRPr="00C714BD">
        <w:rPr>
          <w:rFonts w:cstheme="minorHAnsi"/>
        </w:rPr>
        <w:t>Il s</w:t>
      </w:r>
      <w:r>
        <w:rPr>
          <w:rFonts w:cstheme="minorHAnsi"/>
        </w:rPr>
        <w:t>’agit de déclarer, en nombre et valeur, les prélèvements émis par l’établissement en tant que PSP du payé</w:t>
      </w:r>
      <w:r w:rsidR="00FB1B54">
        <w:rPr>
          <w:rFonts w:cstheme="minorHAnsi"/>
        </w:rPr>
        <w:t xml:space="preserve"> (le créancier)</w:t>
      </w:r>
      <w:r>
        <w:rPr>
          <w:rFonts w:cstheme="minorHAnsi"/>
        </w:rPr>
        <w:t>.</w:t>
      </w:r>
    </w:p>
    <w:p w14:paraId="77AB3180" w14:textId="77777777" w:rsidR="00047F61" w:rsidRPr="004E58CA" w:rsidRDefault="00047F61" w:rsidP="004E58CA">
      <w:pPr>
        <w:spacing w:after="0" w:line="240" w:lineRule="auto"/>
        <w:jc w:val="both"/>
      </w:pPr>
    </w:p>
    <w:p w14:paraId="2060CF1A" w14:textId="35ACF973" w:rsidR="00310F81" w:rsidRDefault="00310F81" w:rsidP="00310F81">
      <w:pPr>
        <w:spacing w:after="0" w:line="240" w:lineRule="auto"/>
        <w:jc w:val="both"/>
        <w:rPr>
          <w:rFonts w:cstheme="minorHAnsi"/>
        </w:rPr>
      </w:pPr>
      <w:r>
        <w:rPr>
          <w:rFonts w:cstheme="minorHAnsi"/>
          <w:u w:val="single"/>
        </w:rPr>
        <w:t>Remarques </w:t>
      </w:r>
      <w:r>
        <w:rPr>
          <w:rFonts w:cstheme="minorHAnsi"/>
        </w:rPr>
        <w:t>:</w:t>
      </w:r>
    </w:p>
    <w:p w14:paraId="59B4CEB7" w14:textId="77777777" w:rsidR="00BC1AB1" w:rsidRDefault="00BC1AB1" w:rsidP="00310F81">
      <w:pPr>
        <w:spacing w:after="0" w:line="240" w:lineRule="auto"/>
        <w:jc w:val="both"/>
        <w:rPr>
          <w:rFonts w:cstheme="minorHAnsi"/>
        </w:rPr>
      </w:pPr>
    </w:p>
    <w:p w14:paraId="2DA4CCDF" w14:textId="4BC23BE5" w:rsidR="0060513F" w:rsidRDefault="00D1159F" w:rsidP="0060513F">
      <w:pPr>
        <w:pStyle w:val="Paragraphedeliste"/>
        <w:numPr>
          <w:ilvl w:val="0"/>
          <w:numId w:val="3"/>
        </w:numPr>
        <w:spacing w:after="0" w:line="240" w:lineRule="auto"/>
        <w:jc w:val="both"/>
        <w:rPr>
          <w:rFonts w:cstheme="minorHAnsi"/>
        </w:rPr>
      </w:pPr>
      <w:r>
        <w:rPr>
          <w:rFonts w:cstheme="minorHAnsi"/>
        </w:rPr>
        <w:t>Si l’établissement n’est pas en mesure de ventiler les prélèvements en fonction du format du mandat</w:t>
      </w:r>
      <w:r w:rsidR="008454C8">
        <w:rPr>
          <w:rFonts w:cstheme="minorHAnsi"/>
        </w:rPr>
        <w:t xml:space="preserve"> utilisé</w:t>
      </w:r>
      <w:r>
        <w:rPr>
          <w:rFonts w:cstheme="minorHAnsi"/>
        </w:rPr>
        <w:t xml:space="preserve">, </w:t>
      </w:r>
      <w:r w:rsidR="0060513F">
        <w:rPr>
          <w:rFonts w:cstheme="minorHAnsi"/>
        </w:rPr>
        <w:t>il doit fournir des données estimées en précisant, dans ce cas, la méthode d’estimation qu’il a utilisée en commentaires. À défaut, il convient de les déclarer en totalité dans la rubrique « dont prélèvements consentis par mandat papier » en le mentionnant dans la rubrique « Commentaires » ;</w:t>
      </w:r>
    </w:p>
    <w:p w14:paraId="7C85A260" w14:textId="78881254" w:rsidR="00FE5E9A" w:rsidRDefault="00FE5E9A" w:rsidP="00FE5E9A">
      <w:pPr>
        <w:spacing w:after="0" w:line="240" w:lineRule="auto"/>
        <w:jc w:val="both"/>
        <w:rPr>
          <w:rFonts w:ascii="Calibri" w:eastAsia="Times New Roman" w:hAnsi="Calibri" w:cs="Calibri"/>
          <w:b/>
          <w:smallCaps/>
          <w:sz w:val="24"/>
          <w:szCs w:val="24"/>
          <w:lang w:eastAsia="fr-FR"/>
        </w:rPr>
      </w:pPr>
    </w:p>
    <w:p w14:paraId="2DB342EC"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511B2FED" w14:textId="77777777" w:rsidR="00FE5E9A" w:rsidRDefault="00FE5E9A" w:rsidP="00AF35E9">
      <w:pPr>
        <w:spacing w:after="0" w:line="240" w:lineRule="auto"/>
        <w:rPr>
          <w:rFonts w:ascii="Calibri" w:eastAsia="Times New Roman" w:hAnsi="Calibri" w:cs="Calibri"/>
          <w:b/>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9"/>
        <w:gridCol w:w="283"/>
        <w:gridCol w:w="2415"/>
        <w:gridCol w:w="2835"/>
        <w:gridCol w:w="1276"/>
        <w:gridCol w:w="992"/>
        <w:gridCol w:w="992"/>
      </w:tblGrid>
      <w:tr w:rsidR="008230DB" w:rsidRPr="00BB7ACB" w14:paraId="14487C9D" w14:textId="77777777" w:rsidTr="004E68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12" w:type="dxa"/>
            <w:gridSpan w:val="4"/>
            <w:tcBorders>
              <w:top w:val="single" w:sz="18" w:space="0" w:color="5B9BD5" w:themeColor="accent1"/>
              <w:bottom w:val="single" w:sz="18" w:space="0" w:color="5B9BD5" w:themeColor="accent1"/>
            </w:tcBorders>
            <w:noWrap/>
          </w:tcPr>
          <w:p w14:paraId="59036E6C" w14:textId="77777777" w:rsidR="008230DB" w:rsidRPr="004E58CA" w:rsidRDefault="008230DB" w:rsidP="008230DB">
            <w:pPr>
              <w:jc w:val="both"/>
              <w:rPr>
                <w:rFonts w:ascii="Calibri" w:hAnsi="Calibri"/>
                <w:sz w:val="18"/>
              </w:rPr>
            </w:pPr>
          </w:p>
        </w:tc>
        <w:tc>
          <w:tcPr>
            <w:tcW w:w="127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73AFFE3F" w14:textId="6488F8B8" w:rsidR="008230DB" w:rsidRPr="00555289" w:rsidRDefault="004E68CF" w:rsidP="0069651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 xml:space="preserve">Pays du PSP du </w:t>
            </w:r>
            <w:r w:rsidR="0069651A">
              <w:rPr>
                <w:rFonts w:cstheme="minorHAnsi"/>
                <w:sz w:val="14"/>
                <w:szCs w:val="18"/>
              </w:rPr>
              <w:t>payeur</w:t>
            </w:r>
          </w:p>
        </w:tc>
        <w:tc>
          <w:tcPr>
            <w:tcW w:w="992"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41B9AEFF" w14:textId="2561AD31" w:rsidR="008230DB" w:rsidRPr="00555289" w:rsidRDefault="008230DB" w:rsidP="008230D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2F3DE58D" w14:textId="77777777" w:rsidR="008230DB" w:rsidRDefault="008230DB" w:rsidP="008230D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0B7B4D13" w14:textId="749C2743" w:rsidR="008230DB" w:rsidRPr="00555289" w:rsidRDefault="008230DB" w:rsidP="008230D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Pr>
                <w:rFonts w:cstheme="minorHAnsi"/>
                <w:sz w:val="14"/>
                <w:szCs w:val="18"/>
              </w:rPr>
              <w:t>euros</w:t>
            </w:r>
            <w:proofErr w:type="gramEnd"/>
          </w:p>
        </w:tc>
      </w:tr>
      <w:tr w:rsidR="00864838" w:rsidRPr="00BB7ACB" w14:paraId="26B6AEA1" w14:textId="222913D2"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gridSpan w:val="3"/>
            <w:tcBorders>
              <w:top w:val="single" w:sz="18" w:space="0" w:color="5B9BD5" w:themeColor="accent1"/>
            </w:tcBorders>
            <w:noWrap/>
            <w:hideMark/>
          </w:tcPr>
          <w:p w14:paraId="3B06F07C" w14:textId="5173F729" w:rsidR="00864838" w:rsidRPr="00555289" w:rsidRDefault="00864838">
            <w:pPr>
              <w:rPr>
                <w:rFonts w:ascii="Calibri" w:eastAsia="Times New Roman" w:hAnsi="Calibri" w:cs="Calibri"/>
                <w:b w:val="0"/>
                <w:i/>
                <w:sz w:val="18"/>
                <w:szCs w:val="18"/>
                <w:lang w:eastAsia="fr-FR"/>
              </w:rPr>
            </w:pPr>
            <w:r w:rsidRPr="00555289">
              <w:rPr>
                <w:rFonts w:ascii="Calibri" w:eastAsia="Times New Roman" w:hAnsi="Calibri" w:cs="Calibri"/>
                <w:i/>
                <w:sz w:val="18"/>
                <w:szCs w:val="18"/>
                <w:lang w:eastAsia="fr-FR"/>
              </w:rPr>
              <w:t>Prélèvements émis</w:t>
            </w:r>
            <w:r>
              <w:rPr>
                <w:rFonts w:ascii="Calibri" w:eastAsia="Times New Roman" w:hAnsi="Calibri" w:cs="Calibri"/>
                <w:i/>
                <w:sz w:val="18"/>
                <w:szCs w:val="18"/>
                <w:lang w:eastAsia="fr-FR"/>
              </w:rPr>
              <w:t xml:space="preserve"> </w:t>
            </w:r>
            <w:r w:rsidRPr="00555289">
              <w:rPr>
                <w:rFonts w:ascii="Calibri" w:eastAsia="Times New Roman" w:hAnsi="Calibri" w:cs="Calibri"/>
                <w:i/>
                <w:sz w:val="18"/>
                <w:szCs w:val="18"/>
                <w:lang w:eastAsia="fr-FR"/>
              </w:rPr>
              <w:t>par l’établissement</w:t>
            </w:r>
          </w:p>
        </w:tc>
        <w:tc>
          <w:tcPr>
            <w:tcW w:w="2835" w:type="dxa"/>
            <w:tcBorders>
              <w:top w:val="single" w:sz="18" w:space="0" w:color="5B9BD5" w:themeColor="accent1"/>
            </w:tcBorders>
          </w:tcPr>
          <w:p w14:paraId="14448F74" w14:textId="17C31D15" w:rsidR="00864838" w:rsidRPr="004E58CA" w:rsidRDefault="00864838" w:rsidP="00D1159F">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c>
          <w:tcPr>
            <w:tcW w:w="1276" w:type="dxa"/>
            <w:vMerge w:val="restart"/>
            <w:noWrap/>
          </w:tcPr>
          <w:p w14:paraId="254016C8" w14:textId="6B317B90" w:rsidR="00864838" w:rsidRPr="002262D6" w:rsidRDefault="004E68CF" w:rsidP="002262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sidRPr="002262D6">
              <w:rPr>
                <w:rFonts w:cstheme="minorHAnsi"/>
                <w:b/>
                <w:sz w:val="14"/>
                <w:szCs w:val="18"/>
              </w:rPr>
              <w:t>S</w:t>
            </w:r>
            <w:r w:rsidR="00864838" w:rsidRPr="002262D6">
              <w:rPr>
                <w:rFonts w:cstheme="minorHAnsi"/>
                <w:b/>
                <w:sz w:val="14"/>
                <w:szCs w:val="18"/>
              </w:rPr>
              <w:t>elon ventilation géographique</w:t>
            </w:r>
            <w:r w:rsidRPr="002262D6">
              <w:rPr>
                <w:rFonts w:cstheme="minorHAnsi"/>
                <w:b/>
                <w:sz w:val="14"/>
                <w:szCs w:val="18"/>
              </w:rPr>
              <w:t xml:space="preserve"> en section 5</w:t>
            </w:r>
            <w:r w:rsidR="002262D6" w:rsidRPr="002262D6">
              <w:rPr>
                <w:rFonts w:cstheme="minorHAnsi"/>
                <w:b/>
                <w:sz w:val="14"/>
                <w:szCs w:val="18"/>
              </w:rPr>
              <w:t>.1</w:t>
            </w:r>
          </w:p>
        </w:tc>
        <w:tc>
          <w:tcPr>
            <w:tcW w:w="992" w:type="dxa"/>
          </w:tcPr>
          <w:p w14:paraId="2EB3D757" w14:textId="77777777"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92" w:type="dxa"/>
          </w:tcPr>
          <w:p w14:paraId="1CEA34EF" w14:textId="77777777"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864838" w:rsidRPr="00BB7ACB" w14:paraId="714075B3" w14:textId="1F5612E8" w:rsidTr="004E68CF">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18" w:space="0" w:color="5B9BD5" w:themeColor="accent1"/>
              <w:bottom w:val="single" w:sz="18" w:space="0" w:color="5B9BD5" w:themeColor="accent1"/>
            </w:tcBorders>
            <w:noWrap/>
            <w:hideMark/>
          </w:tcPr>
          <w:p w14:paraId="079709AB" w14:textId="1199EB9E" w:rsidR="00864838" w:rsidRPr="00555289" w:rsidRDefault="00864838" w:rsidP="00AF35E9">
            <w:pPr>
              <w:rPr>
                <w:rFonts w:ascii="Calibri" w:eastAsia="Times New Roman" w:hAnsi="Calibri" w:cs="Calibri"/>
                <w:i/>
                <w:sz w:val="18"/>
                <w:szCs w:val="18"/>
                <w:lang w:eastAsia="fr-FR"/>
              </w:rPr>
            </w:pPr>
          </w:p>
        </w:tc>
        <w:tc>
          <w:tcPr>
            <w:tcW w:w="2698" w:type="dxa"/>
            <w:gridSpan w:val="2"/>
            <w:tcBorders>
              <w:top w:val="single" w:sz="18" w:space="0" w:color="5B9BD5" w:themeColor="accent1"/>
              <w:bottom w:val="single" w:sz="18" w:space="0" w:color="5B9BD5" w:themeColor="accent1"/>
            </w:tcBorders>
            <w:noWrap/>
            <w:hideMark/>
          </w:tcPr>
          <w:p w14:paraId="485AA123" w14:textId="58F0C75E" w:rsidR="00864838" w:rsidRPr="00555289" w:rsidRDefault="00864838" w:rsidP="00BB7AC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555289">
              <w:rPr>
                <w:rFonts w:ascii="Calibri" w:eastAsia="Times New Roman" w:hAnsi="Calibri" w:cs="Calibri"/>
                <w:b/>
                <w:i/>
                <w:sz w:val="18"/>
                <w:szCs w:val="18"/>
                <w:lang w:eastAsia="fr-FR"/>
              </w:rPr>
              <w:t>Dont prélèvements initiés dans un fichier/lot</w:t>
            </w:r>
          </w:p>
        </w:tc>
        <w:tc>
          <w:tcPr>
            <w:tcW w:w="2835" w:type="dxa"/>
            <w:tcBorders>
              <w:top w:val="single" w:sz="18" w:space="0" w:color="5B9BD5" w:themeColor="accent1"/>
              <w:bottom w:val="single" w:sz="18" w:space="0" w:color="5B9BD5" w:themeColor="accent1"/>
            </w:tcBorders>
          </w:tcPr>
          <w:p w14:paraId="57E4A882" w14:textId="38013424" w:rsidR="00864838" w:rsidRPr="00555289" w:rsidRDefault="00864838"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555289">
              <w:rPr>
                <w:rFonts w:ascii="Calibri" w:eastAsia="Times New Roman" w:hAnsi="Calibri" w:cs="Calibri"/>
                <w:sz w:val="18"/>
                <w:szCs w:val="18"/>
                <w:lang w:eastAsia="fr-FR"/>
              </w:rPr>
              <w:t>Prélèvement</w:t>
            </w:r>
            <w:r>
              <w:rPr>
                <w:rFonts w:ascii="Calibri" w:eastAsia="Times New Roman" w:hAnsi="Calibri" w:cs="Calibri"/>
                <w:sz w:val="18"/>
                <w:szCs w:val="18"/>
                <w:lang w:eastAsia="fr-FR"/>
              </w:rPr>
              <w:t>s</w:t>
            </w:r>
            <w:r w:rsidRPr="00555289">
              <w:rPr>
                <w:rFonts w:ascii="Calibri" w:eastAsia="Times New Roman" w:hAnsi="Calibri" w:cs="Calibri"/>
                <w:sz w:val="18"/>
                <w:szCs w:val="18"/>
                <w:lang w:eastAsia="fr-FR"/>
              </w:rPr>
              <w:t xml:space="preserve"> automatique</w:t>
            </w:r>
            <w:r>
              <w:rPr>
                <w:rFonts w:ascii="Calibri" w:eastAsia="Times New Roman" w:hAnsi="Calibri" w:cs="Calibri"/>
                <w:sz w:val="18"/>
                <w:szCs w:val="18"/>
                <w:lang w:eastAsia="fr-FR"/>
              </w:rPr>
              <w:t>s</w:t>
            </w:r>
            <w:r w:rsidRPr="00555289">
              <w:rPr>
                <w:rFonts w:ascii="Calibri" w:eastAsia="Times New Roman" w:hAnsi="Calibri" w:cs="Calibri"/>
                <w:sz w:val="18"/>
                <w:szCs w:val="18"/>
                <w:lang w:eastAsia="fr-FR"/>
              </w:rPr>
              <w:t xml:space="preserve"> initié</w:t>
            </w:r>
            <w:r>
              <w:rPr>
                <w:rFonts w:ascii="Calibri" w:eastAsia="Times New Roman" w:hAnsi="Calibri" w:cs="Calibri"/>
                <w:sz w:val="18"/>
                <w:szCs w:val="18"/>
                <w:lang w:eastAsia="fr-FR"/>
              </w:rPr>
              <w:t>s</w:t>
            </w:r>
            <w:r w:rsidRPr="00555289">
              <w:rPr>
                <w:rFonts w:ascii="Calibri" w:eastAsia="Times New Roman" w:hAnsi="Calibri" w:cs="Calibri"/>
                <w:sz w:val="18"/>
                <w:szCs w:val="18"/>
                <w:lang w:eastAsia="fr-FR"/>
              </w:rPr>
              <w:t xml:space="preserve"> par voie électronique faisant partie d’un groupe de virements initiés ensemble par le payeur. Chaque prélèvement automatique compris dans un lot est recensé comme un prélèvement automatique distinct lors de la déclaration du nombre d’opérations.</w:t>
            </w:r>
          </w:p>
        </w:tc>
        <w:tc>
          <w:tcPr>
            <w:tcW w:w="1276" w:type="dxa"/>
            <w:vMerge/>
            <w:noWrap/>
          </w:tcPr>
          <w:p w14:paraId="7A217989" w14:textId="0F8516EA" w:rsidR="00864838" w:rsidRPr="00555289" w:rsidRDefault="00864838"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18" w:space="0" w:color="5B9BD5" w:themeColor="accent1"/>
            </w:tcBorders>
          </w:tcPr>
          <w:p w14:paraId="0BC07ECC" w14:textId="77777777" w:rsidR="00864838" w:rsidRPr="00555289" w:rsidRDefault="00864838"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18" w:space="0" w:color="5B9BD5" w:themeColor="accent1"/>
            </w:tcBorders>
          </w:tcPr>
          <w:p w14:paraId="44200474" w14:textId="77777777" w:rsidR="00864838" w:rsidRPr="00555289" w:rsidRDefault="00864838"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64838" w:rsidRPr="00BB7ACB" w14:paraId="5DE3288A" w14:textId="1B57BC7F"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18" w:space="0" w:color="5B9BD5" w:themeColor="accent1"/>
              <w:bottom w:val="single" w:sz="18" w:space="0" w:color="5B9BD5" w:themeColor="accent1"/>
            </w:tcBorders>
            <w:noWrap/>
            <w:hideMark/>
          </w:tcPr>
          <w:p w14:paraId="50F05AD3" w14:textId="281D391E" w:rsidR="00864838" w:rsidRPr="00555289" w:rsidRDefault="00864838" w:rsidP="00AF35E9">
            <w:pPr>
              <w:rPr>
                <w:rFonts w:ascii="Calibri" w:eastAsia="Times New Roman" w:hAnsi="Calibri" w:cs="Calibri"/>
                <w:i/>
                <w:sz w:val="18"/>
                <w:szCs w:val="18"/>
                <w:lang w:eastAsia="fr-FR"/>
              </w:rPr>
            </w:pPr>
          </w:p>
        </w:tc>
        <w:tc>
          <w:tcPr>
            <w:tcW w:w="2698" w:type="dxa"/>
            <w:gridSpan w:val="2"/>
            <w:tcBorders>
              <w:top w:val="single" w:sz="18" w:space="0" w:color="5B9BD5" w:themeColor="accent1"/>
              <w:bottom w:val="single" w:sz="18" w:space="0" w:color="5B9BD5" w:themeColor="accent1"/>
            </w:tcBorders>
            <w:noWrap/>
            <w:hideMark/>
          </w:tcPr>
          <w:p w14:paraId="2FD921CD" w14:textId="0424F0D2" w:rsidR="00864838" w:rsidRPr="00555289" w:rsidRDefault="00864838" w:rsidP="00BB7AC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555289">
              <w:rPr>
                <w:rFonts w:ascii="Calibri" w:eastAsia="Times New Roman" w:hAnsi="Calibri" w:cs="Calibri"/>
                <w:b/>
                <w:i/>
                <w:sz w:val="18"/>
                <w:szCs w:val="18"/>
                <w:lang w:eastAsia="fr-FR"/>
              </w:rPr>
              <w:t>Dont prélèvements initiés sur la base d'un paiement unique</w:t>
            </w:r>
          </w:p>
        </w:tc>
        <w:tc>
          <w:tcPr>
            <w:tcW w:w="2835" w:type="dxa"/>
            <w:tcBorders>
              <w:top w:val="single" w:sz="18" w:space="0" w:color="5B9BD5" w:themeColor="accent1"/>
              <w:bottom w:val="single" w:sz="18" w:space="0" w:color="5B9BD5" w:themeColor="accent1"/>
            </w:tcBorders>
          </w:tcPr>
          <w:p w14:paraId="37F28473" w14:textId="18374F41"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555289">
              <w:rPr>
                <w:rFonts w:ascii="Calibri" w:eastAsia="Times New Roman" w:hAnsi="Calibri" w:cs="Calibri"/>
                <w:sz w:val="18"/>
                <w:szCs w:val="18"/>
                <w:lang w:eastAsia="fr-FR"/>
              </w:rPr>
              <w:t>Prélèvement</w:t>
            </w:r>
            <w:r>
              <w:rPr>
                <w:rFonts w:ascii="Calibri" w:eastAsia="Times New Roman" w:hAnsi="Calibri" w:cs="Calibri"/>
                <w:sz w:val="18"/>
                <w:szCs w:val="18"/>
                <w:lang w:eastAsia="fr-FR"/>
              </w:rPr>
              <w:t>s</w:t>
            </w:r>
            <w:r w:rsidRPr="00555289">
              <w:rPr>
                <w:rFonts w:ascii="Calibri" w:eastAsia="Times New Roman" w:hAnsi="Calibri" w:cs="Calibri"/>
                <w:sz w:val="18"/>
                <w:szCs w:val="18"/>
                <w:lang w:eastAsia="fr-FR"/>
              </w:rPr>
              <w:t xml:space="preserve"> automatique</w:t>
            </w:r>
            <w:r>
              <w:rPr>
                <w:rFonts w:ascii="Calibri" w:eastAsia="Times New Roman" w:hAnsi="Calibri" w:cs="Calibri"/>
                <w:sz w:val="18"/>
                <w:szCs w:val="18"/>
                <w:lang w:eastAsia="fr-FR"/>
              </w:rPr>
              <w:t>s</w:t>
            </w:r>
            <w:r w:rsidRPr="00555289">
              <w:rPr>
                <w:rFonts w:ascii="Calibri" w:eastAsia="Times New Roman" w:hAnsi="Calibri" w:cs="Calibri"/>
                <w:sz w:val="18"/>
                <w:szCs w:val="18"/>
                <w:lang w:eastAsia="fr-FR"/>
              </w:rPr>
              <w:t xml:space="preserve"> initié</w:t>
            </w:r>
            <w:r>
              <w:rPr>
                <w:rFonts w:ascii="Calibri" w:eastAsia="Times New Roman" w:hAnsi="Calibri" w:cs="Calibri"/>
                <w:sz w:val="18"/>
                <w:szCs w:val="18"/>
                <w:lang w:eastAsia="fr-FR"/>
              </w:rPr>
              <w:t>s</w:t>
            </w:r>
            <w:r w:rsidRPr="00555289">
              <w:rPr>
                <w:rFonts w:ascii="Calibri" w:eastAsia="Times New Roman" w:hAnsi="Calibri" w:cs="Calibri"/>
                <w:sz w:val="18"/>
                <w:szCs w:val="18"/>
                <w:lang w:eastAsia="fr-FR"/>
              </w:rPr>
              <w:t xml:space="preserve"> par voie électronique qui est indépendant d’autres prélèvements automatiques, c’est-à-dire qui ne fait pas partie d’un groupe de </w:t>
            </w:r>
            <w:r w:rsidRPr="00555289">
              <w:rPr>
                <w:rFonts w:ascii="Calibri" w:eastAsia="Times New Roman" w:hAnsi="Calibri" w:cs="Calibri"/>
                <w:sz w:val="18"/>
                <w:szCs w:val="18"/>
                <w:lang w:eastAsia="fr-FR"/>
              </w:rPr>
              <w:lastRenderedPageBreak/>
              <w:t>prélèvements automatiques initié</w:t>
            </w:r>
            <w:r>
              <w:rPr>
                <w:rFonts w:ascii="Calibri" w:eastAsia="Times New Roman" w:hAnsi="Calibri" w:cs="Calibri"/>
                <w:sz w:val="18"/>
                <w:szCs w:val="18"/>
                <w:lang w:eastAsia="fr-FR"/>
              </w:rPr>
              <w:t>s ensemble.</w:t>
            </w:r>
          </w:p>
        </w:tc>
        <w:tc>
          <w:tcPr>
            <w:tcW w:w="1276" w:type="dxa"/>
            <w:vMerge/>
            <w:noWrap/>
          </w:tcPr>
          <w:p w14:paraId="6DCFF47C" w14:textId="7FCCC6D3"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18" w:space="0" w:color="5B9BD5" w:themeColor="accent1"/>
            </w:tcBorders>
          </w:tcPr>
          <w:p w14:paraId="40591E9F" w14:textId="77777777"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18" w:space="0" w:color="5B9BD5" w:themeColor="accent1"/>
            </w:tcBorders>
          </w:tcPr>
          <w:p w14:paraId="0FE70C43" w14:textId="77777777"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64838" w:rsidRPr="00BB7ACB" w14:paraId="1BBB80E7" w14:textId="2DCE1BB1" w:rsidTr="004E68CF">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18" w:space="0" w:color="5B9BD5" w:themeColor="accent1"/>
              <w:bottom w:val="single" w:sz="2" w:space="0" w:color="5B9BD5" w:themeColor="accent1"/>
            </w:tcBorders>
            <w:noWrap/>
          </w:tcPr>
          <w:p w14:paraId="6E971AC2" w14:textId="1CE8357A" w:rsidR="00864838" w:rsidRPr="00555289" w:rsidRDefault="00864838" w:rsidP="00AF35E9">
            <w:pPr>
              <w:rPr>
                <w:rFonts w:ascii="Calibri" w:eastAsia="Times New Roman" w:hAnsi="Calibri" w:cs="Calibri"/>
                <w:i/>
                <w:sz w:val="18"/>
                <w:szCs w:val="18"/>
                <w:lang w:eastAsia="fr-FR"/>
              </w:rPr>
            </w:pPr>
          </w:p>
        </w:tc>
        <w:tc>
          <w:tcPr>
            <w:tcW w:w="2698" w:type="dxa"/>
            <w:gridSpan w:val="2"/>
            <w:tcBorders>
              <w:top w:val="single" w:sz="18" w:space="0" w:color="5B9BD5" w:themeColor="accent1"/>
              <w:bottom w:val="single" w:sz="2" w:space="0" w:color="5B9BD5" w:themeColor="accent1"/>
            </w:tcBorders>
            <w:noWrap/>
            <w:hideMark/>
          </w:tcPr>
          <w:p w14:paraId="35EA8282" w14:textId="13583A07" w:rsidR="00864838" w:rsidRPr="00555289" w:rsidRDefault="00864838" w:rsidP="00BB7AC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555289">
              <w:rPr>
                <w:rFonts w:ascii="Calibri" w:eastAsia="Times New Roman" w:hAnsi="Calibri" w:cs="Calibri"/>
                <w:b/>
                <w:i/>
                <w:sz w:val="18"/>
                <w:szCs w:val="18"/>
                <w:lang w:eastAsia="fr-FR"/>
              </w:rPr>
              <w:t>Dont prélèvements consentis par mandat électronique</w:t>
            </w:r>
          </w:p>
        </w:tc>
        <w:tc>
          <w:tcPr>
            <w:tcW w:w="2835" w:type="dxa"/>
            <w:tcBorders>
              <w:top w:val="single" w:sz="18" w:space="0" w:color="5B9BD5" w:themeColor="accent1"/>
              <w:bottom w:val="single" w:sz="2" w:space="0" w:color="5B9BD5" w:themeColor="accent1"/>
            </w:tcBorders>
          </w:tcPr>
          <w:p w14:paraId="009D7CCA" w14:textId="6ACC0883" w:rsidR="00864838" w:rsidRPr="00555289" w:rsidRDefault="00864838" w:rsidP="00554E7C">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Prélèvement émis sur la base d’un m</w:t>
            </w:r>
            <w:r w:rsidRPr="00955A61">
              <w:rPr>
                <w:rFonts w:ascii="Calibri" w:eastAsia="Times New Roman" w:hAnsi="Calibri" w:cs="Calibri"/>
                <w:sz w:val="18"/>
                <w:szCs w:val="18"/>
                <w:lang w:eastAsia="fr-FR"/>
              </w:rPr>
              <w:t xml:space="preserve">andat </w:t>
            </w:r>
            <w:r>
              <w:rPr>
                <w:rFonts w:ascii="Calibri" w:eastAsia="Times New Roman" w:hAnsi="Calibri" w:cs="Calibri"/>
                <w:sz w:val="18"/>
                <w:szCs w:val="18"/>
                <w:lang w:eastAsia="fr-FR"/>
              </w:rPr>
              <w:t>collecté</w:t>
            </w:r>
            <w:r w:rsidRPr="00955A61">
              <w:rPr>
                <w:rFonts w:ascii="Calibri" w:eastAsia="Times New Roman" w:hAnsi="Calibri" w:cs="Calibri"/>
                <w:sz w:val="18"/>
                <w:szCs w:val="18"/>
                <w:lang w:eastAsia="fr-FR"/>
              </w:rPr>
              <w:t xml:space="preserve"> depuis un canal internet (site de banque en ligne, site ou a</w:t>
            </w:r>
            <w:r>
              <w:rPr>
                <w:rFonts w:ascii="Calibri" w:eastAsia="Times New Roman" w:hAnsi="Calibri" w:cs="Calibri"/>
                <w:sz w:val="18"/>
                <w:szCs w:val="18"/>
                <w:lang w:eastAsia="fr-FR"/>
              </w:rPr>
              <w:t>pplication mobile du créancier) ou autres canaux télématiques</w:t>
            </w:r>
          </w:p>
        </w:tc>
        <w:tc>
          <w:tcPr>
            <w:tcW w:w="1276" w:type="dxa"/>
            <w:vMerge/>
            <w:noWrap/>
          </w:tcPr>
          <w:p w14:paraId="34C8F067" w14:textId="6DF49937" w:rsidR="00864838" w:rsidRPr="00555289" w:rsidRDefault="00864838"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2" w:space="0" w:color="5B9BD5" w:themeColor="accent1"/>
            </w:tcBorders>
          </w:tcPr>
          <w:p w14:paraId="19CAE912" w14:textId="77777777" w:rsidR="00864838" w:rsidRPr="00555289" w:rsidRDefault="00864838"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2" w:space="0" w:color="5B9BD5" w:themeColor="accent1"/>
            </w:tcBorders>
          </w:tcPr>
          <w:p w14:paraId="5709155D" w14:textId="77777777" w:rsidR="00864838" w:rsidRPr="00555289" w:rsidRDefault="00864838"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64838" w:rsidRPr="00BB7ACB" w14:paraId="5E46F9E6" w14:textId="77777777"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14E9EA62" w14:textId="77777777" w:rsidR="00864838" w:rsidRPr="00555289" w:rsidRDefault="00864838" w:rsidP="00AF35E9">
            <w:pPr>
              <w:rPr>
                <w:rFonts w:ascii="Calibri" w:eastAsia="Times New Roman" w:hAnsi="Calibri" w:cs="Calibri"/>
                <w:i/>
                <w:sz w:val="18"/>
                <w:szCs w:val="18"/>
                <w:lang w:eastAsia="fr-FR"/>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D80E163" w14:textId="77777777" w:rsidR="00864838" w:rsidRPr="00555289" w:rsidRDefault="00864838" w:rsidP="008454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2415"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6CD16CF1" w14:textId="452A2C29" w:rsidR="00864838" w:rsidRPr="00864838" w:rsidRDefault="00864838" w:rsidP="008454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864838">
              <w:rPr>
                <w:rFonts w:ascii="Calibri" w:eastAsia="Times New Roman" w:hAnsi="Calibri" w:cs="Calibri"/>
                <w:i/>
                <w:sz w:val="18"/>
                <w:szCs w:val="18"/>
                <w:lang w:eastAsia="fr-FR"/>
              </w:rPr>
              <w:t>Dont traités par le schéma SDD CORE</w:t>
            </w:r>
          </w:p>
        </w:tc>
        <w:tc>
          <w:tcPr>
            <w:tcW w:w="2835" w:type="dxa"/>
            <w:tcBorders>
              <w:top w:val="single" w:sz="2" w:space="0" w:color="5B9BD5" w:themeColor="accent1"/>
              <w:left w:val="single" w:sz="2" w:space="0" w:color="5B9BD5" w:themeColor="accent1"/>
              <w:bottom w:val="single" w:sz="2" w:space="0" w:color="5B9BD5" w:themeColor="accent1"/>
            </w:tcBorders>
          </w:tcPr>
          <w:p w14:paraId="394D545C" w14:textId="36761E35" w:rsidR="00864838" w:rsidRDefault="00DD043D" w:rsidP="00554E7C">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Prélèvements traités selon les règles </w:t>
            </w:r>
            <w:r w:rsidR="00E74C9F">
              <w:rPr>
                <w:rFonts w:ascii="Calibri" w:eastAsia="Times New Roman" w:hAnsi="Calibri" w:cs="Calibri"/>
                <w:sz w:val="18"/>
                <w:szCs w:val="18"/>
                <w:lang w:eastAsia="fr-FR"/>
              </w:rPr>
              <w:t xml:space="preserve">du </w:t>
            </w:r>
            <w:r w:rsidR="00E74C9F" w:rsidRPr="00E74C9F">
              <w:rPr>
                <w:rFonts w:ascii="Calibri" w:eastAsia="Times New Roman" w:hAnsi="Calibri" w:cs="Calibri"/>
                <w:i/>
                <w:sz w:val="18"/>
                <w:szCs w:val="18"/>
                <w:lang w:eastAsia="fr-FR"/>
              </w:rPr>
              <w:t xml:space="preserve">Direct </w:t>
            </w:r>
            <w:proofErr w:type="spellStart"/>
            <w:r w:rsidR="00E74C9F" w:rsidRPr="00E74C9F">
              <w:rPr>
                <w:rFonts w:ascii="Calibri" w:eastAsia="Times New Roman" w:hAnsi="Calibri" w:cs="Calibri"/>
                <w:i/>
                <w:sz w:val="18"/>
                <w:szCs w:val="18"/>
                <w:lang w:eastAsia="fr-FR"/>
              </w:rPr>
              <w:t>Debit</w:t>
            </w:r>
            <w:proofErr w:type="spellEnd"/>
            <w:r w:rsidR="00E74C9F" w:rsidRPr="00E74C9F">
              <w:rPr>
                <w:rFonts w:ascii="Calibri" w:eastAsia="Times New Roman" w:hAnsi="Calibri" w:cs="Calibri"/>
                <w:i/>
                <w:sz w:val="18"/>
                <w:szCs w:val="18"/>
                <w:lang w:eastAsia="fr-FR"/>
              </w:rPr>
              <w:t xml:space="preserve"> </w:t>
            </w:r>
            <w:proofErr w:type="spellStart"/>
            <w:r w:rsidR="00E74C9F" w:rsidRPr="00E74C9F">
              <w:rPr>
                <w:rFonts w:ascii="Calibri" w:eastAsia="Times New Roman" w:hAnsi="Calibri" w:cs="Calibri"/>
                <w:i/>
                <w:sz w:val="18"/>
                <w:szCs w:val="18"/>
                <w:lang w:eastAsia="fr-FR"/>
              </w:rPr>
              <w:t>Payment</w:t>
            </w:r>
            <w:proofErr w:type="spellEnd"/>
            <w:r w:rsidR="00E74C9F" w:rsidRPr="00E74C9F">
              <w:rPr>
                <w:rFonts w:ascii="Calibri" w:eastAsia="Times New Roman" w:hAnsi="Calibri" w:cs="Calibri"/>
                <w:i/>
                <w:sz w:val="18"/>
                <w:szCs w:val="18"/>
                <w:lang w:eastAsia="fr-FR"/>
              </w:rPr>
              <w:t xml:space="preserve"> </w:t>
            </w:r>
            <w:proofErr w:type="spellStart"/>
            <w:r w:rsidR="00E74C9F" w:rsidRPr="00E74C9F">
              <w:rPr>
                <w:rFonts w:ascii="Calibri" w:eastAsia="Times New Roman" w:hAnsi="Calibri" w:cs="Calibri"/>
                <w:i/>
                <w:sz w:val="18"/>
                <w:szCs w:val="18"/>
                <w:lang w:eastAsia="fr-FR"/>
              </w:rPr>
              <w:t>scheme</w:t>
            </w:r>
            <w:proofErr w:type="spellEnd"/>
            <w:r w:rsidR="00E74C9F" w:rsidRPr="00E74C9F">
              <w:rPr>
                <w:rFonts w:ascii="Calibri" w:eastAsia="Times New Roman" w:hAnsi="Calibri" w:cs="Calibri"/>
                <w:i/>
                <w:sz w:val="18"/>
                <w:szCs w:val="18"/>
                <w:lang w:eastAsia="fr-FR"/>
              </w:rPr>
              <w:t>.</w:t>
            </w:r>
          </w:p>
        </w:tc>
        <w:tc>
          <w:tcPr>
            <w:tcW w:w="1276" w:type="dxa"/>
            <w:vMerge/>
            <w:noWrap/>
          </w:tcPr>
          <w:p w14:paraId="66AA1C2B" w14:textId="77777777"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bottom w:val="single" w:sz="2" w:space="0" w:color="5B9BD5" w:themeColor="accent1"/>
              <w:right w:val="single" w:sz="2" w:space="0" w:color="5B9BD5" w:themeColor="accent1"/>
            </w:tcBorders>
          </w:tcPr>
          <w:p w14:paraId="27079A27" w14:textId="77777777"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2" w:space="0" w:color="5B9BD5" w:themeColor="accent1"/>
            </w:tcBorders>
          </w:tcPr>
          <w:p w14:paraId="69B19FA9" w14:textId="77777777"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64838" w:rsidRPr="00E74C9F" w14:paraId="566DC134" w14:textId="77777777" w:rsidTr="004E68CF">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37D7ECE5" w14:textId="77777777" w:rsidR="00864838" w:rsidRPr="00555289" w:rsidRDefault="00864838" w:rsidP="00864838">
            <w:pPr>
              <w:rPr>
                <w:rFonts w:ascii="Calibri" w:eastAsia="Times New Roman" w:hAnsi="Calibri" w:cs="Calibri"/>
                <w:i/>
                <w:sz w:val="18"/>
                <w:szCs w:val="18"/>
                <w:lang w:eastAsia="fr-FR"/>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1A7E455" w14:textId="77777777" w:rsidR="00864838" w:rsidRPr="00555289" w:rsidRDefault="00864838" w:rsidP="0086483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2415"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0EF743C" w14:textId="5A0F9125" w:rsidR="00864838" w:rsidRPr="00864838" w:rsidRDefault="00864838" w:rsidP="0086483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864838">
              <w:rPr>
                <w:rFonts w:ascii="Calibri" w:eastAsia="Times New Roman" w:hAnsi="Calibri" w:cs="Calibri"/>
                <w:i/>
                <w:sz w:val="18"/>
                <w:szCs w:val="18"/>
                <w:lang w:eastAsia="fr-FR"/>
              </w:rPr>
              <w:t>Dont traités par le schéma SDD B2B</w:t>
            </w:r>
          </w:p>
        </w:tc>
        <w:tc>
          <w:tcPr>
            <w:tcW w:w="2835" w:type="dxa"/>
            <w:tcBorders>
              <w:top w:val="single" w:sz="2" w:space="0" w:color="5B9BD5" w:themeColor="accent1"/>
              <w:left w:val="single" w:sz="2" w:space="0" w:color="5B9BD5" w:themeColor="accent1"/>
              <w:bottom w:val="single" w:sz="2" w:space="0" w:color="5B9BD5" w:themeColor="accent1"/>
            </w:tcBorders>
          </w:tcPr>
          <w:p w14:paraId="0D4AF63F" w14:textId="326C3AA6" w:rsidR="00864838" w:rsidRPr="00E74C9F" w:rsidRDefault="00E74C9F"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Prélèvements traités selon les règles du </w:t>
            </w:r>
            <w:r w:rsidRPr="00E74C9F">
              <w:rPr>
                <w:rFonts w:ascii="Calibri" w:eastAsia="Times New Roman" w:hAnsi="Calibri" w:cs="Calibri"/>
                <w:i/>
                <w:sz w:val="18"/>
                <w:szCs w:val="18"/>
                <w:lang w:eastAsia="fr-FR"/>
              </w:rPr>
              <w:t xml:space="preserve">SEPA Direct </w:t>
            </w:r>
            <w:proofErr w:type="spellStart"/>
            <w:r w:rsidRPr="00E74C9F">
              <w:rPr>
                <w:rFonts w:ascii="Calibri" w:eastAsia="Times New Roman" w:hAnsi="Calibri" w:cs="Calibri"/>
                <w:i/>
                <w:sz w:val="18"/>
                <w:szCs w:val="18"/>
                <w:lang w:eastAsia="fr-FR"/>
              </w:rPr>
              <w:t>Debit</w:t>
            </w:r>
            <w:proofErr w:type="spellEnd"/>
            <w:r w:rsidRPr="00E74C9F">
              <w:rPr>
                <w:rFonts w:ascii="Calibri" w:eastAsia="Times New Roman" w:hAnsi="Calibri" w:cs="Calibri"/>
                <w:i/>
                <w:sz w:val="18"/>
                <w:szCs w:val="18"/>
                <w:lang w:eastAsia="fr-FR"/>
              </w:rPr>
              <w:t xml:space="preserve"> Business-to-Business</w:t>
            </w:r>
            <w:r>
              <w:rPr>
                <w:rFonts w:ascii="Calibri" w:eastAsia="Times New Roman" w:hAnsi="Calibri" w:cs="Calibri"/>
                <w:i/>
                <w:sz w:val="18"/>
                <w:szCs w:val="18"/>
                <w:lang w:eastAsia="fr-FR"/>
              </w:rPr>
              <w:t>.</w:t>
            </w:r>
          </w:p>
        </w:tc>
        <w:tc>
          <w:tcPr>
            <w:tcW w:w="1276" w:type="dxa"/>
            <w:vMerge/>
            <w:noWrap/>
          </w:tcPr>
          <w:p w14:paraId="0FD57734" w14:textId="77777777" w:rsidR="00864838" w:rsidRPr="00E74C9F"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bottom w:val="single" w:sz="2" w:space="0" w:color="5B9BD5" w:themeColor="accent1"/>
              <w:right w:val="single" w:sz="2" w:space="0" w:color="5B9BD5" w:themeColor="accent1"/>
            </w:tcBorders>
          </w:tcPr>
          <w:p w14:paraId="0B4AAEBB" w14:textId="77777777" w:rsidR="00864838" w:rsidRPr="00E74C9F"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2" w:space="0" w:color="5B9BD5" w:themeColor="accent1"/>
            </w:tcBorders>
          </w:tcPr>
          <w:p w14:paraId="4B1DEF2F" w14:textId="77777777" w:rsidR="00864838" w:rsidRPr="00E74C9F"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64838" w:rsidRPr="00BB7ACB" w14:paraId="673B78DF" w14:textId="77777777"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18" w:space="0" w:color="5B9BD5" w:themeColor="accent1"/>
              <w:right w:val="single" w:sz="2" w:space="0" w:color="5B9BD5" w:themeColor="accent1"/>
            </w:tcBorders>
            <w:noWrap/>
          </w:tcPr>
          <w:p w14:paraId="56FA221A" w14:textId="77777777" w:rsidR="00864838" w:rsidRPr="00555289" w:rsidRDefault="00864838" w:rsidP="00864838">
            <w:pPr>
              <w:rPr>
                <w:rFonts w:ascii="Calibri" w:eastAsia="Times New Roman" w:hAnsi="Calibri" w:cs="Calibri"/>
                <w:i/>
                <w:sz w:val="18"/>
                <w:szCs w:val="18"/>
                <w:lang w:eastAsia="fr-FR"/>
              </w:rPr>
            </w:pPr>
          </w:p>
        </w:tc>
        <w:tc>
          <w:tcPr>
            <w:tcW w:w="283"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54FB2832" w14:textId="77777777" w:rsidR="00864838" w:rsidRPr="00555289" w:rsidRDefault="00864838" w:rsidP="008648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2415"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4241DD75" w14:textId="75E5DFA7" w:rsidR="00864838" w:rsidRPr="00864838" w:rsidRDefault="00864838" w:rsidP="008648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864838">
              <w:rPr>
                <w:rFonts w:ascii="Calibri" w:eastAsia="Times New Roman" w:hAnsi="Calibri" w:cs="Calibri"/>
                <w:i/>
                <w:sz w:val="18"/>
                <w:szCs w:val="18"/>
                <w:lang w:eastAsia="fr-FR"/>
              </w:rPr>
              <w:t>Dont traités par un schéma non SEPA- non applicable</w:t>
            </w:r>
          </w:p>
        </w:tc>
        <w:tc>
          <w:tcPr>
            <w:tcW w:w="2835" w:type="dxa"/>
            <w:tcBorders>
              <w:top w:val="single" w:sz="2" w:space="0" w:color="5B9BD5" w:themeColor="accent1"/>
              <w:left w:val="single" w:sz="2" w:space="0" w:color="5B9BD5" w:themeColor="accent1"/>
              <w:bottom w:val="single" w:sz="18" w:space="0" w:color="5B9BD5" w:themeColor="accent1"/>
            </w:tcBorders>
          </w:tcPr>
          <w:p w14:paraId="73D99C6E" w14:textId="307375E5" w:rsidR="00864838" w:rsidRDefault="004A64CE"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Prélèvements non traités selon les règles SEPA.</w:t>
            </w:r>
          </w:p>
        </w:tc>
        <w:tc>
          <w:tcPr>
            <w:tcW w:w="1276" w:type="dxa"/>
            <w:vMerge/>
            <w:noWrap/>
          </w:tcPr>
          <w:p w14:paraId="7E531A5F" w14:textId="77777777"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bottom w:val="single" w:sz="18" w:space="0" w:color="5B9BD5" w:themeColor="accent1"/>
              <w:right w:val="single" w:sz="2" w:space="0" w:color="5B9BD5" w:themeColor="accent1"/>
            </w:tcBorders>
          </w:tcPr>
          <w:p w14:paraId="5527BCCD" w14:textId="77777777"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18" w:space="0" w:color="5B9BD5" w:themeColor="accent1"/>
            </w:tcBorders>
          </w:tcPr>
          <w:p w14:paraId="7082DBE9" w14:textId="77777777"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64838" w:rsidRPr="00BB7ACB" w14:paraId="2185034B" w14:textId="4C2CC9D0" w:rsidTr="004E68CF">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18" w:space="0" w:color="5B9BD5" w:themeColor="accent1"/>
              <w:bottom w:val="single" w:sz="2" w:space="0" w:color="5B9BD5" w:themeColor="accent1"/>
              <w:right w:val="single" w:sz="2" w:space="0" w:color="5B9BD5" w:themeColor="accent1"/>
            </w:tcBorders>
            <w:noWrap/>
          </w:tcPr>
          <w:p w14:paraId="4EA2AA40" w14:textId="5D53EA33" w:rsidR="00864838" w:rsidRPr="00555289" w:rsidRDefault="00864838" w:rsidP="00864838">
            <w:pPr>
              <w:rPr>
                <w:rFonts w:ascii="Calibri" w:eastAsia="Times New Roman" w:hAnsi="Calibri" w:cs="Calibri"/>
                <w:i/>
                <w:sz w:val="18"/>
                <w:szCs w:val="18"/>
                <w:lang w:eastAsia="fr-FR"/>
              </w:rPr>
            </w:pPr>
          </w:p>
        </w:tc>
        <w:tc>
          <w:tcPr>
            <w:tcW w:w="2698" w:type="dxa"/>
            <w:gridSpan w:val="2"/>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hideMark/>
          </w:tcPr>
          <w:p w14:paraId="516A3F00" w14:textId="048A032E" w:rsidR="00864838" w:rsidRPr="00555289" w:rsidRDefault="00864838" w:rsidP="0086483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555289">
              <w:rPr>
                <w:rFonts w:ascii="Calibri" w:eastAsia="Times New Roman" w:hAnsi="Calibri" w:cs="Calibri"/>
                <w:b/>
                <w:i/>
                <w:sz w:val="18"/>
                <w:szCs w:val="18"/>
                <w:lang w:eastAsia="fr-FR"/>
              </w:rPr>
              <w:t>Dont prélèvements consentis par mandat papier</w:t>
            </w:r>
          </w:p>
        </w:tc>
        <w:tc>
          <w:tcPr>
            <w:tcW w:w="2835" w:type="dxa"/>
            <w:tcBorders>
              <w:top w:val="single" w:sz="18" w:space="0" w:color="5B9BD5" w:themeColor="accent1"/>
              <w:left w:val="single" w:sz="2" w:space="0" w:color="5B9BD5" w:themeColor="accent1"/>
              <w:bottom w:val="single" w:sz="2" w:space="0" w:color="5B9BD5" w:themeColor="accent1"/>
            </w:tcBorders>
          </w:tcPr>
          <w:p w14:paraId="73FFD676" w14:textId="368012DD" w:rsidR="00864838" w:rsidRPr="00555289" w:rsidRDefault="00B13401"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B13401">
              <w:rPr>
                <w:rFonts w:ascii="Calibri" w:eastAsia="Times New Roman" w:hAnsi="Calibri" w:cs="Calibri"/>
                <w:sz w:val="18"/>
                <w:szCs w:val="18"/>
                <w:lang w:eastAsia="fr-FR"/>
              </w:rPr>
              <w:t>Mandat de prélèvement collecté par un canal de type : courrier, formulaire, courriel, télécopie ou téléphone. Ces canaux ont en commun de nécessiter la re-saisie des instructions de paiement du payeur.</w:t>
            </w:r>
          </w:p>
        </w:tc>
        <w:tc>
          <w:tcPr>
            <w:tcW w:w="1276" w:type="dxa"/>
            <w:vMerge/>
            <w:noWrap/>
          </w:tcPr>
          <w:p w14:paraId="38D3698C" w14:textId="0E78A445" w:rsidR="00864838" w:rsidRPr="00555289"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2" w:space="0" w:color="5B9BD5" w:themeColor="accent1"/>
              <w:right w:val="single" w:sz="2" w:space="0" w:color="5B9BD5" w:themeColor="accent1"/>
            </w:tcBorders>
          </w:tcPr>
          <w:p w14:paraId="245C1E5C" w14:textId="77777777" w:rsidR="00864838" w:rsidRPr="00555289"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2" w:space="0" w:color="5B9BD5" w:themeColor="accent1"/>
              <w:bottom w:val="single" w:sz="2" w:space="0" w:color="5B9BD5" w:themeColor="accent1"/>
            </w:tcBorders>
          </w:tcPr>
          <w:p w14:paraId="6D46FF9C" w14:textId="77777777" w:rsidR="00864838" w:rsidRPr="00555289"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64838" w:rsidRPr="00BB7ACB" w14:paraId="650FEE7F" w14:textId="57C8F5B6"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06DC0926" w14:textId="503E0148" w:rsidR="00864838" w:rsidRPr="00555289" w:rsidRDefault="00864838" w:rsidP="00864838">
            <w:pPr>
              <w:rPr>
                <w:rFonts w:ascii="Calibri" w:eastAsia="Times New Roman" w:hAnsi="Calibri" w:cs="Calibri"/>
                <w:i/>
                <w:sz w:val="18"/>
                <w:szCs w:val="18"/>
                <w:lang w:eastAsia="fr-FR"/>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4257B36C" w14:textId="75C40018" w:rsidR="00864838" w:rsidRPr="00555289" w:rsidRDefault="00864838" w:rsidP="008648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415"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hideMark/>
          </w:tcPr>
          <w:p w14:paraId="398B0E0D" w14:textId="52A4080E" w:rsidR="00864838" w:rsidRPr="00555289" w:rsidRDefault="00864838" w:rsidP="008648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864838">
              <w:rPr>
                <w:rFonts w:ascii="Calibri" w:eastAsia="Times New Roman" w:hAnsi="Calibri" w:cs="Calibri"/>
                <w:i/>
                <w:sz w:val="18"/>
                <w:szCs w:val="18"/>
                <w:lang w:eastAsia="fr-FR"/>
              </w:rPr>
              <w:t>Dont traités par le schéma SDD CORE</w:t>
            </w:r>
          </w:p>
        </w:tc>
        <w:tc>
          <w:tcPr>
            <w:tcW w:w="2835" w:type="dxa"/>
            <w:tcBorders>
              <w:top w:val="single" w:sz="2" w:space="0" w:color="5B9BD5" w:themeColor="accent1"/>
              <w:left w:val="single" w:sz="2" w:space="0" w:color="5B9BD5" w:themeColor="accent1"/>
              <w:bottom w:val="single" w:sz="2" w:space="0" w:color="5B9BD5" w:themeColor="accent1"/>
            </w:tcBorders>
          </w:tcPr>
          <w:p w14:paraId="26A6DE11" w14:textId="4D77E435" w:rsidR="00864838" w:rsidRPr="00555289" w:rsidRDefault="00E74C9F"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Prélèvements traités selon les règles du </w:t>
            </w:r>
            <w:r w:rsidRPr="00E74C9F">
              <w:rPr>
                <w:rFonts w:ascii="Calibri" w:eastAsia="Times New Roman" w:hAnsi="Calibri" w:cs="Calibri"/>
                <w:i/>
                <w:sz w:val="18"/>
                <w:szCs w:val="18"/>
                <w:lang w:eastAsia="fr-FR"/>
              </w:rPr>
              <w:t xml:space="preserve">Direct </w:t>
            </w:r>
            <w:proofErr w:type="spellStart"/>
            <w:r w:rsidRPr="00E74C9F">
              <w:rPr>
                <w:rFonts w:ascii="Calibri" w:eastAsia="Times New Roman" w:hAnsi="Calibri" w:cs="Calibri"/>
                <w:i/>
                <w:sz w:val="18"/>
                <w:szCs w:val="18"/>
                <w:lang w:eastAsia="fr-FR"/>
              </w:rPr>
              <w:t>Debit</w:t>
            </w:r>
            <w:proofErr w:type="spellEnd"/>
            <w:r w:rsidRPr="00E74C9F">
              <w:rPr>
                <w:rFonts w:ascii="Calibri" w:eastAsia="Times New Roman" w:hAnsi="Calibri" w:cs="Calibri"/>
                <w:i/>
                <w:sz w:val="18"/>
                <w:szCs w:val="18"/>
                <w:lang w:eastAsia="fr-FR"/>
              </w:rPr>
              <w:t xml:space="preserve"> </w:t>
            </w:r>
            <w:proofErr w:type="spellStart"/>
            <w:r w:rsidRPr="00E74C9F">
              <w:rPr>
                <w:rFonts w:ascii="Calibri" w:eastAsia="Times New Roman" w:hAnsi="Calibri" w:cs="Calibri"/>
                <w:i/>
                <w:sz w:val="18"/>
                <w:szCs w:val="18"/>
                <w:lang w:eastAsia="fr-FR"/>
              </w:rPr>
              <w:t>Payment</w:t>
            </w:r>
            <w:proofErr w:type="spellEnd"/>
            <w:r w:rsidRPr="00E74C9F">
              <w:rPr>
                <w:rFonts w:ascii="Calibri" w:eastAsia="Times New Roman" w:hAnsi="Calibri" w:cs="Calibri"/>
                <w:i/>
                <w:sz w:val="18"/>
                <w:szCs w:val="18"/>
                <w:lang w:eastAsia="fr-FR"/>
              </w:rPr>
              <w:t xml:space="preserve"> </w:t>
            </w:r>
            <w:proofErr w:type="spellStart"/>
            <w:r w:rsidRPr="00E74C9F">
              <w:rPr>
                <w:rFonts w:ascii="Calibri" w:eastAsia="Times New Roman" w:hAnsi="Calibri" w:cs="Calibri"/>
                <w:i/>
                <w:sz w:val="18"/>
                <w:szCs w:val="18"/>
                <w:lang w:eastAsia="fr-FR"/>
              </w:rPr>
              <w:t>scheme</w:t>
            </w:r>
            <w:proofErr w:type="spellEnd"/>
            <w:r w:rsidRPr="00E74C9F">
              <w:rPr>
                <w:rFonts w:ascii="Calibri" w:eastAsia="Times New Roman" w:hAnsi="Calibri" w:cs="Calibri"/>
                <w:i/>
                <w:sz w:val="18"/>
                <w:szCs w:val="18"/>
                <w:lang w:eastAsia="fr-FR"/>
              </w:rPr>
              <w:t>.</w:t>
            </w:r>
          </w:p>
        </w:tc>
        <w:tc>
          <w:tcPr>
            <w:tcW w:w="1276" w:type="dxa"/>
            <w:vMerge/>
            <w:noWrap/>
          </w:tcPr>
          <w:p w14:paraId="6AA207BE" w14:textId="45429F84"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bottom w:val="single" w:sz="2" w:space="0" w:color="5B9BD5" w:themeColor="accent1"/>
              <w:right w:val="single" w:sz="2" w:space="0" w:color="5B9BD5" w:themeColor="accent1"/>
            </w:tcBorders>
          </w:tcPr>
          <w:p w14:paraId="53147EB3" w14:textId="77777777"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2" w:space="0" w:color="5B9BD5" w:themeColor="accent1"/>
            </w:tcBorders>
          </w:tcPr>
          <w:p w14:paraId="538732A3" w14:textId="77777777"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64838" w:rsidRPr="00BB7ACB" w14:paraId="0A72E51F" w14:textId="04AE8A29" w:rsidTr="004E68CF">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2F3D5C3F" w14:textId="7B4489DB" w:rsidR="00864838" w:rsidRPr="00555289" w:rsidRDefault="00864838" w:rsidP="00864838">
            <w:pPr>
              <w:rPr>
                <w:rFonts w:ascii="Calibri" w:eastAsia="Times New Roman" w:hAnsi="Calibri" w:cs="Calibri"/>
                <w:i/>
                <w:sz w:val="18"/>
                <w:szCs w:val="18"/>
                <w:lang w:eastAsia="fr-FR"/>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6008BC1E" w14:textId="0F69A18E" w:rsidR="00864838" w:rsidRPr="00555289" w:rsidRDefault="00864838" w:rsidP="0086483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415"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hideMark/>
          </w:tcPr>
          <w:p w14:paraId="4A25C5EE" w14:textId="1D0B7E76" w:rsidR="00864838" w:rsidRPr="00555289" w:rsidRDefault="00864838" w:rsidP="0086483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864838">
              <w:rPr>
                <w:rFonts w:ascii="Calibri" w:eastAsia="Times New Roman" w:hAnsi="Calibri" w:cs="Calibri"/>
                <w:i/>
                <w:sz w:val="18"/>
                <w:szCs w:val="18"/>
                <w:lang w:eastAsia="fr-FR"/>
              </w:rPr>
              <w:t>Dont traités par le schéma SDD B2B</w:t>
            </w:r>
          </w:p>
        </w:tc>
        <w:tc>
          <w:tcPr>
            <w:tcW w:w="2835" w:type="dxa"/>
            <w:tcBorders>
              <w:top w:val="single" w:sz="2" w:space="0" w:color="5B9BD5" w:themeColor="accent1"/>
              <w:left w:val="single" w:sz="2" w:space="0" w:color="5B9BD5" w:themeColor="accent1"/>
              <w:bottom w:val="single" w:sz="2" w:space="0" w:color="5B9BD5" w:themeColor="accent1"/>
            </w:tcBorders>
          </w:tcPr>
          <w:p w14:paraId="26271F0B" w14:textId="664DBEE2" w:rsidR="00864838" w:rsidRPr="00555289" w:rsidRDefault="00E74C9F"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Prélèvements traités selon les règles du </w:t>
            </w:r>
            <w:r w:rsidRPr="00E74C9F">
              <w:rPr>
                <w:rFonts w:ascii="Calibri" w:eastAsia="Times New Roman" w:hAnsi="Calibri" w:cs="Calibri"/>
                <w:i/>
                <w:sz w:val="18"/>
                <w:szCs w:val="18"/>
                <w:lang w:eastAsia="fr-FR"/>
              </w:rPr>
              <w:t xml:space="preserve">SEPA Direct </w:t>
            </w:r>
            <w:proofErr w:type="spellStart"/>
            <w:r w:rsidRPr="00E74C9F">
              <w:rPr>
                <w:rFonts w:ascii="Calibri" w:eastAsia="Times New Roman" w:hAnsi="Calibri" w:cs="Calibri"/>
                <w:i/>
                <w:sz w:val="18"/>
                <w:szCs w:val="18"/>
                <w:lang w:eastAsia="fr-FR"/>
              </w:rPr>
              <w:t>Debit</w:t>
            </w:r>
            <w:proofErr w:type="spellEnd"/>
            <w:r w:rsidRPr="00E74C9F">
              <w:rPr>
                <w:rFonts w:ascii="Calibri" w:eastAsia="Times New Roman" w:hAnsi="Calibri" w:cs="Calibri"/>
                <w:i/>
                <w:sz w:val="18"/>
                <w:szCs w:val="18"/>
                <w:lang w:eastAsia="fr-FR"/>
              </w:rPr>
              <w:t xml:space="preserve"> Business-to-Business</w:t>
            </w:r>
            <w:r>
              <w:rPr>
                <w:rFonts w:ascii="Calibri" w:eastAsia="Times New Roman" w:hAnsi="Calibri" w:cs="Calibri"/>
                <w:i/>
                <w:sz w:val="18"/>
                <w:szCs w:val="18"/>
                <w:lang w:eastAsia="fr-FR"/>
              </w:rPr>
              <w:t>.</w:t>
            </w:r>
          </w:p>
        </w:tc>
        <w:tc>
          <w:tcPr>
            <w:tcW w:w="1276" w:type="dxa"/>
            <w:vMerge/>
            <w:noWrap/>
          </w:tcPr>
          <w:p w14:paraId="45DEABD5" w14:textId="27EE6A7D" w:rsidR="00864838" w:rsidRPr="00555289"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bottom w:val="single" w:sz="2" w:space="0" w:color="5B9BD5" w:themeColor="accent1"/>
              <w:right w:val="single" w:sz="2" w:space="0" w:color="5B9BD5" w:themeColor="accent1"/>
            </w:tcBorders>
          </w:tcPr>
          <w:p w14:paraId="3B8FB10F" w14:textId="77777777" w:rsidR="00864838" w:rsidRPr="00555289"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2" w:space="0" w:color="5B9BD5" w:themeColor="accent1"/>
            </w:tcBorders>
          </w:tcPr>
          <w:p w14:paraId="36F6EC6F" w14:textId="77777777" w:rsidR="00864838" w:rsidRPr="00555289"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64838" w:rsidRPr="00BB7ACB" w14:paraId="03D623C6" w14:textId="39D9383D" w:rsidTr="009E45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18" w:space="0" w:color="5B9BD5" w:themeColor="accent1"/>
              <w:right w:val="single" w:sz="2" w:space="0" w:color="5B9BD5" w:themeColor="accent1"/>
            </w:tcBorders>
            <w:noWrap/>
          </w:tcPr>
          <w:p w14:paraId="74CC8876" w14:textId="626775F6" w:rsidR="00864838" w:rsidRPr="00555289" w:rsidRDefault="00864838" w:rsidP="00864838">
            <w:pPr>
              <w:rPr>
                <w:rFonts w:ascii="Calibri" w:eastAsia="Times New Roman" w:hAnsi="Calibri" w:cs="Calibri"/>
                <w:i/>
                <w:sz w:val="18"/>
                <w:szCs w:val="18"/>
                <w:lang w:eastAsia="fr-FR"/>
              </w:rPr>
            </w:pPr>
          </w:p>
        </w:tc>
        <w:tc>
          <w:tcPr>
            <w:tcW w:w="283"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659C0B87" w14:textId="3625531B" w:rsidR="00864838" w:rsidRPr="00555289" w:rsidRDefault="00864838" w:rsidP="008648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415"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hideMark/>
          </w:tcPr>
          <w:p w14:paraId="2E733334" w14:textId="68EACB88" w:rsidR="00864838" w:rsidRPr="00555289" w:rsidRDefault="00864838" w:rsidP="008648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864838">
              <w:rPr>
                <w:rFonts w:ascii="Calibri" w:eastAsia="Times New Roman" w:hAnsi="Calibri" w:cs="Calibri"/>
                <w:i/>
                <w:sz w:val="18"/>
                <w:szCs w:val="18"/>
                <w:lang w:eastAsia="fr-FR"/>
              </w:rPr>
              <w:t>Dont traités par un schéma non SEPA- non applicable</w:t>
            </w:r>
          </w:p>
        </w:tc>
        <w:tc>
          <w:tcPr>
            <w:tcW w:w="2835" w:type="dxa"/>
            <w:tcBorders>
              <w:top w:val="single" w:sz="2" w:space="0" w:color="5B9BD5" w:themeColor="accent1"/>
              <w:left w:val="single" w:sz="2" w:space="0" w:color="5B9BD5" w:themeColor="accent1"/>
              <w:bottom w:val="single" w:sz="18" w:space="0" w:color="5B9BD5" w:themeColor="accent1"/>
            </w:tcBorders>
          </w:tcPr>
          <w:p w14:paraId="148020B8" w14:textId="2F4A0202" w:rsidR="00864838" w:rsidRPr="00555289" w:rsidRDefault="004A64CE"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Prélèvements non traités selon les règles SEPA.</w:t>
            </w:r>
          </w:p>
        </w:tc>
        <w:tc>
          <w:tcPr>
            <w:tcW w:w="1276" w:type="dxa"/>
            <w:vMerge/>
            <w:tcBorders>
              <w:bottom w:val="single" w:sz="18" w:space="0" w:color="5B9BD5" w:themeColor="accent1"/>
            </w:tcBorders>
            <w:noWrap/>
          </w:tcPr>
          <w:p w14:paraId="1273E99F" w14:textId="00780798"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bottom w:val="single" w:sz="18" w:space="0" w:color="5B9BD5" w:themeColor="accent1"/>
              <w:right w:val="single" w:sz="2" w:space="0" w:color="5B9BD5" w:themeColor="accent1"/>
            </w:tcBorders>
          </w:tcPr>
          <w:p w14:paraId="1794E1DE" w14:textId="77777777"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18" w:space="0" w:color="5B9BD5" w:themeColor="accent1"/>
            </w:tcBorders>
          </w:tcPr>
          <w:p w14:paraId="5D4F54CD" w14:textId="77777777"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bl>
    <w:p w14:paraId="2E5BC994" w14:textId="77777777" w:rsidR="00433BE2" w:rsidRDefault="00433BE2" w:rsidP="00433BE2">
      <w:pPr>
        <w:pStyle w:val="Paragraphedeliste"/>
        <w:autoSpaceDE w:val="0"/>
        <w:autoSpaceDN w:val="0"/>
        <w:adjustRightInd w:val="0"/>
        <w:spacing w:after="0" w:line="240" w:lineRule="auto"/>
        <w:jc w:val="both"/>
        <w:rPr>
          <w:rFonts w:cstheme="minorHAnsi"/>
        </w:rPr>
      </w:pPr>
    </w:p>
    <w:p w14:paraId="12510A0F" w14:textId="77777777" w:rsidR="00433BE2" w:rsidRPr="004E58CA" w:rsidRDefault="00433BE2"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49FBAC61" w14:textId="6205B05A" w:rsidR="00433BE2" w:rsidRPr="00973A94" w:rsidRDefault="00433BE2" w:rsidP="00433BE2">
      <w:pPr>
        <w:pStyle w:val="Paragraphedeliste"/>
        <w:autoSpaceDE w:val="0"/>
        <w:autoSpaceDN w:val="0"/>
        <w:adjustRightInd w:val="0"/>
        <w:spacing w:after="0" w:line="240" w:lineRule="auto"/>
        <w:jc w:val="both"/>
        <w:rPr>
          <w:rFonts w:cstheme="minorHAnsi"/>
        </w:rPr>
      </w:pPr>
    </w:p>
    <w:p w14:paraId="0F4B5167" w14:textId="0DBA12CA" w:rsidR="001C08FB" w:rsidRPr="00BC1AB1" w:rsidRDefault="001C08FB" w:rsidP="00594FDC">
      <w:pPr>
        <w:pStyle w:val="Paragraphedeliste"/>
        <w:numPr>
          <w:ilvl w:val="0"/>
          <w:numId w:val="3"/>
        </w:numPr>
        <w:autoSpaceDE w:val="0"/>
        <w:autoSpaceDN w:val="0"/>
        <w:adjustRightInd w:val="0"/>
        <w:spacing w:after="0" w:line="240" w:lineRule="auto"/>
        <w:jc w:val="both"/>
        <w:rPr>
          <w:rFonts w:cstheme="minorHAnsi"/>
        </w:rPr>
      </w:pPr>
      <w:r w:rsidRPr="00BC1AB1">
        <w:rPr>
          <w:rFonts w:cstheme="minorHAnsi"/>
        </w:rPr>
        <w:t>Les règles de contrôle suivantes doivent être app</w:t>
      </w:r>
      <w:r w:rsidR="00E06F9C">
        <w:rPr>
          <w:rFonts w:cstheme="minorHAnsi"/>
        </w:rPr>
        <w:t>liquées en nombre et en valeur.</w:t>
      </w:r>
    </w:p>
    <w:p w14:paraId="2E1B0D96" w14:textId="46D8562B" w:rsidR="001C08FB" w:rsidRDefault="001C08FB" w:rsidP="00433BE2">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3D401A" w:rsidRPr="006D1216" w14:paraId="70650962" w14:textId="77777777" w:rsidTr="004E68CF">
        <w:tc>
          <w:tcPr>
            <w:tcW w:w="9054" w:type="dxa"/>
          </w:tcPr>
          <w:p w14:paraId="1945D7EC" w14:textId="519B1C1B" w:rsidR="003D401A" w:rsidRPr="004E58CA" w:rsidRDefault="003D401A" w:rsidP="003D401A">
            <w:pPr>
              <w:pStyle w:val="Paragraphedeliste"/>
              <w:autoSpaceDE w:val="0"/>
              <w:autoSpaceDN w:val="0"/>
              <w:adjustRightInd w:val="0"/>
              <w:ind w:left="0"/>
              <w:jc w:val="both"/>
              <w:rPr>
                <w:sz w:val="18"/>
              </w:rPr>
            </w:pPr>
            <w:r>
              <w:rPr>
                <w:rFonts w:cstheme="minorHAnsi"/>
                <w:sz w:val="18"/>
                <w:szCs w:val="18"/>
              </w:rPr>
              <w:t xml:space="preserve">Le total de chaque indicateur est = à la somme des trois sous-ventilations géographiques associées (France, au sein de l’EEE et </w:t>
            </w:r>
            <w:r w:rsidRPr="000945DD">
              <w:rPr>
                <w:rFonts w:cstheme="minorHAnsi"/>
                <w:sz w:val="18"/>
                <w:szCs w:val="18"/>
              </w:rPr>
              <w:t>hors de l’EEE</w:t>
            </w:r>
            <w:r w:rsidR="00481F53">
              <w:rPr>
                <w:rFonts w:cstheme="minorHAnsi"/>
                <w:sz w:val="18"/>
                <w:szCs w:val="18"/>
              </w:rPr>
              <w:t>)</w:t>
            </w:r>
            <w:r w:rsidRPr="000945DD">
              <w:rPr>
                <w:rFonts w:cstheme="minorHAnsi"/>
                <w:sz w:val="18"/>
                <w:szCs w:val="18"/>
              </w:rPr>
              <w:t>.</w:t>
            </w:r>
          </w:p>
        </w:tc>
      </w:tr>
      <w:tr w:rsidR="003D401A" w:rsidRPr="005771F5" w14:paraId="5C64BEE7" w14:textId="77777777" w:rsidTr="004E68CF">
        <w:tc>
          <w:tcPr>
            <w:tcW w:w="9054" w:type="dxa"/>
          </w:tcPr>
          <w:p w14:paraId="6F25DE8C" w14:textId="41AA7FE1" w:rsidR="003D401A" w:rsidRPr="004E58CA" w:rsidRDefault="003D401A" w:rsidP="003D401A">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3D401A" w:rsidRPr="00FD1FD6" w14:paraId="67353F71" w14:textId="77777777" w:rsidTr="004E68CF">
        <w:tc>
          <w:tcPr>
            <w:tcW w:w="9054" w:type="dxa"/>
          </w:tcPr>
          <w:p w14:paraId="1FFC9B0E" w14:textId="6A8B843E" w:rsidR="003D401A" w:rsidRPr="004E58CA" w:rsidRDefault="003D401A" w:rsidP="003D401A">
            <w:pPr>
              <w:pStyle w:val="Paragraphedeliste"/>
              <w:autoSpaceDE w:val="0"/>
              <w:autoSpaceDN w:val="0"/>
              <w:adjustRightInd w:val="0"/>
              <w:ind w:left="0"/>
              <w:jc w:val="both"/>
              <w:rPr>
                <w:sz w:val="18"/>
              </w:rPr>
            </w:pPr>
            <w:r>
              <w:rPr>
                <w:sz w:val="18"/>
              </w:rPr>
              <w:t xml:space="preserve">Le total des prélèvements </w:t>
            </w:r>
            <w:r w:rsidR="00481F53">
              <w:rPr>
                <w:sz w:val="18"/>
              </w:rPr>
              <w:t xml:space="preserve">émis </w:t>
            </w:r>
            <w:r>
              <w:rPr>
                <w:sz w:val="18"/>
              </w:rPr>
              <w:t>est = à la somme de ceux déclarés trimestriellement</w:t>
            </w:r>
            <w:r w:rsidR="000459A6">
              <w:rPr>
                <w:sz w:val="18"/>
              </w:rPr>
              <w:t xml:space="preserve"> au titre de la collecte « Déclaration trimestrielle des opérations impliquant des non –IFM)</w:t>
            </w:r>
            <w:r>
              <w:rPr>
                <w:sz w:val="18"/>
              </w:rPr>
              <w:t>.</w:t>
            </w:r>
          </w:p>
        </w:tc>
      </w:tr>
      <w:tr w:rsidR="003D401A" w:rsidRPr="007C75F3" w14:paraId="0F5C08C9" w14:textId="77777777" w:rsidTr="004E68CF">
        <w:tc>
          <w:tcPr>
            <w:tcW w:w="9054" w:type="dxa"/>
          </w:tcPr>
          <w:p w14:paraId="648CF9E7" w14:textId="090B513B" w:rsidR="003D401A" w:rsidRPr="006D1216" w:rsidRDefault="003D401A" w:rsidP="00203B4F">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prélèvements </w:t>
            </w:r>
            <w:r w:rsidR="00481F53">
              <w:rPr>
                <w:rFonts w:cstheme="minorHAnsi"/>
                <w:sz w:val="18"/>
                <w:szCs w:val="18"/>
              </w:rPr>
              <w:t xml:space="preserve">émis </w:t>
            </w:r>
            <w:r>
              <w:rPr>
                <w:rFonts w:cstheme="minorHAnsi"/>
                <w:sz w:val="18"/>
                <w:szCs w:val="18"/>
              </w:rPr>
              <w:t xml:space="preserve">est = </w:t>
            </w:r>
            <w:r w:rsidR="00203B4F">
              <w:rPr>
                <w:rFonts w:cstheme="minorHAnsi"/>
                <w:sz w:val="18"/>
                <w:szCs w:val="18"/>
              </w:rPr>
              <w:t xml:space="preserve">au total </w:t>
            </w:r>
            <w:r>
              <w:rPr>
                <w:rFonts w:cstheme="minorHAnsi"/>
                <w:sz w:val="18"/>
                <w:szCs w:val="18"/>
              </w:rPr>
              <w:t xml:space="preserve">des prélèvements </w:t>
            </w:r>
            <w:r w:rsidR="00203B4F">
              <w:rPr>
                <w:rFonts w:cstheme="minorHAnsi"/>
                <w:sz w:val="18"/>
                <w:szCs w:val="18"/>
              </w:rPr>
              <w:t xml:space="preserve">initiés dans un fichier/lot + total des prélèvements initiés </w:t>
            </w:r>
            <w:r w:rsidRPr="00A675AF">
              <w:rPr>
                <w:rFonts w:cstheme="minorHAnsi"/>
                <w:sz w:val="18"/>
                <w:szCs w:val="18"/>
              </w:rPr>
              <w:t>sur la base d’un paiement unique</w:t>
            </w:r>
            <w:r w:rsidR="00203B4F">
              <w:rPr>
                <w:rFonts w:cstheme="minorHAnsi"/>
                <w:sz w:val="18"/>
                <w:szCs w:val="18"/>
              </w:rPr>
              <w:t>.</w:t>
            </w:r>
          </w:p>
        </w:tc>
      </w:tr>
      <w:tr w:rsidR="003D401A" w:rsidRPr="007C75F3" w14:paraId="008A6ECB" w14:textId="77777777" w:rsidTr="004E68CF">
        <w:tc>
          <w:tcPr>
            <w:tcW w:w="9054" w:type="dxa"/>
          </w:tcPr>
          <w:p w14:paraId="6A4552E8" w14:textId="257EDA8D" w:rsidR="003D401A" w:rsidRDefault="003D401A" w:rsidP="00203B4F">
            <w:pPr>
              <w:pStyle w:val="Paragraphedeliste"/>
              <w:autoSpaceDE w:val="0"/>
              <w:autoSpaceDN w:val="0"/>
              <w:adjustRightInd w:val="0"/>
              <w:ind w:left="0"/>
              <w:jc w:val="both"/>
              <w:rPr>
                <w:sz w:val="18"/>
              </w:rPr>
            </w:pPr>
            <w:r w:rsidRPr="006D1216">
              <w:rPr>
                <w:rFonts w:cstheme="minorHAnsi"/>
                <w:sz w:val="18"/>
                <w:szCs w:val="18"/>
              </w:rPr>
              <w:t>Le</w:t>
            </w:r>
            <w:r>
              <w:rPr>
                <w:rFonts w:cstheme="minorHAnsi"/>
                <w:sz w:val="18"/>
                <w:szCs w:val="18"/>
              </w:rPr>
              <w:t xml:space="preserve"> total des</w:t>
            </w:r>
            <w:r w:rsidRPr="006D1216">
              <w:rPr>
                <w:rFonts w:cstheme="minorHAnsi"/>
                <w:sz w:val="18"/>
                <w:szCs w:val="18"/>
              </w:rPr>
              <w:t xml:space="preserve"> prélèvements </w:t>
            </w:r>
            <w:r w:rsidR="00481F53">
              <w:rPr>
                <w:rFonts w:cstheme="minorHAnsi"/>
                <w:sz w:val="18"/>
                <w:szCs w:val="18"/>
              </w:rPr>
              <w:t xml:space="preserve">émis </w:t>
            </w:r>
            <w:r>
              <w:rPr>
                <w:rFonts w:cstheme="minorHAnsi"/>
                <w:sz w:val="18"/>
                <w:szCs w:val="18"/>
              </w:rPr>
              <w:t xml:space="preserve">est = </w:t>
            </w:r>
            <w:r w:rsidR="00203B4F">
              <w:rPr>
                <w:rFonts w:cstheme="minorHAnsi"/>
                <w:sz w:val="18"/>
                <w:szCs w:val="18"/>
              </w:rPr>
              <w:t xml:space="preserve">au total </w:t>
            </w:r>
            <w:r w:rsidRPr="006D1216">
              <w:rPr>
                <w:rFonts w:cstheme="minorHAnsi"/>
                <w:sz w:val="18"/>
                <w:szCs w:val="18"/>
              </w:rPr>
              <w:t xml:space="preserve">des prélèvements </w:t>
            </w:r>
            <w:r w:rsidR="00203B4F">
              <w:rPr>
                <w:rFonts w:cstheme="minorHAnsi"/>
                <w:sz w:val="18"/>
                <w:szCs w:val="18"/>
              </w:rPr>
              <w:t>consentis par mandat éle</w:t>
            </w:r>
            <w:r>
              <w:rPr>
                <w:rFonts w:cstheme="minorHAnsi"/>
                <w:sz w:val="18"/>
                <w:szCs w:val="18"/>
              </w:rPr>
              <w:t>ctronique</w:t>
            </w:r>
            <w:r w:rsidRPr="006D1216">
              <w:rPr>
                <w:rFonts w:cstheme="minorHAnsi"/>
                <w:sz w:val="18"/>
                <w:szCs w:val="18"/>
              </w:rPr>
              <w:t xml:space="preserve"> </w:t>
            </w:r>
            <w:r w:rsidR="00203B4F">
              <w:rPr>
                <w:rFonts w:cstheme="minorHAnsi"/>
                <w:sz w:val="18"/>
                <w:szCs w:val="18"/>
              </w:rPr>
              <w:t xml:space="preserve">+ total des prélèvements consentis par mandat </w:t>
            </w:r>
            <w:r>
              <w:rPr>
                <w:rFonts w:cstheme="minorHAnsi"/>
                <w:sz w:val="18"/>
                <w:szCs w:val="18"/>
              </w:rPr>
              <w:t>papi</w:t>
            </w:r>
            <w:r w:rsidRPr="006D1216">
              <w:rPr>
                <w:rFonts w:cstheme="minorHAnsi"/>
                <w:sz w:val="18"/>
                <w:szCs w:val="18"/>
              </w:rPr>
              <w:t>e</w:t>
            </w:r>
            <w:r>
              <w:rPr>
                <w:rFonts w:cstheme="minorHAnsi"/>
                <w:sz w:val="18"/>
                <w:szCs w:val="18"/>
              </w:rPr>
              <w:t>r</w:t>
            </w:r>
            <w:r w:rsidRPr="006D1216">
              <w:rPr>
                <w:rFonts w:cstheme="minorHAnsi"/>
                <w:sz w:val="18"/>
                <w:szCs w:val="18"/>
              </w:rPr>
              <w:t>.</w:t>
            </w:r>
          </w:p>
        </w:tc>
      </w:tr>
      <w:tr w:rsidR="003D401A" w:rsidRPr="007C75F3" w14:paraId="36830A07" w14:textId="77777777" w:rsidTr="004E68CF">
        <w:tc>
          <w:tcPr>
            <w:tcW w:w="9054" w:type="dxa"/>
          </w:tcPr>
          <w:p w14:paraId="00CFBFAD" w14:textId="5722E73D" w:rsidR="003D401A" w:rsidRPr="004E58CA" w:rsidRDefault="003D401A" w:rsidP="00481F53">
            <w:pPr>
              <w:pStyle w:val="Paragraphedeliste"/>
              <w:autoSpaceDE w:val="0"/>
              <w:autoSpaceDN w:val="0"/>
              <w:adjustRightInd w:val="0"/>
              <w:ind w:left="0"/>
              <w:jc w:val="both"/>
              <w:rPr>
                <w:sz w:val="18"/>
              </w:rPr>
            </w:pPr>
            <w:r>
              <w:rPr>
                <w:sz w:val="18"/>
              </w:rPr>
              <w:t xml:space="preserve">Le total des prélèvements consentis par mandat électronique est = à la somme de </w:t>
            </w:r>
            <w:r w:rsidR="00481F53">
              <w:rPr>
                <w:sz w:val="18"/>
              </w:rPr>
              <w:t>ces prélèvements ventilés par schéma de prélèvement</w:t>
            </w:r>
            <w:r>
              <w:rPr>
                <w:sz w:val="18"/>
              </w:rPr>
              <w:t>.</w:t>
            </w:r>
          </w:p>
        </w:tc>
      </w:tr>
      <w:tr w:rsidR="003D401A" w:rsidRPr="007C75F3" w14:paraId="6A5BCFA7" w14:textId="77777777" w:rsidTr="004E68CF">
        <w:tc>
          <w:tcPr>
            <w:tcW w:w="9054" w:type="dxa"/>
          </w:tcPr>
          <w:p w14:paraId="5C24780C" w14:textId="10A0EC4A" w:rsidR="003D401A" w:rsidRPr="004E58CA" w:rsidRDefault="003D401A" w:rsidP="00481F53">
            <w:pPr>
              <w:pStyle w:val="Paragraphedeliste"/>
              <w:autoSpaceDE w:val="0"/>
              <w:autoSpaceDN w:val="0"/>
              <w:adjustRightInd w:val="0"/>
              <w:ind w:left="0"/>
              <w:jc w:val="both"/>
              <w:rPr>
                <w:sz w:val="18"/>
              </w:rPr>
            </w:pPr>
            <w:r>
              <w:rPr>
                <w:sz w:val="18"/>
              </w:rPr>
              <w:t xml:space="preserve">Le total des prélèvements consentis par mandat papier est = à la somme de </w:t>
            </w:r>
            <w:r w:rsidR="00481F53">
              <w:rPr>
                <w:sz w:val="18"/>
              </w:rPr>
              <w:t xml:space="preserve">ces prélèvements ventilés </w:t>
            </w:r>
            <w:r>
              <w:rPr>
                <w:sz w:val="18"/>
              </w:rPr>
              <w:t xml:space="preserve">par schéma de </w:t>
            </w:r>
            <w:r w:rsidR="00481F53">
              <w:rPr>
                <w:sz w:val="18"/>
              </w:rPr>
              <w:t>prélèvement</w:t>
            </w:r>
            <w:r>
              <w:rPr>
                <w:sz w:val="18"/>
              </w:rPr>
              <w:t>.</w:t>
            </w:r>
          </w:p>
        </w:tc>
      </w:tr>
    </w:tbl>
    <w:p w14:paraId="45AE58AB" w14:textId="01386784" w:rsidR="00433BE2" w:rsidRDefault="00433BE2" w:rsidP="00433BE2">
      <w:pPr>
        <w:pStyle w:val="Paragraphedeliste"/>
        <w:autoSpaceDE w:val="0"/>
        <w:autoSpaceDN w:val="0"/>
        <w:adjustRightInd w:val="0"/>
        <w:spacing w:after="0" w:line="240" w:lineRule="auto"/>
        <w:jc w:val="both"/>
      </w:pPr>
    </w:p>
    <w:p w14:paraId="3BF2CC87" w14:textId="77777777" w:rsidR="0081549B" w:rsidRPr="00864838" w:rsidRDefault="0081549B" w:rsidP="00433BE2">
      <w:pPr>
        <w:pStyle w:val="Paragraphedeliste"/>
        <w:autoSpaceDE w:val="0"/>
        <w:autoSpaceDN w:val="0"/>
        <w:adjustRightInd w:val="0"/>
        <w:spacing w:after="0" w:line="240" w:lineRule="auto"/>
        <w:jc w:val="both"/>
      </w:pPr>
    </w:p>
    <w:p w14:paraId="573C3C3E" w14:textId="3BDDF223" w:rsidR="00047F61" w:rsidRPr="0096058A" w:rsidRDefault="004C2BE5" w:rsidP="007718A3">
      <w:pPr>
        <w:pStyle w:val="Titre3"/>
        <w:numPr>
          <w:ilvl w:val="2"/>
          <w:numId w:val="38"/>
        </w:numPr>
        <w:jc w:val="both"/>
      </w:pPr>
      <w:bookmarkStart w:id="56" w:name="_Toc222476886"/>
      <w:r w:rsidRPr="0096058A">
        <w:t>P</w:t>
      </w:r>
      <w:r w:rsidR="00047F61" w:rsidRPr="0096058A">
        <w:t>rélèvements</w:t>
      </w:r>
      <w:r w:rsidR="00EB617D" w:rsidRPr="0096058A">
        <w:t xml:space="preserve"> émis </w:t>
      </w:r>
      <w:r w:rsidR="00047F61" w:rsidRPr="0096058A">
        <w:t xml:space="preserve">par </w:t>
      </w:r>
      <w:r w:rsidRPr="0096058A">
        <w:t xml:space="preserve">l’établissement ventilés par </w:t>
      </w:r>
      <w:r w:rsidR="000B4131" w:rsidRPr="0096058A">
        <w:t>canal d’échange</w:t>
      </w:r>
      <w:bookmarkEnd w:id="56"/>
      <w:r w:rsidR="000B4131" w:rsidRPr="0096058A">
        <w:t xml:space="preserve"> </w:t>
      </w:r>
    </w:p>
    <w:p w14:paraId="43EE77E0" w14:textId="77777777" w:rsidR="00C50721" w:rsidRDefault="00C50721" w:rsidP="00047F61">
      <w:pPr>
        <w:spacing w:after="0" w:line="240" w:lineRule="auto"/>
        <w:rPr>
          <w:rFonts w:ascii="Calibri" w:eastAsia="Times New Roman" w:hAnsi="Calibri" w:cs="Calibri"/>
          <w:b/>
          <w:smallCaps/>
          <w:sz w:val="24"/>
          <w:szCs w:val="24"/>
          <w:lang w:eastAsia="fr-FR"/>
        </w:rPr>
      </w:pPr>
    </w:p>
    <w:p w14:paraId="12D4C495" w14:textId="65E8A6FF" w:rsidR="00C50721" w:rsidRDefault="00C50721" w:rsidP="00C50721">
      <w:pPr>
        <w:spacing w:after="0" w:line="240" w:lineRule="auto"/>
        <w:jc w:val="both"/>
        <w:rPr>
          <w:rFonts w:cstheme="minorHAnsi"/>
        </w:rPr>
      </w:pPr>
      <w:r w:rsidRPr="00C714BD">
        <w:rPr>
          <w:rFonts w:cstheme="minorHAnsi"/>
        </w:rPr>
        <w:t>Il s</w:t>
      </w:r>
      <w:r>
        <w:rPr>
          <w:rFonts w:cstheme="minorHAnsi"/>
        </w:rPr>
        <w:t xml:space="preserve">’agit de déclarer, en nombre et valeur, les prélèvements émis par l’établissement ventilés par </w:t>
      </w:r>
      <w:r w:rsidR="004C2BE5">
        <w:rPr>
          <w:rFonts w:cstheme="minorHAnsi"/>
        </w:rPr>
        <w:t xml:space="preserve">circuit d’échange utilisé </w:t>
      </w:r>
      <w:r w:rsidR="00FF0604">
        <w:rPr>
          <w:rFonts w:cstheme="minorHAnsi"/>
        </w:rPr>
        <w:t xml:space="preserve">pour </w:t>
      </w:r>
      <w:r w:rsidR="004C2BE5">
        <w:rPr>
          <w:rFonts w:cstheme="minorHAnsi"/>
        </w:rPr>
        <w:t>le transfert des fonds</w:t>
      </w:r>
      <w:r>
        <w:rPr>
          <w:rFonts w:cstheme="minorHAnsi"/>
        </w:rPr>
        <w:t>.</w:t>
      </w:r>
    </w:p>
    <w:p w14:paraId="7E21AD98" w14:textId="36A1C16A" w:rsidR="007A2DF0" w:rsidRPr="004E58CA" w:rsidRDefault="007A2DF0" w:rsidP="004E58CA">
      <w:pPr>
        <w:spacing w:after="0" w:line="240" w:lineRule="auto"/>
        <w:jc w:val="both"/>
      </w:pPr>
    </w:p>
    <w:p w14:paraId="578D2B6A"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5DC76EC0" w14:textId="77777777" w:rsidR="00FE5E9A" w:rsidRDefault="00FE5E9A" w:rsidP="009C59D8">
      <w:pPr>
        <w:spacing w:after="0" w:line="240" w:lineRule="auto"/>
        <w:rPr>
          <w:rFonts w:ascii="Calibri" w:eastAsia="Times New Roman" w:hAnsi="Calibri" w:cs="Calibri"/>
          <w:i/>
          <w:sz w:val="20"/>
          <w:szCs w:val="20"/>
          <w:lang w:eastAsia="fr-FR"/>
        </w:rPr>
      </w:pPr>
    </w:p>
    <w:tbl>
      <w:tblPr>
        <w:tblStyle w:val="Tableausimple2"/>
        <w:tblW w:w="0" w:type="auto"/>
        <w:tblLook w:val="04A0" w:firstRow="1" w:lastRow="0" w:firstColumn="1" w:lastColumn="0" w:noHBand="0" w:noVBand="1"/>
      </w:tblPr>
      <w:tblGrid>
        <w:gridCol w:w="222"/>
        <w:gridCol w:w="222"/>
        <w:gridCol w:w="2564"/>
        <w:gridCol w:w="3088"/>
        <w:gridCol w:w="1107"/>
        <w:gridCol w:w="1019"/>
        <w:gridCol w:w="848"/>
      </w:tblGrid>
      <w:tr w:rsidR="001549AE" w:rsidRPr="00555289" w14:paraId="7D416396" w14:textId="77777777" w:rsidTr="0068417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6" w:type="dxa"/>
            <w:gridSpan w:val="4"/>
            <w:tcBorders>
              <w:top w:val="single" w:sz="18" w:space="0" w:color="5B9BD5" w:themeColor="accent1"/>
              <w:bottom w:val="single" w:sz="4" w:space="0" w:color="5B9BD5" w:themeColor="accent1"/>
              <w:right w:val="single" w:sz="4" w:space="0" w:color="5B9BD5" w:themeColor="accent1"/>
            </w:tcBorders>
            <w:noWrap/>
          </w:tcPr>
          <w:p w14:paraId="118A39EE" w14:textId="77777777" w:rsidR="001549AE" w:rsidRDefault="001549AE" w:rsidP="000B63CE">
            <w:pPr>
              <w:jc w:val="both"/>
              <w:rPr>
                <w:rFonts w:ascii="Calibri" w:eastAsia="Times New Roman" w:hAnsi="Calibri" w:cs="Calibri"/>
                <w:b w:val="0"/>
                <w:sz w:val="18"/>
                <w:szCs w:val="18"/>
                <w:lang w:eastAsia="fr-FR"/>
              </w:rPr>
            </w:pPr>
          </w:p>
        </w:tc>
        <w:tc>
          <w:tcPr>
            <w:tcW w:w="1107" w:type="dxa"/>
            <w:tcBorders>
              <w:top w:val="single" w:sz="18" w:space="0" w:color="5B9BD5" w:themeColor="accent1"/>
              <w:bottom w:val="single" w:sz="18" w:space="0" w:color="5B9BD5" w:themeColor="accent1"/>
              <w:right w:val="single" w:sz="2" w:space="0" w:color="5B9BD5" w:themeColor="accent1"/>
            </w:tcBorders>
            <w:shd w:val="clear" w:color="auto" w:fill="A6A6A6" w:themeFill="background1" w:themeFillShade="A6"/>
          </w:tcPr>
          <w:p w14:paraId="272A8D8B" w14:textId="5A60316A" w:rsidR="001549AE" w:rsidRDefault="001549AE" w:rsidP="000B63CE">
            <w:pPr>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p>
        </w:tc>
        <w:tc>
          <w:tcPr>
            <w:tcW w:w="101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7EDD1854" w14:textId="0143F56A" w:rsidR="001549AE" w:rsidRPr="00EB617D" w:rsidRDefault="001549AE" w:rsidP="000B63C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848" w:type="dxa"/>
            <w:tcBorders>
              <w:top w:val="single" w:sz="18" w:space="0" w:color="5B9BD5" w:themeColor="accent1"/>
              <w:left w:val="single" w:sz="2" w:space="0" w:color="5B9BD5" w:themeColor="accent1"/>
              <w:bottom w:val="single" w:sz="18" w:space="0" w:color="5B9BD5" w:themeColor="accent1"/>
            </w:tcBorders>
            <w:shd w:val="solid" w:color="FFFFFF" w:fill="000000"/>
          </w:tcPr>
          <w:p w14:paraId="1EAD45AA" w14:textId="77777777" w:rsidR="001549AE" w:rsidRDefault="001549AE" w:rsidP="000B63C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02FB498D" w14:textId="7856584E" w:rsidR="001549AE" w:rsidRPr="00EB617D" w:rsidRDefault="001549AE" w:rsidP="000B63C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Pr>
                <w:rFonts w:cstheme="minorHAnsi"/>
                <w:sz w:val="14"/>
                <w:szCs w:val="18"/>
              </w:rPr>
              <w:t>euros</w:t>
            </w:r>
            <w:proofErr w:type="gramEnd"/>
          </w:p>
        </w:tc>
      </w:tr>
      <w:tr w:rsidR="00F46B3B" w:rsidRPr="00555289" w14:paraId="481E62C6" w14:textId="3B9BFF3F" w:rsidTr="006841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gridSpan w:val="3"/>
            <w:tcBorders>
              <w:top w:val="single" w:sz="18" w:space="0" w:color="5B9BD5" w:themeColor="accent1"/>
              <w:bottom w:val="single" w:sz="4" w:space="0" w:color="5B9BD5" w:themeColor="accent1"/>
              <w:right w:val="single" w:sz="4" w:space="0" w:color="5B9BD5" w:themeColor="accent1"/>
            </w:tcBorders>
            <w:noWrap/>
            <w:hideMark/>
          </w:tcPr>
          <w:p w14:paraId="227E9519" w14:textId="70D64E3C" w:rsidR="00F46B3B" w:rsidRPr="00555289" w:rsidRDefault="00F46B3B" w:rsidP="00EB617D">
            <w:pPr>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transactions interbancaires</w:t>
            </w:r>
          </w:p>
        </w:tc>
        <w:tc>
          <w:tcPr>
            <w:tcW w:w="308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6D2A97FA" w14:textId="317B9958" w:rsidR="00F46B3B" w:rsidRPr="00555289" w:rsidRDefault="00F46B3B" w:rsidP="0050550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
                <w:sz w:val="18"/>
                <w:szCs w:val="18"/>
                <w:lang w:eastAsia="fr-FR"/>
              </w:rPr>
              <w:t>Transferts de fonds effectués via un système de paiement.</w:t>
            </w:r>
          </w:p>
        </w:tc>
        <w:tc>
          <w:tcPr>
            <w:tcW w:w="1107" w:type="dxa"/>
            <w:vMerge w:val="restart"/>
            <w:tcBorders>
              <w:top w:val="single" w:sz="18" w:space="0" w:color="5B9BD5" w:themeColor="accent1"/>
              <w:left w:val="single" w:sz="4" w:space="0" w:color="5B9BD5" w:themeColor="accent1"/>
              <w:right w:val="single" w:sz="4" w:space="0" w:color="5B9BD5" w:themeColor="accent1"/>
            </w:tcBorders>
            <w:shd w:val="clear" w:color="auto" w:fill="A6A6A6" w:themeFill="background1" w:themeFillShade="A6"/>
          </w:tcPr>
          <w:p w14:paraId="53191203" w14:textId="77777777" w:rsidR="00F46B3B" w:rsidRPr="00EB617D"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019" w:type="dxa"/>
            <w:tcBorders>
              <w:top w:val="single" w:sz="18" w:space="0" w:color="5B9BD5" w:themeColor="accent1"/>
              <w:left w:val="single" w:sz="4" w:space="0" w:color="5B9BD5" w:themeColor="accent1"/>
              <w:bottom w:val="single" w:sz="4" w:space="0" w:color="5B9BD5" w:themeColor="accent1"/>
            </w:tcBorders>
            <w:noWrap/>
          </w:tcPr>
          <w:p w14:paraId="16153EFE" w14:textId="2684E384" w:rsidR="00F46B3B" w:rsidRPr="00EB617D"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848" w:type="dxa"/>
            <w:tcBorders>
              <w:top w:val="single" w:sz="18" w:space="0" w:color="5B9BD5" w:themeColor="accent1"/>
              <w:left w:val="single" w:sz="4" w:space="0" w:color="5B9BD5" w:themeColor="accent1"/>
              <w:bottom w:val="single" w:sz="4" w:space="0" w:color="5B9BD5" w:themeColor="accent1"/>
            </w:tcBorders>
          </w:tcPr>
          <w:p w14:paraId="6A9BD9DE" w14:textId="77777777" w:rsidR="00F46B3B" w:rsidRPr="00EB617D"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F46B3B" w:rsidRPr="00555289" w14:paraId="1516A350" w14:textId="78020C83" w:rsidTr="0068417B">
        <w:trPr>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5B9BD5" w:themeColor="accent1"/>
              <w:bottom w:val="single" w:sz="4" w:space="0" w:color="5B9BD5" w:themeColor="accent1"/>
              <w:right w:val="single" w:sz="4" w:space="0" w:color="5B9BD5" w:themeColor="accent1"/>
            </w:tcBorders>
            <w:noWrap/>
          </w:tcPr>
          <w:p w14:paraId="50C0313A" w14:textId="6884356D" w:rsidR="00F46B3B" w:rsidRPr="00BB7ACB" w:rsidRDefault="00F46B3B" w:rsidP="00EB617D">
            <w:pPr>
              <w:rPr>
                <w:rFonts w:ascii="Calibri" w:eastAsia="Times New Roman" w:hAnsi="Calibri" w:cs="Calibri"/>
                <w:i/>
                <w:sz w:val="20"/>
                <w:szCs w:val="20"/>
                <w:lang w:eastAsia="fr-FR"/>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82D5C1A" w14:textId="33028A83"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F335012" w14:textId="40E5F9FA"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 xml:space="preserve">Dont </w:t>
            </w:r>
            <w:r>
              <w:rPr>
                <w:rFonts w:ascii="Calibri" w:eastAsia="Times New Roman" w:hAnsi="Calibri" w:cs="Calibri"/>
                <w:i/>
                <w:sz w:val="18"/>
                <w:szCs w:val="18"/>
                <w:lang w:eastAsia="fr-FR"/>
              </w:rPr>
              <w:t xml:space="preserve">STET (CORE FR et </w:t>
            </w:r>
            <w:r w:rsidRPr="00555289">
              <w:rPr>
                <w:rFonts w:ascii="Calibri" w:eastAsia="Times New Roman" w:hAnsi="Calibri" w:cs="Calibri"/>
                <w:i/>
                <w:sz w:val="18"/>
                <w:szCs w:val="18"/>
                <w:lang w:eastAsia="fr-FR"/>
              </w:rPr>
              <w:t>SEPA EU</w:t>
            </w:r>
            <w:r>
              <w:rPr>
                <w:rFonts w:ascii="Calibri" w:eastAsia="Times New Roman" w:hAnsi="Calibri" w:cs="Calibri"/>
                <w:i/>
                <w:sz w:val="18"/>
                <w:szCs w:val="18"/>
                <w:lang w:eastAsia="fr-FR"/>
              </w:rPr>
              <w:t>)</w:t>
            </w:r>
          </w:p>
        </w:tc>
        <w:tc>
          <w:tcPr>
            <w:tcW w:w="308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93C1D7" w14:textId="53D3A142" w:rsidR="00F46B3B" w:rsidRPr="00873872" w:rsidRDefault="00F46B3B" w:rsidP="0050550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Système de paiement de détail implanté en France.</w:t>
            </w:r>
          </w:p>
        </w:tc>
        <w:tc>
          <w:tcPr>
            <w:tcW w:w="1107" w:type="dxa"/>
            <w:vMerge/>
            <w:tcBorders>
              <w:left w:val="single" w:sz="4" w:space="0" w:color="5B9BD5" w:themeColor="accent1"/>
              <w:right w:val="single" w:sz="4" w:space="0" w:color="5B9BD5" w:themeColor="accent1"/>
            </w:tcBorders>
            <w:shd w:val="clear" w:color="auto" w:fill="A6A6A6" w:themeFill="background1" w:themeFillShade="A6"/>
          </w:tcPr>
          <w:p w14:paraId="1667741F" w14:textId="77777777"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019" w:type="dxa"/>
            <w:tcBorders>
              <w:top w:val="single" w:sz="4" w:space="0" w:color="5B9BD5" w:themeColor="accent1"/>
              <w:left w:val="single" w:sz="4" w:space="0" w:color="5B9BD5" w:themeColor="accent1"/>
              <w:bottom w:val="single" w:sz="4" w:space="0" w:color="5B9BD5" w:themeColor="accent1"/>
            </w:tcBorders>
            <w:noWrap/>
          </w:tcPr>
          <w:p w14:paraId="35804653" w14:textId="03D4D120"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left w:val="single" w:sz="4" w:space="0" w:color="5B9BD5" w:themeColor="accent1"/>
              <w:bottom w:val="single" w:sz="4" w:space="0" w:color="5B9BD5" w:themeColor="accent1"/>
            </w:tcBorders>
          </w:tcPr>
          <w:p w14:paraId="01A6E8E4" w14:textId="77777777"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F46B3B" w:rsidRPr="00555289" w14:paraId="0092ADB9" w14:textId="7B412A7F" w:rsidTr="006841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5B9BD5" w:themeColor="accent1"/>
              <w:bottom w:val="single" w:sz="4" w:space="0" w:color="5B9BD5" w:themeColor="accent1"/>
              <w:right w:val="single" w:sz="4" w:space="0" w:color="5B9BD5" w:themeColor="accent1"/>
            </w:tcBorders>
            <w:noWrap/>
          </w:tcPr>
          <w:p w14:paraId="208400A4" w14:textId="03889D5C" w:rsidR="00F46B3B" w:rsidRPr="00BB7ACB" w:rsidRDefault="00F46B3B" w:rsidP="00EB617D">
            <w:pPr>
              <w:rPr>
                <w:rFonts w:ascii="Calibri" w:eastAsia="Times New Roman" w:hAnsi="Calibri" w:cs="Calibri"/>
                <w:i/>
                <w:sz w:val="20"/>
                <w:szCs w:val="20"/>
                <w:lang w:eastAsia="fr-FR"/>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3195F7C" w14:textId="2B0976C4" w:rsidR="00F46B3B" w:rsidRPr="00555289"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F70CB98" w14:textId="77777777" w:rsidR="00F46B3B" w:rsidRPr="00555289"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STEP2</w:t>
            </w:r>
          </w:p>
        </w:tc>
        <w:tc>
          <w:tcPr>
            <w:tcW w:w="308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3F853A" w14:textId="0398B5B8" w:rsidR="00F46B3B" w:rsidRPr="00873872" w:rsidRDefault="00F46B3B" w:rsidP="0050550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S</w:t>
            </w:r>
            <w:r w:rsidRPr="00873872">
              <w:rPr>
                <w:rFonts w:ascii="Calibri" w:eastAsia="Times New Roman" w:hAnsi="Calibri" w:cs="Calibri"/>
                <w:sz w:val="18"/>
                <w:szCs w:val="18"/>
                <w:lang w:eastAsia="fr-FR"/>
              </w:rPr>
              <w:t>yst</w:t>
            </w:r>
            <w:r>
              <w:rPr>
                <w:rFonts w:ascii="Calibri" w:eastAsia="Times New Roman" w:hAnsi="Calibri" w:cs="Calibri"/>
                <w:sz w:val="18"/>
                <w:szCs w:val="18"/>
                <w:lang w:eastAsia="fr-FR"/>
              </w:rPr>
              <w:t>ème de paiement transeuropéen.</w:t>
            </w:r>
          </w:p>
        </w:tc>
        <w:tc>
          <w:tcPr>
            <w:tcW w:w="1107" w:type="dxa"/>
            <w:vMerge/>
            <w:tcBorders>
              <w:left w:val="single" w:sz="4" w:space="0" w:color="5B9BD5" w:themeColor="accent1"/>
              <w:right w:val="single" w:sz="4" w:space="0" w:color="5B9BD5" w:themeColor="accent1"/>
            </w:tcBorders>
            <w:shd w:val="clear" w:color="auto" w:fill="A6A6A6" w:themeFill="background1" w:themeFillShade="A6"/>
          </w:tcPr>
          <w:p w14:paraId="08ABE198" w14:textId="77777777" w:rsidR="00F46B3B" w:rsidRPr="00555289"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019" w:type="dxa"/>
            <w:tcBorders>
              <w:top w:val="single" w:sz="4" w:space="0" w:color="5B9BD5" w:themeColor="accent1"/>
              <w:left w:val="single" w:sz="4" w:space="0" w:color="5B9BD5" w:themeColor="accent1"/>
              <w:bottom w:val="single" w:sz="4" w:space="0" w:color="5B9BD5" w:themeColor="accent1"/>
            </w:tcBorders>
            <w:noWrap/>
          </w:tcPr>
          <w:p w14:paraId="10E6C7FB" w14:textId="19DE8548" w:rsidR="00F46B3B" w:rsidRPr="00555289"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left w:val="single" w:sz="4" w:space="0" w:color="5B9BD5" w:themeColor="accent1"/>
              <w:bottom w:val="single" w:sz="4" w:space="0" w:color="5B9BD5" w:themeColor="accent1"/>
            </w:tcBorders>
          </w:tcPr>
          <w:p w14:paraId="0E0848C5" w14:textId="77777777" w:rsidR="00F46B3B" w:rsidRPr="00555289"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F46B3B" w:rsidRPr="00555289" w14:paraId="3358BD1F" w14:textId="6EDC6B88" w:rsidTr="0068417B">
        <w:trPr>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5B9BD5" w:themeColor="accent1"/>
              <w:bottom w:val="single" w:sz="4" w:space="0" w:color="5B9BD5" w:themeColor="accent1"/>
              <w:right w:val="single" w:sz="4" w:space="0" w:color="5B9BD5" w:themeColor="accent1"/>
            </w:tcBorders>
            <w:noWrap/>
          </w:tcPr>
          <w:p w14:paraId="161F34E7" w14:textId="251DF45A" w:rsidR="00F46B3B" w:rsidRPr="00BB7ACB" w:rsidRDefault="00F46B3B" w:rsidP="00EB617D">
            <w:pPr>
              <w:rPr>
                <w:rFonts w:ascii="Calibri" w:eastAsia="Times New Roman" w:hAnsi="Calibri" w:cs="Calibri"/>
                <w:i/>
                <w:sz w:val="20"/>
                <w:szCs w:val="20"/>
                <w:lang w:eastAsia="fr-FR"/>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63D3937" w14:textId="0933EE8D"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35C8DA45" w14:textId="77777777"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autres systèmes</w:t>
            </w:r>
          </w:p>
        </w:tc>
        <w:tc>
          <w:tcPr>
            <w:tcW w:w="308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56A5EC8" w14:textId="77777777" w:rsidR="00F46B3B" w:rsidRPr="00555289" w:rsidRDefault="00F46B3B" w:rsidP="0050550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107" w:type="dxa"/>
            <w:vMerge/>
            <w:tcBorders>
              <w:left w:val="single" w:sz="4" w:space="0" w:color="5B9BD5" w:themeColor="accent1"/>
              <w:right w:val="single" w:sz="4" w:space="0" w:color="5B9BD5" w:themeColor="accent1"/>
            </w:tcBorders>
            <w:shd w:val="clear" w:color="auto" w:fill="A6A6A6" w:themeFill="background1" w:themeFillShade="A6"/>
          </w:tcPr>
          <w:p w14:paraId="4CBC0A68" w14:textId="77777777"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019" w:type="dxa"/>
            <w:tcBorders>
              <w:top w:val="single" w:sz="4" w:space="0" w:color="5B9BD5" w:themeColor="accent1"/>
              <w:left w:val="single" w:sz="4" w:space="0" w:color="5B9BD5" w:themeColor="accent1"/>
              <w:bottom w:val="single" w:sz="4" w:space="0" w:color="5B9BD5" w:themeColor="accent1"/>
            </w:tcBorders>
            <w:noWrap/>
          </w:tcPr>
          <w:p w14:paraId="0CC31712" w14:textId="44FA2DCE"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left w:val="single" w:sz="4" w:space="0" w:color="5B9BD5" w:themeColor="accent1"/>
              <w:bottom w:val="single" w:sz="4" w:space="0" w:color="5B9BD5" w:themeColor="accent1"/>
            </w:tcBorders>
          </w:tcPr>
          <w:p w14:paraId="19162291" w14:textId="77777777"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F46B3B" w:rsidRPr="00555289" w14:paraId="467A69E2" w14:textId="0138C65B" w:rsidTr="006841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5B9BD5" w:themeColor="accent1"/>
              <w:bottom w:val="single" w:sz="4" w:space="0" w:color="5B9BD5" w:themeColor="accent1"/>
              <w:right w:val="single" w:sz="4" w:space="0" w:color="5B9BD5" w:themeColor="accent1"/>
            </w:tcBorders>
            <w:noWrap/>
          </w:tcPr>
          <w:p w14:paraId="6E5C0ED9" w14:textId="28534023" w:rsidR="00F46B3B" w:rsidRPr="00BB7ACB" w:rsidRDefault="00F46B3B" w:rsidP="00505507">
            <w:pPr>
              <w:rPr>
                <w:rFonts w:ascii="Calibri" w:eastAsia="Times New Roman" w:hAnsi="Calibri" w:cs="Calibri"/>
                <w:i/>
                <w:sz w:val="20"/>
                <w:szCs w:val="20"/>
                <w:lang w:eastAsia="fr-FR"/>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CB28AB3" w14:textId="1CD038F0" w:rsidR="00F46B3B" w:rsidRPr="00555289" w:rsidRDefault="00F46B3B"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87FD636" w14:textId="77777777" w:rsidR="00F46B3B" w:rsidRPr="00555289" w:rsidRDefault="00F46B3B"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hors système</w:t>
            </w:r>
          </w:p>
        </w:tc>
        <w:tc>
          <w:tcPr>
            <w:tcW w:w="308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499FA5" w14:textId="61298948" w:rsidR="00F46B3B" w:rsidRPr="00555289" w:rsidRDefault="00F46B3B" w:rsidP="0050550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A707C6">
              <w:rPr>
                <w:rFonts w:ascii="Calibri" w:eastAsia="Times New Roman" w:hAnsi="Calibri" w:cs="Calibri"/>
                <w:sz w:val="18"/>
                <w:szCs w:val="18"/>
                <w:lang w:eastAsia="fr-FR"/>
              </w:rPr>
              <w:t xml:space="preserve">Transfert des fonds effectué </w:t>
            </w:r>
            <w:r>
              <w:rPr>
                <w:rFonts w:ascii="Calibri" w:eastAsia="Times New Roman" w:hAnsi="Calibri" w:cs="Calibri"/>
                <w:sz w:val="18"/>
                <w:szCs w:val="18"/>
                <w:lang w:eastAsia="fr-FR"/>
              </w:rPr>
              <w:t xml:space="preserve">hors </w:t>
            </w:r>
            <w:r w:rsidRPr="00A707C6">
              <w:rPr>
                <w:rFonts w:ascii="Calibri" w:eastAsia="Times New Roman" w:hAnsi="Calibri" w:cs="Calibri"/>
                <w:sz w:val="18"/>
                <w:szCs w:val="18"/>
                <w:lang w:eastAsia="fr-FR"/>
              </w:rPr>
              <w:t xml:space="preserve">système de paiement.                           </w:t>
            </w:r>
          </w:p>
        </w:tc>
        <w:tc>
          <w:tcPr>
            <w:tcW w:w="1107" w:type="dxa"/>
            <w:vMerge/>
            <w:tcBorders>
              <w:left w:val="single" w:sz="4" w:space="0" w:color="5B9BD5" w:themeColor="accent1"/>
              <w:right w:val="single" w:sz="4" w:space="0" w:color="5B9BD5" w:themeColor="accent1"/>
            </w:tcBorders>
            <w:shd w:val="clear" w:color="auto" w:fill="A6A6A6" w:themeFill="background1" w:themeFillShade="A6"/>
          </w:tcPr>
          <w:p w14:paraId="36F00750" w14:textId="77777777" w:rsidR="00F46B3B" w:rsidRPr="00555289" w:rsidRDefault="00F46B3B"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019" w:type="dxa"/>
            <w:tcBorders>
              <w:top w:val="single" w:sz="4" w:space="0" w:color="5B9BD5" w:themeColor="accent1"/>
              <w:left w:val="single" w:sz="4" w:space="0" w:color="5B9BD5" w:themeColor="accent1"/>
              <w:bottom w:val="single" w:sz="4" w:space="0" w:color="5B9BD5" w:themeColor="accent1"/>
            </w:tcBorders>
            <w:noWrap/>
          </w:tcPr>
          <w:p w14:paraId="027E6878" w14:textId="64E81810" w:rsidR="00F46B3B" w:rsidRPr="00555289" w:rsidRDefault="00F46B3B"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left w:val="single" w:sz="4" w:space="0" w:color="5B9BD5" w:themeColor="accent1"/>
              <w:bottom w:val="single" w:sz="4" w:space="0" w:color="5B9BD5" w:themeColor="accent1"/>
            </w:tcBorders>
          </w:tcPr>
          <w:p w14:paraId="7A1E54F1" w14:textId="77777777" w:rsidR="00F46B3B" w:rsidRPr="00555289" w:rsidRDefault="00F46B3B"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F46B3B" w:rsidRPr="00555289" w14:paraId="3AA27741" w14:textId="78AD911E" w:rsidTr="0068417B">
        <w:trPr>
          <w:trHeight w:val="300"/>
        </w:trPr>
        <w:tc>
          <w:tcPr>
            <w:cnfStyle w:val="001000000000" w:firstRow="0" w:lastRow="0" w:firstColumn="1" w:lastColumn="0" w:oddVBand="0" w:evenVBand="0" w:oddHBand="0" w:evenHBand="0" w:firstRowFirstColumn="0" w:firstRowLastColumn="0" w:lastRowFirstColumn="0" w:lastRowLastColumn="0"/>
            <w:tcW w:w="0" w:type="auto"/>
            <w:gridSpan w:val="3"/>
            <w:tcBorders>
              <w:top w:val="single" w:sz="4" w:space="0" w:color="5B9BD5" w:themeColor="accent1"/>
              <w:bottom w:val="single" w:sz="4" w:space="0" w:color="5B9BD5" w:themeColor="accent1"/>
              <w:right w:val="single" w:sz="4" w:space="0" w:color="5B9BD5" w:themeColor="accent1"/>
            </w:tcBorders>
            <w:noWrap/>
            <w:hideMark/>
          </w:tcPr>
          <w:p w14:paraId="75E99E40" w14:textId="56AA5C81" w:rsidR="00F46B3B" w:rsidRPr="00EB617D" w:rsidRDefault="00F46B3B" w:rsidP="00505507">
            <w:pPr>
              <w:rPr>
                <w:rFonts w:ascii="Calibri" w:eastAsia="Times New Roman" w:hAnsi="Calibri" w:cs="Calibri"/>
                <w:i/>
                <w:sz w:val="18"/>
                <w:szCs w:val="18"/>
                <w:lang w:eastAsia="fr-FR"/>
              </w:rPr>
            </w:pPr>
            <w:r w:rsidRPr="00EB617D">
              <w:rPr>
                <w:rFonts w:ascii="Calibri" w:eastAsia="Times New Roman" w:hAnsi="Calibri" w:cs="Calibri"/>
                <w:i/>
                <w:sz w:val="18"/>
                <w:szCs w:val="18"/>
                <w:lang w:eastAsia="fr-FR"/>
              </w:rPr>
              <w:t xml:space="preserve">Dont transactions </w:t>
            </w:r>
            <w:proofErr w:type="spellStart"/>
            <w:r w:rsidRPr="00EB617D">
              <w:rPr>
                <w:rFonts w:ascii="Calibri" w:eastAsia="Times New Roman" w:hAnsi="Calibri" w:cs="Calibri"/>
                <w:i/>
                <w:sz w:val="18"/>
                <w:szCs w:val="18"/>
                <w:lang w:eastAsia="fr-FR"/>
              </w:rPr>
              <w:t>intrabancaires</w:t>
            </w:r>
            <w:proofErr w:type="spellEnd"/>
          </w:p>
        </w:tc>
        <w:tc>
          <w:tcPr>
            <w:tcW w:w="308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68F390" w14:textId="402A5E04" w:rsidR="00F46B3B" w:rsidRPr="00555289" w:rsidRDefault="00F46B3B" w:rsidP="0050550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Cs/>
                <w:sz w:val="18"/>
                <w:szCs w:val="18"/>
                <w:lang w:eastAsia="fr-FR"/>
              </w:rPr>
              <w:t>Transferts de fonds effectués entre 2 comptes de paiement tenus par l’établissement sans recours à un système de paiement.</w:t>
            </w:r>
          </w:p>
        </w:tc>
        <w:tc>
          <w:tcPr>
            <w:tcW w:w="1107" w:type="dxa"/>
            <w:vMerge/>
            <w:tcBorders>
              <w:left w:val="single" w:sz="4" w:space="0" w:color="5B9BD5" w:themeColor="accent1"/>
              <w:right w:val="single" w:sz="4" w:space="0" w:color="5B9BD5" w:themeColor="accent1"/>
            </w:tcBorders>
            <w:shd w:val="clear" w:color="auto" w:fill="A6A6A6" w:themeFill="background1" w:themeFillShade="A6"/>
          </w:tcPr>
          <w:p w14:paraId="3229BD25" w14:textId="77777777" w:rsidR="00F46B3B" w:rsidRPr="00555289" w:rsidRDefault="00F46B3B"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019" w:type="dxa"/>
            <w:tcBorders>
              <w:top w:val="single" w:sz="4" w:space="0" w:color="5B9BD5" w:themeColor="accent1"/>
              <w:left w:val="single" w:sz="4" w:space="0" w:color="5B9BD5" w:themeColor="accent1"/>
              <w:bottom w:val="single" w:sz="4" w:space="0" w:color="5B9BD5" w:themeColor="accent1"/>
            </w:tcBorders>
            <w:noWrap/>
          </w:tcPr>
          <w:p w14:paraId="3B54ADF6" w14:textId="31555850" w:rsidR="00F46B3B" w:rsidRPr="00555289" w:rsidRDefault="00F46B3B"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left w:val="single" w:sz="4" w:space="0" w:color="5B9BD5" w:themeColor="accent1"/>
              <w:bottom w:val="single" w:sz="4" w:space="0" w:color="5B9BD5" w:themeColor="accent1"/>
            </w:tcBorders>
          </w:tcPr>
          <w:p w14:paraId="35A5231C" w14:textId="77777777" w:rsidR="00F46B3B" w:rsidRPr="00555289" w:rsidRDefault="00F46B3B"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F46B3B" w:rsidRPr="00555289" w14:paraId="53C35A3A" w14:textId="1B40C2B7" w:rsidTr="006841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gridSpan w:val="3"/>
            <w:tcBorders>
              <w:top w:val="single" w:sz="4" w:space="0" w:color="5B9BD5" w:themeColor="accent1"/>
              <w:bottom w:val="single" w:sz="24" w:space="0" w:color="5B9BD5" w:themeColor="accent1"/>
              <w:right w:val="single" w:sz="4" w:space="0" w:color="5B9BD5" w:themeColor="accent1"/>
            </w:tcBorders>
            <w:noWrap/>
            <w:hideMark/>
          </w:tcPr>
          <w:p w14:paraId="12E229E6" w14:textId="35AD96C8" w:rsidR="00F46B3B" w:rsidRPr="00EB617D" w:rsidRDefault="00F46B3B" w:rsidP="00505507">
            <w:pPr>
              <w:rPr>
                <w:rFonts w:ascii="Calibri" w:eastAsia="Times New Roman" w:hAnsi="Calibri" w:cs="Calibri"/>
                <w:i/>
                <w:sz w:val="18"/>
                <w:szCs w:val="18"/>
                <w:lang w:eastAsia="fr-FR"/>
              </w:rPr>
            </w:pPr>
            <w:r w:rsidRPr="00EB617D">
              <w:rPr>
                <w:rFonts w:ascii="Calibri" w:eastAsia="Times New Roman" w:hAnsi="Calibri" w:cs="Calibri"/>
                <w:i/>
                <w:sz w:val="18"/>
                <w:szCs w:val="18"/>
                <w:lang w:eastAsia="fr-FR"/>
              </w:rPr>
              <w:t>Dont transactions intragroupes</w:t>
            </w:r>
          </w:p>
        </w:tc>
        <w:tc>
          <w:tcPr>
            <w:tcW w:w="3088" w:type="dxa"/>
            <w:tcBorders>
              <w:top w:val="single" w:sz="4" w:space="0" w:color="5B9BD5" w:themeColor="accent1"/>
              <w:left w:val="single" w:sz="4" w:space="0" w:color="5B9BD5" w:themeColor="accent1"/>
              <w:bottom w:val="single" w:sz="24" w:space="0" w:color="5B9BD5" w:themeColor="accent1"/>
              <w:right w:val="single" w:sz="4" w:space="0" w:color="5B9BD5" w:themeColor="accent1"/>
            </w:tcBorders>
          </w:tcPr>
          <w:p w14:paraId="096E211E" w14:textId="4C6BC4EF" w:rsidR="00F46B3B" w:rsidRPr="00555289" w:rsidRDefault="00F46B3B" w:rsidP="0050550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Cs/>
                <w:sz w:val="18"/>
                <w:szCs w:val="18"/>
                <w:lang w:eastAsia="fr-FR"/>
              </w:rPr>
              <w:t>Transferts de fonds effectués entre 2 comptes de paiement tenus au sein d’un même groupe bancaire sans recours à un système de paiement.</w:t>
            </w:r>
          </w:p>
        </w:tc>
        <w:tc>
          <w:tcPr>
            <w:tcW w:w="1107" w:type="dxa"/>
            <w:vMerge/>
            <w:tcBorders>
              <w:left w:val="single" w:sz="4" w:space="0" w:color="5B9BD5" w:themeColor="accent1"/>
              <w:bottom w:val="single" w:sz="24" w:space="0" w:color="5B9BD5" w:themeColor="accent1"/>
              <w:right w:val="single" w:sz="4" w:space="0" w:color="5B9BD5" w:themeColor="accent1"/>
            </w:tcBorders>
            <w:shd w:val="clear" w:color="auto" w:fill="A6A6A6" w:themeFill="background1" w:themeFillShade="A6"/>
          </w:tcPr>
          <w:p w14:paraId="60918328" w14:textId="77777777" w:rsidR="00F46B3B" w:rsidRPr="00555289" w:rsidRDefault="00F46B3B"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019" w:type="dxa"/>
            <w:tcBorders>
              <w:top w:val="single" w:sz="4" w:space="0" w:color="5B9BD5" w:themeColor="accent1"/>
              <w:left w:val="single" w:sz="4" w:space="0" w:color="5B9BD5" w:themeColor="accent1"/>
              <w:bottom w:val="single" w:sz="24" w:space="0" w:color="5B9BD5" w:themeColor="accent1"/>
            </w:tcBorders>
            <w:noWrap/>
          </w:tcPr>
          <w:p w14:paraId="60F93717" w14:textId="064A043E" w:rsidR="00F46B3B" w:rsidRPr="00555289" w:rsidRDefault="00F46B3B"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left w:val="single" w:sz="4" w:space="0" w:color="5B9BD5" w:themeColor="accent1"/>
              <w:bottom w:val="single" w:sz="24" w:space="0" w:color="5B9BD5" w:themeColor="accent1"/>
            </w:tcBorders>
          </w:tcPr>
          <w:p w14:paraId="1E7A9C48" w14:textId="77777777" w:rsidR="00F46B3B" w:rsidRPr="00555289" w:rsidRDefault="00F46B3B"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bl>
    <w:p w14:paraId="65EB8B51" w14:textId="77777777" w:rsidR="00433BE2" w:rsidRDefault="00433BE2" w:rsidP="00433BE2">
      <w:pPr>
        <w:pStyle w:val="Paragraphedeliste"/>
        <w:autoSpaceDE w:val="0"/>
        <w:autoSpaceDN w:val="0"/>
        <w:adjustRightInd w:val="0"/>
        <w:spacing w:after="0" w:line="240" w:lineRule="auto"/>
        <w:jc w:val="both"/>
        <w:rPr>
          <w:rFonts w:cstheme="minorHAnsi"/>
        </w:rPr>
      </w:pPr>
    </w:p>
    <w:p w14:paraId="051D2590" w14:textId="77777777" w:rsidR="005341AA" w:rsidRDefault="005341AA" w:rsidP="004E58CA">
      <w:pPr>
        <w:spacing w:after="0" w:line="240" w:lineRule="auto"/>
        <w:jc w:val="both"/>
        <w:rPr>
          <w:rFonts w:ascii="Calibri" w:hAnsi="Calibri"/>
          <w:b/>
          <w:smallCaps/>
          <w:color w:val="2E74B5" w:themeColor="accent1" w:themeShade="BF"/>
          <w:sz w:val="24"/>
        </w:rPr>
      </w:pPr>
    </w:p>
    <w:p w14:paraId="184C9DC3" w14:textId="71E54F39" w:rsidR="00433BE2" w:rsidRPr="004E58CA" w:rsidRDefault="00433BE2"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4E4CF491" w14:textId="05596B9A" w:rsidR="00433BE2" w:rsidRPr="001C08FB" w:rsidRDefault="00433BE2" w:rsidP="00433BE2">
      <w:pPr>
        <w:pStyle w:val="Paragraphedeliste"/>
        <w:autoSpaceDE w:val="0"/>
        <w:autoSpaceDN w:val="0"/>
        <w:adjustRightInd w:val="0"/>
        <w:spacing w:after="0" w:line="240" w:lineRule="auto"/>
        <w:jc w:val="both"/>
        <w:rPr>
          <w:rFonts w:cstheme="minorHAnsi"/>
        </w:rPr>
      </w:pPr>
    </w:p>
    <w:p w14:paraId="528194AA" w14:textId="5D1A6715" w:rsidR="001C08FB" w:rsidRPr="00BC1AB1" w:rsidRDefault="001C08FB" w:rsidP="00594FDC">
      <w:pPr>
        <w:pStyle w:val="Paragraphedeliste"/>
        <w:numPr>
          <w:ilvl w:val="0"/>
          <w:numId w:val="3"/>
        </w:numPr>
        <w:autoSpaceDE w:val="0"/>
        <w:autoSpaceDN w:val="0"/>
        <w:adjustRightInd w:val="0"/>
        <w:spacing w:after="0" w:line="240" w:lineRule="auto"/>
        <w:jc w:val="both"/>
        <w:rPr>
          <w:rFonts w:cstheme="minorHAnsi"/>
        </w:rPr>
      </w:pPr>
      <w:r w:rsidRPr="00BC1AB1">
        <w:rPr>
          <w:rFonts w:cstheme="minorHAnsi"/>
        </w:rPr>
        <w:t>Les règles de contrôle suivantes doivent être app</w:t>
      </w:r>
      <w:r w:rsidR="00E06F9C">
        <w:rPr>
          <w:rFonts w:cstheme="minorHAnsi"/>
        </w:rPr>
        <w:t>liquées en nombre et en valeur.</w:t>
      </w:r>
    </w:p>
    <w:p w14:paraId="04E1EB96" w14:textId="37239CC5" w:rsidR="001C08FB" w:rsidRPr="001C08FB" w:rsidRDefault="001C08FB" w:rsidP="00433BE2">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0B63CE" w:rsidRPr="004E58CA" w14:paraId="41D5E620" w14:textId="77777777" w:rsidTr="004E68CF">
        <w:tc>
          <w:tcPr>
            <w:tcW w:w="9054" w:type="dxa"/>
          </w:tcPr>
          <w:p w14:paraId="18850322" w14:textId="25CDA440" w:rsidR="000B63CE" w:rsidRPr="004E58CA" w:rsidRDefault="000B63CE" w:rsidP="000B63CE">
            <w:pPr>
              <w:pStyle w:val="Paragraphedeliste"/>
              <w:autoSpaceDE w:val="0"/>
              <w:autoSpaceDN w:val="0"/>
              <w:adjustRightInd w:val="0"/>
              <w:ind w:left="0"/>
              <w:jc w:val="both"/>
              <w:rPr>
                <w:sz w:val="18"/>
              </w:rPr>
            </w:pPr>
            <w:r w:rsidRPr="00A675AF">
              <w:rPr>
                <w:rFonts w:cstheme="minorHAnsi"/>
                <w:sz w:val="18"/>
                <w:szCs w:val="18"/>
              </w:rPr>
              <w:t>Le</w:t>
            </w:r>
            <w:r>
              <w:rPr>
                <w:rFonts w:cstheme="minorHAnsi"/>
                <w:sz w:val="18"/>
                <w:szCs w:val="18"/>
              </w:rPr>
              <w:t xml:space="preserve"> total de</w:t>
            </w:r>
            <w:r w:rsidRPr="00A675AF">
              <w:rPr>
                <w:rFonts w:cstheme="minorHAnsi"/>
                <w:sz w:val="18"/>
                <w:szCs w:val="18"/>
              </w:rPr>
              <w:t xml:space="preserve">s </w:t>
            </w:r>
            <w:r>
              <w:rPr>
                <w:rFonts w:cstheme="minorHAnsi"/>
                <w:sz w:val="18"/>
                <w:szCs w:val="18"/>
              </w:rPr>
              <w:t>prélèvements est =</w:t>
            </w:r>
            <w:r w:rsidRPr="00A675AF">
              <w:rPr>
                <w:rFonts w:cstheme="minorHAnsi"/>
                <w:sz w:val="18"/>
                <w:szCs w:val="18"/>
              </w:rPr>
              <w:t xml:space="preserve"> à la somme de</w:t>
            </w:r>
            <w:r>
              <w:rPr>
                <w:rFonts w:cstheme="minorHAnsi"/>
                <w:sz w:val="18"/>
                <w:szCs w:val="18"/>
              </w:rPr>
              <w:t xml:space="preserve">s transactions interbancaires, </w:t>
            </w:r>
            <w:proofErr w:type="spellStart"/>
            <w:r>
              <w:rPr>
                <w:rFonts w:cstheme="minorHAnsi"/>
                <w:sz w:val="18"/>
                <w:szCs w:val="18"/>
              </w:rPr>
              <w:t>intrabancaires</w:t>
            </w:r>
            <w:proofErr w:type="spellEnd"/>
            <w:r>
              <w:rPr>
                <w:rFonts w:cstheme="minorHAnsi"/>
                <w:sz w:val="18"/>
                <w:szCs w:val="18"/>
              </w:rPr>
              <w:t xml:space="preserve"> et intragroupes.</w:t>
            </w:r>
          </w:p>
        </w:tc>
      </w:tr>
      <w:tr w:rsidR="000B63CE" w:rsidRPr="004E58CA" w14:paraId="43805C84" w14:textId="77777777" w:rsidTr="004E68CF">
        <w:tc>
          <w:tcPr>
            <w:tcW w:w="9054" w:type="dxa"/>
          </w:tcPr>
          <w:p w14:paraId="45EA2AFF" w14:textId="21A0F9DE" w:rsidR="000B63CE" w:rsidRPr="004E58CA" w:rsidRDefault="000B63CE" w:rsidP="000C58E0">
            <w:pPr>
              <w:pStyle w:val="Paragraphedeliste"/>
              <w:autoSpaceDE w:val="0"/>
              <w:autoSpaceDN w:val="0"/>
              <w:adjustRightInd w:val="0"/>
              <w:ind w:left="0"/>
              <w:jc w:val="both"/>
              <w:rPr>
                <w:sz w:val="18"/>
              </w:rPr>
            </w:pPr>
            <w:r w:rsidRPr="00A675AF">
              <w:rPr>
                <w:rFonts w:cstheme="minorHAnsi"/>
                <w:sz w:val="18"/>
                <w:szCs w:val="18"/>
              </w:rPr>
              <w:t>Le</w:t>
            </w:r>
            <w:r>
              <w:rPr>
                <w:rFonts w:cstheme="minorHAnsi"/>
                <w:sz w:val="18"/>
                <w:szCs w:val="18"/>
              </w:rPr>
              <w:t xml:space="preserve"> total des</w:t>
            </w:r>
            <w:r w:rsidRPr="00A675AF">
              <w:rPr>
                <w:rFonts w:cstheme="minorHAnsi"/>
                <w:sz w:val="18"/>
                <w:szCs w:val="18"/>
              </w:rPr>
              <w:t xml:space="preserve"> </w:t>
            </w:r>
            <w:r w:rsidR="000C58E0">
              <w:rPr>
                <w:rFonts w:cstheme="minorHAnsi"/>
                <w:sz w:val="18"/>
                <w:szCs w:val="18"/>
              </w:rPr>
              <w:t>transactions i</w:t>
            </w:r>
            <w:r>
              <w:rPr>
                <w:rFonts w:cstheme="minorHAnsi"/>
                <w:sz w:val="18"/>
                <w:szCs w:val="18"/>
              </w:rPr>
              <w:t xml:space="preserve">nterbancaires est = à la somme de la ventilation </w:t>
            </w:r>
            <w:r w:rsidRPr="00A675AF">
              <w:rPr>
                <w:rFonts w:cstheme="minorHAnsi"/>
                <w:sz w:val="18"/>
                <w:szCs w:val="18"/>
              </w:rPr>
              <w:t>par système de paiement.</w:t>
            </w:r>
          </w:p>
        </w:tc>
      </w:tr>
    </w:tbl>
    <w:p w14:paraId="0A54E808" w14:textId="46DBEED1" w:rsidR="00FB1B54" w:rsidRPr="000B63CE" w:rsidRDefault="00FB1B54" w:rsidP="00433BE2">
      <w:pPr>
        <w:pStyle w:val="Paragraphedeliste"/>
        <w:autoSpaceDE w:val="0"/>
        <w:autoSpaceDN w:val="0"/>
        <w:adjustRightInd w:val="0"/>
        <w:spacing w:after="0" w:line="240" w:lineRule="auto"/>
        <w:jc w:val="both"/>
      </w:pPr>
    </w:p>
    <w:p w14:paraId="7E6593D3" w14:textId="77777777" w:rsidR="00FB1B54" w:rsidRPr="000B63CE" w:rsidRDefault="00FB1B54" w:rsidP="00433BE2">
      <w:pPr>
        <w:pStyle w:val="Paragraphedeliste"/>
        <w:autoSpaceDE w:val="0"/>
        <w:autoSpaceDN w:val="0"/>
        <w:adjustRightInd w:val="0"/>
        <w:spacing w:after="0" w:line="240" w:lineRule="auto"/>
        <w:jc w:val="both"/>
      </w:pPr>
    </w:p>
    <w:p w14:paraId="4B9B3736" w14:textId="53E62574" w:rsidR="007A2DF0" w:rsidRPr="0096058A" w:rsidRDefault="00047F61" w:rsidP="007718A3">
      <w:pPr>
        <w:pStyle w:val="Titre3"/>
        <w:numPr>
          <w:ilvl w:val="2"/>
          <w:numId w:val="38"/>
        </w:numPr>
        <w:jc w:val="both"/>
      </w:pPr>
      <w:bookmarkStart w:id="57" w:name="_Toc222476887"/>
      <w:r w:rsidRPr="0096058A">
        <w:t>Prélèvements reçus</w:t>
      </w:r>
      <w:r w:rsidR="004C2BE5" w:rsidRPr="0096058A">
        <w:t xml:space="preserve"> par l’établissement</w:t>
      </w:r>
      <w:bookmarkEnd w:id="57"/>
    </w:p>
    <w:p w14:paraId="1535CD1D" w14:textId="4C0A8336" w:rsidR="00C50721" w:rsidRDefault="00C50721" w:rsidP="00047F61">
      <w:pPr>
        <w:spacing w:after="0" w:line="240" w:lineRule="auto"/>
        <w:jc w:val="both"/>
        <w:rPr>
          <w:rFonts w:ascii="Calibri" w:eastAsia="Times New Roman" w:hAnsi="Calibri" w:cs="Calibri"/>
          <w:b/>
          <w:smallCaps/>
          <w:sz w:val="24"/>
          <w:szCs w:val="24"/>
          <w:lang w:eastAsia="fr-FR"/>
        </w:rPr>
      </w:pPr>
    </w:p>
    <w:p w14:paraId="4A5898DD" w14:textId="15EC63BC" w:rsidR="00C50721" w:rsidRPr="004E58CA" w:rsidRDefault="00C50721" w:rsidP="00047F61">
      <w:pPr>
        <w:spacing w:after="0" w:line="240" w:lineRule="auto"/>
        <w:jc w:val="both"/>
      </w:pPr>
      <w:r w:rsidRPr="00C714BD">
        <w:rPr>
          <w:rFonts w:cstheme="minorHAnsi"/>
        </w:rPr>
        <w:t>Il s</w:t>
      </w:r>
      <w:r>
        <w:rPr>
          <w:rFonts w:cstheme="minorHAnsi"/>
        </w:rPr>
        <w:t>’agit de déclarer, en nombre et valeur, les prélèvements reçus par l’établissement en tant que PSP du payeur.</w:t>
      </w:r>
    </w:p>
    <w:p w14:paraId="4D24F6E4" w14:textId="77777777" w:rsidR="00047F61" w:rsidRPr="004E58CA" w:rsidRDefault="00047F61" w:rsidP="00047F61">
      <w:pPr>
        <w:spacing w:after="0" w:line="240" w:lineRule="auto"/>
        <w:jc w:val="both"/>
      </w:pPr>
    </w:p>
    <w:p w14:paraId="030869FD"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74D6B964" w14:textId="77777777" w:rsidR="00047F61" w:rsidRPr="00047F61" w:rsidRDefault="00047F61" w:rsidP="00047F61">
      <w:pPr>
        <w:spacing w:after="0" w:line="240" w:lineRule="auto"/>
        <w:jc w:val="both"/>
        <w:rPr>
          <w:rFonts w:ascii="Calibri" w:eastAsia="Times New Roman" w:hAnsi="Calibri" w:cs="Calibri"/>
          <w:b/>
          <w:smallCaps/>
          <w:sz w:val="28"/>
          <w:szCs w:val="28"/>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139"/>
        <w:gridCol w:w="2248"/>
        <w:gridCol w:w="1701"/>
        <w:gridCol w:w="992"/>
        <w:gridCol w:w="992"/>
      </w:tblGrid>
      <w:tr w:rsidR="00F46B3B" w:rsidRPr="00BB7ACB" w14:paraId="43EE5F9C" w14:textId="117D92DB" w:rsidTr="009E45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9" w:type="dxa"/>
            <w:tcBorders>
              <w:bottom w:val="single" w:sz="18" w:space="0" w:color="5B9BD5" w:themeColor="accent1"/>
            </w:tcBorders>
            <w:noWrap/>
          </w:tcPr>
          <w:p w14:paraId="435ADFD7" w14:textId="77777777" w:rsidR="00F46B3B" w:rsidRPr="00555289" w:rsidRDefault="00F46B3B" w:rsidP="00F46B3B">
            <w:pPr>
              <w:rPr>
                <w:rFonts w:ascii="Calibri" w:eastAsia="Times New Roman" w:hAnsi="Calibri" w:cs="Calibri"/>
                <w:i/>
                <w:sz w:val="18"/>
                <w:szCs w:val="18"/>
                <w:lang w:eastAsia="fr-FR"/>
              </w:rPr>
            </w:pPr>
          </w:p>
        </w:tc>
        <w:tc>
          <w:tcPr>
            <w:tcW w:w="2248" w:type="dxa"/>
            <w:tcBorders>
              <w:bottom w:val="single" w:sz="18" w:space="0" w:color="5B9BD5" w:themeColor="accent1"/>
            </w:tcBorders>
          </w:tcPr>
          <w:p w14:paraId="104A097C" w14:textId="77777777" w:rsidR="00F46B3B" w:rsidRDefault="00F46B3B" w:rsidP="00F46B3B">
            <w:pPr>
              <w:tabs>
                <w:tab w:val="left" w:pos="870"/>
              </w:tabs>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701" w:type="dxa"/>
            <w:tcBorders>
              <w:top w:val="single" w:sz="18" w:space="0" w:color="5B9BD5" w:themeColor="accent1"/>
              <w:bottom w:val="single" w:sz="18" w:space="0" w:color="5B9BD5" w:themeColor="accent1"/>
              <w:right w:val="single" w:sz="2" w:space="0" w:color="5B9BD5" w:themeColor="accent1"/>
            </w:tcBorders>
            <w:shd w:val="solid" w:color="FFFFFF" w:fill="000000"/>
            <w:noWrap/>
          </w:tcPr>
          <w:p w14:paraId="035A8D60" w14:textId="345F63D2" w:rsidR="00F46B3B" w:rsidRPr="00EB617D" w:rsidRDefault="004E68CF" w:rsidP="003234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Pays du PSP du payé</w:t>
            </w:r>
          </w:p>
        </w:tc>
        <w:tc>
          <w:tcPr>
            <w:tcW w:w="992"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473DB730" w14:textId="650C6B8F" w:rsidR="00F46B3B" w:rsidRPr="00EB617D" w:rsidRDefault="00F46B3B" w:rsidP="003234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28873ADF" w14:textId="77777777" w:rsidR="00F46B3B" w:rsidRDefault="00F46B3B" w:rsidP="003234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19779747" w14:textId="66EA4265" w:rsidR="00F46B3B" w:rsidRPr="00EB617D" w:rsidRDefault="00F46B3B" w:rsidP="003234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Pr>
                <w:rFonts w:cstheme="minorHAnsi"/>
                <w:sz w:val="14"/>
                <w:szCs w:val="18"/>
              </w:rPr>
              <w:t>euros</w:t>
            </w:r>
            <w:proofErr w:type="gramEnd"/>
          </w:p>
        </w:tc>
      </w:tr>
      <w:tr w:rsidR="00F46B3B" w:rsidRPr="00BB7ACB" w14:paraId="43142870" w14:textId="1BF34FB8" w:rsidTr="009E45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9" w:type="dxa"/>
            <w:tcBorders>
              <w:top w:val="single" w:sz="18" w:space="0" w:color="5B9BD5" w:themeColor="accent1"/>
              <w:bottom w:val="single" w:sz="18" w:space="0" w:color="5B9BD5" w:themeColor="accent1"/>
            </w:tcBorders>
            <w:noWrap/>
            <w:hideMark/>
          </w:tcPr>
          <w:p w14:paraId="6C933128" w14:textId="77777777" w:rsidR="00F46B3B" w:rsidRPr="00555289" w:rsidRDefault="00F46B3B">
            <w:pPr>
              <w:rPr>
                <w:rFonts w:ascii="Calibri" w:eastAsia="Times New Roman" w:hAnsi="Calibri" w:cs="Calibri"/>
                <w:b w:val="0"/>
                <w:i/>
                <w:sz w:val="18"/>
                <w:szCs w:val="18"/>
                <w:lang w:eastAsia="fr-FR"/>
              </w:rPr>
            </w:pPr>
            <w:r w:rsidRPr="00555289">
              <w:rPr>
                <w:rFonts w:ascii="Calibri" w:eastAsia="Times New Roman" w:hAnsi="Calibri" w:cs="Calibri"/>
                <w:i/>
                <w:sz w:val="18"/>
                <w:szCs w:val="18"/>
                <w:lang w:eastAsia="fr-FR"/>
              </w:rPr>
              <w:t>Prélèvements reçus</w:t>
            </w:r>
            <w:r>
              <w:rPr>
                <w:rFonts w:ascii="Calibri" w:eastAsia="Times New Roman" w:hAnsi="Calibri" w:cs="Calibri"/>
                <w:i/>
                <w:sz w:val="18"/>
                <w:szCs w:val="18"/>
                <w:lang w:eastAsia="fr-FR"/>
              </w:rPr>
              <w:t xml:space="preserve"> </w:t>
            </w:r>
            <w:r w:rsidRPr="00555289">
              <w:rPr>
                <w:rFonts w:ascii="Calibri" w:eastAsia="Times New Roman" w:hAnsi="Calibri" w:cs="Calibri"/>
                <w:i/>
                <w:sz w:val="18"/>
                <w:szCs w:val="18"/>
                <w:lang w:eastAsia="fr-FR"/>
              </w:rPr>
              <w:t>par l’établissement</w:t>
            </w:r>
          </w:p>
        </w:tc>
        <w:tc>
          <w:tcPr>
            <w:tcW w:w="2248" w:type="dxa"/>
            <w:tcBorders>
              <w:top w:val="single" w:sz="18" w:space="0" w:color="5B9BD5" w:themeColor="accent1"/>
              <w:bottom w:val="single" w:sz="18" w:space="0" w:color="5B9BD5" w:themeColor="accent1"/>
            </w:tcBorders>
          </w:tcPr>
          <w:p w14:paraId="65D1B7CD" w14:textId="2E0599AA" w:rsidR="00F46B3B" w:rsidRPr="00555289" w:rsidRDefault="00F46B3B" w:rsidP="00EC4051">
            <w:pPr>
              <w:tabs>
                <w:tab w:val="left" w:pos="870"/>
              </w:tabs>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701" w:type="dxa"/>
            <w:tcBorders>
              <w:top w:val="single" w:sz="18" w:space="0" w:color="5B9BD5" w:themeColor="accent1"/>
              <w:bottom w:val="single" w:sz="18" w:space="0" w:color="5B9BD5" w:themeColor="accent1"/>
            </w:tcBorders>
            <w:noWrap/>
            <w:hideMark/>
          </w:tcPr>
          <w:p w14:paraId="39851F72" w14:textId="0F947169" w:rsidR="00F46B3B" w:rsidRPr="004E68CF" w:rsidRDefault="00F46B3B" w:rsidP="004E6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8"/>
                <w:lang w:eastAsia="fr-FR"/>
              </w:rPr>
            </w:pPr>
            <w:r w:rsidRPr="004E68CF">
              <w:rPr>
                <w:rFonts w:cstheme="minorHAnsi"/>
                <w:sz w:val="14"/>
                <w:szCs w:val="18"/>
              </w:rPr>
              <w:t>Sur la base d</w:t>
            </w:r>
            <w:r w:rsidR="004E68CF" w:rsidRPr="004E68CF">
              <w:rPr>
                <w:rFonts w:cstheme="minorHAnsi"/>
                <w:sz w:val="14"/>
                <w:szCs w:val="18"/>
              </w:rPr>
              <w:t>e la ventilation géographique en section 5</w:t>
            </w:r>
            <w:r w:rsidR="002262D6">
              <w:rPr>
                <w:rFonts w:cstheme="minorHAnsi"/>
                <w:sz w:val="14"/>
                <w:szCs w:val="18"/>
              </w:rPr>
              <w:t>.1</w:t>
            </w:r>
          </w:p>
        </w:tc>
        <w:tc>
          <w:tcPr>
            <w:tcW w:w="992" w:type="dxa"/>
            <w:tcBorders>
              <w:top w:val="single" w:sz="18" w:space="0" w:color="5B9BD5" w:themeColor="accent1"/>
              <w:bottom w:val="single" w:sz="18" w:space="0" w:color="5B9BD5" w:themeColor="accent1"/>
            </w:tcBorders>
          </w:tcPr>
          <w:p w14:paraId="726910C8" w14:textId="77777777" w:rsidR="00F46B3B" w:rsidRPr="00EB617D"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92" w:type="dxa"/>
            <w:tcBorders>
              <w:top w:val="single" w:sz="18" w:space="0" w:color="5B9BD5" w:themeColor="accent1"/>
              <w:bottom w:val="single" w:sz="18" w:space="0" w:color="5B9BD5" w:themeColor="accent1"/>
            </w:tcBorders>
          </w:tcPr>
          <w:p w14:paraId="6045FFE9" w14:textId="25A97E90" w:rsidR="00F46B3B" w:rsidRPr="00EB617D"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bl>
    <w:p w14:paraId="77DFF688" w14:textId="77777777" w:rsidR="00FF5429" w:rsidRDefault="00FF5429" w:rsidP="00FF5429">
      <w:pPr>
        <w:pStyle w:val="Paragraphedeliste"/>
        <w:autoSpaceDE w:val="0"/>
        <w:autoSpaceDN w:val="0"/>
        <w:adjustRightInd w:val="0"/>
        <w:spacing w:after="0" w:line="240" w:lineRule="auto"/>
        <w:jc w:val="both"/>
        <w:rPr>
          <w:rFonts w:cstheme="minorHAnsi"/>
        </w:rPr>
      </w:pPr>
    </w:p>
    <w:p w14:paraId="6601C4ED" w14:textId="77777777" w:rsidR="00FF5429" w:rsidRPr="004E58CA" w:rsidRDefault="00FF5429"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6CECAC4F" w14:textId="59F14AE8" w:rsidR="00FF5429" w:rsidRDefault="00FF5429" w:rsidP="00BC1AB1">
      <w:pPr>
        <w:pStyle w:val="Paragraphedeliste"/>
        <w:autoSpaceDE w:val="0"/>
        <w:autoSpaceDN w:val="0"/>
        <w:adjustRightInd w:val="0"/>
        <w:spacing w:after="0" w:line="240" w:lineRule="auto"/>
        <w:jc w:val="both"/>
        <w:rPr>
          <w:rFonts w:cstheme="minorHAnsi"/>
        </w:rPr>
      </w:pPr>
    </w:p>
    <w:p w14:paraId="05A0D402" w14:textId="428968DF" w:rsidR="00973A94" w:rsidRDefault="003B5E0B" w:rsidP="003B5E0B">
      <w:pPr>
        <w:autoSpaceDE w:val="0"/>
        <w:autoSpaceDN w:val="0"/>
        <w:adjustRightInd w:val="0"/>
        <w:spacing w:after="0" w:line="240" w:lineRule="auto"/>
        <w:jc w:val="both"/>
        <w:rPr>
          <w:rFonts w:cstheme="minorHAnsi"/>
        </w:rPr>
      </w:pPr>
      <w:r>
        <w:rPr>
          <w:rFonts w:cstheme="minorHAnsi"/>
        </w:rPr>
        <w:t>L</w:t>
      </w:r>
      <w:r w:rsidR="00973A94" w:rsidRPr="003B5E0B">
        <w:rPr>
          <w:rFonts w:cstheme="minorHAnsi"/>
        </w:rPr>
        <w:t>es règles de contrôle suivantes doivent être app</w:t>
      </w:r>
      <w:r w:rsidR="00E06F9C" w:rsidRPr="003B5E0B">
        <w:rPr>
          <w:rFonts w:cstheme="minorHAnsi"/>
        </w:rPr>
        <w:t>liquées en nombre et en valeur.</w:t>
      </w:r>
    </w:p>
    <w:p w14:paraId="2C8907FB" w14:textId="77777777" w:rsidR="001549AE" w:rsidRPr="003B5E0B" w:rsidRDefault="001549AE" w:rsidP="003B5E0B">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1549AE" w:rsidRPr="00191426" w14:paraId="27FDCA57" w14:textId="77777777" w:rsidTr="0068417B">
        <w:tc>
          <w:tcPr>
            <w:tcW w:w="9054" w:type="dxa"/>
          </w:tcPr>
          <w:p w14:paraId="5241238D" w14:textId="3B58A5FE" w:rsidR="001549AE" w:rsidRPr="004E58CA" w:rsidRDefault="001549AE" w:rsidP="001549AE">
            <w:pPr>
              <w:pStyle w:val="Paragraphedeliste"/>
              <w:autoSpaceDE w:val="0"/>
              <w:autoSpaceDN w:val="0"/>
              <w:adjustRightInd w:val="0"/>
              <w:ind w:left="0"/>
              <w:jc w:val="both"/>
              <w:rPr>
                <w:sz w:val="18"/>
              </w:rPr>
            </w:pPr>
            <w:r>
              <w:rPr>
                <w:rFonts w:cstheme="minorHAnsi"/>
                <w:sz w:val="18"/>
                <w:szCs w:val="18"/>
              </w:rPr>
              <w:t>Le total des prélèvements</w:t>
            </w:r>
            <w:r w:rsidR="00C2026C">
              <w:rPr>
                <w:rFonts w:cstheme="minorHAnsi"/>
                <w:sz w:val="18"/>
                <w:szCs w:val="18"/>
              </w:rPr>
              <w:t xml:space="preserve"> reçus</w:t>
            </w:r>
            <w:r>
              <w:rPr>
                <w:rFonts w:cstheme="minorHAnsi"/>
                <w:sz w:val="18"/>
                <w:szCs w:val="18"/>
              </w:rPr>
              <w:t xml:space="preserve"> est = à la somme des trois sous-ventilations géographiques associées (France, au sein de l’EEE et </w:t>
            </w:r>
            <w:r w:rsidRPr="000945DD">
              <w:rPr>
                <w:rFonts w:cstheme="minorHAnsi"/>
                <w:sz w:val="18"/>
                <w:szCs w:val="18"/>
              </w:rPr>
              <w:t>hors de l’EEE</w:t>
            </w:r>
            <w:r w:rsidR="00481F53">
              <w:rPr>
                <w:rFonts w:cstheme="minorHAnsi"/>
                <w:sz w:val="18"/>
                <w:szCs w:val="18"/>
              </w:rPr>
              <w:t>)</w:t>
            </w:r>
            <w:r w:rsidRPr="000945DD">
              <w:rPr>
                <w:rFonts w:cstheme="minorHAnsi"/>
                <w:sz w:val="18"/>
                <w:szCs w:val="18"/>
              </w:rPr>
              <w:t>.</w:t>
            </w:r>
          </w:p>
        </w:tc>
      </w:tr>
      <w:tr w:rsidR="001549AE" w:rsidRPr="004E58CA" w14:paraId="43893003" w14:textId="77777777" w:rsidTr="0068417B">
        <w:tc>
          <w:tcPr>
            <w:tcW w:w="9054" w:type="dxa"/>
          </w:tcPr>
          <w:p w14:paraId="4E483795" w14:textId="489F6EA5" w:rsidR="001549AE" w:rsidRDefault="001549AE" w:rsidP="001549AE">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prélèvements </w:t>
            </w:r>
            <w:r w:rsidR="00C2026C">
              <w:rPr>
                <w:rFonts w:cstheme="minorHAnsi"/>
                <w:sz w:val="18"/>
                <w:szCs w:val="18"/>
              </w:rPr>
              <w:t xml:space="preserve">reçus </w:t>
            </w:r>
            <w:r>
              <w:rPr>
                <w:rFonts w:cstheme="minorHAnsi"/>
                <w:sz w:val="18"/>
                <w:szCs w:val="18"/>
              </w:rPr>
              <w:t>« au sein de la zone de l’EEE » est = à la somme de la ventilation par pays de l’EEE.</w:t>
            </w:r>
          </w:p>
        </w:tc>
      </w:tr>
    </w:tbl>
    <w:p w14:paraId="2FF9F7AD" w14:textId="40482D24" w:rsidR="00973A94" w:rsidRDefault="00973A94" w:rsidP="00FF5429">
      <w:pPr>
        <w:pStyle w:val="Paragraphedeliste"/>
        <w:autoSpaceDE w:val="0"/>
        <w:autoSpaceDN w:val="0"/>
        <w:adjustRightInd w:val="0"/>
        <w:spacing w:after="0" w:line="240" w:lineRule="auto"/>
        <w:jc w:val="both"/>
        <w:rPr>
          <w:rFonts w:cstheme="minorHAnsi"/>
        </w:rPr>
      </w:pPr>
    </w:p>
    <w:p w14:paraId="2BF88B2E" w14:textId="77777777" w:rsidR="001549AE" w:rsidRDefault="001549AE" w:rsidP="00FF5429">
      <w:pPr>
        <w:pStyle w:val="Paragraphedeliste"/>
        <w:autoSpaceDE w:val="0"/>
        <w:autoSpaceDN w:val="0"/>
        <w:adjustRightInd w:val="0"/>
        <w:spacing w:after="0" w:line="240" w:lineRule="auto"/>
        <w:jc w:val="both"/>
        <w:rPr>
          <w:rFonts w:cstheme="minorHAnsi"/>
        </w:rPr>
      </w:pPr>
    </w:p>
    <w:p w14:paraId="209FD041" w14:textId="573566F2" w:rsidR="00FF5429" w:rsidRDefault="00FF5429" w:rsidP="00FF5429">
      <w:pPr>
        <w:pStyle w:val="Paragraphedeliste"/>
        <w:autoSpaceDE w:val="0"/>
        <w:autoSpaceDN w:val="0"/>
        <w:adjustRightInd w:val="0"/>
        <w:spacing w:after="0" w:line="240" w:lineRule="auto"/>
        <w:jc w:val="both"/>
        <w:rPr>
          <w:rFonts w:cstheme="minorHAnsi"/>
        </w:rPr>
      </w:pPr>
    </w:p>
    <w:p w14:paraId="36BB2828" w14:textId="77777777" w:rsidR="0081549B" w:rsidRDefault="0081549B" w:rsidP="00FF5429">
      <w:pPr>
        <w:pStyle w:val="Paragraphedeliste"/>
        <w:autoSpaceDE w:val="0"/>
        <w:autoSpaceDN w:val="0"/>
        <w:adjustRightInd w:val="0"/>
        <w:spacing w:after="0" w:line="240" w:lineRule="auto"/>
        <w:jc w:val="both"/>
        <w:rPr>
          <w:rFonts w:cstheme="minorHAnsi"/>
        </w:rPr>
      </w:pPr>
    </w:p>
    <w:p w14:paraId="4F2005A9" w14:textId="5BBD6F76" w:rsidR="00047F61" w:rsidRPr="0096058A" w:rsidRDefault="00047F61" w:rsidP="007718A3">
      <w:pPr>
        <w:pStyle w:val="Titre3"/>
        <w:numPr>
          <w:ilvl w:val="2"/>
          <w:numId w:val="38"/>
        </w:numPr>
        <w:jc w:val="both"/>
      </w:pPr>
      <w:bookmarkStart w:id="58" w:name="_Toc222476888"/>
      <w:r w:rsidRPr="0096058A">
        <w:lastRenderedPageBreak/>
        <w:t>Commentaires sur les prélèvements</w:t>
      </w:r>
      <w:bookmarkEnd w:id="58"/>
    </w:p>
    <w:p w14:paraId="593CDD9F" w14:textId="77777777" w:rsidR="00323441" w:rsidRDefault="00323441" w:rsidP="00047F61">
      <w:pPr>
        <w:spacing w:after="0" w:line="240" w:lineRule="auto"/>
        <w:jc w:val="both"/>
        <w:rPr>
          <w:rFonts w:ascii="Calibri" w:eastAsia="Times New Roman" w:hAnsi="Calibri" w:cs="Calibri"/>
          <w:b/>
          <w:smallCaps/>
          <w:color w:val="2E74B5" w:themeColor="accent1" w:themeShade="BF"/>
          <w:sz w:val="24"/>
          <w:szCs w:val="24"/>
          <w:lang w:eastAsia="fr-FR"/>
        </w:rPr>
      </w:pPr>
    </w:p>
    <w:p w14:paraId="24DDE8E8" w14:textId="3C4C6148" w:rsidR="00FE5E9A" w:rsidRDefault="00FE5E9A" w:rsidP="00047F61">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w:t>
      </w:r>
      <w:r>
        <w:rPr>
          <w:rFonts w:ascii="Calibri" w:eastAsia="Times New Roman" w:hAnsi="Calibri" w:cs="Calibri"/>
          <w:b/>
          <w:smallCaps/>
          <w:color w:val="2E74B5" w:themeColor="accent1" w:themeShade="BF"/>
          <w:sz w:val="24"/>
          <w:szCs w:val="24"/>
          <w:lang w:eastAsia="fr-FR"/>
        </w:rPr>
        <w:t> :</w:t>
      </w:r>
    </w:p>
    <w:p w14:paraId="0D69F08A" w14:textId="77777777" w:rsidR="00047F61" w:rsidRPr="00047F61" w:rsidRDefault="00047F61" w:rsidP="00047F61">
      <w:pPr>
        <w:spacing w:after="0" w:line="240" w:lineRule="auto"/>
        <w:jc w:val="both"/>
        <w:rPr>
          <w:rFonts w:ascii="Calibri" w:eastAsia="Times New Roman" w:hAnsi="Calibri" w:cs="Calibri"/>
          <w:b/>
          <w:smallCaps/>
          <w:sz w:val="28"/>
          <w:szCs w:val="28"/>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39"/>
        <w:gridCol w:w="4533"/>
      </w:tblGrid>
      <w:tr w:rsidR="00323441" w:rsidRPr="00555289" w14:paraId="2E2D2A99" w14:textId="77777777" w:rsidTr="0068417B">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4539" w:type="dxa"/>
            <w:tcBorders>
              <w:bottom w:val="none" w:sz="0" w:space="0" w:color="auto"/>
            </w:tcBorders>
            <w:noWrap/>
            <w:hideMark/>
          </w:tcPr>
          <w:p w14:paraId="0F3A3A9B" w14:textId="77777777" w:rsidR="00323441" w:rsidRPr="00555289" w:rsidRDefault="00323441" w:rsidP="00EC4F18">
            <w:pPr>
              <w:rPr>
                <w:rFonts w:ascii="Calibri" w:eastAsia="Times New Roman" w:hAnsi="Calibri" w:cs="Calibri"/>
                <w:i/>
                <w:sz w:val="18"/>
                <w:szCs w:val="18"/>
                <w:lang w:eastAsia="fr-FR"/>
              </w:rPr>
            </w:pPr>
          </w:p>
          <w:p w14:paraId="07848A71" w14:textId="29C9918B" w:rsidR="00323441" w:rsidRPr="00555289" w:rsidRDefault="00323441" w:rsidP="00EC4F18">
            <w:pPr>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Commentaires sur l'activité prélèvements</w:t>
            </w:r>
          </w:p>
          <w:p w14:paraId="0945C1F9" w14:textId="47E717B0" w:rsidR="00323441" w:rsidRPr="00555289" w:rsidRDefault="00323441" w:rsidP="00EC4F18">
            <w:pPr>
              <w:rPr>
                <w:rFonts w:ascii="Calibri" w:eastAsia="Times New Roman" w:hAnsi="Calibri" w:cs="Calibri"/>
                <w:i/>
                <w:sz w:val="18"/>
                <w:szCs w:val="18"/>
                <w:lang w:eastAsia="fr-FR"/>
              </w:rPr>
            </w:pPr>
          </w:p>
        </w:tc>
        <w:tc>
          <w:tcPr>
            <w:tcW w:w="4533" w:type="dxa"/>
            <w:tcBorders>
              <w:bottom w:val="none" w:sz="0" w:space="0" w:color="auto"/>
            </w:tcBorders>
          </w:tcPr>
          <w:p w14:paraId="319EA503" w14:textId="28FB7D44" w:rsidR="00323441" w:rsidRPr="00555289" w:rsidRDefault="00323441" w:rsidP="00EC4F1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58FB0095" w14:textId="42E09E00" w:rsidR="00047F61" w:rsidRPr="006B400E" w:rsidRDefault="00047F61" w:rsidP="007718A3">
      <w:pPr>
        <w:pStyle w:val="Titre2"/>
        <w:numPr>
          <w:ilvl w:val="1"/>
          <w:numId w:val="38"/>
        </w:numPr>
      </w:pPr>
      <w:bookmarkStart w:id="59" w:name="_Toc222476889"/>
      <w:r w:rsidRPr="006B400E">
        <w:t>Chèques</w:t>
      </w:r>
      <w:bookmarkEnd w:id="59"/>
    </w:p>
    <w:p w14:paraId="3E1A3593" w14:textId="77777777" w:rsidR="00D90340" w:rsidRDefault="00D90340" w:rsidP="00D90340">
      <w:pPr>
        <w:spacing w:after="0" w:line="240" w:lineRule="auto"/>
        <w:jc w:val="both"/>
        <w:rPr>
          <w:rFonts w:ascii="Calibri" w:eastAsia="Times New Roman" w:hAnsi="Calibri" w:cs="Calibri"/>
          <w:b/>
          <w:smallCaps/>
          <w:sz w:val="28"/>
          <w:szCs w:val="28"/>
          <w:lang w:eastAsia="fr-FR"/>
        </w:rPr>
      </w:pPr>
    </w:p>
    <w:p w14:paraId="12347070" w14:textId="12AE7213" w:rsidR="003C2333" w:rsidRPr="00D90340" w:rsidRDefault="003C2333" w:rsidP="00D90340">
      <w:pPr>
        <w:spacing w:after="0" w:line="240" w:lineRule="auto"/>
        <w:jc w:val="both"/>
        <w:rPr>
          <w:rFonts w:cstheme="minorHAnsi"/>
          <w:b/>
        </w:rPr>
      </w:pPr>
      <w:r>
        <w:rPr>
          <w:rFonts w:cstheme="minorHAnsi"/>
        </w:rPr>
        <w:t>I</w:t>
      </w:r>
      <w:r w:rsidRPr="006A1B3D">
        <w:rPr>
          <w:rFonts w:cstheme="minorHAnsi"/>
        </w:rPr>
        <w:t>l s’</w:t>
      </w:r>
      <w:r>
        <w:rPr>
          <w:rFonts w:cstheme="minorHAnsi"/>
        </w:rPr>
        <w:t>agit de déclarer, en volume et valeur, les chèques reçus des clients pour encaissement et les chèques tirés sur des comptes tenus par l’établissement.</w:t>
      </w:r>
      <w:r w:rsidR="00D90340">
        <w:rPr>
          <w:rFonts w:cstheme="minorHAnsi"/>
        </w:rPr>
        <w:t xml:space="preserve"> Les chèques concernés sont </w:t>
      </w:r>
      <w:r w:rsidR="00D90340" w:rsidRPr="00D90340">
        <w:rPr>
          <w:rFonts w:cstheme="minorHAnsi"/>
          <w:b/>
        </w:rPr>
        <w:t>les chèques en euros ou en devises.</w:t>
      </w:r>
    </w:p>
    <w:p w14:paraId="68044DCE" w14:textId="77777777" w:rsidR="003C2333" w:rsidRDefault="003C2333" w:rsidP="00D90340">
      <w:pPr>
        <w:spacing w:after="0" w:line="240" w:lineRule="auto"/>
        <w:jc w:val="both"/>
        <w:rPr>
          <w:rFonts w:cstheme="minorHAnsi"/>
        </w:rPr>
      </w:pPr>
    </w:p>
    <w:p w14:paraId="16A6C69A" w14:textId="431AB5CC" w:rsidR="003C2333" w:rsidRDefault="00AF25F2" w:rsidP="00D90340">
      <w:pPr>
        <w:spacing w:after="0" w:line="240" w:lineRule="auto"/>
        <w:jc w:val="both"/>
        <w:rPr>
          <w:rFonts w:cstheme="minorHAnsi"/>
          <w:u w:val="single"/>
        </w:rPr>
      </w:pPr>
      <w:r>
        <w:rPr>
          <w:rFonts w:cstheme="minorHAnsi"/>
          <w:u w:val="single"/>
        </w:rPr>
        <w:t>Remarques</w:t>
      </w:r>
      <w:r w:rsidRPr="00A675AF">
        <w:rPr>
          <w:rFonts w:cstheme="minorHAnsi"/>
        </w:rPr>
        <w:t> :</w:t>
      </w:r>
    </w:p>
    <w:p w14:paraId="72BD2C92" w14:textId="77777777" w:rsidR="00AF25F2" w:rsidRDefault="00AF25F2" w:rsidP="00D90340">
      <w:pPr>
        <w:spacing w:after="0" w:line="240" w:lineRule="auto"/>
        <w:jc w:val="both"/>
        <w:rPr>
          <w:rFonts w:cstheme="minorHAnsi"/>
          <w:u w:val="single"/>
        </w:rPr>
      </w:pPr>
    </w:p>
    <w:p w14:paraId="76F2D0B9" w14:textId="447F83A8" w:rsidR="00A65ACC" w:rsidRPr="00A65ACC" w:rsidRDefault="00A65ACC" w:rsidP="00594FDC">
      <w:pPr>
        <w:pStyle w:val="Paragraphedeliste"/>
        <w:numPr>
          <w:ilvl w:val="0"/>
          <w:numId w:val="5"/>
        </w:numPr>
        <w:spacing w:after="0" w:line="240" w:lineRule="auto"/>
        <w:ind w:left="357" w:hanging="357"/>
        <w:jc w:val="both"/>
        <w:rPr>
          <w:rFonts w:cstheme="minorHAnsi"/>
        </w:rPr>
      </w:pPr>
      <w:r>
        <w:rPr>
          <w:rFonts w:cstheme="minorHAnsi"/>
        </w:rPr>
        <w:t xml:space="preserve">Les chèques </w:t>
      </w:r>
      <w:proofErr w:type="spellStart"/>
      <w:r>
        <w:rPr>
          <w:rFonts w:cstheme="minorHAnsi"/>
        </w:rPr>
        <w:t>intrabancaires</w:t>
      </w:r>
      <w:proofErr w:type="spellEnd"/>
      <w:r>
        <w:rPr>
          <w:rFonts w:cstheme="minorHAnsi"/>
        </w:rPr>
        <w:t xml:space="preserve"> (</w:t>
      </w:r>
      <w:r w:rsidR="00FF5429">
        <w:rPr>
          <w:rFonts w:cstheme="minorHAnsi"/>
        </w:rPr>
        <w:t>c</w:t>
      </w:r>
      <w:r>
        <w:rPr>
          <w:rFonts w:cstheme="minorHAnsi"/>
        </w:rPr>
        <w:t>.</w:t>
      </w:r>
      <w:r w:rsidR="00FF5429">
        <w:rPr>
          <w:rFonts w:cstheme="minorHAnsi"/>
        </w:rPr>
        <w:t>-à-d</w:t>
      </w:r>
      <w:r>
        <w:rPr>
          <w:rFonts w:cstheme="minorHAnsi"/>
        </w:rPr>
        <w:t>. au sein de votre établissement) doivent être déclarés à la fois dans « Chèques reçus à l’encaissement » et « Chèques tirés sur les comptes de l’établissement ».</w:t>
      </w:r>
    </w:p>
    <w:p w14:paraId="2DDBC824" w14:textId="25D0DE39" w:rsidR="00D90340" w:rsidRDefault="00D90340" w:rsidP="00CA09B9">
      <w:pPr>
        <w:pStyle w:val="Paragraphedeliste"/>
        <w:spacing w:after="0" w:line="240" w:lineRule="auto"/>
        <w:ind w:left="924"/>
        <w:jc w:val="both"/>
        <w:rPr>
          <w:rFonts w:ascii="Calibri" w:eastAsia="Times New Roman" w:hAnsi="Calibri" w:cs="Calibri"/>
          <w:b/>
          <w:smallCaps/>
          <w:sz w:val="28"/>
          <w:szCs w:val="28"/>
          <w:lang w:eastAsia="fr-FR"/>
        </w:rPr>
      </w:pPr>
    </w:p>
    <w:p w14:paraId="35CA0FFB" w14:textId="58E9F557" w:rsidR="00D90340" w:rsidRPr="00040C36" w:rsidRDefault="00CA09B9" w:rsidP="00594FDC">
      <w:pPr>
        <w:pStyle w:val="Paragraphedeliste"/>
        <w:numPr>
          <w:ilvl w:val="0"/>
          <w:numId w:val="5"/>
        </w:numPr>
        <w:spacing w:after="0" w:line="240" w:lineRule="auto"/>
        <w:ind w:left="357" w:hanging="357"/>
        <w:jc w:val="both"/>
        <w:rPr>
          <w:rFonts w:cstheme="minorHAnsi"/>
        </w:rPr>
      </w:pPr>
      <w:r>
        <w:rPr>
          <w:rFonts w:cstheme="minorHAnsi"/>
        </w:rPr>
        <w:t>E</w:t>
      </w:r>
      <w:r w:rsidR="00D90340" w:rsidRPr="00040C36">
        <w:rPr>
          <w:rFonts w:cstheme="minorHAnsi"/>
        </w:rPr>
        <w:t>xclu</w:t>
      </w:r>
      <w:r w:rsidR="00FB1B54">
        <w:rPr>
          <w:rFonts w:cstheme="minorHAnsi"/>
        </w:rPr>
        <w:t>s</w:t>
      </w:r>
      <w:r w:rsidR="00D90340" w:rsidRPr="00040C36">
        <w:rPr>
          <w:rFonts w:cstheme="minorHAnsi"/>
        </w:rPr>
        <w:t> :</w:t>
      </w:r>
    </w:p>
    <w:p w14:paraId="449651F1" w14:textId="31BCFA90" w:rsidR="00D90340" w:rsidRPr="00D90340" w:rsidRDefault="00D90340" w:rsidP="00594FDC">
      <w:pPr>
        <w:pStyle w:val="Paragraphedeliste"/>
        <w:numPr>
          <w:ilvl w:val="0"/>
          <w:numId w:val="5"/>
        </w:numPr>
        <w:ind w:left="924" w:hanging="357"/>
        <w:jc w:val="both"/>
        <w:rPr>
          <w:rFonts w:cstheme="minorHAnsi"/>
        </w:rPr>
      </w:pPr>
      <w:r w:rsidRPr="00D90340">
        <w:rPr>
          <w:rFonts w:cstheme="minorHAnsi"/>
        </w:rPr>
        <w:t xml:space="preserve">Les chèques tirés par l’établissement lui-même sur des comptes tenus par d’autres </w:t>
      </w:r>
      <w:r>
        <w:rPr>
          <w:rFonts w:cstheme="minorHAnsi"/>
        </w:rPr>
        <w:t>é</w:t>
      </w:r>
      <w:r w:rsidRPr="00D90340">
        <w:rPr>
          <w:rFonts w:cstheme="minorHAnsi"/>
        </w:rPr>
        <w:t xml:space="preserve">tablissements, </w:t>
      </w:r>
      <w:r w:rsidR="00FF0604">
        <w:rPr>
          <w:rFonts w:cstheme="minorHAnsi"/>
        </w:rPr>
        <w:t>ainsi que</w:t>
      </w:r>
      <w:r w:rsidRPr="00D90340">
        <w:rPr>
          <w:rFonts w:cstheme="minorHAnsi"/>
        </w:rPr>
        <w:t xml:space="preserve"> les chèques qu’il reçoit à son ordre sur ces mêmes comptes (dans ce cas, l’établissement agit en tant que client et ses opérations sont comptabil</w:t>
      </w:r>
      <w:r w:rsidR="00040C36">
        <w:rPr>
          <w:rFonts w:cstheme="minorHAnsi"/>
        </w:rPr>
        <w:t>isées par son teneur de compte) ;</w:t>
      </w:r>
    </w:p>
    <w:p w14:paraId="03C60FD1" w14:textId="5148FDB1" w:rsidR="00D90340" w:rsidRDefault="00D90340" w:rsidP="00594FDC">
      <w:pPr>
        <w:pStyle w:val="Paragraphedeliste"/>
        <w:numPr>
          <w:ilvl w:val="0"/>
          <w:numId w:val="5"/>
        </w:numPr>
        <w:spacing w:after="0" w:line="240" w:lineRule="auto"/>
        <w:ind w:left="924" w:hanging="357"/>
        <w:jc w:val="both"/>
        <w:rPr>
          <w:rFonts w:cstheme="minorHAnsi"/>
        </w:rPr>
      </w:pPr>
      <w:r>
        <w:rPr>
          <w:rFonts w:cstheme="minorHAnsi"/>
        </w:rPr>
        <w:t>L</w:t>
      </w:r>
      <w:r w:rsidRPr="00D90340">
        <w:rPr>
          <w:rFonts w:cstheme="minorHAnsi"/>
        </w:rPr>
        <w:t>es chèques de voyage</w:t>
      </w:r>
      <w:r w:rsidR="00040C36">
        <w:rPr>
          <w:rFonts w:cstheme="minorHAnsi"/>
        </w:rPr>
        <w:t>.</w:t>
      </w:r>
    </w:p>
    <w:p w14:paraId="783962D6" w14:textId="77777777" w:rsidR="00BC1AB1" w:rsidRPr="00D90340" w:rsidRDefault="00BC1AB1" w:rsidP="00BC1AB1">
      <w:pPr>
        <w:pStyle w:val="Paragraphedeliste"/>
        <w:spacing w:after="0" w:line="240" w:lineRule="auto"/>
        <w:ind w:left="924"/>
        <w:jc w:val="both"/>
        <w:rPr>
          <w:rFonts w:cstheme="minorHAnsi"/>
        </w:rPr>
      </w:pPr>
    </w:p>
    <w:p w14:paraId="3AB80224" w14:textId="7BBAD4E1" w:rsidR="00047F61" w:rsidRDefault="00047F61" w:rsidP="00047F61">
      <w:pPr>
        <w:spacing w:after="0" w:line="240" w:lineRule="auto"/>
        <w:jc w:val="both"/>
        <w:rPr>
          <w:rFonts w:ascii="Calibri" w:eastAsia="Times New Roman" w:hAnsi="Calibri" w:cs="Calibri"/>
          <w:b/>
          <w:smallCaps/>
          <w:sz w:val="28"/>
          <w:szCs w:val="28"/>
          <w:lang w:eastAsia="fr-FR"/>
        </w:rPr>
      </w:pPr>
    </w:p>
    <w:p w14:paraId="4985AA1B" w14:textId="7A77403D" w:rsidR="005A0EE0" w:rsidRPr="006B400E" w:rsidRDefault="005A0EE0" w:rsidP="007718A3">
      <w:pPr>
        <w:pStyle w:val="Titre3"/>
        <w:numPr>
          <w:ilvl w:val="2"/>
          <w:numId w:val="38"/>
        </w:numPr>
        <w:jc w:val="both"/>
      </w:pPr>
      <w:bookmarkStart w:id="60" w:name="_Toc222476890"/>
      <w:r w:rsidRPr="006B400E">
        <w:t>Chèques reçus à l’encaissement</w:t>
      </w:r>
      <w:bookmarkEnd w:id="60"/>
    </w:p>
    <w:p w14:paraId="4BE852F9" w14:textId="2AC3FCFD" w:rsidR="00040C36" w:rsidRPr="00FF5429" w:rsidRDefault="00040C36" w:rsidP="00047F61">
      <w:pPr>
        <w:spacing w:after="0" w:line="240" w:lineRule="auto"/>
        <w:jc w:val="both"/>
        <w:rPr>
          <w:rFonts w:ascii="Calibri" w:eastAsia="Times New Roman" w:hAnsi="Calibri" w:cs="Calibri"/>
          <w:b/>
          <w:smallCaps/>
          <w:sz w:val="24"/>
          <w:szCs w:val="24"/>
          <w:lang w:eastAsia="fr-FR"/>
        </w:rPr>
      </w:pPr>
    </w:p>
    <w:p w14:paraId="3BCD4A48" w14:textId="0B8A93B3" w:rsidR="00040C36" w:rsidRPr="004E58CA" w:rsidRDefault="00040C36" w:rsidP="00047F61">
      <w:pPr>
        <w:spacing w:after="0" w:line="240" w:lineRule="auto"/>
        <w:jc w:val="both"/>
      </w:pPr>
      <w:r w:rsidRPr="00FF5429">
        <w:rPr>
          <w:rFonts w:cstheme="minorHAnsi"/>
        </w:rPr>
        <w:t>Il s’agit de déclarer, en volume et valeur, les chèques reçus des clients pour encaissement en tant que PSP du payé.</w:t>
      </w:r>
    </w:p>
    <w:p w14:paraId="33F177FE" w14:textId="77777777" w:rsidR="005A0EE0" w:rsidRPr="004E58CA" w:rsidRDefault="005A0EE0" w:rsidP="00047F61">
      <w:pPr>
        <w:spacing w:after="0" w:line="240" w:lineRule="auto"/>
        <w:jc w:val="both"/>
        <w:rPr>
          <w:rFonts w:ascii="Calibri" w:hAnsi="Calibri"/>
          <w:b/>
          <w:smallCaps/>
          <w:sz w:val="24"/>
        </w:rPr>
      </w:pPr>
    </w:p>
    <w:p w14:paraId="703CC1DA"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65E5C386" w14:textId="77777777" w:rsidR="005A0EE0" w:rsidRPr="00047F61" w:rsidRDefault="005A0EE0" w:rsidP="00047F61">
      <w:pPr>
        <w:spacing w:after="0" w:line="240" w:lineRule="auto"/>
        <w:jc w:val="both"/>
        <w:rPr>
          <w:rFonts w:ascii="Calibri" w:eastAsia="Times New Roman" w:hAnsi="Calibri" w:cs="Calibri"/>
          <w:b/>
          <w:smallCaps/>
          <w:sz w:val="28"/>
          <w:szCs w:val="28"/>
          <w:lang w:eastAsia="fr-FR"/>
        </w:rPr>
      </w:pPr>
    </w:p>
    <w:tbl>
      <w:tblPr>
        <w:tblStyle w:val="Tableausimple2"/>
        <w:tblW w:w="9070" w:type="dxa"/>
        <w:tblLook w:val="04A0" w:firstRow="1" w:lastRow="0" w:firstColumn="1" w:lastColumn="0" w:noHBand="0" w:noVBand="1"/>
      </w:tblPr>
      <w:tblGrid>
        <w:gridCol w:w="280"/>
        <w:gridCol w:w="3406"/>
        <w:gridCol w:w="2552"/>
        <w:gridCol w:w="1134"/>
        <w:gridCol w:w="849"/>
        <w:gridCol w:w="849"/>
      </w:tblGrid>
      <w:tr w:rsidR="00323441" w:rsidRPr="007A2DF0" w14:paraId="6DD03E64" w14:textId="77777777" w:rsidTr="007F18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gridSpan w:val="2"/>
            <w:tcBorders>
              <w:top w:val="single" w:sz="18" w:space="0" w:color="5B9BD5" w:themeColor="accent1"/>
              <w:bottom w:val="single" w:sz="4" w:space="0" w:color="5B9BD5" w:themeColor="accent1"/>
              <w:right w:val="single" w:sz="4" w:space="0" w:color="5B9BD5" w:themeColor="accent1"/>
            </w:tcBorders>
            <w:noWrap/>
          </w:tcPr>
          <w:p w14:paraId="3C21A425" w14:textId="77777777" w:rsidR="00323441" w:rsidRPr="00555289" w:rsidRDefault="00323441" w:rsidP="00323441">
            <w:pPr>
              <w:rPr>
                <w:rFonts w:ascii="Calibri" w:eastAsia="Times New Roman" w:hAnsi="Calibri" w:cs="Calibri"/>
                <w:i/>
                <w:sz w:val="18"/>
                <w:szCs w:val="18"/>
                <w:lang w:eastAsia="fr-FR"/>
              </w:rPr>
            </w:pPr>
          </w:p>
        </w:tc>
        <w:tc>
          <w:tcPr>
            <w:tcW w:w="255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1A2E340" w14:textId="77777777" w:rsidR="00323441" w:rsidRPr="004E58CA" w:rsidRDefault="00323441" w:rsidP="00323441">
            <w:pPr>
              <w:jc w:val="both"/>
              <w:cnfStyle w:val="100000000000" w:firstRow="1" w:lastRow="0" w:firstColumn="0" w:lastColumn="0" w:oddVBand="0" w:evenVBand="0" w:oddHBand="0" w:evenHBand="0" w:firstRowFirstColumn="0" w:firstRowLastColumn="0" w:lastRowFirstColumn="0" w:lastRowLastColumn="0"/>
              <w:rPr>
                <w:rFonts w:ascii="Calibri" w:hAnsi="Calibri"/>
                <w:sz w:val="18"/>
              </w:rPr>
            </w:pPr>
          </w:p>
        </w:tc>
        <w:tc>
          <w:tcPr>
            <w:tcW w:w="1134" w:type="dxa"/>
            <w:tcBorders>
              <w:top w:val="single" w:sz="18" w:space="0" w:color="5B9BD5" w:themeColor="accent1"/>
              <w:bottom w:val="single" w:sz="18" w:space="0" w:color="5B9BD5" w:themeColor="accent1"/>
              <w:right w:val="single" w:sz="2" w:space="0" w:color="5B9BD5" w:themeColor="accent1"/>
            </w:tcBorders>
            <w:shd w:val="solid" w:color="FFFFFF" w:fill="000000"/>
            <w:noWrap/>
          </w:tcPr>
          <w:p w14:paraId="10F4F6DA" w14:textId="593A3F29" w:rsidR="00323441" w:rsidRPr="00555289" w:rsidRDefault="004E68CF" w:rsidP="009E451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Pays du PSP du payeur</w:t>
            </w:r>
          </w:p>
        </w:tc>
        <w:tc>
          <w:tcPr>
            <w:tcW w:w="84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12D2946D" w14:textId="50ADCDBD" w:rsidR="00323441" w:rsidRPr="00555289" w:rsidRDefault="00323441" w:rsidP="009E451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849" w:type="dxa"/>
            <w:tcBorders>
              <w:top w:val="single" w:sz="18" w:space="0" w:color="5B9BD5" w:themeColor="accent1"/>
              <w:left w:val="single" w:sz="2" w:space="0" w:color="5B9BD5" w:themeColor="accent1"/>
              <w:bottom w:val="single" w:sz="18" w:space="0" w:color="5B9BD5" w:themeColor="accent1"/>
            </w:tcBorders>
            <w:shd w:val="solid" w:color="FFFFFF" w:fill="000000"/>
          </w:tcPr>
          <w:p w14:paraId="36BAB503" w14:textId="77777777" w:rsidR="00323441" w:rsidRDefault="00323441" w:rsidP="009E451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20AED28D" w14:textId="33BEF667" w:rsidR="00323441" w:rsidRPr="00555289" w:rsidRDefault="00323441" w:rsidP="009E451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Pr>
                <w:rFonts w:cstheme="minorHAnsi"/>
                <w:sz w:val="14"/>
                <w:szCs w:val="18"/>
              </w:rPr>
              <w:t>euros</w:t>
            </w:r>
            <w:proofErr w:type="gramEnd"/>
          </w:p>
        </w:tc>
      </w:tr>
      <w:tr w:rsidR="00323441" w:rsidRPr="007A2DF0" w14:paraId="614E55BD" w14:textId="51568302" w:rsidTr="007F18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gridSpan w:val="2"/>
            <w:tcBorders>
              <w:top w:val="single" w:sz="18" w:space="0" w:color="5B9BD5" w:themeColor="accent1"/>
              <w:bottom w:val="single" w:sz="4" w:space="0" w:color="5B9BD5" w:themeColor="accent1"/>
              <w:right w:val="single" w:sz="4" w:space="0" w:color="5B9BD5" w:themeColor="accent1"/>
            </w:tcBorders>
            <w:noWrap/>
            <w:hideMark/>
          </w:tcPr>
          <w:p w14:paraId="20AEE0D3" w14:textId="6AEA952D" w:rsidR="00323441" w:rsidRPr="00555289" w:rsidRDefault="00323441" w:rsidP="007A2DF0">
            <w:pPr>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Chèques reçus à l'encaissement par l'établissement</w:t>
            </w:r>
          </w:p>
        </w:tc>
        <w:tc>
          <w:tcPr>
            <w:tcW w:w="255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4F46794" w14:textId="2069CCA2" w:rsidR="00323441" w:rsidRPr="004E58CA" w:rsidRDefault="00323441" w:rsidP="00555289">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4E58CA">
              <w:rPr>
                <w:rFonts w:ascii="Calibri" w:hAnsi="Calibri"/>
                <w:sz w:val="18"/>
              </w:rPr>
              <w:t>La ventilation géographique est basée sur le pays du payeur.</w:t>
            </w:r>
          </w:p>
        </w:tc>
        <w:tc>
          <w:tcPr>
            <w:tcW w:w="1134" w:type="dxa"/>
            <w:tcBorders>
              <w:top w:val="single" w:sz="18" w:space="0" w:color="5B9BD5" w:themeColor="accent1"/>
              <w:left w:val="single" w:sz="4" w:space="0" w:color="5B9BD5" w:themeColor="accent1"/>
              <w:bottom w:val="single" w:sz="4" w:space="0" w:color="5B9BD5" w:themeColor="accent1"/>
            </w:tcBorders>
            <w:noWrap/>
          </w:tcPr>
          <w:p w14:paraId="7F364DA9" w14:textId="78A12209" w:rsidR="00323441" w:rsidRPr="004E68CF" w:rsidRDefault="004E68CF" w:rsidP="005552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8"/>
                <w:lang w:eastAsia="fr-FR"/>
              </w:rPr>
            </w:pPr>
            <w:r w:rsidRPr="004E68CF">
              <w:rPr>
                <w:rFonts w:ascii="Calibri" w:eastAsia="Times New Roman" w:hAnsi="Calibri" w:cs="Calibri"/>
                <w:sz w:val="14"/>
                <w:szCs w:val="18"/>
                <w:lang w:eastAsia="fr-FR"/>
              </w:rPr>
              <w:t>Selon ventilation géographique en section 5</w:t>
            </w:r>
            <w:r w:rsidR="002262D6">
              <w:rPr>
                <w:rFonts w:ascii="Calibri" w:eastAsia="Times New Roman" w:hAnsi="Calibri" w:cs="Calibri"/>
                <w:sz w:val="14"/>
                <w:szCs w:val="18"/>
                <w:lang w:eastAsia="fr-FR"/>
              </w:rPr>
              <w:t>.1</w:t>
            </w:r>
          </w:p>
        </w:tc>
        <w:tc>
          <w:tcPr>
            <w:tcW w:w="84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0CB09B5" w14:textId="77777777" w:rsidR="00323441" w:rsidRPr="00555289" w:rsidRDefault="00323441" w:rsidP="005552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849" w:type="dxa"/>
            <w:tcBorders>
              <w:top w:val="single" w:sz="18" w:space="0" w:color="5B9BD5" w:themeColor="accent1"/>
              <w:left w:val="single" w:sz="4" w:space="0" w:color="5B9BD5" w:themeColor="accent1"/>
              <w:bottom w:val="single" w:sz="4" w:space="0" w:color="5B9BD5" w:themeColor="accent1"/>
            </w:tcBorders>
          </w:tcPr>
          <w:p w14:paraId="7EECD47D" w14:textId="3394DC0F" w:rsidR="00323441" w:rsidRPr="00555289" w:rsidRDefault="00323441" w:rsidP="005552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323441" w:rsidRPr="007A2DF0" w14:paraId="30BDA6C6" w14:textId="3221C911" w:rsidTr="007F1860">
        <w:trPr>
          <w:trHeight w:val="300"/>
        </w:trPr>
        <w:tc>
          <w:tcPr>
            <w:cnfStyle w:val="001000000000" w:firstRow="0" w:lastRow="0" w:firstColumn="1" w:lastColumn="0" w:oddVBand="0" w:evenVBand="0" w:oddHBand="0" w:evenHBand="0" w:firstRowFirstColumn="0" w:firstRowLastColumn="0" w:lastRowFirstColumn="0" w:lastRowLastColumn="0"/>
            <w:tcW w:w="280" w:type="dxa"/>
            <w:tcBorders>
              <w:top w:val="single" w:sz="4" w:space="0" w:color="5B9BD5" w:themeColor="accent1"/>
              <w:bottom w:val="single" w:sz="18" w:space="0" w:color="5B9BD5" w:themeColor="accent1"/>
              <w:right w:val="single" w:sz="4" w:space="0" w:color="5B9BD5" w:themeColor="accent1"/>
            </w:tcBorders>
            <w:noWrap/>
            <w:hideMark/>
          </w:tcPr>
          <w:p w14:paraId="6600D639" w14:textId="34214686" w:rsidR="00323441" w:rsidRPr="00555289" w:rsidRDefault="00323441" w:rsidP="007A2DF0">
            <w:pPr>
              <w:rPr>
                <w:rFonts w:ascii="Calibri" w:eastAsia="Times New Roman" w:hAnsi="Calibri" w:cs="Calibri"/>
                <w:i/>
                <w:sz w:val="18"/>
                <w:szCs w:val="18"/>
                <w:lang w:eastAsia="fr-FR"/>
              </w:rPr>
            </w:pPr>
          </w:p>
        </w:tc>
        <w:tc>
          <w:tcPr>
            <w:tcW w:w="3406"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noWrap/>
            <w:hideMark/>
          </w:tcPr>
          <w:p w14:paraId="009861AD" w14:textId="7B9B4F1A" w:rsidR="00323441" w:rsidRPr="00555289" w:rsidRDefault="00323441" w:rsidP="007A2D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555289">
              <w:rPr>
                <w:rFonts w:ascii="Calibri" w:eastAsia="Times New Roman" w:hAnsi="Calibri" w:cs="Calibri"/>
                <w:b/>
                <w:i/>
                <w:sz w:val="18"/>
                <w:szCs w:val="18"/>
                <w:lang w:eastAsia="fr-FR"/>
              </w:rPr>
              <w:t>Dont chèques circulants</w:t>
            </w:r>
          </w:p>
        </w:tc>
        <w:tc>
          <w:tcPr>
            <w:tcW w:w="2552"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noWrap/>
          </w:tcPr>
          <w:p w14:paraId="70E7EBA2" w14:textId="77CE6807" w:rsidR="00323441" w:rsidRPr="00A65ACC" w:rsidRDefault="00323441"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Les chèques circulants sont les chèques circulants au sein de l’EIC.</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noWrap/>
          </w:tcPr>
          <w:p w14:paraId="0C479221" w14:textId="5968ABB1" w:rsidR="00323441" w:rsidRPr="00555289" w:rsidRDefault="00323441" w:rsidP="007F1860">
            <w:pPr>
              <w:pStyle w:val="Sansinterligne"/>
              <w:cnfStyle w:val="000000000000" w:firstRow="0" w:lastRow="0" w:firstColumn="0" w:lastColumn="0" w:oddVBand="0" w:evenVBand="0" w:oddHBand="0" w:evenHBand="0" w:firstRowFirstColumn="0" w:firstRowLastColumn="0" w:lastRowFirstColumn="0" w:lastRowLastColumn="0"/>
              <w:rPr>
                <w:lang w:eastAsia="fr-FR"/>
              </w:rPr>
            </w:pPr>
          </w:p>
        </w:tc>
        <w:tc>
          <w:tcPr>
            <w:tcW w:w="849"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79D458D1" w14:textId="77777777" w:rsidR="00323441" w:rsidRPr="00555289" w:rsidRDefault="00323441" w:rsidP="005552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9" w:type="dxa"/>
            <w:tcBorders>
              <w:top w:val="single" w:sz="4" w:space="0" w:color="5B9BD5" w:themeColor="accent1"/>
              <w:left w:val="single" w:sz="4" w:space="0" w:color="5B9BD5" w:themeColor="accent1"/>
              <w:bottom w:val="single" w:sz="18" w:space="0" w:color="5B9BD5" w:themeColor="accent1"/>
            </w:tcBorders>
          </w:tcPr>
          <w:p w14:paraId="552B63BF" w14:textId="03E81759" w:rsidR="00323441" w:rsidRPr="00555289" w:rsidRDefault="00323441" w:rsidP="005552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7C14236E" w14:textId="77777777" w:rsidR="00FF5429" w:rsidRDefault="00FF5429" w:rsidP="00FF5429">
      <w:pPr>
        <w:pStyle w:val="Paragraphedeliste"/>
        <w:autoSpaceDE w:val="0"/>
        <w:autoSpaceDN w:val="0"/>
        <w:adjustRightInd w:val="0"/>
        <w:spacing w:after="0" w:line="240" w:lineRule="auto"/>
        <w:jc w:val="both"/>
        <w:rPr>
          <w:rFonts w:cstheme="minorHAnsi"/>
        </w:rPr>
      </w:pPr>
    </w:p>
    <w:p w14:paraId="2BA030FE" w14:textId="77777777" w:rsidR="00FF5429" w:rsidRPr="004E58CA" w:rsidRDefault="00FF5429"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25C5E435" w14:textId="77777777" w:rsidR="00BC1AB1" w:rsidRDefault="00BC1AB1" w:rsidP="00BC1AB1">
      <w:pPr>
        <w:autoSpaceDE w:val="0"/>
        <w:autoSpaceDN w:val="0"/>
        <w:adjustRightInd w:val="0"/>
        <w:spacing w:after="0" w:line="240" w:lineRule="auto"/>
        <w:jc w:val="both"/>
        <w:rPr>
          <w:rFonts w:cstheme="minorHAnsi"/>
        </w:rPr>
      </w:pPr>
    </w:p>
    <w:p w14:paraId="6E8C63DB" w14:textId="5AEFAC18" w:rsidR="00973A94" w:rsidRPr="0081549B" w:rsidRDefault="00973A94" w:rsidP="0081549B">
      <w:pPr>
        <w:autoSpaceDE w:val="0"/>
        <w:autoSpaceDN w:val="0"/>
        <w:adjustRightInd w:val="0"/>
        <w:spacing w:after="0" w:line="240" w:lineRule="auto"/>
        <w:jc w:val="both"/>
        <w:rPr>
          <w:rFonts w:cstheme="minorHAnsi"/>
        </w:rPr>
      </w:pPr>
      <w:r w:rsidRPr="0081549B">
        <w:rPr>
          <w:rFonts w:cstheme="minorHAnsi"/>
        </w:rPr>
        <w:t>Les règles de contrôle suivantes doivent être app</w:t>
      </w:r>
      <w:r w:rsidR="00E06F9C" w:rsidRPr="0081549B">
        <w:rPr>
          <w:rFonts w:cstheme="minorHAnsi"/>
        </w:rPr>
        <w:t>liquées en nombre et en valeur.</w:t>
      </w:r>
    </w:p>
    <w:p w14:paraId="116E68E8" w14:textId="77777777" w:rsidR="00973A94" w:rsidRDefault="00973A94" w:rsidP="00FF5429">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7F1860" w:rsidRPr="006D1216" w14:paraId="77788D67" w14:textId="77777777" w:rsidTr="0068417B">
        <w:tc>
          <w:tcPr>
            <w:tcW w:w="9054" w:type="dxa"/>
          </w:tcPr>
          <w:p w14:paraId="55BCBDA4" w14:textId="6CF8EC87" w:rsidR="007F1860" w:rsidRPr="004E58CA" w:rsidRDefault="007F1860" w:rsidP="007F1860">
            <w:pPr>
              <w:pStyle w:val="Paragraphedeliste"/>
              <w:autoSpaceDE w:val="0"/>
              <w:autoSpaceDN w:val="0"/>
              <w:adjustRightInd w:val="0"/>
              <w:ind w:left="0"/>
              <w:jc w:val="both"/>
              <w:rPr>
                <w:sz w:val="18"/>
              </w:rPr>
            </w:pPr>
            <w:r>
              <w:rPr>
                <w:rFonts w:cstheme="minorHAnsi"/>
                <w:sz w:val="18"/>
                <w:szCs w:val="18"/>
              </w:rPr>
              <w:t xml:space="preserve">Le total des chèques reçus est = à la somme des trois sous-ventilations géographiques associées (France, au sein de l’EEE et </w:t>
            </w:r>
            <w:r w:rsidRPr="000945DD">
              <w:rPr>
                <w:rFonts w:cstheme="minorHAnsi"/>
                <w:sz w:val="18"/>
                <w:szCs w:val="18"/>
              </w:rPr>
              <w:t>hors de l’EEE</w:t>
            </w:r>
            <w:r w:rsidR="00481F53">
              <w:rPr>
                <w:rFonts w:cstheme="minorHAnsi"/>
                <w:sz w:val="18"/>
                <w:szCs w:val="18"/>
              </w:rPr>
              <w:t>)</w:t>
            </w:r>
            <w:r w:rsidRPr="000945DD">
              <w:rPr>
                <w:rFonts w:cstheme="minorHAnsi"/>
                <w:sz w:val="18"/>
                <w:szCs w:val="18"/>
              </w:rPr>
              <w:t>.</w:t>
            </w:r>
          </w:p>
        </w:tc>
      </w:tr>
      <w:tr w:rsidR="007F1860" w:rsidRPr="005771F5" w14:paraId="3743E3E8" w14:textId="77777777" w:rsidTr="0068417B">
        <w:tc>
          <w:tcPr>
            <w:tcW w:w="9054" w:type="dxa"/>
          </w:tcPr>
          <w:p w14:paraId="66D5949D" w14:textId="71582E13" w:rsidR="007F1860" w:rsidRPr="004E58CA" w:rsidRDefault="007F1860" w:rsidP="007F1860">
            <w:pPr>
              <w:pStyle w:val="Paragraphedeliste"/>
              <w:autoSpaceDE w:val="0"/>
              <w:autoSpaceDN w:val="0"/>
              <w:adjustRightInd w:val="0"/>
              <w:ind w:left="0"/>
              <w:jc w:val="both"/>
              <w:rPr>
                <w:sz w:val="18"/>
              </w:rPr>
            </w:pPr>
            <w:r>
              <w:rPr>
                <w:rFonts w:cstheme="minorHAnsi"/>
                <w:sz w:val="18"/>
                <w:szCs w:val="18"/>
              </w:rPr>
              <w:lastRenderedPageBreak/>
              <w:t>Le total des chèques reçus « au sein de la zone de l’EEE » est = à la somme de la ventilation par pays de l’EEE.</w:t>
            </w:r>
          </w:p>
        </w:tc>
      </w:tr>
      <w:tr w:rsidR="007F1860" w:rsidRPr="00FD1FD6" w14:paraId="71680C2E" w14:textId="77777777" w:rsidTr="0068417B">
        <w:tc>
          <w:tcPr>
            <w:tcW w:w="9054" w:type="dxa"/>
          </w:tcPr>
          <w:p w14:paraId="428B1891" w14:textId="096B3205" w:rsidR="007F1860" w:rsidRPr="004E58CA" w:rsidRDefault="007F1860" w:rsidP="000459A6">
            <w:pPr>
              <w:pStyle w:val="Paragraphedeliste"/>
              <w:autoSpaceDE w:val="0"/>
              <w:autoSpaceDN w:val="0"/>
              <w:adjustRightInd w:val="0"/>
              <w:ind w:left="0"/>
              <w:jc w:val="both"/>
              <w:rPr>
                <w:sz w:val="18"/>
              </w:rPr>
            </w:pPr>
            <w:r>
              <w:rPr>
                <w:sz w:val="18"/>
              </w:rPr>
              <w:t>Le total des chèques reçus est = à la somme de ceux déclarés trimestriellement</w:t>
            </w:r>
            <w:r w:rsidR="000459A6">
              <w:rPr>
                <w:sz w:val="18"/>
              </w:rPr>
              <w:t xml:space="preserve"> au titre de la collecte « Déclaration trimestrielle des opérations impliquant des non –IFM).</w:t>
            </w:r>
          </w:p>
        </w:tc>
      </w:tr>
      <w:tr w:rsidR="007F1860" w:rsidRPr="006D1216" w14:paraId="5B9EED25" w14:textId="77777777" w:rsidTr="0068417B">
        <w:tc>
          <w:tcPr>
            <w:tcW w:w="9054" w:type="dxa"/>
          </w:tcPr>
          <w:p w14:paraId="1C20CDBF" w14:textId="19C8B9F8" w:rsidR="007F1860" w:rsidRPr="00BF3F05" w:rsidRDefault="007F1860" w:rsidP="007F1860">
            <w:pPr>
              <w:pStyle w:val="Paragraphedeliste"/>
              <w:autoSpaceDE w:val="0"/>
              <w:autoSpaceDN w:val="0"/>
              <w:adjustRightInd w:val="0"/>
              <w:ind w:left="0"/>
              <w:jc w:val="both"/>
              <w:rPr>
                <w:rFonts w:cstheme="minorHAnsi"/>
                <w:sz w:val="18"/>
                <w:szCs w:val="18"/>
              </w:rPr>
            </w:pPr>
            <w:r w:rsidRPr="00BF3F05">
              <w:rPr>
                <w:rFonts w:cstheme="minorHAnsi"/>
                <w:sz w:val="18"/>
                <w:szCs w:val="18"/>
              </w:rPr>
              <w:t>Le</w:t>
            </w:r>
            <w:r>
              <w:rPr>
                <w:rFonts w:cstheme="minorHAnsi"/>
                <w:sz w:val="18"/>
                <w:szCs w:val="18"/>
              </w:rPr>
              <w:t xml:space="preserve"> total des </w:t>
            </w:r>
            <w:r w:rsidRPr="00A675AF">
              <w:rPr>
                <w:rFonts w:cstheme="minorHAnsi"/>
                <w:sz w:val="18"/>
                <w:szCs w:val="18"/>
              </w:rPr>
              <w:t xml:space="preserve">chèques </w:t>
            </w:r>
            <w:r>
              <w:rPr>
                <w:rFonts w:cstheme="minorHAnsi"/>
                <w:sz w:val="18"/>
                <w:szCs w:val="18"/>
              </w:rPr>
              <w:t xml:space="preserve">reçus est &gt; ou = au total des </w:t>
            </w:r>
            <w:r w:rsidRPr="00A675AF">
              <w:rPr>
                <w:rFonts w:cstheme="minorHAnsi"/>
                <w:sz w:val="18"/>
                <w:szCs w:val="18"/>
              </w:rPr>
              <w:t>chèques circulants</w:t>
            </w:r>
            <w:r w:rsidRPr="00BF3F05">
              <w:rPr>
                <w:rFonts w:cstheme="minorHAnsi"/>
                <w:sz w:val="18"/>
                <w:szCs w:val="18"/>
              </w:rPr>
              <w:t>.</w:t>
            </w:r>
          </w:p>
        </w:tc>
      </w:tr>
    </w:tbl>
    <w:p w14:paraId="585480B9" w14:textId="4E0CCEBE" w:rsidR="00FF5429" w:rsidRDefault="00FF5429" w:rsidP="00FF5429">
      <w:pPr>
        <w:pStyle w:val="Paragraphedeliste"/>
        <w:autoSpaceDE w:val="0"/>
        <w:autoSpaceDN w:val="0"/>
        <w:adjustRightInd w:val="0"/>
        <w:spacing w:after="0" w:line="240" w:lineRule="auto"/>
        <w:jc w:val="both"/>
        <w:rPr>
          <w:rFonts w:cstheme="minorHAnsi"/>
        </w:rPr>
      </w:pPr>
    </w:p>
    <w:p w14:paraId="5C642736" w14:textId="77777777" w:rsidR="00BC1AB1" w:rsidRDefault="00BC1AB1" w:rsidP="00FF5429">
      <w:pPr>
        <w:pStyle w:val="Paragraphedeliste"/>
        <w:autoSpaceDE w:val="0"/>
        <w:autoSpaceDN w:val="0"/>
        <w:adjustRightInd w:val="0"/>
        <w:spacing w:after="0" w:line="240" w:lineRule="auto"/>
        <w:jc w:val="both"/>
        <w:rPr>
          <w:rFonts w:cstheme="minorHAnsi"/>
        </w:rPr>
      </w:pPr>
    </w:p>
    <w:p w14:paraId="78A7D542" w14:textId="6CCF4591" w:rsidR="005A0EE0" w:rsidRPr="006B400E" w:rsidRDefault="00E8282A" w:rsidP="007718A3">
      <w:pPr>
        <w:pStyle w:val="Titre3"/>
        <w:numPr>
          <w:ilvl w:val="2"/>
          <w:numId w:val="38"/>
        </w:numPr>
        <w:jc w:val="both"/>
      </w:pPr>
      <w:bookmarkStart w:id="61" w:name="_Toc222476891"/>
      <w:r w:rsidRPr="006B400E">
        <w:t>C</w:t>
      </w:r>
      <w:r w:rsidR="005A0EE0" w:rsidRPr="006B400E">
        <w:t xml:space="preserve">hèques </w:t>
      </w:r>
      <w:r w:rsidR="00A65ACC" w:rsidRPr="006B400E">
        <w:t>reçus</w:t>
      </w:r>
      <w:r w:rsidR="005A0EE0" w:rsidRPr="006B400E">
        <w:t xml:space="preserve"> </w:t>
      </w:r>
      <w:r w:rsidRPr="006B400E">
        <w:t xml:space="preserve">par l’établissement ventilés </w:t>
      </w:r>
      <w:r w:rsidR="005A0EE0" w:rsidRPr="006B400E">
        <w:t xml:space="preserve">par </w:t>
      </w:r>
      <w:r w:rsidR="000B4131" w:rsidRPr="006B400E">
        <w:t>canal d’échange</w:t>
      </w:r>
      <w:bookmarkEnd w:id="61"/>
    </w:p>
    <w:p w14:paraId="1A70D4EF" w14:textId="75A5A2E6" w:rsidR="00040C36" w:rsidRDefault="00040C36" w:rsidP="005A0EE0">
      <w:pPr>
        <w:spacing w:after="0" w:line="240" w:lineRule="auto"/>
        <w:jc w:val="both"/>
        <w:rPr>
          <w:rFonts w:ascii="Calibri" w:eastAsia="Times New Roman" w:hAnsi="Calibri" w:cs="Calibri"/>
          <w:b/>
          <w:smallCaps/>
          <w:sz w:val="24"/>
          <w:szCs w:val="24"/>
          <w:lang w:eastAsia="fr-FR"/>
        </w:rPr>
      </w:pPr>
    </w:p>
    <w:p w14:paraId="6E6735BB" w14:textId="27D88C80" w:rsidR="00040C36" w:rsidRDefault="00040C36" w:rsidP="005A0EE0">
      <w:pPr>
        <w:spacing w:after="0" w:line="240" w:lineRule="auto"/>
        <w:jc w:val="both"/>
        <w:rPr>
          <w:rFonts w:cstheme="minorHAnsi"/>
        </w:rPr>
      </w:pPr>
      <w:r w:rsidRPr="00C714BD">
        <w:rPr>
          <w:rFonts w:cstheme="minorHAnsi"/>
        </w:rPr>
        <w:t>Il s</w:t>
      </w:r>
      <w:r>
        <w:rPr>
          <w:rFonts w:cstheme="minorHAnsi"/>
        </w:rPr>
        <w:t xml:space="preserve">’agit de déclarer, en nombre et valeur, les chèques reçus à l’encaissement par l’établissement, en tant que PSP du payé, ventilés par </w:t>
      </w:r>
      <w:r w:rsidR="00E8282A">
        <w:rPr>
          <w:rFonts w:cstheme="minorHAnsi"/>
        </w:rPr>
        <w:t>circuit d’échange utilisé pour effectuer le transfert des fonds</w:t>
      </w:r>
      <w:r>
        <w:rPr>
          <w:rFonts w:cstheme="minorHAnsi"/>
        </w:rPr>
        <w:t>.</w:t>
      </w:r>
    </w:p>
    <w:p w14:paraId="1205C800" w14:textId="02D660CD" w:rsidR="00A65ACC" w:rsidRDefault="00A65ACC" w:rsidP="005A0EE0">
      <w:pPr>
        <w:spacing w:after="0" w:line="240" w:lineRule="auto"/>
        <w:jc w:val="both"/>
        <w:rPr>
          <w:rFonts w:cstheme="minorHAnsi"/>
        </w:rPr>
      </w:pPr>
    </w:p>
    <w:p w14:paraId="1FE9C3CD" w14:textId="09413ACE" w:rsidR="00FE5E9A" w:rsidRDefault="00FE5E9A" w:rsidP="00FE5E9A">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2679B1CD" w14:textId="77777777" w:rsidR="00BC1AB1" w:rsidRDefault="00BC1AB1" w:rsidP="00FE5E9A">
      <w:pPr>
        <w:spacing w:after="0" w:line="240" w:lineRule="auto"/>
        <w:jc w:val="both"/>
        <w:rPr>
          <w:rFonts w:cstheme="minorHAnsi"/>
          <w:b/>
          <w:smallCaps/>
        </w:rPr>
      </w:pPr>
    </w:p>
    <w:tbl>
      <w:tblPr>
        <w:tblStyle w:val="Tableausimple2"/>
        <w:tblW w:w="9070" w:type="dxa"/>
        <w:tblLook w:val="04A0" w:firstRow="1" w:lastRow="0" w:firstColumn="1" w:lastColumn="0" w:noHBand="0" w:noVBand="1"/>
      </w:tblPr>
      <w:tblGrid>
        <w:gridCol w:w="267"/>
        <w:gridCol w:w="2568"/>
        <w:gridCol w:w="3119"/>
        <w:gridCol w:w="1134"/>
        <w:gridCol w:w="991"/>
        <w:gridCol w:w="991"/>
      </w:tblGrid>
      <w:tr w:rsidR="007F1860" w:rsidRPr="007A2DF0" w14:paraId="2D656925" w14:textId="03C92464" w:rsidTr="004E68CF">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18" w:space="0" w:color="5B9BD5" w:themeColor="accent1"/>
              <w:bottom w:val="single" w:sz="4" w:space="0" w:color="5B9BD5" w:themeColor="accent1"/>
              <w:right w:val="single" w:sz="4" w:space="0" w:color="5B9BD5" w:themeColor="accent1"/>
            </w:tcBorders>
            <w:noWrap/>
          </w:tcPr>
          <w:p w14:paraId="1E53CD63" w14:textId="77777777" w:rsidR="007F1860" w:rsidRPr="00146365" w:rsidRDefault="007F1860" w:rsidP="007F1860">
            <w:pPr>
              <w:rPr>
                <w:rFonts w:ascii="Calibri" w:eastAsia="Times New Roman" w:hAnsi="Calibri" w:cs="Calibri"/>
                <w:i/>
                <w:sz w:val="18"/>
                <w:szCs w:val="18"/>
                <w:lang w:eastAsia="fr-FR"/>
              </w:rPr>
            </w:pPr>
          </w:p>
        </w:tc>
        <w:tc>
          <w:tcPr>
            <w:tcW w:w="311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0FFB22F6" w14:textId="77777777" w:rsidR="007F1860" w:rsidRDefault="007F1860" w:rsidP="007F186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1134" w:type="dxa"/>
            <w:tcBorders>
              <w:top w:val="single" w:sz="18" w:space="0" w:color="5B9BD5" w:themeColor="accent1"/>
              <w:bottom w:val="single" w:sz="18" w:space="0" w:color="5B9BD5" w:themeColor="accent1"/>
              <w:right w:val="single" w:sz="2" w:space="0" w:color="5B9BD5" w:themeColor="accent1"/>
            </w:tcBorders>
            <w:shd w:val="clear" w:color="auto" w:fill="A6A6A6" w:themeFill="background1" w:themeFillShade="A6"/>
            <w:noWrap/>
          </w:tcPr>
          <w:p w14:paraId="30790299" w14:textId="1FF288F9" w:rsidR="007F1860" w:rsidRDefault="007F1860" w:rsidP="007F186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i/>
                <w:sz w:val="18"/>
                <w:szCs w:val="18"/>
                <w:lang w:eastAsia="fr-FR"/>
              </w:rPr>
            </w:pPr>
          </w:p>
        </w:tc>
        <w:tc>
          <w:tcPr>
            <w:tcW w:w="991"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A1A601A" w14:textId="5A71442E" w:rsidR="007F1860" w:rsidRDefault="007F1860" w:rsidP="007F186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i/>
                <w:sz w:val="18"/>
                <w:szCs w:val="18"/>
                <w:lang w:eastAsia="fr-FR"/>
              </w:rPr>
            </w:pPr>
            <w:r>
              <w:rPr>
                <w:rFonts w:cstheme="minorHAnsi"/>
                <w:sz w:val="14"/>
                <w:szCs w:val="18"/>
              </w:rPr>
              <w:t>Volume en unités</w:t>
            </w:r>
          </w:p>
        </w:tc>
        <w:tc>
          <w:tcPr>
            <w:tcW w:w="991" w:type="dxa"/>
            <w:tcBorders>
              <w:top w:val="single" w:sz="18" w:space="0" w:color="5B9BD5" w:themeColor="accent1"/>
              <w:left w:val="single" w:sz="2" w:space="0" w:color="5B9BD5" w:themeColor="accent1"/>
              <w:bottom w:val="single" w:sz="18" w:space="0" w:color="5B9BD5" w:themeColor="accent1"/>
            </w:tcBorders>
            <w:shd w:val="solid" w:color="FFFFFF" w:fill="000000"/>
          </w:tcPr>
          <w:p w14:paraId="465174F3" w14:textId="77777777" w:rsidR="007F1860" w:rsidRDefault="007F1860" w:rsidP="007F186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5685D14A" w14:textId="3E0058C2" w:rsidR="007F1860" w:rsidRDefault="007F1860" w:rsidP="007F186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i/>
                <w:sz w:val="18"/>
                <w:szCs w:val="18"/>
                <w:lang w:eastAsia="fr-FR"/>
              </w:rPr>
            </w:pPr>
            <w:proofErr w:type="gramStart"/>
            <w:r>
              <w:rPr>
                <w:rFonts w:cstheme="minorHAnsi"/>
                <w:sz w:val="14"/>
                <w:szCs w:val="18"/>
              </w:rPr>
              <w:t>euros</w:t>
            </w:r>
            <w:proofErr w:type="gramEnd"/>
          </w:p>
        </w:tc>
      </w:tr>
      <w:tr w:rsidR="007F1860" w:rsidRPr="007A2DF0" w14:paraId="0EE62A1E" w14:textId="66BAF03A" w:rsidTr="007F186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18" w:space="0" w:color="5B9BD5" w:themeColor="accent1"/>
              <w:bottom w:val="single" w:sz="4" w:space="0" w:color="5B9BD5" w:themeColor="accent1"/>
              <w:right w:val="single" w:sz="4" w:space="0" w:color="5B9BD5" w:themeColor="accent1"/>
            </w:tcBorders>
            <w:noWrap/>
            <w:hideMark/>
          </w:tcPr>
          <w:p w14:paraId="71954EB4" w14:textId="1036A324" w:rsidR="007F1860" w:rsidRPr="00146365" w:rsidRDefault="007F1860" w:rsidP="00E8282A">
            <w:pPr>
              <w:rPr>
                <w:rFonts w:ascii="Calibri" w:eastAsia="Times New Roman" w:hAnsi="Calibri" w:cs="Calibri"/>
                <w:i/>
                <w:sz w:val="18"/>
                <w:szCs w:val="18"/>
                <w:lang w:eastAsia="fr-FR"/>
              </w:rPr>
            </w:pPr>
            <w:r w:rsidRPr="00146365">
              <w:rPr>
                <w:rFonts w:ascii="Calibri" w:eastAsia="Times New Roman" w:hAnsi="Calibri" w:cs="Calibri"/>
                <w:i/>
                <w:sz w:val="18"/>
                <w:szCs w:val="18"/>
                <w:lang w:eastAsia="fr-FR"/>
              </w:rPr>
              <w:t>Dont transactions interbancaires</w:t>
            </w:r>
          </w:p>
        </w:tc>
        <w:tc>
          <w:tcPr>
            <w:tcW w:w="311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07F9428F" w14:textId="1C635A84" w:rsidR="007F1860" w:rsidRPr="00146365"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
                <w:sz w:val="18"/>
                <w:szCs w:val="18"/>
                <w:lang w:eastAsia="fr-FR"/>
              </w:rPr>
              <w:t>Transferts de fonds effectués via un système de paiement.</w:t>
            </w:r>
          </w:p>
        </w:tc>
        <w:tc>
          <w:tcPr>
            <w:tcW w:w="1134" w:type="dxa"/>
            <w:vMerge w:val="restart"/>
            <w:tcBorders>
              <w:top w:val="single" w:sz="18" w:space="0" w:color="5B9BD5" w:themeColor="accent1"/>
              <w:left w:val="single" w:sz="4" w:space="0" w:color="5B9BD5" w:themeColor="accent1"/>
            </w:tcBorders>
            <w:shd w:val="clear" w:color="auto" w:fill="A6A6A6" w:themeFill="background1" w:themeFillShade="A6"/>
            <w:noWrap/>
          </w:tcPr>
          <w:p w14:paraId="007B2279" w14:textId="7CAD21BC" w:rsidR="007F1860" w:rsidRPr="00146365"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991" w:type="dxa"/>
            <w:tcBorders>
              <w:top w:val="single" w:sz="18" w:space="0" w:color="5B9BD5" w:themeColor="accent1"/>
              <w:left w:val="single" w:sz="4" w:space="0" w:color="5B9BD5" w:themeColor="accent1"/>
              <w:bottom w:val="single" w:sz="4" w:space="0" w:color="5B9BD5" w:themeColor="accent1"/>
            </w:tcBorders>
          </w:tcPr>
          <w:p w14:paraId="65F9AFCC" w14:textId="77777777" w:rsidR="007F1860"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991" w:type="dxa"/>
            <w:tcBorders>
              <w:top w:val="single" w:sz="18" w:space="0" w:color="5B9BD5" w:themeColor="accent1"/>
              <w:left w:val="single" w:sz="4" w:space="0" w:color="5B9BD5" w:themeColor="accent1"/>
              <w:bottom w:val="single" w:sz="4" w:space="0" w:color="5B9BD5" w:themeColor="accent1"/>
            </w:tcBorders>
          </w:tcPr>
          <w:p w14:paraId="2C9ED3F0" w14:textId="77777777" w:rsidR="007F1860"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r>
      <w:tr w:rsidR="007F1860" w:rsidRPr="007A2DF0" w14:paraId="45A73B57" w14:textId="6435631F" w:rsidTr="007F1860">
        <w:trPr>
          <w:trHeight w:val="300"/>
        </w:trPr>
        <w:tc>
          <w:tcPr>
            <w:cnfStyle w:val="001000000000" w:firstRow="0" w:lastRow="0" w:firstColumn="1" w:lastColumn="0" w:oddVBand="0" w:evenVBand="0" w:oddHBand="0" w:evenHBand="0" w:firstRowFirstColumn="0" w:firstRowLastColumn="0" w:lastRowFirstColumn="0" w:lastRowLastColumn="0"/>
            <w:tcW w:w="267" w:type="dxa"/>
            <w:tcBorders>
              <w:top w:val="single" w:sz="4" w:space="0" w:color="5B9BD5" w:themeColor="accent1"/>
              <w:bottom w:val="single" w:sz="4" w:space="0" w:color="5B9BD5" w:themeColor="accent1"/>
              <w:right w:val="single" w:sz="4" w:space="0" w:color="5B9BD5" w:themeColor="accent1"/>
            </w:tcBorders>
            <w:noWrap/>
          </w:tcPr>
          <w:p w14:paraId="2EEA702E" w14:textId="1B1D57F3" w:rsidR="007F1860" w:rsidRPr="007A2DF0" w:rsidRDefault="007F1860" w:rsidP="00E8282A">
            <w:pPr>
              <w:rPr>
                <w:rFonts w:ascii="Calibri" w:eastAsia="Times New Roman" w:hAnsi="Calibri" w:cs="Calibri"/>
                <w:i/>
                <w:sz w:val="20"/>
                <w:szCs w:val="20"/>
                <w:lang w:eastAsia="fr-FR"/>
              </w:rPr>
            </w:pPr>
          </w:p>
        </w:tc>
        <w:tc>
          <w:tcPr>
            <w:tcW w:w="25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2DE6B4A" w14:textId="49451302" w:rsidR="007F1860" w:rsidRPr="00146365" w:rsidRDefault="007F1860" w:rsidP="00E8282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 xml:space="preserve">Dont </w:t>
            </w:r>
            <w:r>
              <w:rPr>
                <w:rFonts w:ascii="Calibri" w:eastAsia="Times New Roman" w:hAnsi="Calibri" w:cs="Calibri"/>
                <w:i/>
                <w:sz w:val="18"/>
                <w:szCs w:val="18"/>
                <w:lang w:eastAsia="fr-FR"/>
              </w:rPr>
              <w:t xml:space="preserve">STET (CORE FR et </w:t>
            </w:r>
            <w:r w:rsidRPr="00555289">
              <w:rPr>
                <w:rFonts w:ascii="Calibri" w:eastAsia="Times New Roman" w:hAnsi="Calibri" w:cs="Calibri"/>
                <w:i/>
                <w:sz w:val="18"/>
                <w:szCs w:val="18"/>
                <w:lang w:eastAsia="fr-FR"/>
              </w:rPr>
              <w:t>SEPA EU</w:t>
            </w:r>
            <w:r>
              <w:rPr>
                <w:rFonts w:ascii="Calibri" w:eastAsia="Times New Roman" w:hAnsi="Calibri" w:cs="Calibri"/>
                <w:i/>
                <w:sz w:val="18"/>
                <w:szCs w:val="18"/>
                <w:lang w:eastAsia="fr-FR"/>
              </w:rPr>
              <w:t>)</w:t>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9C6DE85" w14:textId="68D02868" w:rsidR="007F1860" w:rsidRPr="00146365" w:rsidRDefault="007F1860" w:rsidP="00E8282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Système de paiement de détail.</w:t>
            </w:r>
          </w:p>
        </w:tc>
        <w:tc>
          <w:tcPr>
            <w:tcW w:w="1134" w:type="dxa"/>
            <w:vMerge/>
            <w:tcBorders>
              <w:left w:val="single" w:sz="4" w:space="0" w:color="5B9BD5" w:themeColor="accent1"/>
            </w:tcBorders>
            <w:shd w:val="clear" w:color="auto" w:fill="A6A6A6" w:themeFill="background1" w:themeFillShade="A6"/>
            <w:noWrap/>
          </w:tcPr>
          <w:p w14:paraId="3D537473" w14:textId="18F436C4" w:rsidR="007F1860" w:rsidRPr="00146365" w:rsidRDefault="007F1860" w:rsidP="00E8282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4" w:space="0" w:color="5B9BD5" w:themeColor="accent1"/>
            </w:tcBorders>
          </w:tcPr>
          <w:p w14:paraId="6607CB93" w14:textId="77777777" w:rsidR="007F1860" w:rsidRDefault="007F1860" w:rsidP="00E8282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4" w:space="0" w:color="5B9BD5" w:themeColor="accent1"/>
            </w:tcBorders>
          </w:tcPr>
          <w:p w14:paraId="6F287A4B" w14:textId="77777777" w:rsidR="007F1860" w:rsidRDefault="007F1860" w:rsidP="00E8282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r>
      <w:tr w:rsidR="007F1860" w:rsidRPr="007A2DF0" w14:paraId="701336FF" w14:textId="7EE88DDF" w:rsidTr="007F18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7" w:type="dxa"/>
            <w:tcBorders>
              <w:top w:val="single" w:sz="4" w:space="0" w:color="5B9BD5" w:themeColor="accent1"/>
              <w:bottom w:val="single" w:sz="4" w:space="0" w:color="5B9BD5" w:themeColor="accent1"/>
              <w:right w:val="single" w:sz="4" w:space="0" w:color="5B9BD5" w:themeColor="accent1"/>
            </w:tcBorders>
            <w:noWrap/>
          </w:tcPr>
          <w:p w14:paraId="3B9C5119" w14:textId="4FC3BDC6" w:rsidR="007F1860" w:rsidRPr="007A2DF0" w:rsidRDefault="007F1860" w:rsidP="00E8282A">
            <w:pPr>
              <w:rPr>
                <w:rFonts w:ascii="Calibri" w:eastAsia="Times New Roman" w:hAnsi="Calibri" w:cs="Calibri"/>
                <w:i/>
                <w:sz w:val="20"/>
                <w:szCs w:val="20"/>
                <w:lang w:eastAsia="fr-FR"/>
              </w:rPr>
            </w:pPr>
          </w:p>
        </w:tc>
        <w:tc>
          <w:tcPr>
            <w:tcW w:w="25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6DFF369" w14:textId="77777777" w:rsidR="007F1860" w:rsidRPr="00146365"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146365">
              <w:rPr>
                <w:rFonts w:ascii="Calibri" w:eastAsia="Times New Roman" w:hAnsi="Calibri" w:cs="Calibri"/>
                <w:i/>
                <w:sz w:val="18"/>
                <w:szCs w:val="18"/>
                <w:lang w:eastAsia="fr-FR"/>
              </w:rPr>
              <w:t>Dont autres systèmes</w:t>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88A005A" w14:textId="23542D1F" w:rsidR="007F1860" w:rsidRPr="00146365"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À préciser dans les commentaires.</w:t>
            </w:r>
          </w:p>
        </w:tc>
        <w:tc>
          <w:tcPr>
            <w:tcW w:w="1134" w:type="dxa"/>
            <w:vMerge/>
            <w:tcBorders>
              <w:left w:val="single" w:sz="4" w:space="0" w:color="5B9BD5" w:themeColor="accent1"/>
            </w:tcBorders>
            <w:shd w:val="clear" w:color="auto" w:fill="A6A6A6" w:themeFill="background1" w:themeFillShade="A6"/>
            <w:noWrap/>
          </w:tcPr>
          <w:p w14:paraId="313C4441" w14:textId="6BE5AE47" w:rsidR="007F1860" w:rsidRPr="00146365"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4" w:space="0" w:color="5B9BD5" w:themeColor="accent1"/>
            </w:tcBorders>
          </w:tcPr>
          <w:p w14:paraId="7878416C" w14:textId="77777777" w:rsidR="007F1860"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4" w:space="0" w:color="5B9BD5" w:themeColor="accent1"/>
            </w:tcBorders>
          </w:tcPr>
          <w:p w14:paraId="3A97A351" w14:textId="77777777" w:rsidR="007F1860"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r>
      <w:tr w:rsidR="007F1860" w:rsidRPr="007A2DF0" w14:paraId="55B8F624" w14:textId="66612547" w:rsidTr="007F1860">
        <w:trPr>
          <w:trHeight w:val="300"/>
        </w:trPr>
        <w:tc>
          <w:tcPr>
            <w:cnfStyle w:val="001000000000" w:firstRow="0" w:lastRow="0" w:firstColumn="1" w:lastColumn="0" w:oddVBand="0" w:evenVBand="0" w:oddHBand="0" w:evenHBand="0" w:firstRowFirstColumn="0" w:firstRowLastColumn="0" w:lastRowFirstColumn="0" w:lastRowLastColumn="0"/>
            <w:tcW w:w="267" w:type="dxa"/>
            <w:tcBorders>
              <w:top w:val="single" w:sz="4" w:space="0" w:color="5B9BD5" w:themeColor="accent1"/>
              <w:bottom w:val="single" w:sz="4" w:space="0" w:color="5B9BD5" w:themeColor="accent1"/>
              <w:right w:val="single" w:sz="4" w:space="0" w:color="5B9BD5" w:themeColor="accent1"/>
            </w:tcBorders>
            <w:noWrap/>
          </w:tcPr>
          <w:p w14:paraId="2C31B61F" w14:textId="6F53D015" w:rsidR="007F1860" w:rsidRPr="007A2DF0" w:rsidRDefault="007F1860" w:rsidP="000B4131">
            <w:pPr>
              <w:rPr>
                <w:rFonts w:ascii="Calibri" w:eastAsia="Times New Roman" w:hAnsi="Calibri" w:cs="Calibri"/>
                <w:i/>
                <w:sz w:val="20"/>
                <w:szCs w:val="20"/>
                <w:lang w:eastAsia="fr-FR"/>
              </w:rPr>
            </w:pPr>
          </w:p>
        </w:tc>
        <w:tc>
          <w:tcPr>
            <w:tcW w:w="25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A2482E1" w14:textId="77777777" w:rsidR="007F1860" w:rsidRPr="00146365" w:rsidRDefault="007F1860" w:rsidP="000B41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146365">
              <w:rPr>
                <w:rFonts w:ascii="Calibri" w:eastAsia="Times New Roman" w:hAnsi="Calibri" w:cs="Calibri"/>
                <w:i/>
                <w:sz w:val="18"/>
                <w:szCs w:val="18"/>
                <w:lang w:eastAsia="fr-FR"/>
              </w:rPr>
              <w:t>Dont hors système</w:t>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35BDAD62" w14:textId="7D629CF4" w:rsidR="007F1860" w:rsidRPr="00146365" w:rsidRDefault="007F18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A707C6">
              <w:rPr>
                <w:rFonts w:ascii="Calibri" w:eastAsia="Times New Roman" w:hAnsi="Calibri" w:cs="Calibri"/>
                <w:sz w:val="18"/>
                <w:szCs w:val="18"/>
                <w:lang w:eastAsia="fr-FR"/>
              </w:rPr>
              <w:t xml:space="preserve">Transfert des fonds effectué </w:t>
            </w:r>
            <w:r>
              <w:rPr>
                <w:rFonts w:ascii="Calibri" w:eastAsia="Times New Roman" w:hAnsi="Calibri" w:cs="Calibri"/>
                <w:sz w:val="18"/>
                <w:szCs w:val="18"/>
                <w:lang w:eastAsia="fr-FR"/>
              </w:rPr>
              <w:t xml:space="preserve">hors </w:t>
            </w:r>
            <w:r w:rsidRPr="00A707C6">
              <w:rPr>
                <w:rFonts w:ascii="Calibri" w:eastAsia="Times New Roman" w:hAnsi="Calibri" w:cs="Calibri"/>
                <w:sz w:val="18"/>
                <w:szCs w:val="18"/>
                <w:lang w:eastAsia="fr-FR"/>
              </w:rPr>
              <w:t>système de paiement.</w:t>
            </w:r>
          </w:p>
        </w:tc>
        <w:tc>
          <w:tcPr>
            <w:tcW w:w="1134" w:type="dxa"/>
            <w:vMerge/>
            <w:tcBorders>
              <w:left w:val="single" w:sz="4" w:space="0" w:color="5B9BD5" w:themeColor="accent1"/>
            </w:tcBorders>
            <w:shd w:val="clear" w:color="auto" w:fill="A6A6A6" w:themeFill="background1" w:themeFillShade="A6"/>
            <w:noWrap/>
          </w:tcPr>
          <w:p w14:paraId="48B1528E" w14:textId="655BD905" w:rsidR="007F1860" w:rsidRPr="00146365" w:rsidRDefault="007F1860" w:rsidP="000B41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4" w:space="0" w:color="5B9BD5" w:themeColor="accent1"/>
            </w:tcBorders>
          </w:tcPr>
          <w:p w14:paraId="25ACA6C9" w14:textId="77777777" w:rsidR="007F1860" w:rsidRDefault="007F1860" w:rsidP="000B41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4" w:space="0" w:color="5B9BD5" w:themeColor="accent1"/>
            </w:tcBorders>
          </w:tcPr>
          <w:p w14:paraId="37E0003E" w14:textId="77777777" w:rsidR="007F1860" w:rsidRDefault="007F1860" w:rsidP="000B41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r>
      <w:tr w:rsidR="007F1860" w:rsidRPr="007A2DF0" w14:paraId="12FDAB75" w14:textId="27761022" w:rsidTr="007F18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4" w:space="0" w:color="5B9BD5" w:themeColor="accent1"/>
              <w:bottom w:val="single" w:sz="4" w:space="0" w:color="5B9BD5" w:themeColor="accent1"/>
              <w:right w:val="single" w:sz="4" w:space="0" w:color="5B9BD5" w:themeColor="accent1"/>
            </w:tcBorders>
            <w:noWrap/>
            <w:hideMark/>
          </w:tcPr>
          <w:p w14:paraId="33C793C7" w14:textId="4B2C2910" w:rsidR="007F1860" w:rsidRPr="00146365" w:rsidRDefault="007F1860" w:rsidP="000B4131">
            <w:pPr>
              <w:rPr>
                <w:rFonts w:ascii="Calibri" w:eastAsia="Times New Roman" w:hAnsi="Calibri" w:cs="Calibri"/>
                <w:i/>
                <w:sz w:val="18"/>
                <w:szCs w:val="18"/>
                <w:lang w:eastAsia="fr-FR"/>
              </w:rPr>
            </w:pPr>
            <w:r w:rsidRPr="00146365">
              <w:rPr>
                <w:rFonts w:ascii="Calibri" w:eastAsia="Times New Roman" w:hAnsi="Calibri" w:cs="Calibri"/>
                <w:i/>
                <w:sz w:val="18"/>
                <w:szCs w:val="18"/>
                <w:lang w:eastAsia="fr-FR"/>
              </w:rPr>
              <w:t xml:space="preserve">Dont transactions </w:t>
            </w:r>
            <w:proofErr w:type="spellStart"/>
            <w:r w:rsidRPr="00146365">
              <w:rPr>
                <w:rFonts w:ascii="Calibri" w:eastAsia="Times New Roman" w:hAnsi="Calibri" w:cs="Calibri"/>
                <w:i/>
                <w:sz w:val="18"/>
                <w:szCs w:val="18"/>
                <w:lang w:eastAsia="fr-FR"/>
              </w:rPr>
              <w:t>intrabancaires</w:t>
            </w:r>
            <w:proofErr w:type="spellEnd"/>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A7D04D3" w14:textId="43BDAE94" w:rsidR="007F1860" w:rsidRPr="00146365" w:rsidRDefault="007F1860" w:rsidP="000B413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Cs/>
                <w:sz w:val="18"/>
                <w:szCs w:val="18"/>
                <w:lang w:eastAsia="fr-FR"/>
              </w:rPr>
              <w:t>Transferts de fonds effectués entre 2 comptes de paiement tenus par l’établissement sans recours à un système de paiement</w:t>
            </w:r>
          </w:p>
        </w:tc>
        <w:tc>
          <w:tcPr>
            <w:tcW w:w="1134" w:type="dxa"/>
            <w:vMerge/>
            <w:tcBorders>
              <w:left w:val="single" w:sz="4" w:space="0" w:color="5B9BD5" w:themeColor="accent1"/>
            </w:tcBorders>
            <w:shd w:val="clear" w:color="auto" w:fill="A6A6A6" w:themeFill="background1" w:themeFillShade="A6"/>
            <w:noWrap/>
          </w:tcPr>
          <w:p w14:paraId="792EC9B9" w14:textId="0FA17F25" w:rsidR="007F1860" w:rsidRPr="00146365" w:rsidRDefault="007F1860" w:rsidP="000B413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4" w:space="0" w:color="5B9BD5" w:themeColor="accent1"/>
            </w:tcBorders>
          </w:tcPr>
          <w:p w14:paraId="3D96F009" w14:textId="77777777" w:rsidR="007F1860" w:rsidRDefault="007F1860" w:rsidP="000B413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4" w:space="0" w:color="5B9BD5" w:themeColor="accent1"/>
            </w:tcBorders>
          </w:tcPr>
          <w:p w14:paraId="7755B85F" w14:textId="77777777" w:rsidR="007F1860" w:rsidRDefault="007F1860" w:rsidP="000B413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r>
      <w:tr w:rsidR="007F1860" w:rsidRPr="007A2DF0" w14:paraId="0C5CC979" w14:textId="2E8F146A" w:rsidTr="007F1860">
        <w:trPr>
          <w:trHeight w:val="280"/>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4" w:space="0" w:color="5B9BD5" w:themeColor="accent1"/>
              <w:bottom w:val="single" w:sz="18" w:space="0" w:color="5B9BD5" w:themeColor="accent1"/>
              <w:right w:val="single" w:sz="4" w:space="0" w:color="5B9BD5" w:themeColor="accent1"/>
            </w:tcBorders>
            <w:noWrap/>
            <w:hideMark/>
          </w:tcPr>
          <w:p w14:paraId="28A754B0" w14:textId="78301E5B" w:rsidR="007F1860" w:rsidRPr="00146365" w:rsidRDefault="007F1860" w:rsidP="000B4131">
            <w:pPr>
              <w:rPr>
                <w:rFonts w:ascii="Calibri" w:eastAsia="Times New Roman" w:hAnsi="Calibri" w:cs="Calibri"/>
                <w:i/>
                <w:sz w:val="18"/>
                <w:szCs w:val="18"/>
                <w:lang w:eastAsia="fr-FR"/>
              </w:rPr>
            </w:pPr>
            <w:r w:rsidRPr="00146365">
              <w:rPr>
                <w:rFonts w:ascii="Calibri" w:eastAsia="Times New Roman" w:hAnsi="Calibri" w:cs="Calibri"/>
                <w:i/>
                <w:sz w:val="18"/>
                <w:szCs w:val="18"/>
                <w:lang w:eastAsia="fr-FR"/>
              </w:rPr>
              <w:t>Dont transactions intragroupes</w:t>
            </w:r>
          </w:p>
        </w:tc>
        <w:tc>
          <w:tcPr>
            <w:tcW w:w="3119"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noWrap/>
            <w:hideMark/>
          </w:tcPr>
          <w:p w14:paraId="3668ABB8" w14:textId="030004CD" w:rsidR="007F1860" w:rsidRPr="00146365" w:rsidRDefault="007F1860" w:rsidP="000B41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Cs/>
                <w:sz w:val="18"/>
                <w:szCs w:val="18"/>
                <w:lang w:eastAsia="fr-FR"/>
              </w:rPr>
              <w:t>Transferts de fonds effectués entre 2 comptes de paiement tenus au sein d’un même groupe bancaire sans recours à un système de paiement.</w:t>
            </w:r>
          </w:p>
        </w:tc>
        <w:tc>
          <w:tcPr>
            <w:tcW w:w="1134" w:type="dxa"/>
            <w:vMerge/>
            <w:tcBorders>
              <w:left w:val="single" w:sz="4" w:space="0" w:color="5B9BD5" w:themeColor="accent1"/>
              <w:bottom w:val="single" w:sz="18" w:space="0" w:color="5B9BD5" w:themeColor="accent1"/>
            </w:tcBorders>
            <w:shd w:val="clear" w:color="auto" w:fill="A6A6A6" w:themeFill="background1" w:themeFillShade="A6"/>
            <w:noWrap/>
          </w:tcPr>
          <w:p w14:paraId="68908C21" w14:textId="41975840" w:rsidR="007F1860" w:rsidRPr="00146365" w:rsidRDefault="007F1860" w:rsidP="000B41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18" w:space="0" w:color="5B9BD5" w:themeColor="accent1"/>
            </w:tcBorders>
          </w:tcPr>
          <w:p w14:paraId="672D2771" w14:textId="77777777" w:rsidR="007F1860" w:rsidRDefault="007F1860" w:rsidP="000B41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18" w:space="0" w:color="5B9BD5" w:themeColor="accent1"/>
            </w:tcBorders>
          </w:tcPr>
          <w:p w14:paraId="420F02BF" w14:textId="77777777" w:rsidR="007F1860" w:rsidRDefault="007F1860" w:rsidP="000B41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r>
    </w:tbl>
    <w:p w14:paraId="7E7C5C91" w14:textId="77777777" w:rsidR="00FF5429" w:rsidRDefault="00FF5429" w:rsidP="00FF5429">
      <w:pPr>
        <w:pStyle w:val="Paragraphedeliste"/>
        <w:autoSpaceDE w:val="0"/>
        <w:autoSpaceDN w:val="0"/>
        <w:adjustRightInd w:val="0"/>
        <w:spacing w:after="0" w:line="240" w:lineRule="auto"/>
        <w:jc w:val="both"/>
        <w:rPr>
          <w:rFonts w:cstheme="minorHAnsi"/>
        </w:rPr>
      </w:pPr>
    </w:p>
    <w:p w14:paraId="03F811D4" w14:textId="77777777" w:rsidR="00FF5429" w:rsidRPr="004E58CA" w:rsidRDefault="00FF5429"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5ED09BE6" w14:textId="53305423" w:rsidR="00FF5429" w:rsidRDefault="00FF5429" w:rsidP="00FF5429">
      <w:pPr>
        <w:pStyle w:val="Paragraphedeliste"/>
        <w:autoSpaceDE w:val="0"/>
        <w:autoSpaceDN w:val="0"/>
        <w:adjustRightInd w:val="0"/>
        <w:spacing w:after="0" w:line="240" w:lineRule="auto"/>
        <w:jc w:val="both"/>
        <w:rPr>
          <w:rFonts w:cstheme="minorHAnsi"/>
        </w:rPr>
      </w:pPr>
    </w:p>
    <w:p w14:paraId="0018A420" w14:textId="7B03F822" w:rsidR="00973A94" w:rsidRPr="0081549B" w:rsidRDefault="00973A94" w:rsidP="0081549B">
      <w:pPr>
        <w:autoSpaceDE w:val="0"/>
        <w:autoSpaceDN w:val="0"/>
        <w:adjustRightInd w:val="0"/>
        <w:spacing w:after="0" w:line="240" w:lineRule="auto"/>
        <w:jc w:val="both"/>
        <w:rPr>
          <w:rFonts w:cstheme="minorHAnsi"/>
        </w:rPr>
      </w:pPr>
      <w:r w:rsidRPr="0081549B">
        <w:rPr>
          <w:rFonts w:cstheme="minorHAnsi"/>
        </w:rPr>
        <w:t>Les règles de contrôle suivantes doivent être app</w:t>
      </w:r>
      <w:r w:rsidR="00E06F9C" w:rsidRPr="0081549B">
        <w:rPr>
          <w:rFonts w:cstheme="minorHAnsi"/>
        </w:rPr>
        <w:t>liquées en nombre et en valeur.</w:t>
      </w:r>
    </w:p>
    <w:p w14:paraId="2A761553" w14:textId="77777777" w:rsidR="00973A94" w:rsidRDefault="00973A94" w:rsidP="00FF5429">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7F1860" w:rsidRPr="00191426" w14:paraId="69492C95" w14:textId="77777777" w:rsidTr="007F1860">
        <w:tc>
          <w:tcPr>
            <w:tcW w:w="9054" w:type="dxa"/>
          </w:tcPr>
          <w:p w14:paraId="03F9B501" w14:textId="30F9A631" w:rsidR="007F1860" w:rsidRPr="00466BF2" w:rsidRDefault="007F1860" w:rsidP="007F1860">
            <w:pPr>
              <w:pStyle w:val="Paragraphedeliste"/>
              <w:autoSpaceDE w:val="0"/>
              <w:autoSpaceDN w:val="0"/>
              <w:adjustRightInd w:val="0"/>
              <w:ind w:left="0"/>
              <w:jc w:val="both"/>
              <w:rPr>
                <w:sz w:val="18"/>
              </w:rPr>
            </w:pPr>
            <w:r w:rsidRPr="00A675AF">
              <w:rPr>
                <w:rFonts w:cstheme="minorHAnsi"/>
                <w:sz w:val="18"/>
                <w:szCs w:val="18"/>
              </w:rPr>
              <w:t>Le</w:t>
            </w:r>
            <w:r>
              <w:rPr>
                <w:rFonts w:cstheme="minorHAnsi"/>
                <w:sz w:val="18"/>
                <w:szCs w:val="18"/>
              </w:rPr>
              <w:t xml:space="preserve"> total de</w:t>
            </w:r>
            <w:r w:rsidRPr="00A675AF">
              <w:rPr>
                <w:rFonts w:cstheme="minorHAnsi"/>
                <w:sz w:val="18"/>
                <w:szCs w:val="18"/>
              </w:rPr>
              <w:t xml:space="preserve">s </w:t>
            </w:r>
            <w:r>
              <w:rPr>
                <w:rFonts w:cstheme="minorHAnsi"/>
                <w:sz w:val="18"/>
                <w:szCs w:val="18"/>
              </w:rPr>
              <w:t>chèques reçus à l’encaissement est =</w:t>
            </w:r>
            <w:r w:rsidRPr="00A675AF">
              <w:rPr>
                <w:rFonts w:cstheme="minorHAnsi"/>
                <w:sz w:val="18"/>
                <w:szCs w:val="18"/>
              </w:rPr>
              <w:t xml:space="preserve"> à la somme de</w:t>
            </w:r>
            <w:r>
              <w:rPr>
                <w:rFonts w:cstheme="minorHAnsi"/>
                <w:sz w:val="18"/>
                <w:szCs w:val="18"/>
              </w:rPr>
              <w:t xml:space="preserve">s transactions interbancaires, </w:t>
            </w:r>
            <w:proofErr w:type="spellStart"/>
            <w:r>
              <w:rPr>
                <w:rFonts w:cstheme="minorHAnsi"/>
                <w:sz w:val="18"/>
                <w:szCs w:val="18"/>
              </w:rPr>
              <w:t>intrabancaires</w:t>
            </w:r>
            <w:proofErr w:type="spellEnd"/>
            <w:r>
              <w:rPr>
                <w:rFonts w:cstheme="minorHAnsi"/>
                <w:sz w:val="18"/>
                <w:szCs w:val="18"/>
              </w:rPr>
              <w:t xml:space="preserve"> et intragroupes.</w:t>
            </w:r>
          </w:p>
        </w:tc>
      </w:tr>
      <w:tr w:rsidR="007F1860" w:rsidRPr="00191426" w14:paraId="53A1B3FF" w14:textId="77777777" w:rsidTr="007F1860">
        <w:tc>
          <w:tcPr>
            <w:tcW w:w="9054" w:type="dxa"/>
          </w:tcPr>
          <w:p w14:paraId="3740428C" w14:textId="06A67EC3" w:rsidR="007F1860" w:rsidRPr="00466BF2" w:rsidRDefault="007F1860" w:rsidP="009E4511">
            <w:pPr>
              <w:pStyle w:val="Paragraphedeliste"/>
              <w:autoSpaceDE w:val="0"/>
              <w:autoSpaceDN w:val="0"/>
              <w:adjustRightInd w:val="0"/>
              <w:ind w:left="0"/>
              <w:jc w:val="both"/>
              <w:rPr>
                <w:sz w:val="18"/>
              </w:rPr>
            </w:pPr>
            <w:r w:rsidRPr="009B0B25">
              <w:rPr>
                <w:rFonts w:cstheme="minorHAnsi"/>
                <w:sz w:val="18"/>
                <w:szCs w:val="18"/>
              </w:rPr>
              <w:t>Le</w:t>
            </w:r>
            <w:r>
              <w:rPr>
                <w:rFonts w:cstheme="minorHAnsi"/>
                <w:sz w:val="18"/>
                <w:szCs w:val="18"/>
              </w:rPr>
              <w:t xml:space="preserve"> total des </w:t>
            </w:r>
            <w:r w:rsidR="000C58E0">
              <w:rPr>
                <w:rFonts w:cstheme="minorHAnsi"/>
                <w:sz w:val="18"/>
                <w:szCs w:val="18"/>
              </w:rPr>
              <w:t>transactions</w:t>
            </w:r>
            <w:r>
              <w:rPr>
                <w:rFonts w:cstheme="minorHAnsi"/>
                <w:sz w:val="18"/>
                <w:szCs w:val="18"/>
              </w:rPr>
              <w:t xml:space="preserve"> </w:t>
            </w:r>
            <w:r w:rsidR="000C58E0">
              <w:rPr>
                <w:rFonts w:cstheme="minorHAnsi"/>
                <w:sz w:val="18"/>
                <w:szCs w:val="18"/>
              </w:rPr>
              <w:t xml:space="preserve">interbancaires </w:t>
            </w:r>
            <w:r>
              <w:rPr>
                <w:rFonts w:cstheme="minorHAnsi"/>
                <w:sz w:val="18"/>
                <w:szCs w:val="18"/>
              </w:rPr>
              <w:t>est =</w:t>
            </w:r>
            <w:r w:rsidRPr="009B0B25">
              <w:rPr>
                <w:rFonts w:cstheme="minorHAnsi"/>
                <w:sz w:val="18"/>
                <w:szCs w:val="18"/>
              </w:rPr>
              <w:t xml:space="preserve"> à la somme </w:t>
            </w:r>
            <w:r>
              <w:rPr>
                <w:rFonts w:cstheme="minorHAnsi"/>
                <w:sz w:val="18"/>
                <w:szCs w:val="18"/>
              </w:rPr>
              <w:t xml:space="preserve">de la ventilation par </w:t>
            </w:r>
            <w:r w:rsidRPr="009B0B25">
              <w:rPr>
                <w:rFonts w:cstheme="minorHAnsi"/>
                <w:sz w:val="18"/>
                <w:szCs w:val="18"/>
              </w:rPr>
              <w:t>système</w:t>
            </w:r>
            <w:r>
              <w:rPr>
                <w:rFonts w:cstheme="minorHAnsi"/>
                <w:sz w:val="18"/>
                <w:szCs w:val="18"/>
              </w:rPr>
              <w:t xml:space="preserve"> d</w:t>
            </w:r>
            <w:r w:rsidR="009E4511">
              <w:rPr>
                <w:rFonts w:cstheme="minorHAnsi"/>
                <w:sz w:val="18"/>
                <w:szCs w:val="18"/>
              </w:rPr>
              <w:t>e paiement</w:t>
            </w:r>
            <w:r w:rsidRPr="00A675AF">
              <w:rPr>
                <w:rFonts w:cstheme="minorHAnsi"/>
                <w:sz w:val="18"/>
                <w:szCs w:val="18"/>
              </w:rPr>
              <w:t>.</w:t>
            </w:r>
          </w:p>
        </w:tc>
      </w:tr>
    </w:tbl>
    <w:p w14:paraId="689166F8" w14:textId="77777777" w:rsidR="00FF5429" w:rsidRDefault="00FF5429" w:rsidP="00FF5429">
      <w:pPr>
        <w:pStyle w:val="Paragraphedeliste"/>
        <w:autoSpaceDE w:val="0"/>
        <w:autoSpaceDN w:val="0"/>
        <w:adjustRightInd w:val="0"/>
        <w:spacing w:after="0" w:line="240" w:lineRule="auto"/>
        <w:jc w:val="both"/>
        <w:rPr>
          <w:rFonts w:cstheme="minorHAnsi"/>
        </w:rPr>
      </w:pPr>
    </w:p>
    <w:p w14:paraId="659D3A64" w14:textId="47840406" w:rsidR="005A0EE0" w:rsidRPr="006B400E" w:rsidRDefault="005A0EE0" w:rsidP="007718A3">
      <w:pPr>
        <w:pStyle w:val="Titre3"/>
        <w:numPr>
          <w:ilvl w:val="2"/>
          <w:numId w:val="38"/>
        </w:numPr>
        <w:jc w:val="both"/>
      </w:pPr>
      <w:bookmarkStart w:id="62" w:name="_Toc222476892"/>
      <w:r w:rsidRPr="006B400E">
        <w:t>Chèques tirés sur les comptes de l’établissement</w:t>
      </w:r>
      <w:bookmarkEnd w:id="62"/>
    </w:p>
    <w:p w14:paraId="2E9B276F" w14:textId="11448B38" w:rsidR="00040C36" w:rsidRDefault="00040C36" w:rsidP="005A0EE0">
      <w:pPr>
        <w:spacing w:after="0" w:line="240" w:lineRule="auto"/>
        <w:jc w:val="both"/>
        <w:rPr>
          <w:rFonts w:ascii="Calibri" w:eastAsia="Times New Roman" w:hAnsi="Calibri" w:cs="Calibri"/>
          <w:b/>
          <w:smallCaps/>
          <w:sz w:val="24"/>
          <w:szCs w:val="24"/>
          <w:lang w:eastAsia="fr-FR"/>
        </w:rPr>
      </w:pPr>
    </w:p>
    <w:p w14:paraId="2E1C5ACB" w14:textId="42C714CB" w:rsidR="00A07BCD" w:rsidRDefault="00040C36" w:rsidP="005A0EE0">
      <w:pPr>
        <w:spacing w:after="0" w:line="240" w:lineRule="auto"/>
        <w:jc w:val="both"/>
        <w:rPr>
          <w:rFonts w:cstheme="minorHAnsi"/>
        </w:rPr>
      </w:pPr>
      <w:r>
        <w:rPr>
          <w:rFonts w:cstheme="minorHAnsi"/>
        </w:rPr>
        <w:t>I</w:t>
      </w:r>
      <w:r w:rsidRPr="006A1B3D">
        <w:rPr>
          <w:rFonts w:cstheme="minorHAnsi"/>
        </w:rPr>
        <w:t>l s’</w:t>
      </w:r>
      <w:r>
        <w:rPr>
          <w:rFonts w:cstheme="minorHAnsi"/>
        </w:rPr>
        <w:t>agit de déclarer, en volume et valeur, les chèques tirés sur des comptes tenus par l’établissement et payé par lui en tant que PSP du payeur.</w:t>
      </w:r>
    </w:p>
    <w:p w14:paraId="6A758204" w14:textId="3909BE3A" w:rsidR="00A65ACC" w:rsidRDefault="00A65ACC" w:rsidP="005A0EE0">
      <w:pPr>
        <w:spacing w:after="0" w:line="240" w:lineRule="auto"/>
        <w:jc w:val="both"/>
        <w:rPr>
          <w:rFonts w:cstheme="minorHAnsi"/>
        </w:rPr>
      </w:pPr>
    </w:p>
    <w:p w14:paraId="69FA1FB4"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44F003E4" w14:textId="77777777" w:rsidR="00A65ACC" w:rsidRPr="000502C3" w:rsidRDefault="00A65ACC" w:rsidP="005A0EE0">
      <w:pPr>
        <w:spacing w:after="0" w:line="240" w:lineRule="auto"/>
        <w:jc w:val="both"/>
        <w:rPr>
          <w:rFonts w:ascii="Calibri" w:eastAsia="Times New Roman" w:hAnsi="Calibri" w:cs="Calibri"/>
          <w:b/>
          <w:smallCaps/>
          <w:sz w:val="18"/>
          <w:szCs w:val="18"/>
          <w:lang w:eastAsia="fr-FR"/>
        </w:rPr>
      </w:pPr>
    </w:p>
    <w:tbl>
      <w:tblPr>
        <w:tblStyle w:val="Tableausimple2"/>
        <w:tblW w:w="8930"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4"/>
        <w:gridCol w:w="2693"/>
        <w:gridCol w:w="2977"/>
        <w:gridCol w:w="1019"/>
        <w:gridCol w:w="980"/>
        <w:gridCol w:w="977"/>
      </w:tblGrid>
      <w:tr w:rsidR="000C58E0" w:rsidRPr="000502C3" w14:paraId="353A0305" w14:textId="77777777" w:rsidTr="000C58E0">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977" w:type="dxa"/>
            <w:gridSpan w:val="2"/>
            <w:tcBorders>
              <w:top w:val="single" w:sz="18" w:space="0" w:color="5B9BD5" w:themeColor="accent1"/>
              <w:bottom w:val="single" w:sz="18" w:space="0" w:color="5B9BD5" w:themeColor="accent1"/>
            </w:tcBorders>
            <w:noWrap/>
          </w:tcPr>
          <w:p w14:paraId="27B9EE1D" w14:textId="77777777" w:rsidR="000C58E0" w:rsidRPr="000502C3" w:rsidRDefault="000C58E0" w:rsidP="000C58E0">
            <w:pPr>
              <w:rPr>
                <w:rFonts w:ascii="Calibri" w:eastAsia="Times New Roman" w:hAnsi="Calibri" w:cs="Calibri"/>
                <w:i/>
                <w:sz w:val="18"/>
                <w:szCs w:val="18"/>
                <w:lang w:eastAsia="fr-FR"/>
              </w:rPr>
            </w:pPr>
          </w:p>
        </w:tc>
        <w:tc>
          <w:tcPr>
            <w:tcW w:w="2977" w:type="dxa"/>
            <w:tcBorders>
              <w:top w:val="single" w:sz="18" w:space="0" w:color="5B9BD5" w:themeColor="accent1"/>
              <w:bottom w:val="single" w:sz="18" w:space="0" w:color="5B9BD5" w:themeColor="accent1"/>
            </w:tcBorders>
            <w:noWrap/>
          </w:tcPr>
          <w:p w14:paraId="22F09B57" w14:textId="77777777" w:rsidR="000C58E0" w:rsidRDefault="000C58E0" w:rsidP="000C58E0">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1019" w:type="dxa"/>
            <w:tcBorders>
              <w:top w:val="single" w:sz="18" w:space="0" w:color="5B9BD5" w:themeColor="accent1"/>
              <w:bottom w:val="single" w:sz="18" w:space="0" w:color="5B9BD5" w:themeColor="accent1"/>
              <w:right w:val="single" w:sz="2" w:space="0" w:color="5B9BD5" w:themeColor="accent1"/>
            </w:tcBorders>
            <w:shd w:val="solid" w:color="FFFFFF" w:fill="000000"/>
            <w:noWrap/>
          </w:tcPr>
          <w:p w14:paraId="0384130E" w14:textId="30467910" w:rsidR="000C58E0" w:rsidRPr="000502C3" w:rsidRDefault="004E68CF" w:rsidP="000C58E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Pays du PSP du payé</w:t>
            </w:r>
          </w:p>
        </w:tc>
        <w:tc>
          <w:tcPr>
            <w:tcW w:w="980"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CDBA745" w14:textId="0CC934BC" w:rsidR="000C58E0" w:rsidRPr="000502C3" w:rsidRDefault="000C58E0" w:rsidP="000C58E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977" w:type="dxa"/>
            <w:tcBorders>
              <w:top w:val="single" w:sz="18" w:space="0" w:color="5B9BD5" w:themeColor="accent1"/>
              <w:left w:val="single" w:sz="2" w:space="0" w:color="5B9BD5" w:themeColor="accent1"/>
              <w:bottom w:val="single" w:sz="18" w:space="0" w:color="5B9BD5" w:themeColor="accent1"/>
            </w:tcBorders>
            <w:shd w:val="solid" w:color="FFFFFF" w:fill="000000"/>
          </w:tcPr>
          <w:p w14:paraId="1DF8CD97" w14:textId="77777777" w:rsidR="000C58E0" w:rsidRDefault="000C58E0" w:rsidP="000C58E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11AD0232" w14:textId="6CF3E3A8" w:rsidR="000C58E0" w:rsidRPr="000502C3" w:rsidRDefault="000C58E0" w:rsidP="000C58E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Pr>
                <w:rFonts w:cstheme="minorHAnsi"/>
                <w:sz w:val="14"/>
                <w:szCs w:val="18"/>
              </w:rPr>
              <w:t>euros</w:t>
            </w:r>
            <w:proofErr w:type="gramEnd"/>
          </w:p>
        </w:tc>
      </w:tr>
      <w:tr w:rsidR="000C58E0" w:rsidRPr="000502C3" w14:paraId="1463055F" w14:textId="071F5B52" w:rsidTr="000C58E0">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977" w:type="dxa"/>
            <w:gridSpan w:val="2"/>
            <w:tcBorders>
              <w:top w:val="single" w:sz="18" w:space="0" w:color="5B9BD5" w:themeColor="accent1"/>
              <w:bottom w:val="single" w:sz="4" w:space="0" w:color="5B9BD5" w:themeColor="accent1"/>
            </w:tcBorders>
            <w:noWrap/>
          </w:tcPr>
          <w:p w14:paraId="6DC7B16D" w14:textId="69097733" w:rsidR="000C58E0" w:rsidRPr="000502C3" w:rsidRDefault="000C58E0" w:rsidP="000502C3">
            <w:pPr>
              <w:rPr>
                <w:rFonts w:ascii="Calibri" w:eastAsia="Times New Roman" w:hAnsi="Calibri" w:cs="Calibri"/>
                <w:b w:val="0"/>
                <w:i/>
                <w:sz w:val="18"/>
                <w:szCs w:val="18"/>
                <w:lang w:eastAsia="fr-FR"/>
              </w:rPr>
            </w:pPr>
            <w:r w:rsidRPr="000502C3">
              <w:rPr>
                <w:rFonts w:ascii="Calibri" w:eastAsia="Times New Roman" w:hAnsi="Calibri" w:cs="Calibri"/>
                <w:i/>
                <w:sz w:val="18"/>
                <w:szCs w:val="18"/>
                <w:lang w:eastAsia="fr-FR"/>
              </w:rPr>
              <w:t>Chèques tirés sur les comptes tenus par l'établissement</w:t>
            </w:r>
          </w:p>
        </w:tc>
        <w:tc>
          <w:tcPr>
            <w:tcW w:w="2977" w:type="dxa"/>
            <w:tcBorders>
              <w:top w:val="single" w:sz="18" w:space="0" w:color="5B9BD5" w:themeColor="accent1"/>
            </w:tcBorders>
            <w:noWrap/>
          </w:tcPr>
          <w:p w14:paraId="20EEA3A0" w14:textId="70BCCD8C" w:rsidR="000C58E0" w:rsidRPr="002D51A6" w:rsidRDefault="000C58E0" w:rsidP="00466BF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019" w:type="dxa"/>
            <w:tcBorders>
              <w:top w:val="single" w:sz="18" w:space="0" w:color="5B9BD5" w:themeColor="accent1"/>
            </w:tcBorders>
            <w:noWrap/>
          </w:tcPr>
          <w:p w14:paraId="7E0802DE" w14:textId="36D27733" w:rsidR="000C58E0" w:rsidRPr="004E68CF" w:rsidRDefault="004E68CF"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8"/>
                <w:lang w:eastAsia="fr-FR"/>
              </w:rPr>
            </w:pPr>
            <w:r w:rsidRPr="004E68CF">
              <w:rPr>
                <w:rFonts w:ascii="Calibri" w:eastAsia="Times New Roman" w:hAnsi="Calibri" w:cs="Calibri"/>
                <w:sz w:val="14"/>
                <w:szCs w:val="18"/>
                <w:lang w:eastAsia="fr-FR"/>
              </w:rPr>
              <w:t>Selon ventilation géographique en section 5</w:t>
            </w:r>
            <w:r w:rsidR="002262D6">
              <w:rPr>
                <w:rFonts w:ascii="Calibri" w:eastAsia="Times New Roman" w:hAnsi="Calibri" w:cs="Calibri"/>
                <w:sz w:val="14"/>
                <w:szCs w:val="18"/>
                <w:lang w:eastAsia="fr-FR"/>
              </w:rPr>
              <w:t>.1</w:t>
            </w:r>
          </w:p>
        </w:tc>
        <w:tc>
          <w:tcPr>
            <w:tcW w:w="980" w:type="dxa"/>
            <w:tcBorders>
              <w:top w:val="single" w:sz="18" w:space="0" w:color="5B9BD5" w:themeColor="accent1"/>
            </w:tcBorders>
          </w:tcPr>
          <w:p w14:paraId="5BF47D69" w14:textId="77777777"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77" w:type="dxa"/>
            <w:tcBorders>
              <w:top w:val="single" w:sz="18" w:space="0" w:color="5B9BD5" w:themeColor="accent1"/>
            </w:tcBorders>
          </w:tcPr>
          <w:p w14:paraId="58FF036C" w14:textId="77777777"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0C58E0" w:rsidRPr="000502C3" w14:paraId="4F0C66EB" w14:textId="486B760F" w:rsidTr="000C58E0">
        <w:trPr>
          <w:trHeight w:val="282"/>
        </w:trPr>
        <w:tc>
          <w:tcPr>
            <w:cnfStyle w:val="001000000000" w:firstRow="0" w:lastRow="0" w:firstColumn="1" w:lastColumn="0" w:oddVBand="0" w:evenVBand="0" w:oddHBand="0" w:evenHBand="0" w:firstRowFirstColumn="0" w:firstRowLastColumn="0" w:lastRowFirstColumn="0" w:lastRowLastColumn="0"/>
            <w:tcW w:w="284" w:type="dxa"/>
            <w:tcBorders>
              <w:top w:val="single" w:sz="18" w:space="0" w:color="5B9BD5" w:themeColor="accent1"/>
              <w:bottom w:val="single" w:sz="18" w:space="0" w:color="5B9BD5" w:themeColor="accent1"/>
            </w:tcBorders>
            <w:noWrap/>
            <w:hideMark/>
          </w:tcPr>
          <w:p w14:paraId="3F6A8185" w14:textId="28F8DD67" w:rsidR="000C58E0" w:rsidRPr="000502C3" w:rsidRDefault="000C58E0" w:rsidP="00A675AF">
            <w:pPr>
              <w:ind w:left="708"/>
              <w:rPr>
                <w:rFonts w:ascii="Calibri" w:eastAsia="Times New Roman" w:hAnsi="Calibri" w:cs="Calibri"/>
                <w:b w:val="0"/>
                <w:bCs w:val="0"/>
                <w:i/>
                <w:sz w:val="18"/>
                <w:szCs w:val="18"/>
                <w:lang w:eastAsia="fr-FR"/>
              </w:rPr>
            </w:pPr>
          </w:p>
        </w:tc>
        <w:tc>
          <w:tcPr>
            <w:tcW w:w="2693" w:type="dxa"/>
            <w:tcBorders>
              <w:top w:val="single" w:sz="18" w:space="0" w:color="5B9BD5" w:themeColor="accent1"/>
              <w:bottom w:val="single" w:sz="18" w:space="0" w:color="5B9BD5" w:themeColor="accent1"/>
            </w:tcBorders>
          </w:tcPr>
          <w:p w14:paraId="242A4011" w14:textId="0B531A69" w:rsidR="000C58E0" w:rsidRPr="00663C68" w:rsidRDefault="000C58E0" w:rsidP="00663C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663C68">
              <w:rPr>
                <w:rFonts w:ascii="Calibri" w:eastAsia="Times New Roman" w:hAnsi="Calibri" w:cs="Calibri"/>
                <w:b/>
                <w:i/>
                <w:sz w:val="18"/>
                <w:szCs w:val="18"/>
                <w:lang w:eastAsia="fr-FR"/>
              </w:rPr>
              <w:t>Dont chèques de banque</w:t>
            </w:r>
          </w:p>
        </w:tc>
        <w:tc>
          <w:tcPr>
            <w:tcW w:w="2977" w:type="dxa"/>
            <w:tcBorders>
              <w:top w:val="single" w:sz="18" w:space="0" w:color="5B9BD5" w:themeColor="accent1"/>
              <w:bottom w:val="single" w:sz="18" w:space="0" w:color="5B9BD5" w:themeColor="accent1"/>
            </w:tcBorders>
            <w:noWrap/>
            <w:hideMark/>
          </w:tcPr>
          <w:p w14:paraId="03E885E0" w14:textId="04410DE7" w:rsidR="000C58E0" w:rsidRPr="000502C3" w:rsidRDefault="000C58E0" w:rsidP="000502C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Chèques délivrés par l’établissement à la demande d’un client contre paiement immédiat par débit en compte ou versement d’espèces.</w:t>
            </w:r>
          </w:p>
        </w:tc>
        <w:tc>
          <w:tcPr>
            <w:tcW w:w="1019" w:type="dxa"/>
            <w:tcBorders>
              <w:top w:val="single" w:sz="18" w:space="0" w:color="5B9BD5" w:themeColor="accent1"/>
              <w:bottom w:val="single" w:sz="18" w:space="0" w:color="5B9BD5" w:themeColor="accent1"/>
            </w:tcBorders>
            <w:shd w:val="clear" w:color="auto" w:fill="A6A6A6" w:themeFill="background1" w:themeFillShade="A6"/>
            <w:noWrap/>
          </w:tcPr>
          <w:p w14:paraId="0A64909C" w14:textId="4ACFFE18"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80" w:type="dxa"/>
            <w:tcBorders>
              <w:top w:val="single" w:sz="18" w:space="0" w:color="5B9BD5" w:themeColor="accent1"/>
              <w:bottom w:val="single" w:sz="18" w:space="0" w:color="5B9BD5" w:themeColor="accent1"/>
            </w:tcBorders>
          </w:tcPr>
          <w:p w14:paraId="6734E378" w14:textId="77777777"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77" w:type="dxa"/>
            <w:tcBorders>
              <w:top w:val="single" w:sz="18" w:space="0" w:color="5B9BD5" w:themeColor="accent1"/>
              <w:bottom w:val="single" w:sz="18" w:space="0" w:color="5B9BD5" w:themeColor="accent1"/>
            </w:tcBorders>
          </w:tcPr>
          <w:p w14:paraId="5D9CEF0B" w14:textId="77777777"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2FF81E10" w14:textId="77777777" w:rsidR="00FF5429" w:rsidRDefault="00FF5429" w:rsidP="00FF5429">
      <w:pPr>
        <w:pStyle w:val="Paragraphedeliste"/>
        <w:autoSpaceDE w:val="0"/>
        <w:autoSpaceDN w:val="0"/>
        <w:adjustRightInd w:val="0"/>
        <w:spacing w:after="0" w:line="240" w:lineRule="auto"/>
        <w:jc w:val="both"/>
        <w:rPr>
          <w:rFonts w:cstheme="minorHAnsi"/>
        </w:rPr>
      </w:pPr>
    </w:p>
    <w:p w14:paraId="5CA613AB" w14:textId="77777777" w:rsidR="00FF5429" w:rsidRPr="00466BF2" w:rsidRDefault="00FF5429" w:rsidP="00466BF2">
      <w:pPr>
        <w:spacing w:after="0" w:line="240" w:lineRule="auto"/>
        <w:jc w:val="both"/>
        <w:rPr>
          <w:rFonts w:ascii="Calibri" w:hAnsi="Calibri"/>
          <w:b/>
          <w:smallCaps/>
          <w:color w:val="2E74B5" w:themeColor="accent1" w:themeShade="BF"/>
          <w:sz w:val="24"/>
        </w:rPr>
      </w:pPr>
      <w:r w:rsidRPr="00466BF2">
        <w:rPr>
          <w:rFonts w:ascii="Calibri" w:hAnsi="Calibri"/>
          <w:b/>
          <w:smallCaps/>
          <w:color w:val="2E74B5" w:themeColor="accent1" w:themeShade="BF"/>
          <w:sz w:val="24"/>
        </w:rPr>
        <w:t>Contrôles :</w:t>
      </w:r>
    </w:p>
    <w:p w14:paraId="6A4D6860" w14:textId="63A9615B" w:rsidR="00FF5429" w:rsidRDefault="00FF5429" w:rsidP="00FF5429">
      <w:pPr>
        <w:pStyle w:val="Paragraphedeliste"/>
        <w:autoSpaceDE w:val="0"/>
        <w:autoSpaceDN w:val="0"/>
        <w:adjustRightInd w:val="0"/>
        <w:spacing w:after="0" w:line="240" w:lineRule="auto"/>
        <w:jc w:val="both"/>
        <w:rPr>
          <w:rFonts w:cstheme="minorHAnsi"/>
        </w:rPr>
      </w:pPr>
    </w:p>
    <w:p w14:paraId="7408DA1D" w14:textId="504AA548" w:rsidR="00973A94" w:rsidRDefault="00973A94" w:rsidP="0081549B">
      <w:pPr>
        <w:autoSpaceDE w:val="0"/>
        <w:autoSpaceDN w:val="0"/>
        <w:adjustRightInd w:val="0"/>
        <w:spacing w:after="0" w:line="240" w:lineRule="auto"/>
        <w:jc w:val="both"/>
        <w:rPr>
          <w:rFonts w:cstheme="minorHAnsi"/>
        </w:rPr>
      </w:pPr>
      <w:r w:rsidRPr="0081549B">
        <w:rPr>
          <w:rFonts w:cstheme="minorHAnsi"/>
        </w:rPr>
        <w:t>Les règles de contrôle suivantes doivent être app</w:t>
      </w:r>
      <w:r w:rsidR="00E06F9C" w:rsidRPr="0081549B">
        <w:rPr>
          <w:rFonts w:cstheme="minorHAnsi"/>
        </w:rPr>
        <w:t>liquées en nombre et en valeur.</w:t>
      </w:r>
    </w:p>
    <w:p w14:paraId="5AB39DB0" w14:textId="77777777" w:rsidR="000C58E0" w:rsidRPr="0081549B" w:rsidRDefault="000C58E0" w:rsidP="0081549B">
      <w:pPr>
        <w:autoSpaceDE w:val="0"/>
        <w:autoSpaceDN w:val="0"/>
        <w:adjustRightInd w:val="0"/>
        <w:spacing w:after="0" w:line="240" w:lineRule="auto"/>
        <w:jc w:val="both"/>
        <w:rPr>
          <w:rFonts w:cstheme="minorHAnsi"/>
        </w:rPr>
      </w:pPr>
    </w:p>
    <w:tbl>
      <w:tblPr>
        <w:tblStyle w:val="Grilledutableau"/>
        <w:tblW w:w="8913"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8913"/>
      </w:tblGrid>
      <w:tr w:rsidR="000C58E0" w:rsidRPr="004E58CA" w14:paraId="1E84A189" w14:textId="77777777" w:rsidTr="0001666E">
        <w:tc>
          <w:tcPr>
            <w:tcW w:w="8913" w:type="dxa"/>
          </w:tcPr>
          <w:p w14:paraId="3BB15E8A" w14:textId="5D7419D1" w:rsidR="000C58E0" w:rsidRPr="004E58CA" w:rsidRDefault="000C58E0" w:rsidP="000C58E0">
            <w:pPr>
              <w:pStyle w:val="Paragraphedeliste"/>
              <w:autoSpaceDE w:val="0"/>
              <w:autoSpaceDN w:val="0"/>
              <w:adjustRightInd w:val="0"/>
              <w:ind w:left="0"/>
              <w:jc w:val="both"/>
              <w:rPr>
                <w:sz w:val="18"/>
              </w:rPr>
            </w:pPr>
            <w:r>
              <w:rPr>
                <w:rFonts w:cstheme="minorHAnsi"/>
                <w:sz w:val="18"/>
                <w:szCs w:val="18"/>
              </w:rPr>
              <w:t xml:space="preserve">Le total des chèques tirés est = à la somme des trois sous-ventilations géographiques associées (France, au sein de l’EEE et </w:t>
            </w:r>
            <w:r w:rsidRPr="000945DD">
              <w:rPr>
                <w:rFonts w:cstheme="minorHAnsi"/>
                <w:sz w:val="18"/>
                <w:szCs w:val="18"/>
              </w:rPr>
              <w:t>hors de l’EEE</w:t>
            </w:r>
            <w:r w:rsidR="007C06E0">
              <w:rPr>
                <w:rFonts w:cstheme="minorHAnsi"/>
                <w:sz w:val="18"/>
                <w:szCs w:val="18"/>
              </w:rPr>
              <w:t>)</w:t>
            </w:r>
            <w:r w:rsidRPr="000945DD">
              <w:rPr>
                <w:rFonts w:cstheme="minorHAnsi"/>
                <w:sz w:val="18"/>
                <w:szCs w:val="18"/>
              </w:rPr>
              <w:t>.</w:t>
            </w:r>
          </w:p>
        </w:tc>
      </w:tr>
      <w:tr w:rsidR="000C58E0" w:rsidRPr="004E58CA" w14:paraId="68905087" w14:textId="77777777" w:rsidTr="0001666E">
        <w:tc>
          <w:tcPr>
            <w:tcW w:w="8913" w:type="dxa"/>
          </w:tcPr>
          <w:p w14:paraId="6135D098" w14:textId="2BF9C0C6" w:rsidR="000C58E0" w:rsidRPr="004E58CA" w:rsidRDefault="000C58E0" w:rsidP="000C58E0">
            <w:pPr>
              <w:pStyle w:val="Paragraphedeliste"/>
              <w:autoSpaceDE w:val="0"/>
              <w:autoSpaceDN w:val="0"/>
              <w:adjustRightInd w:val="0"/>
              <w:ind w:left="0"/>
              <w:jc w:val="both"/>
              <w:rPr>
                <w:sz w:val="18"/>
              </w:rPr>
            </w:pPr>
            <w:r>
              <w:rPr>
                <w:rFonts w:cstheme="minorHAnsi"/>
                <w:sz w:val="18"/>
                <w:szCs w:val="18"/>
              </w:rPr>
              <w:t>Le total des chèques tirés « au sein de la zone de l’EEE » est = à la somme de la ventilation par pays de l’EEE.</w:t>
            </w:r>
          </w:p>
        </w:tc>
      </w:tr>
      <w:tr w:rsidR="000C58E0" w:rsidRPr="00191426" w14:paraId="0F37A00B" w14:textId="77777777" w:rsidTr="000C58E0">
        <w:tc>
          <w:tcPr>
            <w:tcW w:w="8913" w:type="dxa"/>
          </w:tcPr>
          <w:p w14:paraId="7DF72D31" w14:textId="0686BEFB" w:rsidR="000C58E0" w:rsidRPr="00466BF2" w:rsidRDefault="000C58E0" w:rsidP="000C58E0">
            <w:pPr>
              <w:pStyle w:val="Paragraphedeliste"/>
              <w:autoSpaceDE w:val="0"/>
              <w:autoSpaceDN w:val="0"/>
              <w:adjustRightInd w:val="0"/>
              <w:ind w:left="0"/>
              <w:jc w:val="both"/>
              <w:rPr>
                <w:sz w:val="18"/>
              </w:rPr>
            </w:pPr>
            <w:r w:rsidRPr="00A675AF">
              <w:rPr>
                <w:rFonts w:cstheme="minorHAnsi"/>
                <w:sz w:val="18"/>
                <w:szCs w:val="18"/>
              </w:rPr>
              <w:t>Le</w:t>
            </w:r>
            <w:r>
              <w:rPr>
                <w:rFonts w:cstheme="minorHAnsi"/>
                <w:sz w:val="18"/>
                <w:szCs w:val="18"/>
              </w:rPr>
              <w:t xml:space="preserve"> total des</w:t>
            </w:r>
            <w:r w:rsidRPr="00A675AF">
              <w:rPr>
                <w:rFonts w:cstheme="minorHAnsi"/>
                <w:sz w:val="18"/>
                <w:szCs w:val="18"/>
              </w:rPr>
              <w:t xml:space="preserve"> chèques </w:t>
            </w:r>
            <w:r>
              <w:rPr>
                <w:rFonts w:cstheme="minorHAnsi"/>
                <w:sz w:val="18"/>
                <w:szCs w:val="18"/>
              </w:rPr>
              <w:t>tirés est &gt; ou = au total des</w:t>
            </w:r>
            <w:r w:rsidRPr="00A675AF">
              <w:rPr>
                <w:rFonts w:cstheme="minorHAnsi"/>
                <w:sz w:val="18"/>
                <w:szCs w:val="18"/>
              </w:rPr>
              <w:t xml:space="preserve"> chèques de banque.</w:t>
            </w:r>
          </w:p>
        </w:tc>
      </w:tr>
    </w:tbl>
    <w:p w14:paraId="2F2E9770" w14:textId="77777777" w:rsidR="00FF5429" w:rsidRDefault="00FF5429" w:rsidP="00FF5429">
      <w:pPr>
        <w:pStyle w:val="Paragraphedeliste"/>
        <w:autoSpaceDE w:val="0"/>
        <w:autoSpaceDN w:val="0"/>
        <w:adjustRightInd w:val="0"/>
        <w:spacing w:after="0" w:line="240" w:lineRule="auto"/>
        <w:jc w:val="both"/>
        <w:rPr>
          <w:rFonts w:cstheme="minorHAnsi"/>
        </w:rPr>
      </w:pPr>
    </w:p>
    <w:p w14:paraId="3BBBFC14" w14:textId="1BBA6FD7" w:rsidR="005A0EE0" w:rsidRPr="006B400E" w:rsidRDefault="005A0EE0" w:rsidP="007718A3">
      <w:pPr>
        <w:pStyle w:val="Titre3"/>
        <w:numPr>
          <w:ilvl w:val="2"/>
          <w:numId w:val="38"/>
        </w:numPr>
        <w:jc w:val="both"/>
      </w:pPr>
      <w:bookmarkStart w:id="63" w:name="_Toc222476893"/>
      <w:r w:rsidRPr="006B400E">
        <w:t>Opérations EIC</w:t>
      </w:r>
      <w:bookmarkEnd w:id="63"/>
    </w:p>
    <w:p w14:paraId="5A61410D" w14:textId="60098788" w:rsidR="00FA0400" w:rsidRDefault="00FA0400" w:rsidP="005A0EE0">
      <w:pPr>
        <w:spacing w:after="0" w:line="240" w:lineRule="auto"/>
        <w:jc w:val="both"/>
        <w:rPr>
          <w:rFonts w:ascii="Calibri" w:eastAsia="Times New Roman" w:hAnsi="Calibri" w:cs="Calibri"/>
          <w:b/>
          <w:smallCaps/>
          <w:sz w:val="24"/>
          <w:szCs w:val="24"/>
          <w:lang w:eastAsia="fr-FR"/>
        </w:rPr>
      </w:pPr>
    </w:p>
    <w:p w14:paraId="68A15740" w14:textId="19DAD6AE" w:rsidR="00FA0400" w:rsidRPr="00FA0400" w:rsidRDefault="00FA0400" w:rsidP="005A0EE0">
      <w:pPr>
        <w:spacing w:after="0" w:line="240" w:lineRule="auto"/>
        <w:jc w:val="both"/>
        <w:rPr>
          <w:rFonts w:cstheme="minorHAnsi"/>
        </w:rPr>
      </w:pPr>
      <w:r w:rsidRPr="00FA0400">
        <w:rPr>
          <w:rFonts w:cstheme="minorHAnsi"/>
        </w:rPr>
        <w:t>Il s</w:t>
      </w:r>
      <w:r>
        <w:rPr>
          <w:rFonts w:cstheme="minorHAnsi"/>
        </w:rPr>
        <w:t>’agit de déclarer, en volume, toutes opérations EIC quelles que soient les modalités d’échange.</w:t>
      </w:r>
    </w:p>
    <w:p w14:paraId="74AA9A8B" w14:textId="77777777" w:rsidR="005A0EE0" w:rsidRPr="00466BF2" w:rsidRDefault="005A0EE0" w:rsidP="005A0EE0">
      <w:pPr>
        <w:spacing w:after="0" w:line="240" w:lineRule="auto"/>
        <w:jc w:val="both"/>
        <w:rPr>
          <w:rFonts w:ascii="Calibri" w:hAnsi="Calibri"/>
          <w:b/>
          <w:smallCaps/>
          <w:color w:val="2E74B5" w:themeColor="accent1" w:themeShade="BF"/>
          <w:sz w:val="24"/>
        </w:rPr>
      </w:pPr>
    </w:p>
    <w:p w14:paraId="14A35046" w14:textId="77777777" w:rsidR="00FE5E9A" w:rsidRDefault="00FE5E9A" w:rsidP="00FE5E9A">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584B3B82" w14:textId="77777777" w:rsidR="00FE5E9A" w:rsidRDefault="00FE5E9A" w:rsidP="00FE5E9A">
      <w:pPr>
        <w:spacing w:after="0" w:line="240" w:lineRule="auto"/>
        <w:jc w:val="both"/>
        <w:rPr>
          <w:rFonts w:cstheme="minorHAnsi"/>
          <w:b/>
          <w:smallCaps/>
        </w:rPr>
      </w:pPr>
    </w:p>
    <w:tbl>
      <w:tblPr>
        <w:tblStyle w:val="Tableausimple2"/>
        <w:tblW w:w="9070"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1985"/>
        <w:gridCol w:w="1134"/>
        <w:gridCol w:w="991"/>
        <w:gridCol w:w="991"/>
      </w:tblGrid>
      <w:tr w:rsidR="000C58E0" w:rsidRPr="007A2DF0" w14:paraId="6910927C" w14:textId="77777777" w:rsidTr="004E68CF">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969" w:type="dxa"/>
            <w:tcBorders>
              <w:top w:val="single" w:sz="18" w:space="0" w:color="5B9BD5" w:themeColor="accent1"/>
              <w:bottom w:val="single" w:sz="18" w:space="0" w:color="5B9BD5" w:themeColor="accent1"/>
            </w:tcBorders>
            <w:noWrap/>
          </w:tcPr>
          <w:p w14:paraId="510EA083" w14:textId="77777777" w:rsidR="000C58E0" w:rsidRPr="000502C3" w:rsidRDefault="000C58E0" w:rsidP="000C58E0">
            <w:pPr>
              <w:rPr>
                <w:rFonts w:ascii="Calibri" w:eastAsia="Times New Roman" w:hAnsi="Calibri" w:cs="Calibri"/>
                <w:b w:val="0"/>
                <w:i/>
                <w:sz w:val="18"/>
                <w:szCs w:val="18"/>
                <w:lang w:eastAsia="fr-FR"/>
              </w:rPr>
            </w:pPr>
          </w:p>
        </w:tc>
        <w:tc>
          <w:tcPr>
            <w:tcW w:w="1985" w:type="dxa"/>
            <w:tcBorders>
              <w:top w:val="single" w:sz="18" w:space="0" w:color="5B9BD5" w:themeColor="accent1"/>
              <w:bottom w:val="single" w:sz="18" w:space="0" w:color="5B9BD5" w:themeColor="accent1"/>
            </w:tcBorders>
            <w:noWrap/>
          </w:tcPr>
          <w:p w14:paraId="3930A459" w14:textId="77777777" w:rsidR="000C58E0" w:rsidRPr="00DD4FC3" w:rsidRDefault="000C58E0" w:rsidP="000C58E0">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1134" w:type="dxa"/>
            <w:tcBorders>
              <w:top w:val="single" w:sz="18" w:space="0" w:color="5B9BD5" w:themeColor="accent1"/>
              <w:bottom w:val="single" w:sz="18" w:space="0" w:color="5B9BD5" w:themeColor="accent1"/>
              <w:right w:val="single" w:sz="2" w:space="0" w:color="5B9BD5" w:themeColor="accent1"/>
            </w:tcBorders>
            <w:shd w:val="clear" w:color="auto" w:fill="A6A6A6" w:themeFill="background1" w:themeFillShade="A6"/>
            <w:noWrap/>
          </w:tcPr>
          <w:p w14:paraId="1A1DAD3F" w14:textId="29891315" w:rsidR="000C58E0" w:rsidRPr="000502C3" w:rsidRDefault="000C58E0" w:rsidP="000C58E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991"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F8C053A" w14:textId="313E53A5" w:rsidR="000C58E0" w:rsidRPr="000502C3" w:rsidRDefault="000C58E0" w:rsidP="000C58E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991" w:type="dxa"/>
            <w:tcBorders>
              <w:top w:val="single" w:sz="18" w:space="0" w:color="5B9BD5" w:themeColor="accent1"/>
              <w:left w:val="single" w:sz="2" w:space="0" w:color="5B9BD5" w:themeColor="accent1"/>
              <w:bottom w:val="single" w:sz="18" w:space="0" w:color="5B9BD5" w:themeColor="accent1"/>
            </w:tcBorders>
            <w:shd w:val="solid" w:color="FFFFFF" w:fill="000000"/>
          </w:tcPr>
          <w:p w14:paraId="3F1BA5F3" w14:textId="77777777" w:rsidR="000C58E0" w:rsidRDefault="000C58E0" w:rsidP="000C58E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39B17CE1" w14:textId="22BA4048" w:rsidR="000C58E0" w:rsidRPr="000502C3" w:rsidRDefault="000C58E0" w:rsidP="000C58E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Pr>
                <w:rFonts w:cstheme="minorHAnsi"/>
                <w:sz w:val="14"/>
                <w:szCs w:val="18"/>
              </w:rPr>
              <w:t>euros</w:t>
            </w:r>
            <w:proofErr w:type="gramEnd"/>
          </w:p>
        </w:tc>
      </w:tr>
      <w:tr w:rsidR="000C58E0" w:rsidRPr="007A2DF0" w14:paraId="68FDA561" w14:textId="102C4656" w:rsidTr="000C58E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969" w:type="dxa"/>
            <w:tcBorders>
              <w:top w:val="single" w:sz="18" w:space="0" w:color="5B9BD5" w:themeColor="accent1"/>
            </w:tcBorders>
            <w:noWrap/>
            <w:hideMark/>
          </w:tcPr>
          <w:p w14:paraId="68AB4312" w14:textId="42D2E4EB" w:rsidR="000C58E0" w:rsidRPr="000502C3" w:rsidRDefault="000C58E0" w:rsidP="00EC4F18">
            <w:pPr>
              <w:rPr>
                <w:rFonts w:ascii="Calibri" w:eastAsia="Times New Roman" w:hAnsi="Calibri" w:cs="Calibri"/>
                <w:b w:val="0"/>
                <w:i/>
                <w:sz w:val="18"/>
                <w:szCs w:val="18"/>
                <w:lang w:eastAsia="fr-FR"/>
              </w:rPr>
            </w:pPr>
            <w:r w:rsidRPr="000502C3">
              <w:rPr>
                <w:rFonts w:ascii="Calibri" w:eastAsia="Times New Roman" w:hAnsi="Calibri" w:cs="Calibri"/>
                <w:b w:val="0"/>
                <w:i/>
                <w:sz w:val="18"/>
                <w:szCs w:val="18"/>
                <w:lang w:eastAsia="fr-FR"/>
              </w:rPr>
              <w:t>Volume de rejets reçus</w:t>
            </w:r>
          </w:p>
        </w:tc>
        <w:tc>
          <w:tcPr>
            <w:tcW w:w="1985" w:type="dxa"/>
            <w:tcBorders>
              <w:top w:val="single" w:sz="18" w:space="0" w:color="5B9BD5" w:themeColor="accent1"/>
            </w:tcBorders>
            <w:noWrap/>
            <w:hideMark/>
          </w:tcPr>
          <w:p w14:paraId="0D38E8A0" w14:textId="2FA4D387" w:rsidR="000C58E0" w:rsidRPr="002262D6" w:rsidRDefault="000C58E0" w:rsidP="00DD4FC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2262D6">
              <w:rPr>
                <w:rFonts w:ascii="Calibri" w:eastAsia="Times New Roman" w:hAnsi="Calibri" w:cs="Calibri"/>
                <w:sz w:val="18"/>
                <w:szCs w:val="18"/>
                <w:lang w:eastAsia="fr-FR"/>
              </w:rPr>
              <w:t>Opérations 560.</w:t>
            </w:r>
          </w:p>
        </w:tc>
        <w:tc>
          <w:tcPr>
            <w:tcW w:w="1134" w:type="dxa"/>
            <w:vMerge w:val="restart"/>
            <w:tcBorders>
              <w:top w:val="single" w:sz="18" w:space="0" w:color="5B9BD5" w:themeColor="accent1"/>
            </w:tcBorders>
            <w:shd w:val="clear" w:color="auto" w:fill="A6A6A6" w:themeFill="background1" w:themeFillShade="A6"/>
            <w:noWrap/>
          </w:tcPr>
          <w:p w14:paraId="5B4108DB" w14:textId="2D7D3E59"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91" w:type="dxa"/>
            <w:tcBorders>
              <w:top w:val="single" w:sz="18" w:space="0" w:color="5B9BD5" w:themeColor="accent1"/>
            </w:tcBorders>
          </w:tcPr>
          <w:p w14:paraId="7FC8CB7D" w14:textId="77777777"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91" w:type="dxa"/>
            <w:vMerge w:val="restart"/>
            <w:tcBorders>
              <w:top w:val="single" w:sz="18" w:space="0" w:color="5B9BD5" w:themeColor="accent1"/>
            </w:tcBorders>
            <w:shd w:val="clear" w:color="auto" w:fill="A6A6A6" w:themeFill="background1" w:themeFillShade="A6"/>
          </w:tcPr>
          <w:p w14:paraId="0D9319ED" w14:textId="77777777"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0C58E0" w:rsidRPr="007A2DF0" w14:paraId="44319788" w14:textId="5F5653EA" w:rsidTr="000C58E0">
        <w:trPr>
          <w:trHeight w:val="264"/>
        </w:trPr>
        <w:tc>
          <w:tcPr>
            <w:cnfStyle w:val="001000000000" w:firstRow="0" w:lastRow="0" w:firstColumn="1" w:lastColumn="0" w:oddVBand="0" w:evenVBand="0" w:oddHBand="0" w:evenHBand="0" w:firstRowFirstColumn="0" w:firstRowLastColumn="0" w:lastRowFirstColumn="0" w:lastRowLastColumn="0"/>
            <w:tcW w:w="3969" w:type="dxa"/>
            <w:noWrap/>
            <w:hideMark/>
          </w:tcPr>
          <w:p w14:paraId="65BE62B0" w14:textId="6153B8CF" w:rsidR="000C58E0" w:rsidRPr="000502C3" w:rsidRDefault="000C58E0" w:rsidP="00EC4F18">
            <w:pPr>
              <w:rPr>
                <w:rFonts w:ascii="Calibri" w:eastAsia="Times New Roman" w:hAnsi="Calibri" w:cs="Calibri"/>
                <w:b w:val="0"/>
                <w:i/>
                <w:sz w:val="18"/>
                <w:szCs w:val="18"/>
                <w:lang w:eastAsia="fr-FR"/>
              </w:rPr>
            </w:pPr>
            <w:r w:rsidRPr="000502C3">
              <w:rPr>
                <w:rFonts w:ascii="Calibri" w:eastAsia="Times New Roman" w:hAnsi="Calibri" w:cs="Calibri"/>
                <w:b w:val="0"/>
                <w:i/>
                <w:sz w:val="18"/>
                <w:szCs w:val="18"/>
                <w:lang w:eastAsia="fr-FR"/>
              </w:rPr>
              <w:t>Volume d'annulations émises</w:t>
            </w:r>
          </w:p>
        </w:tc>
        <w:tc>
          <w:tcPr>
            <w:tcW w:w="1985" w:type="dxa"/>
            <w:noWrap/>
            <w:hideMark/>
          </w:tcPr>
          <w:p w14:paraId="53DCDBB8" w14:textId="63E5C413" w:rsidR="000C58E0" w:rsidRPr="00DD4FC3" w:rsidRDefault="000C58E0" w:rsidP="00DD4FC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Opérations 420.</w:t>
            </w:r>
          </w:p>
        </w:tc>
        <w:tc>
          <w:tcPr>
            <w:tcW w:w="1134" w:type="dxa"/>
            <w:vMerge/>
            <w:shd w:val="clear" w:color="auto" w:fill="A6A6A6" w:themeFill="background1" w:themeFillShade="A6"/>
            <w:noWrap/>
          </w:tcPr>
          <w:p w14:paraId="5AE5FD41" w14:textId="38CD9C9F"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1" w:type="dxa"/>
          </w:tcPr>
          <w:p w14:paraId="34919829" w14:textId="77777777"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1" w:type="dxa"/>
            <w:vMerge/>
            <w:shd w:val="clear" w:color="auto" w:fill="A6A6A6" w:themeFill="background1" w:themeFillShade="A6"/>
          </w:tcPr>
          <w:p w14:paraId="0DDE2867" w14:textId="77777777"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C58E0" w:rsidRPr="007A2DF0" w14:paraId="596FF70D" w14:textId="1EC0BC94" w:rsidTr="000C58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3D8F0BFB" w14:textId="009FF5CE" w:rsidR="000C58E0" w:rsidRPr="000502C3" w:rsidRDefault="000C58E0" w:rsidP="00EC4F18">
            <w:pPr>
              <w:rPr>
                <w:rFonts w:ascii="Calibri" w:eastAsia="Times New Roman" w:hAnsi="Calibri" w:cs="Calibri"/>
                <w:b w:val="0"/>
                <w:i/>
                <w:sz w:val="18"/>
                <w:szCs w:val="18"/>
                <w:lang w:eastAsia="fr-FR"/>
              </w:rPr>
            </w:pPr>
            <w:r w:rsidRPr="000502C3">
              <w:rPr>
                <w:rFonts w:ascii="Calibri" w:eastAsia="Times New Roman" w:hAnsi="Calibri" w:cs="Calibri"/>
                <w:b w:val="0"/>
                <w:i/>
                <w:sz w:val="18"/>
                <w:szCs w:val="18"/>
                <w:lang w:eastAsia="fr-FR"/>
              </w:rPr>
              <w:t>Volume IC5 émis</w:t>
            </w:r>
          </w:p>
        </w:tc>
        <w:tc>
          <w:tcPr>
            <w:tcW w:w="1985" w:type="dxa"/>
            <w:noWrap/>
          </w:tcPr>
          <w:p w14:paraId="33CB7247" w14:textId="13A59EB4" w:rsidR="000C58E0" w:rsidRPr="00DD4FC3" w:rsidRDefault="000C58E0" w:rsidP="00DD4FC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vMerge/>
            <w:shd w:val="clear" w:color="auto" w:fill="A6A6A6" w:themeFill="background1" w:themeFillShade="A6"/>
            <w:noWrap/>
          </w:tcPr>
          <w:p w14:paraId="1EEBDC52" w14:textId="42FE53C2"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1" w:type="dxa"/>
          </w:tcPr>
          <w:p w14:paraId="6C93CFC1" w14:textId="77777777"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1" w:type="dxa"/>
            <w:vMerge/>
            <w:shd w:val="clear" w:color="auto" w:fill="A6A6A6" w:themeFill="background1" w:themeFillShade="A6"/>
          </w:tcPr>
          <w:p w14:paraId="630F4657" w14:textId="77777777"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C58E0" w:rsidRPr="007A2DF0" w14:paraId="19A6E71C" w14:textId="5C0A69DF" w:rsidTr="000C58E0">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37658F94" w14:textId="53C62214" w:rsidR="000C58E0" w:rsidRPr="000502C3" w:rsidRDefault="000C58E0" w:rsidP="00EC4F18">
            <w:pPr>
              <w:rPr>
                <w:rFonts w:ascii="Calibri" w:eastAsia="Times New Roman" w:hAnsi="Calibri" w:cs="Calibri"/>
                <w:b w:val="0"/>
                <w:i/>
                <w:sz w:val="18"/>
                <w:szCs w:val="18"/>
                <w:lang w:eastAsia="fr-FR"/>
              </w:rPr>
            </w:pPr>
            <w:r w:rsidRPr="000502C3">
              <w:rPr>
                <w:rFonts w:ascii="Calibri" w:eastAsia="Times New Roman" w:hAnsi="Calibri" w:cs="Calibri"/>
                <w:b w:val="0"/>
                <w:i/>
                <w:sz w:val="18"/>
                <w:szCs w:val="18"/>
                <w:lang w:eastAsia="fr-FR"/>
              </w:rPr>
              <w:t>Volume IC5 reçus</w:t>
            </w:r>
          </w:p>
        </w:tc>
        <w:tc>
          <w:tcPr>
            <w:tcW w:w="1985" w:type="dxa"/>
            <w:noWrap/>
          </w:tcPr>
          <w:p w14:paraId="4E420325" w14:textId="73163191" w:rsidR="000C58E0" w:rsidRPr="00DD4FC3" w:rsidRDefault="000C58E0" w:rsidP="00DD4FC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vMerge/>
            <w:shd w:val="clear" w:color="auto" w:fill="A6A6A6" w:themeFill="background1" w:themeFillShade="A6"/>
            <w:noWrap/>
          </w:tcPr>
          <w:p w14:paraId="557F8F3C" w14:textId="31E004B5"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1" w:type="dxa"/>
          </w:tcPr>
          <w:p w14:paraId="7FEC3E3F" w14:textId="77777777"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1" w:type="dxa"/>
            <w:vMerge/>
            <w:shd w:val="clear" w:color="auto" w:fill="A6A6A6" w:themeFill="background1" w:themeFillShade="A6"/>
          </w:tcPr>
          <w:p w14:paraId="168C69EE" w14:textId="77777777"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C58E0" w:rsidRPr="007A2DF0" w14:paraId="71A702FD" w14:textId="23C881BD" w:rsidTr="000C58E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969" w:type="dxa"/>
            <w:noWrap/>
            <w:hideMark/>
          </w:tcPr>
          <w:p w14:paraId="32FCEFBE" w14:textId="3578772C" w:rsidR="000C58E0" w:rsidRPr="000502C3" w:rsidRDefault="000C58E0" w:rsidP="00EC4F18">
            <w:pPr>
              <w:rPr>
                <w:rFonts w:ascii="Calibri" w:eastAsia="Times New Roman" w:hAnsi="Calibri" w:cs="Calibri"/>
                <w:b w:val="0"/>
                <w:i/>
                <w:sz w:val="18"/>
                <w:szCs w:val="18"/>
                <w:lang w:eastAsia="fr-FR"/>
              </w:rPr>
            </w:pPr>
            <w:r w:rsidRPr="000502C3">
              <w:rPr>
                <w:rFonts w:ascii="Calibri" w:eastAsia="Times New Roman" w:hAnsi="Calibri" w:cs="Calibri"/>
                <w:b w:val="0"/>
                <w:i/>
                <w:sz w:val="18"/>
                <w:szCs w:val="18"/>
                <w:lang w:eastAsia="fr-FR"/>
              </w:rPr>
              <w:t>Volume « lettres de garantie » émis</w:t>
            </w:r>
          </w:p>
        </w:tc>
        <w:tc>
          <w:tcPr>
            <w:tcW w:w="1985" w:type="dxa"/>
            <w:noWrap/>
          </w:tcPr>
          <w:p w14:paraId="2C862C4F" w14:textId="6980913F" w:rsidR="000C58E0" w:rsidRPr="00DD4FC3" w:rsidRDefault="000C58E0" w:rsidP="00DD4FC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vMerge/>
            <w:shd w:val="clear" w:color="auto" w:fill="A6A6A6" w:themeFill="background1" w:themeFillShade="A6"/>
            <w:noWrap/>
          </w:tcPr>
          <w:p w14:paraId="325E95D6" w14:textId="7A215550"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1" w:type="dxa"/>
          </w:tcPr>
          <w:p w14:paraId="6168944F" w14:textId="77777777"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1" w:type="dxa"/>
            <w:vMerge/>
            <w:shd w:val="clear" w:color="auto" w:fill="A6A6A6" w:themeFill="background1" w:themeFillShade="A6"/>
          </w:tcPr>
          <w:p w14:paraId="5E2604ED" w14:textId="77777777"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C58E0" w:rsidRPr="007A2DF0" w14:paraId="0106ABE5" w14:textId="7397ED0F" w:rsidTr="000C58E0">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2F2A925B" w14:textId="04511BEC" w:rsidR="000C58E0" w:rsidRPr="000502C3" w:rsidRDefault="000C58E0" w:rsidP="00DD4FC3">
            <w:pPr>
              <w:rPr>
                <w:rFonts w:ascii="Calibri" w:eastAsia="Times New Roman" w:hAnsi="Calibri" w:cs="Calibri"/>
                <w:b w:val="0"/>
                <w:i/>
                <w:sz w:val="18"/>
                <w:szCs w:val="18"/>
                <w:lang w:eastAsia="fr-FR"/>
              </w:rPr>
            </w:pPr>
            <w:r w:rsidRPr="000502C3">
              <w:rPr>
                <w:rFonts w:ascii="Calibri" w:eastAsia="Times New Roman" w:hAnsi="Calibri" w:cs="Calibri"/>
                <w:b w:val="0"/>
                <w:i/>
                <w:sz w:val="18"/>
                <w:szCs w:val="18"/>
                <w:lang w:eastAsia="fr-FR"/>
              </w:rPr>
              <w:t>Volume « lettres de garantie » reçu</w:t>
            </w:r>
          </w:p>
        </w:tc>
        <w:tc>
          <w:tcPr>
            <w:tcW w:w="1985" w:type="dxa"/>
            <w:noWrap/>
          </w:tcPr>
          <w:p w14:paraId="0F3D7D03" w14:textId="36A8CDC7" w:rsidR="000C58E0" w:rsidRPr="00DD4FC3" w:rsidRDefault="000C58E0" w:rsidP="00DD4FC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vMerge/>
            <w:shd w:val="clear" w:color="auto" w:fill="A6A6A6" w:themeFill="background1" w:themeFillShade="A6"/>
            <w:noWrap/>
          </w:tcPr>
          <w:p w14:paraId="44F1884C" w14:textId="6BD2DBCA"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1" w:type="dxa"/>
          </w:tcPr>
          <w:p w14:paraId="3E200FB0" w14:textId="77777777"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1" w:type="dxa"/>
            <w:vMerge/>
            <w:shd w:val="clear" w:color="auto" w:fill="A6A6A6" w:themeFill="background1" w:themeFillShade="A6"/>
          </w:tcPr>
          <w:p w14:paraId="266E470C" w14:textId="77777777"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71C77AD4" w14:textId="77777777" w:rsidR="00FF5429" w:rsidRDefault="00FF5429" w:rsidP="00FF5429">
      <w:pPr>
        <w:pStyle w:val="Paragraphedeliste"/>
        <w:autoSpaceDE w:val="0"/>
        <w:autoSpaceDN w:val="0"/>
        <w:adjustRightInd w:val="0"/>
        <w:spacing w:after="0" w:line="240" w:lineRule="auto"/>
        <w:jc w:val="both"/>
        <w:rPr>
          <w:rFonts w:cstheme="minorHAnsi"/>
        </w:rPr>
      </w:pPr>
    </w:p>
    <w:p w14:paraId="7A72D8C7" w14:textId="77777777" w:rsidR="00FF5429" w:rsidRPr="00466BF2" w:rsidRDefault="00FF5429" w:rsidP="00FF5429">
      <w:pPr>
        <w:pStyle w:val="Paragraphedeliste"/>
        <w:autoSpaceDE w:val="0"/>
        <w:autoSpaceDN w:val="0"/>
        <w:adjustRightInd w:val="0"/>
        <w:spacing w:after="0" w:line="240" w:lineRule="auto"/>
        <w:jc w:val="both"/>
        <w:rPr>
          <w:rFonts w:cstheme="minorHAnsi"/>
        </w:rPr>
      </w:pPr>
    </w:p>
    <w:p w14:paraId="2D078A05" w14:textId="0107EBFD" w:rsidR="005A0EE0" w:rsidRPr="006B400E" w:rsidRDefault="005A0EE0" w:rsidP="007718A3">
      <w:pPr>
        <w:pStyle w:val="Titre3"/>
        <w:numPr>
          <w:ilvl w:val="2"/>
          <w:numId w:val="38"/>
        </w:numPr>
        <w:jc w:val="both"/>
      </w:pPr>
      <w:bookmarkStart w:id="64" w:name="_Toc222476894"/>
      <w:r w:rsidRPr="006B400E">
        <w:t>Commentaires sur les chèques</w:t>
      </w:r>
      <w:bookmarkEnd w:id="64"/>
    </w:p>
    <w:p w14:paraId="5E335FD8" w14:textId="77777777" w:rsidR="005A0EE0" w:rsidRDefault="005A0EE0" w:rsidP="005A0EE0">
      <w:pPr>
        <w:spacing w:after="0" w:line="240" w:lineRule="auto"/>
        <w:jc w:val="both"/>
        <w:rPr>
          <w:rFonts w:ascii="Calibri" w:eastAsia="Times New Roman" w:hAnsi="Calibri" w:cs="Calibri"/>
          <w:b/>
          <w:smallCaps/>
          <w:sz w:val="28"/>
          <w:szCs w:val="28"/>
          <w:lang w:eastAsia="fr-FR"/>
        </w:rPr>
      </w:pPr>
    </w:p>
    <w:p w14:paraId="73F0B8D5"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27F4FF76" w14:textId="77777777" w:rsidR="005A0EE0" w:rsidRPr="005A0EE0" w:rsidRDefault="005A0EE0" w:rsidP="005A0EE0">
      <w:pPr>
        <w:spacing w:after="0" w:line="240" w:lineRule="auto"/>
        <w:jc w:val="both"/>
        <w:rPr>
          <w:rFonts w:ascii="Calibri" w:eastAsia="Times New Roman" w:hAnsi="Calibri" w:cs="Calibri"/>
          <w:b/>
          <w:smallCaps/>
          <w:sz w:val="28"/>
          <w:szCs w:val="28"/>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103"/>
      </w:tblGrid>
      <w:tr w:rsidR="000C58E0" w:rsidRPr="000502C3" w14:paraId="1382CACD" w14:textId="77777777" w:rsidTr="004E68CF">
        <w:trPr>
          <w:cnfStyle w:val="100000000000" w:firstRow="1" w:lastRow="0" w:firstColumn="0" w:lastColumn="0" w:oddVBand="0" w:evenVBand="0" w:oddHBand="0"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3969" w:type="dxa"/>
            <w:tcBorders>
              <w:bottom w:val="none" w:sz="0" w:space="0" w:color="auto"/>
            </w:tcBorders>
            <w:noWrap/>
          </w:tcPr>
          <w:p w14:paraId="0C72A166" w14:textId="77777777" w:rsidR="000C58E0" w:rsidRDefault="000C58E0" w:rsidP="00EC4F18">
            <w:pPr>
              <w:rPr>
                <w:rFonts w:ascii="Calibri" w:eastAsia="Times New Roman" w:hAnsi="Calibri" w:cs="Calibri"/>
                <w:i/>
                <w:sz w:val="18"/>
                <w:szCs w:val="18"/>
                <w:lang w:eastAsia="fr-FR"/>
              </w:rPr>
            </w:pPr>
          </w:p>
          <w:p w14:paraId="218D7445" w14:textId="04EB291B" w:rsidR="000C58E0" w:rsidRPr="000502C3" w:rsidRDefault="000C58E0" w:rsidP="00EC4F18">
            <w:pPr>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Commentaires sur l'activité en volume et valeur des chèques</w:t>
            </w:r>
          </w:p>
          <w:p w14:paraId="73F396AD" w14:textId="78DBC124" w:rsidR="000C58E0" w:rsidRPr="000502C3" w:rsidRDefault="000C58E0" w:rsidP="00EC4F18">
            <w:pPr>
              <w:rPr>
                <w:rFonts w:ascii="Calibri" w:eastAsia="Times New Roman" w:hAnsi="Calibri" w:cs="Calibri"/>
                <w:i/>
                <w:sz w:val="18"/>
                <w:szCs w:val="18"/>
                <w:lang w:eastAsia="fr-FR"/>
              </w:rPr>
            </w:pPr>
          </w:p>
        </w:tc>
        <w:tc>
          <w:tcPr>
            <w:tcW w:w="5103" w:type="dxa"/>
            <w:tcBorders>
              <w:bottom w:val="none" w:sz="0" w:space="0" w:color="auto"/>
            </w:tcBorders>
            <w:noWrap/>
          </w:tcPr>
          <w:p w14:paraId="09CCDE8F" w14:textId="10728C9D" w:rsidR="000C58E0" w:rsidRPr="000502C3" w:rsidRDefault="000C58E0" w:rsidP="000502C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6B8B6504" w14:textId="5DAF3081" w:rsidR="005A0EE0" w:rsidRDefault="005A0EE0">
      <w:pPr>
        <w:rPr>
          <w:rFonts w:ascii="Calibri" w:eastAsia="Times New Roman" w:hAnsi="Calibri" w:cs="Calibri"/>
          <w:i/>
          <w:sz w:val="20"/>
          <w:szCs w:val="20"/>
          <w:lang w:eastAsia="fr-FR"/>
        </w:rPr>
      </w:pPr>
    </w:p>
    <w:p w14:paraId="5CFB533F" w14:textId="13CEAFDC" w:rsidR="005A0EE0" w:rsidRPr="006B400E" w:rsidRDefault="005A0EE0" w:rsidP="007718A3">
      <w:pPr>
        <w:pStyle w:val="Titre2"/>
        <w:numPr>
          <w:ilvl w:val="1"/>
          <w:numId w:val="38"/>
        </w:numPr>
      </w:pPr>
      <w:bookmarkStart w:id="65" w:name="_Toc222476895"/>
      <w:r w:rsidRPr="006B400E">
        <w:t>L</w:t>
      </w:r>
      <w:r w:rsidR="002A39D9" w:rsidRPr="006B400E">
        <w:t>ettres de change relevé (L</w:t>
      </w:r>
      <w:r w:rsidRPr="006B400E">
        <w:t>CR</w:t>
      </w:r>
      <w:r w:rsidR="002A39D9" w:rsidRPr="006B400E">
        <w:t>)</w:t>
      </w:r>
      <w:r w:rsidRPr="006B400E">
        <w:t xml:space="preserve"> </w:t>
      </w:r>
      <w:r w:rsidR="00A82945" w:rsidRPr="006B400E">
        <w:t>–</w:t>
      </w:r>
      <w:r w:rsidRPr="006B400E">
        <w:t xml:space="preserve"> </w:t>
      </w:r>
      <w:r w:rsidR="002A39D9" w:rsidRPr="006B400E">
        <w:t xml:space="preserve">Billets à ordre </w:t>
      </w:r>
      <w:r w:rsidR="00824654">
        <w:t>(</w:t>
      </w:r>
      <w:r w:rsidRPr="006B400E">
        <w:t>BOR</w:t>
      </w:r>
      <w:r w:rsidR="00824654">
        <w:t>)</w:t>
      </w:r>
      <w:bookmarkEnd w:id="65"/>
    </w:p>
    <w:p w14:paraId="0DA5640D" w14:textId="172AC7A8" w:rsidR="00A82945" w:rsidRDefault="00A82945" w:rsidP="005A0EE0">
      <w:pPr>
        <w:spacing w:after="0" w:line="240" w:lineRule="auto"/>
        <w:jc w:val="both"/>
        <w:rPr>
          <w:rFonts w:ascii="Calibri" w:eastAsia="Times New Roman" w:hAnsi="Calibri" w:cs="Calibri"/>
          <w:b/>
          <w:smallCaps/>
          <w:sz w:val="28"/>
          <w:szCs w:val="28"/>
          <w:lang w:eastAsia="fr-FR"/>
        </w:rPr>
      </w:pPr>
    </w:p>
    <w:p w14:paraId="5F3A2E81" w14:textId="4C71F72A" w:rsidR="00A82945" w:rsidRDefault="00A82945" w:rsidP="005A0EE0">
      <w:pPr>
        <w:spacing w:after="0" w:line="240" w:lineRule="auto"/>
        <w:jc w:val="both"/>
        <w:rPr>
          <w:rFonts w:cstheme="minorHAnsi"/>
        </w:rPr>
      </w:pPr>
      <w:r>
        <w:rPr>
          <w:rFonts w:cstheme="minorHAnsi"/>
        </w:rPr>
        <w:t>I</w:t>
      </w:r>
      <w:r w:rsidRPr="006A1B3D">
        <w:rPr>
          <w:rFonts w:cstheme="minorHAnsi"/>
        </w:rPr>
        <w:t>l s’</w:t>
      </w:r>
      <w:r>
        <w:rPr>
          <w:rFonts w:cstheme="minorHAnsi"/>
        </w:rPr>
        <w:t xml:space="preserve">agit de déclarer, en volume et valeur, les </w:t>
      </w:r>
      <w:r w:rsidR="0022186E">
        <w:rPr>
          <w:rFonts w:cstheme="minorHAnsi"/>
        </w:rPr>
        <w:t>effets émis et reçus par l’établissement en retenant la date de règlement (et non la date de remise par le client).</w:t>
      </w:r>
    </w:p>
    <w:p w14:paraId="72776AB5" w14:textId="6A459BF6" w:rsidR="001A3851" w:rsidRDefault="001A3851" w:rsidP="005A0EE0">
      <w:pPr>
        <w:spacing w:after="0" w:line="240" w:lineRule="auto"/>
        <w:jc w:val="both"/>
        <w:rPr>
          <w:rFonts w:cstheme="minorHAnsi"/>
        </w:rPr>
      </w:pPr>
    </w:p>
    <w:p w14:paraId="099AB7F5" w14:textId="6B20111E" w:rsidR="001A3851" w:rsidRDefault="001A3851" w:rsidP="005A0EE0">
      <w:pPr>
        <w:spacing w:after="0" w:line="240" w:lineRule="auto"/>
        <w:jc w:val="both"/>
        <w:rPr>
          <w:rFonts w:cstheme="minorHAnsi"/>
        </w:rPr>
      </w:pPr>
      <w:r>
        <w:rPr>
          <w:rFonts w:cstheme="minorHAnsi"/>
          <w:u w:val="single"/>
        </w:rPr>
        <w:t>Remarque</w:t>
      </w:r>
      <w:r w:rsidRPr="00A675AF">
        <w:rPr>
          <w:rFonts w:cstheme="minorHAnsi"/>
        </w:rPr>
        <w:t> :</w:t>
      </w:r>
    </w:p>
    <w:p w14:paraId="483D8EA7" w14:textId="77777777" w:rsidR="00BC1AB1" w:rsidRDefault="00BC1AB1" w:rsidP="005A0EE0">
      <w:pPr>
        <w:spacing w:after="0" w:line="240" w:lineRule="auto"/>
        <w:jc w:val="both"/>
        <w:rPr>
          <w:rFonts w:cstheme="minorHAnsi"/>
          <w:u w:val="single"/>
        </w:rPr>
      </w:pPr>
    </w:p>
    <w:p w14:paraId="509FBB4F" w14:textId="7FD0BAC5" w:rsidR="001A3851" w:rsidRPr="001A3851" w:rsidRDefault="001A3851" w:rsidP="00594FDC">
      <w:pPr>
        <w:pStyle w:val="Paragraphedeliste"/>
        <w:numPr>
          <w:ilvl w:val="0"/>
          <w:numId w:val="5"/>
        </w:numPr>
        <w:spacing w:after="0" w:line="240" w:lineRule="auto"/>
        <w:ind w:left="357" w:hanging="357"/>
        <w:jc w:val="both"/>
        <w:rPr>
          <w:rFonts w:cstheme="minorHAnsi"/>
        </w:rPr>
      </w:pPr>
      <w:r w:rsidRPr="001A3851">
        <w:rPr>
          <w:rFonts w:cstheme="minorHAnsi"/>
        </w:rPr>
        <w:t xml:space="preserve">Les </w:t>
      </w:r>
      <w:r>
        <w:rPr>
          <w:rFonts w:cstheme="minorHAnsi"/>
        </w:rPr>
        <w:t xml:space="preserve">LCR – BOR </w:t>
      </w:r>
      <w:proofErr w:type="spellStart"/>
      <w:r>
        <w:rPr>
          <w:rFonts w:cstheme="minorHAnsi"/>
        </w:rPr>
        <w:t>intrabancaires</w:t>
      </w:r>
      <w:proofErr w:type="spellEnd"/>
      <w:r>
        <w:rPr>
          <w:rFonts w:cstheme="minorHAnsi"/>
        </w:rPr>
        <w:t xml:space="preserve"> (</w:t>
      </w:r>
      <w:r w:rsidR="00FF5429">
        <w:rPr>
          <w:rFonts w:cstheme="minorHAnsi"/>
        </w:rPr>
        <w:t>c</w:t>
      </w:r>
      <w:r>
        <w:rPr>
          <w:rFonts w:cstheme="minorHAnsi"/>
        </w:rPr>
        <w:t>.</w:t>
      </w:r>
      <w:r w:rsidR="00FF5429">
        <w:rPr>
          <w:rFonts w:cstheme="minorHAnsi"/>
        </w:rPr>
        <w:t>-à-d</w:t>
      </w:r>
      <w:r>
        <w:rPr>
          <w:rFonts w:cstheme="minorHAnsi"/>
        </w:rPr>
        <w:t>. au sein de votre établissement) doivent être déclarés à la fois en émission et en réception.</w:t>
      </w:r>
    </w:p>
    <w:p w14:paraId="075F6692" w14:textId="183C9AEB" w:rsidR="005A0EE0" w:rsidRPr="005A0EE0" w:rsidRDefault="005A0EE0" w:rsidP="005A0EE0">
      <w:pPr>
        <w:spacing w:after="0" w:line="240" w:lineRule="auto"/>
        <w:jc w:val="both"/>
        <w:rPr>
          <w:rFonts w:ascii="Calibri" w:eastAsia="Times New Roman" w:hAnsi="Calibri" w:cs="Calibri"/>
          <w:b/>
          <w:smallCaps/>
          <w:sz w:val="28"/>
          <w:szCs w:val="28"/>
          <w:lang w:eastAsia="fr-FR"/>
        </w:rPr>
      </w:pPr>
    </w:p>
    <w:p w14:paraId="680FF439" w14:textId="3D0904A6" w:rsidR="005A0EE0" w:rsidRPr="006B400E" w:rsidRDefault="002A39D9" w:rsidP="007718A3">
      <w:pPr>
        <w:pStyle w:val="Titre3"/>
        <w:numPr>
          <w:ilvl w:val="2"/>
          <w:numId w:val="38"/>
        </w:numPr>
        <w:jc w:val="both"/>
      </w:pPr>
      <w:bookmarkStart w:id="66" w:name="_Toc222476896"/>
      <w:r w:rsidRPr="006B400E">
        <w:t>LCR – BOR</w:t>
      </w:r>
      <w:r w:rsidR="00E12C03" w:rsidRPr="006B400E">
        <w:t xml:space="preserve"> </w:t>
      </w:r>
      <w:r w:rsidR="005A0EE0" w:rsidRPr="006B400E">
        <w:t>émis par l’établissement</w:t>
      </w:r>
      <w:bookmarkEnd w:id="66"/>
    </w:p>
    <w:p w14:paraId="7BAC01DB" w14:textId="10D02194" w:rsidR="002A39D9" w:rsidRPr="00DD4FC3" w:rsidRDefault="002A39D9" w:rsidP="005A0EE0">
      <w:pPr>
        <w:spacing w:after="0" w:line="240" w:lineRule="auto"/>
        <w:jc w:val="both"/>
        <w:rPr>
          <w:rFonts w:ascii="Calibri" w:eastAsia="Times New Roman" w:hAnsi="Calibri" w:cs="Calibri"/>
          <w:b/>
          <w:smallCaps/>
          <w:sz w:val="24"/>
          <w:szCs w:val="24"/>
          <w:lang w:eastAsia="fr-FR"/>
        </w:rPr>
      </w:pPr>
    </w:p>
    <w:p w14:paraId="1BA4D75A" w14:textId="2A844899" w:rsidR="002A39D9" w:rsidRPr="002A39D9" w:rsidRDefault="002A39D9" w:rsidP="005A0EE0">
      <w:pPr>
        <w:spacing w:after="0" w:line="240" w:lineRule="auto"/>
        <w:jc w:val="both"/>
        <w:rPr>
          <w:rFonts w:cstheme="minorHAnsi"/>
        </w:rPr>
      </w:pPr>
      <w:r w:rsidRPr="00DD4FC3">
        <w:rPr>
          <w:rFonts w:cstheme="minorHAnsi"/>
        </w:rPr>
        <w:lastRenderedPageBreak/>
        <w:t>Il s’agit de déclarer, en volume et valeur, les LCR – BOR effets émis par l’établissement pour le compte de ses clients.</w:t>
      </w:r>
    </w:p>
    <w:p w14:paraId="197C2889" w14:textId="77777777" w:rsidR="005A0EE0" w:rsidRPr="00466BF2" w:rsidRDefault="005A0EE0" w:rsidP="005A0EE0">
      <w:pPr>
        <w:spacing w:after="0" w:line="240" w:lineRule="auto"/>
        <w:jc w:val="both"/>
      </w:pPr>
    </w:p>
    <w:p w14:paraId="74EFBBA3"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2BFE4A96" w14:textId="77777777" w:rsidR="00FE5E9A" w:rsidRPr="005A0EE0" w:rsidRDefault="00FE5E9A" w:rsidP="005A0EE0">
      <w:pPr>
        <w:spacing w:after="0" w:line="240" w:lineRule="auto"/>
        <w:jc w:val="both"/>
        <w:rPr>
          <w:rFonts w:ascii="Calibri" w:eastAsia="Times New Roman" w:hAnsi="Calibri" w:cs="Calibri"/>
          <w:b/>
          <w:smallCaps/>
          <w:sz w:val="28"/>
          <w:szCs w:val="28"/>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2126"/>
        <w:gridCol w:w="1418"/>
        <w:gridCol w:w="1276"/>
        <w:gridCol w:w="1275"/>
      </w:tblGrid>
      <w:tr w:rsidR="0022004E" w:rsidRPr="000502C3" w14:paraId="2601EFC8" w14:textId="77777777" w:rsidTr="0068417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3" w:type="dxa"/>
            <w:gridSpan w:val="2"/>
            <w:tcBorders>
              <w:top w:val="single" w:sz="18" w:space="0" w:color="5B9BD5" w:themeColor="accent1"/>
              <w:bottom w:val="single" w:sz="18" w:space="0" w:color="5B9BD5" w:themeColor="accent1"/>
            </w:tcBorders>
            <w:noWrap/>
          </w:tcPr>
          <w:p w14:paraId="0E4F298B" w14:textId="77777777" w:rsidR="0022004E" w:rsidRPr="001408C3" w:rsidRDefault="0022004E" w:rsidP="0022004E">
            <w:pPr>
              <w:jc w:val="both"/>
              <w:rPr>
                <w:rFonts w:ascii="Calibri" w:eastAsia="Times New Roman" w:hAnsi="Calibri" w:cs="Calibri"/>
                <w:sz w:val="18"/>
                <w:szCs w:val="18"/>
                <w:lang w:eastAsia="fr-FR"/>
              </w:rPr>
            </w:pPr>
          </w:p>
        </w:tc>
        <w:tc>
          <w:tcPr>
            <w:tcW w:w="1418" w:type="dxa"/>
            <w:tcBorders>
              <w:top w:val="single" w:sz="18" w:space="0" w:color="5B9BD5" w:themeColor="accent1"/>
              <w:bottom w:val="single" w:sz="18" w:space="0" w:color="5B9BD5" w:themeColor="accent1"/>
              <w:right w:val="single" w:sz="2" w:space="0" w:color="5B9BD5" w:themeColor="accent1"/>
            </w:tcBorders>
            <w:shd w:val="clear" w:color="auto" w:fill="FFFFFF" w:themeFill="background1"/>
            <w:noWrap/>
          </w:tcPr>
          <w:p w14:paraId="0DF96555" w14:textId="5BE094C4" w:rsidR="0022004E" w:rsidRPr="0068417B" w:rsidRDefault="008E42D7" w:rsidP="0022004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68417B">
              <w:rPr>
                <w:rFonts w:ascii="Calibri" w:eastAsia="Times New Roman" w:hAnsi="Calibri" w:cs="Calibri"/>
                <w:sz w:val="18"/>
                <w:szCs w:val="18"/>
                <w:lang w:eastAsia="fr-FR"/>
              </w:rPr>
              <w:t>Pays du PSP émetteur</w:t>
            </w:r>
          </w:p>
        </w:tc>
        <w:tc>
          <w:tcPr>
            <w:tcW w:w="127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33B12B52" w14:textId="7A2FFAC6" w:rsidR="0022004E" w:rsidRPr="000502C3" w:rsidRDefault="0022004E" w:rsidP="0022004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1275" w:type="dxa"/>
            <w:tcBorders>
              <w:top w:val="single" w:sz="18" w:space="0" w:color="5B9BD5" w:themeColor="accent1"/>
              <w:left w:val="single" w:sz="2" w:space="0" w:color="5B9BD5" w:themeColor="accent1"/>
              <w:bottom w:val="single" w:sz="18" w:space="0" w:color="5B9BD5" w:themeColor="accent1"/>
            </w:tcBorders>
            <w:shd w:val="solid" w:color="FFFFFF" w:fill="000000"/>
          </w:tcPr>
          <w:p w14:paraId="1DB46915" w14:textId="77777777" w:rsidR="0022004E" w:rsidRDefault="0022004E" w:rsidP="002200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2ED7C088" w14:textId="2D300B71" w:rsidR="0022004E" w:rsidRPr="000502C3" w:rsidRDefault="0022004E" w:rsidP="0022004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Pr>
                <w:rFonts w:cstheme="minorHAnsi"/>
                <w:sz w:val="14"/>
                <w:szCs w:val="18"/>
              </w:rPr>
              <w:t>euros</w:t>
            </w:r>
            <w:proofErr w:type="gramEnd"/>
          </w:p>
        </w:tc>
      </w:tr>
      <w:tr w:rsidR="000C58E0" w:rsidRPr="000502C3" w14:paraId="44AA0A4B" w14:textId="13AF5B98" w:rsidTr="006841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tcBorders>
              <w:top w:val="single" w:sz="18" w:space="0" w:color="5B9BD5" w:themeColor="accent1"/>
              <w:bottom w:val="single" w:sz="18" w:space="0" w:color="5B9BD5" w:themeColor="accent1"/>
            </w:tcBorders>
            <w:noWrap/>
            <w:hideMark/>
          </w:tcPr>
          <w:p w14:paraId="0ADB51EE" w14:textId="77777777" w:rsidR="009E4511" w:rsidRDefault="009E4511">
            <w:pPr>
              <w:rPr>
                <w:rFonts w:ascii="Calibri" w:eastAsia="Times New Roman" w:hAnsi="Calibri" w:cs="Calibri"/>
                <w:i/>
                <w:sz w:val="18"/>
                <w:szCs w:val="18"/>
                <w:lang w:eastAsia="fr-FR"/>
              </w:rPr>
            </w:pPr>
          </w:p>
          <w:p w14:paraId="5AFCD21E" w14:textId="77777777" w:rsidR="000C58E0" w:rsidRDefault="000C58E0">
            <w:pPr>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LCR et BOR émis</w:t>
            </w:r>
            <w:r>
              <w:rPr>
                <w:rFonts w:ascii="Calibri" w:eastAsia="Times New Roman" w:hAnsi="Calibri" w:cs="Calibri"/>
                <w:i/>
                <w:sz w:val="18"/>
                <w:szCs w:val="18"/>
                <w:lang w:eastAsia="fr-FR"/>
              </w:rPr>
              <w:t xml:space="preserve"> </w:t>
            </w:r>
            <w:r w:rsidRPr="000502C3">
              <w:rPr>
                <w:rFonts w:ascii="Calibri" w:eastAsia="Times New Roman" w:hAnsi="Calibri" w:cs="Calibri"/>
                <w:i/>
                <w:sz w:val="18"/>
                <w:szCs w:val="18"/>
                <w:lang w:eastAsia="fr-FR"/>
              </w:rPr>
              <w:t>par l’établissement</w:t>
            </w:r>
          </w:p>
          <w:p w14:paraId="6417DCE3" w14:textId="5E576CFB" w:rsidR="009E4511" w:rsidRPr="000502C3" w:rsidRDefault="009E4511">
            <w:pPr>
              <w:rPr>
                <w:rFonts w:ascii="Calibri" w:eastAsia="Times New Roman" w:hAnsi="Calibri" w:cs="Calibri"/>
                <w:i/>
                <w:sz w:val="18"/>
                <w:szCs w:val="18"/>
                <w:lang w:eastAsia="fr-FR"/>
              </w:rPr>
            </w:pPr>
          </w:p>
        </w:tc>
        <w:tc>
          <w:tcPr>
            <w:tcW w:w="2126" w:type="dxa"/>
            <w:tcBorders>
              <w:top w:val="single" w:sz="18" w:space="0" w:color="5B9BD5" w:themeColor="accent1"/>
              <w:bottom w:val="single" w:sz="18" w:space="0" w:color="5B9BD5" w:themeColor="accent1"/>
            </w:tcBorders>
            <w:noWrap/>
          </w:tcPr>
          <w:p w14:paraId="0281EDD3" w14:textId="51171C34" w:rsidR="000C58E0" w:rsidRPr="000502C3" w:rsidRDefault="000C58E0" w:rsidP="00466BF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418" w:type="dxa"/>
            <w:tcBorders>
              <w:top w:val="single" w:sz="18" w:space="0" w:color="5B9BD5" w:themeColor="accent1"/>
              <w:bottom w:val="single" w:sz="18" w:space="0" w:color="5B9BD5" w:themeColor="accent1"/>
            </w:tcBorders>
            <w:shd w:val="clear" w:color="auto" w:fill="FFFFFF" w:themeFill="background1"/>
            <w:noWrap/>
            <w:hideMark/>
          </w:tcPr>
          <w:p w14:paraId="113D7074" w14:textId="77777777" w:rsidR="008E42D7" w:rsidRDefault="008E42D7" w:rsidP="00EC4F1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p w14:paraId="4D8D66B5" w14:textId="35B238E5" w:rsidR="000C58E0" w:rsidRPr="008E42D7" w:rsidRDefault="008E42D7" w:rsidP="00EC4F1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8E42D7">
              <w:rPr>
                <w:rFonts w:ascii="Calibri" w:eastAsia="Times New Roman" w:hAnsi="Calibri" w:cs="Calibri"/>
                <w:sz w:val="18"/>
                <w:szCs w:val="18"/>
                <w:lang w:eastAsia="fr-FR"/>
              </w:rPr>
              <w:t>France</w:t>
            </w:r>
          </w:p>
        </w:tc>
        <w:tc>
          <w:tcPr>
            <w:tcW w:w="1276" w:type="dxa"/>
            <w:tcBorders>
              <w:top w:val="single" w:sz="18" w:space="0" w:color="5B9BD5" w:themeColor="accent1"/>
              <w:bottom w:val="single" w:sz="18" w:space="0" w:color="5B9BD5" w:themeColor="accent1"/>
            </w:tcBorders>
          </w:tcPr>
          <w:p w14:paraId="68442262" w14:textId="77777777" w:rsidR="000C58E0" w:rsidRPr="000502C3" w:rsidRDefault="000C58E0" w:rsidP="00EC4F1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275" w:type="dxa"/>
            <w:tcBorders>
              <w:top w:val="single" w:sz="18" w:space="0" w:color="5B9BD5" w:themeColor="accent1"/>
              <w:bottom w:val="single" w:sz="18" w:space="0" w:color="5B9BD5" w:themeColor="accent1"/>
            </w:tcBorders>
          </w:tcPr>
          <w:p w14:paraId="4959A1E5" w14:textId="77777777" w:rsidR="000C58E0" w:rsidRPr="000502C3" w:rsidRDefault="000C58E0" w:rsidP="00EC4F1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bl>
    <w:p w14:paraId="302789C8" w14:textId="77777777" w:rsidR="00B0114D" w:rsidRPr="00FE5E9A" w:rsidRDefault="00B0114D" w:rsidP="00FE5E9A">
      <w:pPr>
        <w:spacing w:after="0" w:line="240" w:lineRule="auto"/>
        <w:jc w:val="both"/>
        <w:rPr>
          <w:rFonts w:ascii="Calibri" w:eastAsia="Times New Roman" w:hAnsi="Calibri" w:cs="Calibri"/>
          <w:b/>
          <w:smallCaps/>
          <w:color w:val="2E74B5" w:themeColor="accent1" w:themeShade="BF"/>
          <w:sz w:val="24"/>
          <w:szCs w:val="24"/>
          <w:lang w:eastAsia="fr-FR"/>
        </w:rPr>
      </w:pPr>
    </w:p>
    <w:p w14:paraId="72FDE240" w14:textId="77777777" w:rsidR="00B0114D" w:rsidRDefault="00B0114D" w:rsidP="00B0114D">
      <w:pPr>
        <w:pStyle w:val="Paragraphedeliste"/>
        <w:autoSpaceDE w:val="0"/>
        <w:autoSpaceDN w:val="0"/>
        <w:adjustRightInd w:val="0"/>
        <w:spacing w:after="0" w:line="240" w:lineRule="auto"/>
        <w:jc w:val="both"/>
        <w:rPr>
          <w:rFonts w:cstheme="minorHAnsi"/>
        </w:rPr>
      </w:pPr>
    </w:p>
    <w:p w14:paraId="6ABA04DD" w14:textId="660E5C4B" w:rsidR="005A0EE0" w:rsidRPr="006B400E" w:rsidRDefault="005A0EE0" w:rsidP="007718A3">
      <w:pPr>
        <w:pStyle w:val="Titre3"/>
        <w:numPr>
          <w:ilvl w:val="2"/>
          <w:numId w:val="38"/>
        </w:numPr>
        <w:jc w:val="both"/>
      </w:pPr>
      <w:bookmarkStart w:id="67" w:name="_Toc222476897"/>
      <w:r w:rsidRPr="006B400E">
        <w:t xml:space="preserve">LCR-BOR émis </w:t>
      </w:r>
      <w:r w:rsidR="00DD4FC3" w:rsidRPr="006B400E">
        <w:t xml:space="preserve">par l’établissement ventilés </w:t>
      </w:r>
      <w:r w:rsidRPr="006B400E">
        <w:t xml:space="preserve">par </w:t>
      </w:r>
      <w:r w:rsidR="000B4131" w:rsidRPr="006B400E">
        <w:t>canal d’échange</w:t>
      </w:r>
      <w:bookmarkEnd w:id="67"/>
    </w:p>
    <w:p w14:paraId="1E05FDE4" w14:textId="77777777" w:rsidR="002A39D9" w:rsidRPr="00F45FBB" w:rsidRDefault="002A39D9" w:rsidP="005A0EE0">
      <w:pPr>
        <w:spacing w:after="0" w:line="240" w:lineRule="auto"/>
        <w:jc w:val="both"/>
        <w:rPr>
          <w:rFonts w:ascii="Calibri" w:eastAsia="Times New Roman" w:hAnsi="Calibri" w:cs="Calibri"/>
          <w:b/>
          <w:smallCaps/>
          <w:sz w:val="24"/>
          <w:szCs w:val="24"/>
          <w:lang w:eastAsia="fr-FR"/>
        </w:rPr>
      </w:pPr>
    </w:p>
    <w:p w14:paraId="615A0828" w14:textId="5206FE05" w:rsidR="002A39D9" w:rsidRPr="00F45FBB" w:rsidRDefault="002A39D9" w:rsidP="002A39D9">
      <w:pPr>
        <w:spacing w:after="0" w:line="240" w:lineRule="auto"/>
        <w:jc w:val="both"/>
        <w:rPr>
          <w:rFonts w:ascii="Calibri" w:eastAsia="Times New Roman" w:hAnsi="Calibri" w:cs="Calibri"/>
          <w:b/>
          <w:smallCaps/>
          <w:sz w:val="24"/>
          <w:szCs w:val="24"/>
          <w:lang w:eastAsia="fr-FR"/>
        </w:rPr>
      </w:pPr>
      <w:r w:rsidRPr="00C714BD">
        <w:rPr>
          <w:rFonts w:cstheme="minorHAnsi"/>
        </w:rPr>
        <w:t>Il s</w:t>
      </w:r>
      <w:r>
        <w:rPr>
          <w:rFonts w:cstheme="minorHAnsi"/>
        </w:rPr>
        <w:t>’agit de déclarer, en n</w:t>
      </w:r>
      <w:r w:rsidR="00DD4FC3">
        <w:rPr>
          <w:rFonts w:cstheme="minorHAnsi"/>
        </w:rPr>
        <w:t xml:space="preserve">ombre et valeur, les LCR – BOR émis </w:t>
      </w:r>
      <w:r>
        <w:rPr>
          <w:rFonts w:cstheme="minorHAnsi"/>
        </w:rPr>
        <w:t>par l’établissement</w:t>
      </w:r>
      <w:r w:rsidR="007C284C">
        <w:rPr>
          <w:rFonts w:cstheme="minorHAnsi"/>
        </w:rPr>
        <w:t xml:space="preserve"> </w:t>
      </w:r>
      <w:r w:rsidR="00DD4FC3">
        <w:rPr>
          <w:rFonts w:cstheme="minorHAnsi"/>
        </w:rPr>
        <w:t>ventilés par circuit d’échange utilisé pour effectuer le transfert de fonds</w:t>
      </w:r>
      <w:r>
        <w:rPr>
          <w:rFonts w:cstheme="minorHAnsi"/>
        </w:rPr>
        <w:t>.</w:t>
      </w:r>
    </w:p>
    <w:p w14:paraId="7D3E7D4E" w14:textId="77777777" w:rsidR="002A39D9" w:rsidRPr="00466BF2" w:rsidRDefault="002A39D9" w:rsidP="00466BF2">
      <w:pPr>
        <w:spacing w:after="0" w:line="240" w:lineRule="auto"/>
        <w:jc w:val="both"/>
        <w:rPr>
          <w:rFonts w:ascii="Calibri" w:hAnsi="Calibri"/>
          <w:b/>
          <w:smallCaps/>
          <w:color w:val="2E74B5" w:themeColor="accent1" w:themeShade="BF"/>
          <w:sz w:val="24"/>
        </w:rPr>
      </w:pPr>
    </w:p>
    <w:p w14:paraId="0FB82853" w14:textId="77777777" w:rsidR="00FE5E9A" w:rsidRDefault="00FE5E9A" w:rsidP="00FE5E9A">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26EFBA9E" w14:textId="77777777" w:rsidR="00FE5E9A" w:rsidRDefault="00FE5E9A" w:rsidP="00FE5E9A">
      <w:pPr>
        <w:spacing w:after="0" w:line="240" w:lineRule="auto"/>
        <w:jc w:val="both"/>
        <w:rPr>
          <w:rFonts w:cstheme="minorHAnsi"/>
          <w:b/>
          <w:smallCaps/>
        </w:rPr>
      </w:pPr>
    </w:p>
    <w:tbl>
      <w:tblPr>
        <w:tblStyle w:val="Tableausimple2"/>
        <w:tblW w:w="9070" w:type="dxa"/>
        <w:tblLook w:val="04A0" w:firstRow="1" w:lastRow="0" w:firstColumn="1" w:lastColumn="0" w:noHBand="0" w:noVBand="1"/>
      </w:tblPr>
      <w:tblGrid>
        <w:gridCol w:w="271"/>
        <w:gridCol w:w="2706"/>
        <w:gridCol w:w="2977"/>
        <w:gridCol w:w="1276"/>
        <w:gridCol w:w="920"/>
        <w:gridCol w:w="920"/>
      </w:tblGrid>
      <w:tr w:rsidR="0022004E" w:rsidRPr="007A2DF0" w14:paraId="356B6FD6" w14:textId="77777777" w:rsidTr="004E68CF">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954" w:type="dxa"/>
            <w:gridSpan w:val="3"/>
            <w:tcBorders>
              <w:top w:val="single" w:sz="18" w:space="0" w:color="5B9BD5" w:themeColor="accent1"/>
              <w:bottom w:val="single" w:sz="4" w:space="0" w:color="5B9BD5" w:themeColor="accent1"/>
              <w:right w:val="single" w:sz="4" w:space="0" w:color="5B9BD5" w:themeColor="accent1"/>
            </w:tcBorders>
            <w:noWrap/>
          </w:tcPr>
          <w:p w14:paraId="2FD20CA9" w14:textId="77777777" w:rsidR="0022004E" w:rsidRDefault="0022004E" w:rsidP="0022004E">
            <w:pPr>
              <w:jc w:val="both"/>
              <w:rPr>
                <w:rFonts w:ascii="Calibri" w:eastAsia="Times New Roman" w:hAnsi="Calibri" w:cs="Calibri"/>
                <w:b w:val="0"/>
                <w:sz w:val="18"/>
                <w:szCs w:val="18"/>
                <w:lang w:eastAsia="fr-FR"/>
              </w:rPr>
            </w:pPr>
          </w:p>
        </w:tc>
        <w:tc>
          <w:tcPr>
            <w:tcW w:w="1276" w:type="dxa"/>
            <w:tcBorders>
              <w:top w:val="single" w:sz="18" w:space="0" w:color="5B9BD5" w:themeColor="accent1"/>
              <w:bottom w:val="single" w:sz="18" w:space="0" w:color="5B9BD5" w:themeColor="accent1"/>
              <w:right w:val="single" w:sz="2" w:space="0" w:color="5B9BD5" w:themeColor="accent1"/>
            </w:tcBorders>
            <w:shd w:val="clear" w:color="auto" w:fill="A6A6A6" w:themeFill="background1" w:themeFillShade="A6"/>
            <w:noWrap/>
          </w:tcPr>
          <w:p w14:paraId="283C8590" w14:textId="04C6166C" w:rsidR="0022004E" w:rsidRDefault="0022004E" w:rsidP="0022004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920"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34DCBACF" w14:textId="42CD4311" w:rsidR="0022004E" w:rsidRDefault="0022004E" w:rsidP="0022004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920" w:type="dxa"/>
            <w:tcBorders>
              <w:top w:val="single" w:sz="18" w:space="0" w:color="5B9BD5" w:themeColor="accent1"/>
              <w:left w:val="single" w:sz="2" w:space="0" w:color="5B9BD5" w:themeColor="accent1"/>
              <w:bottom w:val="single" w:sz="18" w:space="0" w:color="5B9BD5" w:themeColor="accent1"/>
            </w:tcBorders>
            <w:shd w:val="solid" w:color="FFFFFF" w:fill="000000"/>
          </w:tcPr>
          <w:p w14:paraId="5792C7BA" w14:textId="77777777" w:rsidR="0022004E" w:rsidRDefault="0022004E" w:rsidP="002200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12F75458" w14:textId="350521A2" w:rsidR="0022004E" w:rsidRDefault="0022004E" w:rsidP="0022004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Pr>
                <w:rFonts w:cstheme="minorHAnsi"/>
                <w:sz w:val="14"/>
                <w:szCs w:val="18"/>
              </w:rPr>
              <w:t>euros</w:t>
            </w:r>
            <w:proofErr w:type="gramEnd"/>
          </w:p>
        </w:tc>
      </w:tr>
      <w:tr w:rsidR="0022004E" w:rsidRPr="007A2DF0" w14:paraId="31C6DADD" w14:textId="0D06760D" w:rsidTr="0022004E">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977" w:type="dxa"/>
            <w:gridSpan w:val="2"/>
            <w:tcBorders>
              <w:top w:val="single" w:sz="18" w:space="0" w:color="5B9BD5" w:themeColor="accent1"/>
              <w:bottom w:val="single" w:sz="4" w:space="0" w:color="5B9BD5" w:themeColor="accent1"/>
              <w:right w:val="single" w:sz="4" w:space="0" w:color="5B9BD5" w:themeColor="accent1"/>
            </w:tcBorders>
            <w:noWrap/>
            <w:hideMark/>
          </w:tcPr>
          <w:p w14:paraId="44332B49" w14:textId="5A1FB3BC" w:rsidR="0022004E" w:rsidRPr="000502C3" w:rsidRDefault="0022004E" w:rsidP="000F295D">
            <w:pPr>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Dont transactions interbancaires</w:t>
            </w:r>
          </w:p>
        </w:tc>
        <w:tc>
          <w:tcPr>
            <w:tcW w:w="2977"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7A1077F7" w14:textId="40EC75BB" w:rsidR="0022004E" w:rsidRPr="000502C3" w:rsidRDefault="0022004E" w:rsidP="0050550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
                <w:sz w:val="18"/>
                <w:szCs w:val="18"/>
                <w:lang w:eastAsia="fr-FR"/>
              </w:rPr>
              <w:t>Transferts de fonds effectués via un système de paiement.</w:t>
            </w:r>
          </w:p>
        </w:tc>
        <w:tc>
          <w:tcPr>
            <w:tcW w:w="1276" w:type="dxa"/>
            <w:vMerge w:val="restart"/>
            <w:tcBorders>
              <w:top w:val="single" w:sz="18" w:space="0" w:color="5B9BD5" w:themeColor="accent1"/>
              <w:left w:val="single" w:sz="4" w:space="0" w:color="5B9BD5" w:themeColor="accent1"/>
            </w:tcBorders>
            <w:shd w:val="clear" w:color="auto" w:fill="A6A6A6" w:themeFill="background1" w:themeFillShade="A6"/>
            <w:noWrap/>
          </w:tcPr>
          <w:p w14:paraId="64D746E0" w14:textId="7E6AFEB4" w:rsidR="0022004E" w:rsidRPr="00913741" w:rsidRDefault="0022004E" w:rsidP="000F29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20" w:type="dxa"/>
            <w:tcBorders>
              <w:top w:val="single" w:sz="18" w:space="0" w:color="5B9BD5" w:themeColor="accent1"/>
              <w:left w:val="single" w:sz="4" w:space="0" w:color="5B9BD5" w:themeColor="accent1"/>
              <w:bottom w:val="single" w:sz="4" w:space="0" w:color="5B9BD5" w:themeColor="accent1"/>
            </w:tcBorders>
          </w:tcPr>
          <w:p w14:paraId="41E121A2" w14:textId="77777777" w:rsidR="0022004E" w:rsidRDefault="0022004E" w:rsidP="000F29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20" w:type="dxa"/>
            <w:tcBorders>
              <w:top w:val="single" w:sz="18" w:space="0" w:color="5B9BD5" w:themeColor="accent1"/>
              <w:left w:val="single" w:sz="4" w:space="0" w:color="5B9BD5" w:themeColor="accent1"/>
              <w:bottom w:val="single" w:sz="4" w:space="0" w:color="5B9BD5" w:themeColor="accent1"/>
            </w:tcBorders>
          </w:tcPr>
          <w:p w14:paraId="4BEB809A" w14:textId="77777777" w:rsidR="0022004E" w:rsidRDefault="0022004E" w:rsidP="000F29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22004E" w:rsidRPr="007A2DF0" w14:paraId="4D2330DD" w14:textId="24B17069" w:rsidTr="0022004E">
        <w:trPr>
          <w:trHeight w:val="300"/>
        </w:trPr>
        <w:tc>
          <w:tcPr>
            <w:cnfStyle w:val="001000000000" w:firstRow="0" w:lastRow="0" w:firstColumn="1" w:lastColumn="0" w:oddVBand="0" w:evenVBand="0" w:oddHBand="0" w:evenHBand="0" w:firstRowFirstColumn="0" w:firstRowLastColumn="0" w:lastRowFirstColumn="0" w:lastRowLastColumn="0"/>
            <w:tcW w:w="271" w:type="dxa"/>
            <w:tcBorders>
              <w:top w:val="single" w:sz="4" w:space="0" w:color="5B9BD5" w:themeColor="accent1"/>
              <w:bottom w:val="single" w:sz="4" w:space="0" w:color="5B9BD5" w:themeColor="accent1"/>
              <w:right w:val="single" w:sz="4" w:space="0" w:color="5B9BD5" w:themeColor="accent1"/>
            </w:tcBorders>
            <w:noWrap/>
          </w:tcPr>
          <w:p w14:paraId="34C721CF" w14:textId="0D3F15AE" w:rsidR="0022004E" w:rsidRPr="007A2DF0" w:rsidRDefault="0022004E" w:rsidP="007C284C">
            <w:pPr>
              <w:rPr>
                <w:rFonts w:ascii="Calibri" w:eastAsia="Times New Roman" w:hAnsi="Calibri" w:cs="Calibri"/>
                <w:i/>
                <w:sz w:val="20"/>
                <w:szCs w:val="20"/>
                <w:lang w:eastAsia="fr-FR"/>
              </w:rPr>
            </w:pPr>
          </w:p>
        </w:tc>
        <w:tc>
          <w:tcPr>
            <w:tcW w:w="2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668CDA7" w14:textId="77777777" w:rsidR="0022004E" w:rsidRPr="000502C3" w:rsidRDefault="0022004E" w:rsidP="007C28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Dont STET (CORE/SEPA EU)</w:t>
            </w:r>
          </w:p>
        </w:tc>
        <w:tc>
          <w:tcPr>
            <w:tcW w:w="29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DA65623" w14:textId="49CBFB0D" w:rsidR="0022004E" w:rsidRPr="000502C3" w:rsidRDefault="0022004E" w:rsidP="0050550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Système de paiement de détail implanté en France.</w:t>
            </w:r>
          </w:p>
        </w:tc>
        <w:tc>
          <w:tcPr>
            <w:tcW w:w="1276" w:type="dxa"/>
            <w:vMerge/>
            <w:tcBorders>
              <w:left w:val="single" w:sz="4" w:space="0" w:color="5B9BD5" w:themeColor="accent1"/>
            </w:tcBorders>
            <w:shd w:val="clear" w:color="auto" w:fill="A6A6A6" w:themeFill="background1" w:themeFillShade="A6"/>
            <w:noWrap/>
          </w:tcPr>
          <w:p w14:paraId="414347B8" w14:textId="69BA2D15" w:rsidR="0022004E" w:rsidRPr="000502C3" w:rsidRDefault="0022004E" w:rsidP="007C28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4" w:space="0" w:color="5B9BD5" w:themeColor="accent1"/>
            </w:tcBorders>
          </w:tcPr>
          <w:p w14:paraId="0975561D" w14:textId="77777777" w:rsidR="0022004E" w:rsidRDefault="0022004E" w:rsidP="007C28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4" w:space="0" w:color="5B9BD5" w:themeColor="accent1"/>
            </w:tcBorders>
          </w:tcPr>
          <w:p w14:paraId="4632252A" w14:textId="77777777" w:rsidR="0022004E" w:rsidRDefault="0022004E" w:rsidP="007C28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2004E" w:rsidRPr="007A2DF0" w14:paraId="2F733D88" w14:textId="0CC89EDE" w:rsidTr="002200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1" w:type="dxa"/>
            <w:tcBorders>
              <w:top w:val="single" w:sz="4" w:space="0" w:color="5B9BD5" w:themeColor="accent1"/>
              <w:bottom w:val="single" w:sz="4" w:space="0" w:color="5B9BD5" w:themeColor="accent1"/>
              <w:right w:val="single" w:sz="4" w:space="0" w:color="5B9BD5" w:themeColor="accent1"/>
            </w:tcBorders>
            <w:noWrap/>
          </w:tcPr>
          <w:p w14:paraId="5A167203" w14:textId="482F7AA5" w:rsidR="0022004E" w:rsidRPr="007A2DF0" w:rsidRDefault="0022004E" w:rsidP="007C284C">
            <w:pPr>
              <w:rPr>
                <w:rFonts w:ascii="Calibri" w:eastAsia="Times New Roman" w:hAnsi="Calibri" w:cs="Calibri"/>
                <w:i/>
                <w:sz w:val="20"/>
                <w:szCs w:val="20"/>
                <w:lang w:eastAsia="fr-FR"/>
              </w:rPr>
            </w:pPr>
          </w:p>
        </w:tc>
        <w:tc>
          <w:tcPr>
            <w:tcW w:w="2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2A20D43A" w14:textId="77777777" w:rsidR="0022004E" w:rsidRPr="000502C3" w:rsidRDefault="0022004E" w:rsidP="007C28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Dont autres systèmes</w:t>
            </w:r>
          </w:p>
        </w:tc>
        <w:tc>
          <w:tcPr>
            <w:tcW w:w="29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87A8791" w14:textId="6080DBE3" w:rsidR="0022004E" w:rsidRPr="000502C3" w:rsidRDefault="0022004E" w:rsidP="0050550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276" w:type="dxa"/>
            <w:vMerge/>
            <w:tcBorders>
              <w:left w:val="single" w:sz="4" w:space="0" w:color="5B9BD5" w:themeColor="accent1"/>
            </w:tcBorders>
            <w:shd w:val="clear" w:color="auto" w:fill="A6A6A6" w:themeFill="background1" w:themeFillShade="A6"/>
            <w:noWrap/>
          </w:tcPr>
          <w:p w14:paraId="1FAF9EFE" w14:textId="26607BD6" w:rsidR="0022004E" w:rsidRPr="000502C3" w:rsidRDefault="0022004E" w:rsidP="007C28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4" w:space="0" w:color="5B9BD5" w:themeColor="accent1"/>
            </w:tcBorders>
          </w:tcPr>
          <w:p w14:paraId="2F7728D5" w14:textId="77777777" w:rsidR="0022004E" w:rsidRDefault="0022004E" w:rsidP="007C28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4" w:space="0" w:color="5B9BD5" w:themeColor="accent1"/>
            </w:tcBorders>
          </w:tcPr>
          <w:p w14:paraId="07835FA0" w14:textId="77777777" w:rsidR="0022004E" w:rsidRDefault="0022004E" w:rsidP="007C28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2004E" w:rsidRPr="007A2DF0" w14:paraId="15DE04F3" w14:textId="55F840B6" w:rsidTr="0022004E">
        <w:trPr>
          <w:trHeight w:val="300"/>
        </w:trPr>
        <w:tc>
          <w:tcPr>
            <w:cnfStyle w:val="001000000000" w:firstRow="0" w:lastRow="0" w:firstColumn="1" w:lastColumn="0" w:oddVBand="0" w:evenVBand="0" w:oddHBand="0" w:evenHBand="0" w:firstRowFirstColumn="0" w:firstRowLastColumn="0" w:lastRowFirstColumn="0" w:lastRowLastColumn="0"/>
            <w:tcW w:w="271" w:type="dxa"/>
            <w:tcBorders>
              <w:top w:val="single" w:sz="4" w:space="0" w:color="5B9BD5" w:themeColor="accent1"/>
              <w:bottom w:val="single" w:sz="4" w:space="0" w:color="5B9BD5" w:themeColor="accent1"/>
              <w:right w:val="single" w:sz="4" w:space="0" w:color="5B9BD5" w:themeColor="accent1"/>
            </w:tcBorders>
            <w:noWrap/>
          </w:tcPr>
          <w:p w14:paraId="730C5A47" w14:textId="4A808C66" w:rsidR="0022004E" w:rsidRPr="007A2DF0" w:rsidRDefault="0022004E" w:rsidP="00505507">
            <w:pPr>
              <w:rPr>
                <w:rFonts w:ascii="Calibri" w:eastAsia="Times New Roman" w:hAnsi="Calibri" w:cs="Calibri"/>
                <w:i/>
                <w:sz w:val="20"/>
                <w:szCs w:val="20"/>
                <w:lang w:eastAsia="fr-FR"/>
              </w:rPr>
            </w:pPr>
          </w:p>
        </w:tc>
        <w:tc>
          <w:tcPr>
            <w:tcW w:w="2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3BF047C2" w14:textId="77777777" w:rsidR="0022004E" w:rsidRPr="000502C3" w:rsidRDefault="0022004E"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Dont hors système</w:t>
            </w:r>
          </w:p>
        </w:tc>
        <w:tc>
          <w:tcPr>
            <w:tcW w:w="29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BFDC1F5" w14:textId="40970556" w:rsidR="0022004E" w:rsidRPr="000502C3" w:rsidRDefault="0022004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A707C6">
              <w:rPr>
                <w:rFonts w:ascii="Calibri" w:eastAsia="Times New Roman" w:hAnsi="Calibri" w:cs="Calibri"/>
                <w:sz w:val="18"/>
                <w:szCs w:val="18"/>
                <w:lang w:eastAsia="fr-FR"/>
              </w:rPr>
              <w:t xml:space="preserve">Transfert des fonds effectué </w:t>
            </w:r>
            <w:r>
              <w:rPr>
                <w:rFonts w:ascii="Calibri" w:eastAsia="Times New Roman" w:hAnsi="Calibri" w:cs="Calibri"/>
                <w:sz w:val="18"/>
                <w:szCs w:val="18"/>
                <w:lang w:eastAsia="fr-FR"/>
              </w:rPr>
              <w:t xml:space="preserve">hors </w:t>
            </w:r>
            <w:r w:rsidRPr="00A707C6">
              <w:rPr>
                <w:rFonts w:ascii="Calibri" w:eastAsia="Times New Roman" w:hAnsi="Calibri" w:cs="Calibri"/>
                <w:sz w:val="18"/>
                <w:szCs w:val="18"/>
                <w:lang w:eastAsia="fr-FR"/>
              </w:rPr>
              <w:t>système de paiement.</w:t>
            </w:r>
          </w:p>
        </w:tc>
        <w:tc>
          <w:tcPr>
            <w:tcW w:w="1276" w:type="dxa"/>
            <w:vMerge/>
            <w:tcBorders>
              <w:left w:val="single" w:sz="4" w:space="0" w:color="5B9BD5" w:themeColor="accent1"/>
            </w:tcBorders>
            <w:shd w:val="clear" w:color="auto" w:fill="A6A6A6" w:themeFill="background1" w:themeFillShade="A6"/>
            <w:noWrap/>
          </w:tcPr>
          <w:p w14:paraId="21069DBC" w14:textId="5E7B8839" w:rsidR="0022004E" w:rsidRPr="000502C3" w:rsidRDefault="0022004E"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4" w:space="0" w:color="5B9BD5" w:themeColor="accent1"/>
            </w:tcBorders>
          </w:tcPr>
          <w:p w14:paraId="3303C228" w14:textId="77777777" w:rsidR="0022004E" w:rsidRDefault="0022004E"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4" w:space="0" w:color="5B9BD5" w:themeColor="accent1"/>
            </w:tcBorders>
          </w:tcPr>
          <w:p w14:paraId="2FD759D0" w14:textId="77777777" w:rsidR="0022004E" w:rsidRDefault="0022004E"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2004E" w:rsidRPr="007A2DF0" w14:paraId="0B23608E" w14:textId="739D5647" w:rsidTr="002200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gridSpan w:val="2"/>
            <w:tcBorders>
              <w:top w:val="single" w:sz="4" w:space="0" w:color="5B9BD5" w:themeColor="accent1"/>
              <w:bottom w:val="single" w:sz="4" w:space="0" w:color="5B9BD5" w:themeColor="accent1"/>
              <w:right w:val="single" w:sz="4" w:space="0" w:color="5B9BD5" w:themeColor="accent1"/>
            </w:tcBorders>
            <w:noWrap/>
            <w:hideMark/>
          </w:tcPr>
          <w:p w14:paraId="017094FB" w14:textId="7CB49DBD" w:rsidR="0022004E" w:rsidRPr="000502C3" w:rsidRDefault="0022004E" w:rsidP="00505507">
            <w:pPr>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 xml:space="preserve">Dont transactions </w:t>
            </w:r>
            <w:proofErr w:type="spellStart"/>
            <w:r w:rsidRPr="000502C3">
              <w:rPr>
                <w:rFonts w:ascii="Calibri" w:eastAsia="Times New Roman" w:hAnsi="Calibri" w:cs="Calibri"/>
                <w:i/>
                <w:sz w:val="18"/>
                <w:szCs w:val="18"/>
                <w:lang w:eastAsia="fr-FR"/>
              </w:rPr>
              <w:t>intrabancaires</w:t>
            </w:r>
            <w:proofErr w:type="spellEnd"/>
          </w:p>
        </w:tc>
        <w:tc>
          <w:tcPr>
            <w:tcW w:w="29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7100539" w14:textId="2D058AE5" w:rsidR="0022004E" w:rsidRPr="000502C3" w:rsidRDefault="0022004E" w:rsidP="0050550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Cs/>
                <w:sz w:val="18"/>
                <w:szCs w:val="18"/>
                <w:lang w:eastAsia="fr-FR"/>
              </w:rPr>
              <w:t xml:space="preserve">Transferts de fonds effectués entre 2 comptes tenus par l’établissement sans recours à un </w:t>
            </w:r>
            <w:proofErr w:type="gramStart"/>
            <w:r>
              <w:rPr>
                <w:rFonts w:ascii="Calibri" w:eastAsia="Times New Roman" w:hAnsi="Calibri" w:cs="Calibri"/>
                <w:bCs/>
                <w:sz w:val="18"/>
                <w:szCs w:val="18"/>
                <w:lang w:eastAsia="fr-FR"/>
              </w:rPr>
              <w:t>s</w:t>
            </w:r>
            <w:r w:rsidR="0068417B">
              <w:rPr>
                <w:rFonts w:ascii="Calibri" w:eastAsia="Times New Roman" w:hAnsi="Calibri" w:cs="Calibri"/>
                <w:bCs/>
                <w:sz w:val="18"/>
                <w:szCs w:val="18"/>
                <w:lang w:eastAsia="fr-FR"/>
              </w:rPr>
              <w:t xml:space="preserve"> </w:t>
            </w:r>
            <w:r w:rsidR="00BF5F3A">
              <w:rPr>
                <w:rFonts w:ascii="Calibri" w:eastAsia="Times New Roman" w:hAnsi="Calibri" w:cs="Calibri"/>
                <w:bCs/>
                <w:sz w:val="18"/>
                <w:szCs w:val="18"/>
                <w:lang w:eastAsia="fr-FR"/>
              </w:rPr>
              <w:t xml:space="preserve"> </w:t>
            </w:r>
            <w:proofErr w:type="spellStart"/>
            <w:r>
              <w:rPr>
                <w:rFonts w:ascii="Calibri" w:eastAsia="Times New Roman" w:hAnsi="Calibri" w:cs="Calibri"/>
                <w:bCs/>
                <w:sz w:val="18"/>
                <w:szCs w:val="18"/>
                <w:lang w:eastAsia="fr-FR"/>
              </w:rPr>
              <w:t>ystème</w:t>
            </w:r>
            <w:proofErr w:type="spellEnd"/>
            <w:proofErr w:type="gramEnd"/>
            <w:r>
              <w:rPr>
                <w:rFonts w:ascii="Calibri" w:eastAsia="Times New Roman" w:hAnsi="Calibri" w:cs="Calibri"/>
                <w:bCs/>
                <w:sz w:val="18"/>
                <w:szCs w:val="18"/>
                <w:lang w:eastAsia="fr-FR"/>
              </w:rPr>
              <w:t xml:space="preserve"> de paiement.</w:t>
            </w:r>
          </w:p>
        </w:tc>
        <w:tc>
          <w:tcPr>
            <w:tcW w:w="1276" w:type="dxa"/>
            <w:vMerge/>
            <w:tcBorders>
              <w:left w:val="single" w:sz="4" w:space="0" w:color="5B9BD5" w:themeColor="accent1"/>
            </w:tcBorders>
            <w:shd w:val="clear" w:color="auto" w:fill="A6A6A6" w:themeFill="background1" w:themeFillShade="A6"/>
            <w:noWrap/>
          </w:tcPr>
          <w:p w14:paraId="1CA543B6" w14:textId="4425D77C" w:rsidR="0022004E" w:rsidRPr="000502C3" w:rsidRDefault="0022004E"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4" w:space="0" w:color="5B9BD5" w:themeColor="accent1"/>
            </w:tcBorders>
          </w:tcPr>
          <w:p w14:paraId="4E8A1FAF" w14:textId="77777777" w:rsidR="0022004E" w:rsidRDefault="0022004E"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4" w:space="0" w:color="5B9BD5" w:themeColor="accent1"/>
            </w:tcBorders>
          </w:tcPr>
          <w:p w14:paraId="7603DA33" w14:textId="77777777" w:rsidR="0022004E" w:rsidRDefault="0022004E"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2004E" w:rsidRPr="007A2DF0" w14:paraId="10697464" w14:textId="0CD6D2D6" w:rsidTr="0022004E">
        <w:trPr>
          <w:trHeight w:val="298"/>
        </w:trPr>
        <w:tc>
          <w:tcPr>
            <w:cnfStyle w:val="001000000000" w:firstRow="0" w:lastRow="0" w:firstColumn="1" w:lastColumn="0" w:oddVBand="0" w:evenVBand="0" w:oddHBand="0" w:evenHBand="0" w:firstRowFirstColumn="0" w:firstRowLastColumn="0" w:lastRowFirstColumn="0" w:lastRowLastColumn="0"/>
            <w:tcW w:w="2977" w:type="dxa"/>
            <w:gridSpan w:val="2"/>
            <w:tcBorders>
              <w:top w:val="single" w:sz="4" w:space="0" w:color="5B9BD5" w:themeColor="accent1"/>
              <w:bottom w:val="single" w:sz="18" w:space="0" w:color="5B9BD5" w:themeColor="accent1"/>
              <w:right w:val="single" w:sz="4" w:space="0" w:color="5B9BD5" w:themeColor="accent1"/>
            </w:tcBorders>
            <w:noWrap/>
            <w:hideMark/>
          </w:tcPr>
          <w:p w14:paraId="673BED58" w14:textId="38145246" w:rsidR="0022004E" w:rsidRPr="000502C3" w:rsidRDefault="0022004E" w:rsidP="00505507">
            <w:pPr>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Dont transactions intragroupes</w:t>
            </w:r>
          </w:p>
        </w:tc>
        <w:tc>
          <w:tcPr>
            <w:tcW w:w="2977"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noWrap/>
            <w:hideMark/>
          </w:tcPr>
          <w:p w14:paraId="010D26EF" w14:textId="10211B08" w:rsidR="0022004E" w:rsidRPr="000502C3" w:rsidRDefault="0022004E" w:rsidP="0050550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Cs/>
                <w:sz w:val="18"/>
                <w:szCs w:val="18"/>
                <w:lang w:eastAsia="fr-FR"/>
              </w:rPr>
              <w:t>Transferts de fonds effectués entre 2 comptes tenus au sein d’un même groupe bancaire sans recours à un système de paiement.</w:t>
            </w:r>
          </w:p>
        </w:tc>
        <w:tc>
          <w:tcPr>
            <w:tcW w:w="1276" w:type="dxa"/>
            <w:vMerge/>
            <w:tcBorders>
              <w:left w:val="single" w:sz="4" w:space="0" w:color="5B9BD5" w:themeColor="accent1"/>
              <w:bottom w:val="single" w:sz="18" w:space="0" w:color="5B9BD5" w:themeColor="accent1"/>
            </w:tcBorders>
            <w:shd w:val="clear" w:color="auto" w:fill="A6A6A6" w:themeFill="background1" w:themeFillShade="A6"/>
            <w:noWrap/>
          </w:tcPr>
          <w:p w14:paraId="709B49C1" w14:textId="7AC895A5" w:rsidR="0022004E" w:rsidRPr="000502C3" w:rsidRDefault="0022004E"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18" w:space="0" w:color="5B9BD5" w:themeColor="accent1"/>
            </w:tcBorders>
          </w:tcPr>
          <w:p w14:paraId="0AB7E3B3" w14:textId="77777777" w:rsidR="0022004E" w:rsidRDefault="0022004E"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18" w:space="0" w:color="5B9BD5" w:themeColor="accent1"/>
            </w:tcBorders>
          </w:tcPr>
          <w:p w14:paraId="28631C68" w14:textId="77777777" w:rsidR="0022004E" w:rsidRDefault="0022004E"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70AE1068" w14:textId="77777777" w:rsidR="00B0114D" w:rsidRDefault="00B0114D" w:rsidP="00B0114D">
      <w:pPr>
        <w:pStyle w:val="Paragraphedeliste"/>
        <w:autoSpaceDE w:val="0"/>
        <w:autoSpaceDN w:val="0"/>
        <w:adjustRightInd w:val="0"/>
        <w:spacing w:after="0" w:line="240" w:lineRule="auto"/>
        <w:jc w:val="both"/>
        <w:rPr>
          <w:rFonts w:cstheme="minorHAnsi"/>
        </w:rPr>
      </w:pPr>
    </w:p>
    <w:p w14:paraId="60B86B87" w14:textId="77777777" w:rsidR="00B0114D" w:rsidRPr="00466BF2" w:rsidRDefault="00B0114D" w:rsidP="00466BF2">
      <w:pPr>
        <w:spacing w:after="0" w:line="240" w:lineRule="auto"/>
        <w:jc w:val="both"/>
        <w:rPr>
          <w:rFonts w:ascii="Calibri" w:hAnsi="Calibri"/>
          <w:b/>
          <w:smallCaps/>
          <w:color w:val="2E74B5" w:themeColor="accent1" w:themeShade="BF"/>
          <w:sz w:val="24"/>
        </w:rPr>
      </w:pPr>
      <w:r w:rsidRPr="00466BF2">
        <w:rPr>
          <w:rFonts w:ascii="Calibri" w:hAnsi="Calibri"/>
          <w:b/>
          <w:smallCaps/>
          <w:color w:val="2E74B5" w:themeColor="accent1" w:themeShade="BF"/>
          <w:sz w:val="24"/>
        </w:rPr>
        <w:t>Contrôles :</w:t>
      </w:r>
    </w:p>
    <w:p w14:paraId="1E01FCBA" w14:textId="038716C0" w:rsidR="00B0114D" w:rsidRPr="00A52DD8" w:rsidRDefault="00B0114D" w:rsidP="00B0114D">
      <w:pPr>
        <w:pStyle w:val="Paragraphedeliste"/>
        <w:autoSpaceDE w:val="0"/>
        <w:autoSpaceDN w:val="0"/>
        <w:adjustRightInd w:val="0"/>
        <w:spacing w:after="0" w:line="240" w:lineRule="auto"/>
        <w:jc w:val="both"/>
        <w:rPr>
          <w:rFonts w:cstheme="minorHAnsi"/>
        </w:rPr>
      </w:pPr>
    </w:p>
    <w:p w14:paraId="70806CCF" w14:textId="5632128A" w:rsidR="00A52DD8" w:rsidRPr="0081549B" w:rsidRDefault="00A52DD8" w:rsidP="0081549B">
      <w:pPr>
        <w:spacing w:after="0" w:line="240" w:lineRule="auto"/>
        <w:jc w:val="both"/>
        <w:rPr>
          <w:rFonts w:cstheme="minorHAnsi"/>
        </w:rPr>
      </w:pPr>
      <w:r w:rsidRPr="0081549B">
        <w:rPr>
          <w:rFonts w:cstheme="minorHAnsi"/>
        </w:rPr>
        <w:t>Les règles de contrôle suivantes doivent être app</w:t>
      </w:r>
      <w:r w:rsidR="00E06F9C" w:rsidRPr="0081549B">
        <w:rPr>
          <w:rFonts w:cstheme="minorHAnsi"/>
        </w:rPr>
        <w:t>liquées en nombre et en valeur.</w:t>
      </w:r>
    </w:p>
    <w:p w14:paraId="38C27CB0" w14:textId="7D53A21B" w:rsidR="00A52DD8" w:rsidRDefault="00A52DD8" w:rsidP="00B0114D">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22004E" w:rsidRPr="00466BF2" w14:paraId="64248780" w14:textId="77777777" w:rsidTr="0001666E">
        <w:tc>
          <w:tcPr>
            <w:tcW w:w="9054" w:type="dxa"/>
          </w:tcPr>
          <w:p w14:paraId="7F6516B1" w14:textId="25EA8390" w:rsidR="0022004E" w:rsidRPr="00466BF2" w:rsidRDefault="0022004E" w:rsidP="0022004E">
            <w:pPr>
              <w:pStyle w:val="Paragraphedeliste"/>
              <w:autoSpaceDE w:val="0"/>
              <w:autoSpaceDN w:val="0"/>
              <w:adjustRightInd w:val="0"/>
              <w:ind w:left="0"/>
              <w:jc w:val="both"/>
              <w:rPr>
                <w:sz w:val="18"/>
              </w:rPr>
            </w:pPr>
            <w:r w:rsidRPr="00A675AF">
              <w:rPr>
                <w:rFonts w:cstheme="minorHAnsi"/>
                <w:sz w:val="18"/>
                <w:szCs w:val="18"/>
              </w:rPr>
              <w:t>Le</w:t>
            </w:r>
            <w:r>
              <w:rPr>
                <w:rFonts w:cstheme="minorHAnsi"/>
                <w:sz w:val="18"/>
                <w:szCs w:val="18"/>
              </w:rPr>
              <w:t xml:space="preserve"> total de</w:t>
            </w:r>
            <w:r w:rsidRPr="00A675AF">
              <w:rPr>
                <w:rFonts w:cstheme="minorHAnsi"/>
                <w:sz w:val="18"/>
                <w:szCs w:val="18"/>
              </w:rPr>
              <w:t xml:space="preserve">s </w:t>
            </w:r>
            <w:r>
              <w:rPr>
                <w:rFonts w:cstheme="minorHAnsi"/>
                <w:sz w:val="18"/>
                <w:szCs w:val="18"/>
              </w:rPr>
              <w:t>LCR-BOR émis est =</w:t>
            </w:r>
            <w:r w:rsidRPr="00A675AF">
              <w:rPr>
                <w:rFonts w:cstheme="minorHAnsi"/>
                <w:sz w:val="18"/>
                <w:szCs w:val="18"/>
              </w:rPr>
              <w:t xml:space="preserve"> à la somme de</w:t>
            </w:r>
            <w:r>
              <w:rPr>
                <w:rFonts w:cstheme="minorHAnsi"/>
                <w:sz w:val="18"/>
                <w:szCs w:val="18"/>
              </w:rPr>
              <w:t xml:space="preserve">s transactions interbancaires, </w:t>
            </w:r>
            <w:proofErr w:type="spellStart"/>
            <w:r>
              <w:rPr>
                <w:rFonts w:cstheme="minorHAnsi"/>
                <w:sz w:val="18"/>
                <w:szCs w:val="18"/>
              </w:rPr>
              <w:t>intrabancaires</w:t>
            </w:r>
            <w:proofErr w:type="spellEnd"/>
            <w:r>
              <w:rPr>
                <w:rFonts w:cstheme="minorHAnsi"/>
                <w:sz w:val="18"/>
                <w:szCs w:val="18"/>
              </w:rPr>
              <w:t xml:space="preserve"> et intragroupes.</w:t>
            </w:r>
          </w:p>
        </w:tc>
      </w:tr>
      <w:tr w:rsidR="0022004E" w:rsidRPr="00466BF2" w14:paraId="08963EA9" w14:textId="77777777" w:rsidTr="0001666E">
        <w:tc>
          <w:tcPr>
            <w:tcW w:w="9054" w:type="dxa"/>
          </w:tcPr>
          <w:p w14:paraId="686F156F" w14:textId="0433E329" w:rsidR="0022004E" w:rsidRPr="00466BF2" w:rsidRDefault="0022004E" w:rsidP="00880B34">
            <w:pPr>
              <w:pStyle w:val="Paragraphedeliste"/>
              <w:autoSpaceDE w:val="0"/>
              <w:autoSpaceDN w:val="0"/>
              <w:adjustRightInd w:val="0"/>
              <w:ind w:left="0"/>
              <w:jc w:val="both"/>
              <w:rPr>
                <w:sz w:val="18"/>
              </w:rPr>
            </w:pPr>
            <w:r w:rsidRPr="009B0B25">
              <w:rPr>
                <w:rFonts w:cstheme="minorHAnsi"/>
                <w:sz w:val="18"/>
                <w:szCs w:val="18"/>
              </w:rPr>
              <w:t>Le</w:t>
            </w:r>
            <w:r>
              <w:rPr>
                <w:rFonts w:cstheme="minorHAnsi"/>
                <w:sz w:val="18"/>
                <w:szCs w:val="18"/>
              </w:rPr>
              <w:t xml:space="preserve"> total des transactions interbancaires est =</w:t>
            </w:r>
            <w:r w:rsidRPr="009B0B25">
              <w:rPr>
                <w:rFonts w:cstheme="minorHAnsi"/>
                <w:sz w:val="18"/>
                <w:szCs w:val="18"/>
              </w:rPr>
              <w:t xml:space="preserve"> à la somme </w:t>
            </w:r>
            <w:r>
              <w:rPr>
                <w:rFonts w:cstheme="minorHAnsi"/>
                <w:sz w:val="18"/>
                <w:szCs w:val="18"/>
              </w:rPr>
              <w:t xml:space="preserve">de la ventilation par </w:t>
            </w:r>
            <w:r w:rsidRPr="009B0B25">
              <w:rPr>
                <w:rFonts w:cstheme="minorHAnsi"/>
                <w:sz w:val="18"/>
                <w:szCs w:val="18"/>
              </w:rPr>
              <w:t>système</w:t>
            </w:r>
            <w:r>
              <w:rPr>
                <w:rFonts w:cstheme="minorHAnsi"/>
                <w:sz w:val="18"/>
                <w:szCs w:val="18"/>
              </w:rPr>
              <w:t xml:space="preserve"> d</w:t>
            </w:r>
            <w:r w:rsidR="00880B34">
              <w:rPr>
                <w:rFonts w:cstheme="minorHAnsi"/>
                <w:sz w:val="18"/>
                <w:szCs w:val="18"/>
              </w:rPr>
              <w:t>e paiement</w:t>
            </w:r>
            <w:r w:rsidRPr="00A675AF">
              <w:rPr>
                <w:rFonts w:cstheme="minorHAnsi"/>
                <w:sz w:val="18"/>
                <w:szCs w:val="18"/>
              </w:rPr>
              <w:t>.</w:t>
            </w:r>
          </w:p>
        </w:tc>
      </w:tr>
    </w:tbl>
    <w:p w14:paraId="0A0B27E8" w14:textId="7FCA6EE4" w:rsidR="00B0114D" w:rsidRDefault="00B0114D" w:rsidP="00B0114D">
      <w:pPr>
        <w:pStyle w:val="Paragraphedeliste"/>
        <w:autoSpaceDE w:val="0"/>
        <w:autoSpaceDN w:val="0"/>
        <w:adjustRightInd w:val="0"/>
        <w:spacing w:after="0" w:line="240" w:lineRule="auto"/>
        <w:jc w:val="both"/>
        <w:rPr>
          <w:rFonts w:cstheme="minorHAnsi"/>
        </w:rPr>
      </w:pPr>
    </w:p>
    <w:p w14:paraId="140D25D4" w14:textId="77777777" w:rsidR="004061C1" w:rsidRDefault="004061C1" w:rsidP="00B0114D">
      <w:pPr>
        <w:pStyle w:val="Paragraphedeliste"/>
        <w:autoSpaceDE w:val="0"/>
        <w:autoSpaceDN w:val="0"/>
        <w:adjustRightInd w:val="0"/>
        <w:spacing w:after="0" w:line="240" w:lineRule="auto"/>
        <w:jc w:val="both"/>
        <w:rPr>
          <w:rFonts w:cstheme="minorHAnsi"/>
        </w:rPr>
      </w:pPr>
    </w:p>
    <w:p w14:paraId="3702AA57" w14:textId="118BD165" w:rsidR="005A0EE0" w:rsidRPr="006B400E" w:rsidRDefault="005A0EE0" w:rsidP="007718A3">
      <w:pPr>
        <w:pStyle w:val="Titre3"/>
        <w:numPr>
          <w:ilvl w:val="2"/>
          <w:numId w:val="38"/>
        </w:numPr>
        <w:jc w:val="both"/>
      </w:pPr>
      <w:bookmarkStart w:id="68" w:name="_Toc222476898"/>
      <w:r w:rsidRPr="006B400E">
        <w:t>LCR – BOR reçus par l’établissement</w:t>
      </w:r>
      <w:bookmarkEnd w:id="68"/>
    </w:p>
    <w:p w14:paraId="3BECCF15" w14:textId="06D125BC" w:rsidR="007C284C" w:rsidRDefault="007C284C" w:rsidP="005A0EE0">
      <w:pPr>
        <w:spacing w:after="0" w:line="240" w:lineRule="auto"/>
        <w:jc w:val="both"/>
        <w:rPr>
          <w:rFonts w:ascii="Calibri" w:eastAsia="Times New Roman" w:hAnsi="Calibri" w:cs="Calibri"/>
          <w:b/>
          <w:smallCaps/>
          <w:sz w:val="24"/>
          <w:szCs w:val="24"/>
          <w:lang w:eastAsia="fr-FR"/>
        </w:rPr>
      </w:pPr>
    </w:p>
    <w:p w14:paraId="671D73AE" w14:textId="130C96C7" w:rsidR="007C284C" w:rsidRPr="002A39D9" w:rsidRDefault="007C284C" w:rsidP="007C284C">
      <w:pPr>
        <w:spacing w:after="0" w:line="240" w:lineRule="auto"/>
        <w:jc w:val="both"/>
        <w:rPr>
          <w:rFonts w:cstheme="minorHAnsi"/>
        </w:rPr>
      </w:pPr>
      <w:r w:rsidRPr="00DD4FC3">
        <w:rPr>
          <w:rFonts w:cstheme="minorHAnsi"/>
        </w:rPr>
        <w:t>Il s’agit de déclarer, en volume et valeur, les LCR – BOR effets</w:t>
      </w:r>
      <w:r>
        <w:rPr>
          <w:rFonts w:cstheme="minorHAnsi"/>
        </w:rPr>
        <w:t xml:space="preserve"> reçus </w:t>
      </w:r>
      <w:r w:rsidRPr="00DD4FC3">
        <w:rPr>
          <w:rFonts w:cstheme="minorHAnsi"/>
        </w:rPr>
        <w:t>par l’établissement pour le compte de ses clients.</w:t>
      </w:r>
    </w:p>
    <w:p w14:paraId="20A14D41" w14:textId="77777777" w:rsidR="007C284C" w:rsidRPr="00F45FBB" w:rsidRDefault="007C284C" w:rsidP="005A0EE0">
      <w:pPr>
        <w:spacing w:after="0" w:line="240" w:lineRule="auto"/>
        <w:jc w:val="both"/>
        <w:rPr>
          <w:rFonts w:ascii="Calibri" w:eastAsia="Times New Roman" w:hAnsi="Calibri" w:cs="Calibri"/>
          <w:b/>
          <w:smallCaps/>
          <w:sz w:val="24"/>
          <w:szCs w:val="24"/>
          <w:lang w:eastAsia="fr-FR"/>
        </w:rPr>
      </w:pPr>
    </w:p>
    <w:p w14:paraId="0A6523A3" w14:textId="422CF370" w:rsidR="005A0EE0" w:rsidRDefault="00FE5E9A" w:rsidP="005A0EE0">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5183E9FA" w14:textId="77777777" w:rsidR="00BC1AB1" w:rsidRPr="005A0EE0" w:rsidRDefault="00BC1AB1" w:rsidP="005A0EE0">
      <w:pPr>
        <w:spacing w:after="0" w:line="240" w:lineRule="auto"/>
        <w:jc w:val="both"/>
        <w:rPr>
          <w:rFonts w:ascii="Calibri" w:eastAsia="Times New Roman" w:hAnsi="Calibri" w:cs="Calibri"/>
          <w:b/>
          <w:smallCaps/>
          <w:sz w:val="28"/>
          <w:szCs w:val="28"/>
          <w:lang w:eastAsia="fr-FR"/>
        </w:rPr>
      </w:pPr>
    </w:p>
    <w:tbl>
      <w:tblPr>
        <w:tblStyle w:val="Tableausimple2"/>
        <w:tblW w:w="8931"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268"/>
        <w:gridCol w:w="1134"/>
        <w:gridCol w:w="1134"/>
        <w:gridCol w:w="1134"/>
      </w:tblGrid>
      <w:tr w:rsidR="0022004E" w:rsidRPr="000502C3" w14:paraId="52818A11" w14:textId="77777777" w:rsidTr="008E42D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tcBorders>
              <w:top w:val="single" w:sz="18" w:space="0" w:color="5B9BD5" w:themeColor="accent1"/>
              <w:bottom w:val="single" w:sz="18" w:space="0" w:color="5B9BD5" w:themeColor="accent1"/>
            </w:tcBorders>
            <w:noWrap/>
          </w:tcPr>
          <w:p w14:paraId="44BDCB0C" w14:textId="77777777" w:rsidR="0022004E" w:rsidRPr="00466BF2" w:rsidRDefault="0022004E" w:rsidP="0022004E">
            <w:pPr>
              <w:jc w:val="both"/>
              <w:rPr>
                <w:rFonts w:ascii="Calibri" w:hAnsi="Calibri"/>
                <w:sz w:val="18"/>
              </w:rPr>
            </w:pPr>
          </w:p>
        </w:tc>
        <w:tc>
          <w:tcPr>
            <w:tcW w:w="1134" w:type="dxa"/>
            <w:tcBorders>
              <w:top w:val="single" w:sz="18" w:space="0" w:color="5B9BD5" w:themeColor="accent1"/>
              <w:bottom w:val="single" w:sz="18" w:space="0" w:color="5B9BD5" w:themeColor="accent1"/>
              <w:right w:val="single" w:sz="2" w:space="0" w:color="5B9BD5" w:themeColor="accent1"/>
            </w:tcBorders>
            <w:shd w:val="clear" w:color="auto" w:fill="FFFFFF" w:themeFill="background1"/>
            <w:noWrap/>
          </w:tcPr>
          <w:p w14:paraId="4023710A" w14:textId="30C517C2" w:rsidR="0022004E" w:rsidRPr="000502C3" w:rsidRDefault="008E42D7" w:rsidP="0098268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8E42D7">
              <w:rPr>
                <w:rFonts w:cstheme="minorHAnsi"/>
                <w:sz w:val="14"/>
                <w:szCs w:val="18"/>
              </w:rPr>
              <w:t>Pays PSP récepteur</w:t>
            </w: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2AB469C5" w14:textId="2BE0D29D" w:rsidR="0022004E" w:rsidRPr="000502C3" w:rsidRDefault="0022004E" w:rsidP="0098268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113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6AFC90DF" w14:textId="77777777" w:rsidR="0022004E" w:rsidRDefault="0022004E" w:rsidP="0098268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664A7BF0" w14:textId="764EB1EC" w:rsidR="0022004E" w:rsidRPr="000502C3" w:rsidRDefault="0022004E" w:rsidP="0098268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Pr>
                <w:rFonts w:cstheme="minorHAnsi"/>
                <w:sz w:val="14"/>
                <w:szCs w:val="18"/>
              </w:rPr>
              <w:t>euros</w:t>
            </w:r>
            <w:proofErr w:type="gramEnd"/>
          </w:p>
        </w:tc>
      </w:tr>
      <w:tr w:rsidR="0022004E" w:rsidRPr="000502C3" w14:paraId="33A96787" w14:textId="39EDB386" w:rsidTr="008E42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Borders>
              <w:top w:val="single" w:sz="18" w:space="0" w:color="5B9BD5" w:themeColor="accent1"/>
              <w:bottom w:val="single" w:sz="18" w:space="0" w:color="5B9BD5" w:themeColor="accent1"/>
            </w:tcBorders>
            <w:noWrap/>
            <w:hideMark/>
          </w:tcPr>
          <w:p w14:paraId="7C4DABA9" w14:textId="1D53C443" w:rsidR="0022004E" w:rsidRPr="000502C3" w:rsidRDefault="0022004E">
            <w:pPr>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LCR et BOR reçus</w:t>
            </w:r>
            <w:r>
              <w:rPr>
                <w:rFonts w:ascii="Calibri" w:eastAsia="Times New Roman" w:hAnsi="Calibri" w:cs="Calibri"/>
                <w:i/>
                <w:sz w:val="18"/>
                <w:szCs w:val="18"/>
                <w:lang w:eastAsia="fr-FR"/>
              </w:rPr>
              <w:t xml:space="preserve"> </w:t>
            </w:r>
            <w:r w:rsidRPr="000502C3">
              <w:rPr>
                <w:rFonts w:ascii="Calibri" w:eastAsia="Times New Roman" w:hAnsi="Calibri" w:cs="Calibri"/>
                <w:i/>
                <w:sz w:val="18"/>
                <w:szCs w:val="18"/>
                <w:lang w:eastAsia="fr-FR"/>
              </w:rPr>
              <w:t>par l’établissement</w:t>
            </w:r>
          </w:p>
        </w:tc>
        <w:tc>
          <w:tcPr>
            <w:tcW w:w="2268" w:type="dxa"/>
            <w:tcBorders>
              <w:top w:val="single" w:sz="18" w:space="0" w:color="5B9BD5" w:themeColor="accent1"/>
              <w:bottom w:val="single" w:sz="18" w:space="0" w:color="5B9BD5" w:themeColor="accent1"/>
            </w:tcBorders>
            <w:noWrap/>
          </w:tcPr>
          <w:p w14:paraId="4ABF6D5A" w14:textId="222515A8" w:rsidR="0022004E" w:rsidRPr="000502C3" w:rsidRDefault="0022004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bottom w:val="single" w:sz="18" w:space="0" w:color="5B9BD5" w:themeColor="accent1"/>
            </w:tcBorders>
            <w:shd w:val="clear" w:color="auto" w:fill="FFFFFF" w:themeFill="background1"/>
            <w:noWrap/>
          </w:tcPr>
          <w:p w14:paraId="2CD2F262" w14:textId="445FD3E7" w:rsidR="0022004E" w:rsidRPr="008E42D7" w:rsidRDefault="008E42D7" w:rsidP="008E42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8E42D7">
              <w:rPr>
                <w:rFonts w:ascii="Calibri" w:eastAsia="Times New Roman" w:hAnsi="Calibri" w:cs="Calibri"/>
                <w:sz w:val="18"/>
                <w:szCs w:val="18"/>
                <w:lang w:eastAsia="fr-FR"/>
              </w:rPr>
              <w:t>France</w:t>
            </w:r>
          </w:p>
        </w:tc>
        <w:tc>
          <w:tcPr>
            <w:tcW w:w="1134" w:type="dxa"/>
            <w:tcBorders>
              <w:bottom w:val="single" w:sz="18" w:space="0" w:color="5B9BD5" w:themeColor="accent1"/>
            </w:tcBorders>
          </w:tcPr>
          <w:p w14:paraId="08F9949C" w14:textId="77777777" w:rsidR="0022004E" w:rsidRPr="000502C3" w:rsidRDefault="0022004E"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4" w:type="dxa"/>
            <w:tcBorders>
              <w:bottom w:val="single" w:sz="18" w:space="0" w:color="5B9BD5" w:themeColor="accent1"/>
            </w:tcBorders>
          </w:tcPr>
          <w:p w14:paraId="6F0CED46" w14:textId="77777777" w:rsidR="0022004E" w:rsidRPr="000502C3" w:rsidRDefault="0022004E"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bl>
    <w:p w14:paraId="6DCB5A24" w14:textId="77777777" w:rsidR="00B0114D" w:rsidRDefault="00B0114D" w:rsidP="00B0114D">
      <w:pPr>
        <w:pStyle w:val="Paragraphedeliste"/>
        <w:autoSpaceDE w:val="0"/>
        <w:autoSpaceDN w:val="0"/>
        <w:adjustRightInd w:val="0"/>
        <w:spacing w:after="0" w:line="240" w:lineRule="auto"/>
        <w:jc w:val="both"/>
        <w:rPr>
          <w:rFonts w:cstheme="minorHAnsi"/>
        </w:rPr>
      </w:pPr>
    </w:p>
    <w:p w14:paraId="72EFEF3A" w14:textId="77777777" w:rsidR="00B0114D" w:rsidRDefault="00B0114D" w:rsidP="00B0114D">
      <w:pPr>
        <w:pStyle w:val="Paragraphedeliste"/>
        <w:autoSpaceDE w:val="0"/>
        <w:autoSpaceDN w:val="0"/>
        <w:adjustRightInd w:val="0"/>
        <w:spacing w:after="0" w:line="240" w:lineRule="auto"/>
        <w:jc w:val="both"/>
        <w:rPr>
          <w:rFonts w:cstheme="minorHAnsi"/>
        </w:rPr>
      </w:pPr>
    </w:p>
    <w:p w14:paraId="2EA493B7" w14:textId="72B81B15" w:rsidR="005A0EE0" w:rsidRPr="006B400E" w:rsidRDefault="005A0EE0" w:rsidP="007718A3">
      <w:pPr>
        <w:pStyle w:val="Titre3"/>
        <w:numPr>
          <w:ilvl w:val="2"/>
          <w:numId w:val="38"/>
        </w:numPr>
        <w:jc w:val="both"/>
      </w:pPr>
      <w:bookmarkStart w:id="69" w:name="_Toc222476899"/>
      <w:r w:rsidRPr="006B400E">
        <w:t>Commentaires sur les LCR – BOR</w:t>
      </w:r>
      <w:bookmarkEnd w:id="69"/>
    </w:p>
    <w:p w14:paraId="73B0D3A5" w14:textId="77777777" w:rsidR="009505F1" w:rsidRDefault="009505F1" w:rsidP="00F45FBB">
      <w:pPr>
        <w:spacing w:after="0" w:line="240" w:lineRule="auto"/>
        <w:jc w:val="both"/>
        <w:rPr>
          <w:rFonts w:cstheme="minorHAnsi"/>
          <w:b/>
          <w:smallCaps/>
          <w:sz w:val="28"/>
          <w:szCs w:val="28"/>
        </w:rPr>
      </w:pPr>
    </w:p>
    <w:p w14:paraId="61B44FD5"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7DC85B9F" w14:textId="0A6FF0C1" w:rsidR="00F45FBB" w:rsidRDefault="00F45FBB" w:rsidP="00F45FBB">
      <w:pPr>
        <w:spacing w:after="0" w:line="240" w:lineRule="auto"/>
        <w:jc w:val="both"/>
        <w:rPr>
          <w:rFonts w:ascii="Calibri" w:eastAsia="Times New Roman" w:hAnsi="Calibri" w:cs="Calibri"/>
          <w:b/>
          <w:smallCaps/>
          <w:sz w:val="28"/>
          <w:szCs w:val="28"/>
          <w:lang w:eastAsia="fr-FR"/>
        </w:rPr>
      </w:pPr>
    </w:p>
    <w:tbl>
      <w:tblPr>
        <w:tblStyle w:val="Tableausimple2"/>
        <w:tblW w:w="8931"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28"/>
        <w:gridCol w:w="5103"/>
      </w:tblGrid>
      <w:tr w:rsidR="000D7FC7" w:rsidRPr="007A2DF0" w14:paraId="265451D4" w14:textId="77777777" w:rsidTr="009E4511">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828" w:type="dxa"/>
            <w:tcBorders>
              <w:bottom w:val="none" w:sz="0" w:space="0" w:color="auto"/>
            </w:tcBorders>
            <w:noWrap/>
            <w:hideMark/>
          </w:tcPr>
          <w:p w14:paraId="23F17CFC" w14:textId="77777777" w:rsidR="000D7FC7" w:rsidRDefault="000D7FC7" w:rsidP="00EC4F18">
            <w:pPr>
              <w:rPr>
                <w:rFonts w:ascii="Calibri" w:eastAsia="Times New Roman" w:hAnsi="Calibri" w:cs="Calibri"/>
                <w:i/>
                <w:sz w:val="20"/>
                <w:szCs w:val="20"/>
                <w:lang w:eastAsia="fr-FR"/>
              </w:rPr>
            </w:pPr>
          </w:p>
          <w:p w14:paraId="03EA988A" w14:textId="244C8044" w:rsidR="000D7FC7" w:rsidRDefault="000D7FC7" w:rsidP="00EC4F18">
            <w:pPr>
              <w:rPr>
                <w:rFonts w:ascii="Calibri" w:eastAsia="Times New Roman" w:hAnsi="Calibri" w:cs="Calibri"/>
                <w:i/>
                <w:sz w:val="20"/>
                <w:szCs w:val="20"/>
                <w:lang w:eastAsia="fr-FR"/>
              </w:rPr>
            </w:pPr>
            <w:r w:rsidRPr="007A2DF0">
              <w:rPr>
                <w:rFonts w:ascii="Calibri" w:eastAsia="Times New Roman" w:hAnsi="Calibri" w:cs="Calibri"/>
                <w:i/>
                <w:sz w:val="20"/>
                <w:szCs w:val="20"/>
                <w:lang w:eastAsia="fr-FR"/>
              </w:rPr>
              <w:t>Commentaires sur l'activité LCR/BOR </w:t>
            </w:r>
          </w:p>
          <w:p w14:paraId="04047420" w14:textId="0254A27F" w:rsidR="000D7FC7" w:rsidRPr="007A2DF0" w:rsidRDefault="000D7FC7" w:rsidP="00EC4F18">
            <w:pPr>
              <w:rPr>
                <w:rFonts w:ascii="Calibri" w:eastAsia="Times New Roman" w:hAnsi="Calibri" w:cs="Calibri"/>
                <w:i/>
                <w:sz w:val="20"/>
                <w:szCs w:val="20"/>
                <w:lang w:eastAsia="fr-FR"/>
              </w:rPr>
            </w:pPr>
          </w:p>
        </w:tc>
        <w:tc>
          <w:tcPr>
            <w:tcW w:w="5103" w:type="dxa"/>
            <w:tcBorders>
              <w:bottom w:val="none" w:sz="0" w:space="0" w:color="auto"/>
            </w:tcBorders>
            <w:noWrap/>
            <w:hideMark/>
          </w:tcPr>
          <w:p w14:paraId="175626E0" w14:textId="77777777" w:rsidR="000D7FC7" w:rsidRDefault="000D7FC7" w:rsidP="00EC4F1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sz w:val="20"/>
                <w:szCs w:val="20"/>
                <w:lang w:eastAsia="fr-FR"/>
              </w:rPr>
            </w:pPr>
          </w:p>
          <w:p w14:paraId="0432A799" w14:textId="3ED38B34" w:rsidR="000D7FC7" w:rsidRPr="000502C3" w:rsidRDefault="000D7FC7" w:rsidP="000502C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20"/>
                <w:szCs w:val="20"/>
                <w:lang w:eastAsia="fr-FR"/>
              </w:rPr>
            </w:pPr>
          </w:p>
        </w:tc>
      </w:tr>
    </w:tbl>
    <w:p w14:paraId="0373D7AF" w14:textId="0BD4032B" w:rsidR="00F45FBB" w:rsidRDefault="00F45FBB" w:rsidP="00F45FBB">
      <w:pPr>
        <w:spacing w:after="0" w:line="240" w:lineRule="auto"/>
        <w:jc w:val="both"/>
        <w:rPr>
          <w:rFonts w:ascii="Calibri" w:eastAsia="Times New Roman" w:hAnsi="Calibri" w:cs="Calibri"/>
          <w:b/>
          <w:smallCaps/>
          <w:sz w:val="28"/>
          <w:szCs w:val="28"/>
          <w:lang w:eastAsia="fr-FR"/>
        </w:rPr>
      </w:pPr>
    </w:p>
    <w:p w14:paraId="6662B19F" w14:textId="5EC9A61B" w:rsidR="00F45FBB" w:rsidRPr="006B400E" w:rsidRDefault="002C5C2B" w:rsidP="007718A3">
      <w:pPr>
        <w:pStyle w:val="Titre2"/>
        <w:numPr>
          <w:ilvl w:val="1"/>
          <w:numId w:val="38"/>
        </w:numPr>
      </w:pPr>
      <w:bookmarkStart w:id="70" w:name="_Toc222476900"/>
      <w:r w:rsidRPr="006B400E">
        <w:t xml:space="preserve">Opérations </w:t>
      </w:r>
      <w:r w:rsidR="00EC4F18" w:rsidRPr="006B400E">
        <w:t>de t</w:t>
      </w:r>
      <w:r w:rsidR="00B11E50" w:rsidRPr="006B400E">
        <w:t xml:space="preserve">ransmission </w:t>
      </w:r>
      <w:r w:rsidR="00F45FBB" w:rsidRPr="006B400E">
        <w:t>de fonds</w:t>
      </w:r>
      <w:bookmarkEnd w:id="70"/>
    </w:p>
    <w:p w14:paraId="130E0BAB" w14:textId="58F769F1" w:rsidR="00A82945" w:rsidRDefault="00A82945" w:rsidP="00F45FBB">
      <w:pPr>
        <w:spacing w:after="0" w:line="240" w:lineRule="auto"/>
        <w:jc w:val="both"/>
        <w:rPr>
          <w:rFonts w:ascii="Calibri" w:eastAsia="Times New Roman" w:hAnsi="Calibri" w:cs="Calibri"/>
          <w:b/>
          <w:smallCaps/>
          <w:sz w:val="28"/>
          <w:szCs w:val="28"/>
          <w:lang w:eastAsia="fr-FR"/>
        </w:rPr>
      </w:pPr>
    </w:p>
    <w:p w14:paraId="26A8333F" w14:textId="05149389" w:rsidR="00A82945" w:rsidRDefault="00A82945" w:rsidP="00F45FBB">
      <w:pPr>
        <w:spacing w:after="0" w:line="240" w:lineRule="auto"/>
        <w:jc w:val="both"/>
        <w:rPr>
          <w:rFonts w:cstheme="minorHAnsi"/>
        </w:rPr>
      </w:pPr>
      <w:r>
        <w:rPr>
          <w:rFonts w:cstheme="minorHAnsi"/>
        </w:rPr>
        <w:t>I</w:t>
      </w:r>
      <w:r w:rsidRPr="006A1B3D">
        <w:rPr>
          <w:rFonts w:cstheme="minorHAnsi"/>
        </w:rPr>
        <w:t>l s’</w:t>
      </w:r>
      <w:r>
        <w:rPr>
          <w:rFonts w:cstheme="minorHAnsi"/>
        </w:rPr>
        <w:t xml:space="preserve">agit de déclarer, en volume et valeur, les </w:t>
      </w:r>
      <w:r w:rsidR="002C5C2B">
        <w:rPr>
          <w:rFonts w:cstheme="minorHAnsi"/>
        </w:rPr>
        <w:t xml:space="preserve">opérations de transmission de fonds </w:t>
      </w:r>
      <w:r w:rsidR="00212B0E">
        <w:rPr>
          <w:rFonts w:cstheme="minorHAnsi"/>
        </w:rPr>
        <w:t xml:space="preserve">(service 6 de l’art. 314-1 du Code monétaire et financier) </w:t>
      </w:r>
      <w:r w:rsidR="002C5C2B">
        <w:rPr>
          <w:rFonts w:cstheme="minorHAnsi"/>
        </w:rPr>
        <w:t>émises et reçu</w:t>
      </w:r>
      <w:r w:rsidR="00026A5B">
        <w:rPr>
          <w:rFonts w:cstheme="minorHAnsi"/>
        </w:rPr>
        <w:t>e</w:t>
      </w:r>
      <w:r w:rsidR="002C5C2B">
        <w:rPr>
          <w:rFonts w:cstheme="minorHAnsi"/>
        </w:rPr>
        <w:t>s par l’</w:t>
      </w:r>
      <w:r w:rsidR="00212B0E">
        <w:rPr>
          <w:rFonts w:cstheme="minorHAnsi"/>
        </w:rPr>
        <w:t>établissement.</w:t>
      </w:r>
    </w:p>
    <w:p w14:paraId="27F777BC" w14:textId="42684CE8" w:rsidR="00212B0E" w:rsidRDefault="00212B0E" w:rsidP="00F45FBB">
      <w:pPr>
        <w:spacing w:after="0" w:line="240" w:lineRule="auto"/>
        <w:jc w:val="both"/>
        <w:rPr>
          <w:rFonts w:cstheme="minorHAnsi"/>
        </w:rPr>
      </w:pPr>
    </w:p>
    <w:p w14:paraId="218C911D" w14:textId="714BE8A5" w:rsidR="002C5C2B" w:rsidRDefault="00212B0E" w:rsidP="002C5C2B">
      <w:pPr>
        <w:spacing w:after="0" w:line="240" w:lineRule="auto"/>
        <w:jc w:val="both"/>
        <w:rPr>
          <w:rFonts w:cstheme="minorHAnsi"/>
        </w:rPr>
      </w:pPr>
      <w:r>
        <w:rPr>
          <w:rFonts w:cstheme="minorHAnsi"/>
        </w:rPr>
        <w:t xml:space="preserve">Pour mémoire, il s’agit d’un service de paiement </w:t>
      </w:r>
      <w:r w:rsidR="002C5C2B" w:rsidRPr="00212B0E">
        <w:rPr>
          <w:rFonts w:cstheme="minorHAnsi"/>
        </w:rPr>
        <w:t>pour lequel les fonds sont reçus de la part d’un payeur, sans création de compte de paiement au nom du payeur ou du bénéficiaire, à la seule fin de transférer un montant correspondant vers un bénéficiaire ou un autre prestataire de services de paiement agissant pour le compte du bénéficiaire, et/ou pour lequel de tels fonds sont reçus pour le compte du bénéficiaire et m</w:t>
      </w:r>
      <w:r w:rsidRPr="00212B0E">
        <w:rPr>
          <w:rFonts w:cstheme="minorHAnsi"/>
        </w:rPr>
        <w:t>is à la disposition de celui-ci.</w:t>
      </w:r>
    </w:p>
    <w:p w14:paraId="62B00ED1" w14:textId="77777777" w:rsidR="002E57D7" w:rsidRDefault="002E57D7" w:rsidP="002C5C2B">
      <w:pPr>
        <w:spacing w:after="0" w:line="240" w:lineRule="auto"/>
        <w:jc w:val="both"/>
        <w:rPr>
          <w:rFonts w:cstheme="minorHAnsi"/>
        </w:rPr>
      </w:pPr>
    </w:p>
    <w:p w14:paraId="5148D40A" w14:textId="77777777" w:rsidR="00A82945" w:rsidRDefault="00A82945" w:rsidP="00F45FBB">
      <w:pPr>
        <w:spacing w:after="0" w:line="240" w:lineRule="auto"/>
        <w:jc w:val="both"/>
        <w:rPr>
          <w:rFonts w:ascii="Calibri" w:eastAsia="Times New Roman" w:hAnsi="Calibri" w:cs="Calibri"/>
          <w:b/>
          <w:smallCaps/>
          <w:sz w:val="28"/>
          <w:szCs w:val="28"/>
          <w:lang w:eastAsia="fr-FR"/>
        </w:rPr>
      </w:pPr>
    </w:p>
    <w:p w14:paraId="2BE5DDE7" w14:textId="018FB91E" w:rsidR="00B11E50" w:rsidRPr="006B400E" w:rsidRDefault="002C5C2B" w:rsidP="007718A3">
      <w:pPr>
        <w:pStyle w:val="Titre3"/>
        <w:numPr>
          <w:ilvl w:val="2"/>
          <w:numId w:val="38"/>
        </w:numPr>
        <w:jc w:val="both"/>
      </w:pPr>
      <w:bookmarkStart w:id="71" w:name="_Toc222476901"/>
      <w:r w:rsidRPr="006B400E">
        <w:t xml:space="preserve">Opérations </w:t>
      </w:r>
      <w:r w:rsidR="00A82945" w:rsidRPr="006B400E">
        <w:t>de t</w:t>
      </w:r>
      <w:r w:rsidR="00B11E50" w:rsidRPr="006B400E">
        <w:t xml:space="preserve">ransmission de fonds </w:t>
      </w:r>
      <w:r w:rsidR="00007C50" w:rsidRPr="006B400E">
        <w:t>émises</w:t>
      </w:r>
      <w:r w:rsidR="00A82945" w:rsidRPr="006B400E">
        <w:t xml:space="preserve"> par l’établissement</w:t>
      </w:r>
      <w:bookmarkEnd w:id="71"/>
    </w:p>
    <w:p w14:paraId="03A7F27F" w14:textId="5D0EA3F6" w:rsidR="00B44608" w:rsidRDefault="00B44608" w:rsidP="00F45FBB">
      <w:pPr>
        <w:spacing w:after="0" w:line="240" w:lineRule="auto"/>
        <w:jc w:val="both"/>
        <w:rPr>
          <w:rFonts w:ascii="Calibri" w:eastAsia="Times New Roman" w:hAnsi="Calibri" w:cs="Calibri"/>
          <w:b/>
          <w:smallCaps/>
          <w:sz w:val="24"/>
          <w:szCs w:val="24"/>
          <w:lang w:eastAsia="fr-FR"/>
        </w:rPr>
      </w:pPr>
    </w:p>
    <w:p w14:paraId="15B50C8E" w14:textId="45271E72" w:rsidR="00B44608" w:rsidRPr="00466BF2" w:rsidRDefault="00B44608" w:rsidP="00F45FBB">
      <w:pPr>
        <w:spacing w:after="0" w:line="240" w:lineRule="auto"/>
        <w:jc w:val="both"/>
      </w:pPr>
      <w:r>
        <w:rPr>
          <w:rFonts w:cstheme="minorHAnsi"/>
        </w:rPr>
        <w:t>I</w:t>
      </w:r>
      <w:r w:rsidRPr="006A1B3D">
        <w:rPr>
          <w:rFonts w:cstheme="minorHAnsi"/>
        </w:rPr>
        <w:t>l s’</w:t>
      </w:r>
      <w:r>
        <w:rPr>
          <w:rFonts w:cstheme="minorHAnsi"/>
        </w:rPr>
        <w:t xml:space="preserve">agit de déclarer, en volume et valeur, les opérations de transmission de fond </w:t>
      </w:r>
      <w:r w:rsidR="00007C50">
        <w:rPr>
          <w:rFonts w:cstheme="minorHAnsi"/>
        </w:rPr>
        <w:t xml:space="preserve">émises </w:t>
      </w:r>
      <w:r>
        <w:rPr>
          <w:rFonts w:cstheme="minorHAnsi"/>
        </w:rPr>
        <w:t>par l’établissement en tant que PSP du payeur.</w:t>
      </w:r>
    </w:p>
    <w:p w14:paraId="6271E09B" w14:textId="77777777" w:rsidR="00F45FBB" w:rsidRPr="00466BF2" w:rsidRDefault="00F45FBB" w:rsidP="00F45FBB">
      <w:pPr>
        <w:spacing w:after="0" w:line="240" w:lineRule="auto"/>
        <w:jc w:val="both"/>
        <w:rPr>
          <w:rFonts w:ascii="Calibri" w:hAnsi="Calibri"/>
          <w:b/>
          <w:smallCaps/>
          <w:sz w:val="24"/>
        </w:rPr>
      </w:pPr>
    </w:p>
    <w:p w14:paraId="5D6797FC" w14:textId="77777777" w:rsidR="00F45FBB" w:rsidRDefault="00FE5E9A" w:rsidP="00F45FBB">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6A3E972E" w14:textId="77777777" w:rsidR="00FE5E9A" w:rsidRDefault="00FE5E9A" w:rsidP="00F45FBB">
      <w:pPr>
        <w:spacing w:after="0" w:line="240" w:lineRule="auto"/>
        <w:jc w:val="both"/>
        <w:rPr>
          <w:rFonts w:ascii="Calibri" w:eastAsia="Times New Roman" w:hAnsi="Calibri" w:cs="Calibri"/>
          <w:b/>
          <w:smallCaps/>
          <w:sz w:val="28"/>
          <w:szCs w:val="28"/>
          <w:lang w:eastAsia="fr-FR"/>
        </w:rPr>
      </w:pPr>
    </w:p>
    <w:tbl>
      <w:tblPr>
        <w:tblStyle w:val="Tableausimple2"/>
        <w:tblW w:w="9070" w:type="dxa"/>
        <w:tblLook w:val="04A0" w:firstRow="1" w:lastRow="0" w:firstColumn="1" w:lastColumn="0" w:noHBand="0" w:noVBand="1"/>
      </w:tblPr>
      <w:tblGrid>
        <w:gridCol w:w="3682"/>
        <w:gridCol w:w="222"/>
        <w:gridCol w:w="1433"/>
        <w:gridCol w:w="1417"/>
        <w:gridCol w:w="1158"/>
        <w:gridCol w:w="1158"/>
      </w:tblGrid>
      <w:tr w:rsidR="0098268C" w:rsidRPr="00BB7ACB" w14:paraId="4C515A4D" w14:textId="77777777" w:rsidTr="0001666E">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682" w:type="dxa"/>
            <w:tcBorders>
              <w:top w:val="single" w:sz="18" w:space="0" w:color="5B9BD5" w:themeColor="accent1"/>
              <w:bottom w:val="single" w:sz="4" w:space="0" w:color="5B9BD5" w:themeColor="accent1"/>
              <w:right w:val="nil"/>
            </w:tcBorders>
            <w:noWrap/>
          </w:tcPr>
          <w:p w14:paraId="2C5DF115" w14:textId="77777777" w:rsidR="0098268C" w:rsidRPr="000502C3" w:rsidRDefault="0098268C" w:rsidP="0098268C">
            <w:pPr>
              <w:rPr>
                <w:rFonts w:ascii="Calibri" w:eastAsia="Times New Roman" w:hAnsi="Calibri" w:cs="Calibri"/>
                <w:i/>
                <w:sz w:val="18"/>
                <w:szCs w:val="18"/>
                <w:lang w:eastAsia="fr-FR"/>
              </w:rPr>
            </w:pPr>
          </w:p>
        </w:tc>
        <w:tc>
          <w:tcPr>
            <w:tcW w:w="222" w:type="dxa"/>
            <w:tcBorders>
              <w:top w:val="single" w:sz="18" w:space="0" w:color="5B9BD5" w:themeColor="accent1"/>
              <w:left w:val="nil"/>
              <w:bottom w:val="single" w:sz="4" w:space="0" w:color="5B9BD5" w:themeColor="accent1"/>
              <w:right w:val="single" w:sz="4" w:space="0" w:color="5B9BD5" w:themeColor="accent1"/>
            </w:tcBorders>
          </w:tcPr>
          <w:p w14:paraId="2AF68DF8" w14:textId="77777777" w:rsidR="0098268C" w:rsidRPr="000502C3" w:rsidRDefault="0098268C" w:rsidP="009826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43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4FB126AE" w14:textId="77777777" w:rsidR="0098268C" w:rsidRPr="00466BF2" w:rsidRDefault="0098268C" w:rsidP="0098268C">
            <w:pPr>
              <w:jc w:val="both"/>
              <w:cnfStyle w:val="100000000000" w:firstRow="1" w:lastRow="0" w:firstColumn="0" w:lastColumn="0" w:oddVBand="0" w:evenVBand="0" w:oddHBand="0" w:evenHBand="0" w:firstRowFirstColumn="0" w:firstRowLastColumn="0" w:lastRowFirstColumn="0" w:lastRowLastColumn="0"/>
              <w:rPr>
                <w:rFonts w:ascii="Calibri" w:hAnsi="Calibri"/>
                <w:sz w:val="18"/>
              </w:rPr>
            </w:pPr>
          </w:p>
        </w:tc>
        <w:tc>
          <w:tcPr>
            <w:tcW w:w="1417" w:type="dxa"/>
            <w:tcBorders>
              <w:top w:val="single" w:sz="18" w:space="0" w:color="5B9BD5" w:themeColor="accent1"/>
              <w:bottom w:val="single" w:sz="18" w:space="0" w:color="5B9BD5" w:themeColor="accent1"/>
              <w:right w:val="single" w:sz="2" w:space="0" w:color="5B9BD5" w:themeColor="accent1"/>
            </w:tcBorders>
            <w:shd w:val="solid" w:color="FFFFFF" w:fill="000000"/>
            <w:noWrap/>
          </w:tcPr>
          <w:p w14:paraId="5A25B4E8" w14:textId="52B9B9BD" w:rsidR="0098268C" w:rsidRPr="000502C3" w:rsidRDefault="004E68CF" w:rsidP="0098268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Pays du PSP du payé</w:t>
            </w:r>
          </w:p>
        </w:tc>
        <w:tc>
          <w:tcPr>
            <w:tcW w:w="1158"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399FDFF" w14:textId="5E04701C" w:rsidR="0098268C" w:rsidRPr="000502C3" w:rsidRDefault="0098268C" w:rsidP="0098268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1158" w:type="dxa"/>
            <w:tcBorders>
              <w:top w:val="single" w:sz="18" w:space="0" w:color="5B9BD5" w:themeColor="accent1"/>
              <w:left w:val="single" w:sz="2" w:space="0" w:color="5B9BD5" w:themeColor="accent1"/>
              <w:bottom w:val="single" w:sz="18" w:space="0" w:color="5B9BD5" w:themeColor="accent1"/>
            </w:tcBorders>
            <w:shd w:val="solid" w:color="FFFFFF" w:fill="000000"/>
          </w:tcPr>
          <w:p w14:paraId="6B4DD064" w14:textId="77777777" w:rsidR="0098268C" w:rsidRDefault="0098268C" w:rsidP="0098268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75B2180B" w14:textId="23406D96" w:rsidR="0098268C" w:rsidRPr="000502C3" w:rsidRDefault="0098268C" w:rsidP="0098268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Pr>
                <w:rFonts w:cstheme="minorHAnsi"/>
                <w:sz w:val="14"/>
                <w:szCs w:val="18"/>
              </w:rPr>
              <w:t>euros</w:t>
            </w:r>
            <w:proofErr w:type="gramEnd"/>
          </w:p>
        </w:tc>
      </w:tr>
      <w:tr w:rsidR="004E68CF" w:rsidRPr="00BB7ACB" w14:paraId="7ED172D8" w14:textId="4949E1E3" w:rsidTr="004E68C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682" w:type="dxa"/>
            <w:tcBorders>
              <w:top w:val="single" w:sz="18" w:space="0" w:color="5B9BD5" w:themeColor="accent1"/>
              <w:bottom w:val="single" w:sz="4" w:space="0" w:color="5B9BD5" w:themeColor="accent1"/>
              <w:right w:val="nil"/>
            </w:tcBorders>
            <w:noWrap/>
            <w:hideMark/>
          </w:tcPr>
          <w:p w14:paraId="3BC8C626" w14:textId="6D37C37B" w:rsidR="004E68CF" w:rsidRPr="000502C3" w:rsidRDefault="004E68CF" w:rsidP="004E68CF">
            <w:pPr>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 xml:space="preserve">Opérations </w:t>
            </w:r>
            <w:r>
              <w:rPr>
                <w:rFonts w:ascii="Calibri" w:eastAsia="Times New Roman" w:hAnsi="Calibri" w:cs="Calibri"/>
                <w:i/>
                <w:sz w:val="18"/>
                <w:szCs w:val="18"/>
                <w:lang w:eastAsia="fr-FR"/>
              </w:rPr>
              <w:t xml:space="preserve">de </w:t>
            </w:r>
            <w:r w:rsidRPr="000502C3">
              <w:rPr>
                <w:rFonts w:ascii="Calibri" w:eastAsia="Times New Roman" w:hAnsi="Calibri" w:cs="Calibri"/>
                <w:i/>
                <w:sz w:val="18"/>
                <w:szCs w:val="18"/>
                <w:lang w:eastAsia="fr-FR"/>
              </w:rPr>
              <w:t xml:space="preserve">transmission des fonds </w:t>
            </w:r>
            <w:r>
              <w:rPr>
                <w:rFonts w:ascii="Calibri" w:eastAsia="Times New Roman" w:hAnsi="Calibri" w:cs="Calibri"/>
                <w:i/>
                <w:sz w:val="18"/>
                <w:szCs w:val="18"/>
                <w:lang w:eastAsia="fr-FR"/>
              </w:rPr>
              <w:t>émises</w:t>
            </w:r>
            <w:r w:rsidRPr="000502C3">
              <w:rPr>
                <w:rFonts w:ascii="Calibri" w:eastAsia="Times New Roman" w:hAnsi="Calibri" w:cs="Calibri"/>
                <w:i/>
                <w:sz w:val="18"/>
                <w:szCs w:val="18"/>
                <w:lang w:eastAsia="fr-FR"/>
              </w:rPr>
              <w:t xml:space="preserve"> par l’établissement</w:t>
            </w:r>
          </w:p>
        </w:tc>
        <w:tc>
          <w:tcPr>
            <w:tcW w:w="222" w:type="dxa"/>
            <w:tcBorders>
              <w:top w:val="single" w:sz="18" w:space="0" w:color="5B9BD5" w:themeColor="accent1"/>
              <w:left w:val="nil"/>
              <w:bottom w:val="single" w:sz="4" w:space="0" w:color="5B9BD5" w:themeColor="accent1"/>
              <w:right w:val="single" w:sz="4" w:space="0" w:color="5B9BD5" w:themeColor="accent1"/>
            </w:tcBorders>
          </w:tcPr>
          <w:p w14:paraId="2066851C" w14:textId="77777777" w:rsidR="004E68CF" w:rsidRPr="000502C3"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43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80D4CD4" w14:textId="07FB047F" w:rsidR="004E68CF" w:rsidRPr="000502C3" w:rsidRDefault="004E68CF" w:rsidP="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417" w:type="dxa"/>
            <w:tcBorders>
              <w:top w:val="single" w:sz="18" w:space="0" w:color="5B9BD5" w:themeColor="accent1"/>
              <w:bottom w:val="none" w:sz="0" w:space="0" w:color="auto"/>
            </w:tcBorders>
            <w:noWrap/>
          </w:tcPr>
          <w:p w14:paraId="514929B2" w14:textId="236CBA6C" w:rsidR="004E68CF" w:rsidRPr="009647F5" w:rsidRDefault="004E68CF" w:rsidP="004E6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4E68CF">
              <w:rPr>
                <w:rFonts w:ascii="Calibri" w:eastAsia="Times New Roman" w:hAnsi="Calibri" w:cs="Calibri"/>
                <w:sz w:val="14"/>
                <w:szCs w:val="18"/>
                <w:lang w:eastAsia="fr-FR"/>
              </w:rPr>
              <w:t>Selon ventilation géographique en section 5</w:t>
            </w:r>
            <w:r w:rsidR="002262D6">
              <w:rPr>
                <w:rFonts w:ascii="Calibri" w:eastAsia="Times New Roman" w:hAnsi="Calibri" w:cs="Calibri"/>
                <w:sz w:val="14"/>
                <w:szCs w:val="18"/>
                <w:lang w:eastAsia="fr-FR"/>
              </w:rPr>
              <w:t>.1</w:t>
            </w:r>
          </w:p>
        </w:tc>
        <w:tc>
          <w:tcPr>
            <w:tcW w:w="1158" w:type="dxa"/>
            <w:tcBorders>
              <w:top w:val="single" w:sz="18" w:space="0" w:color="5B9BD5" w:themeColor="accent1"/>
              <w:left w:val="single" w:sz="4" w:space="0" w:color="5B9BD5" w:themeColor="accent1"/>
              <w:bottom w:val="single" w:sz="4" w:space="0" w:color="5B9BD5" w:themeColor="accent1"/>
            </w:tcBorders>
          </w:tcPr>
          <w:p w14:paraId="51D11A7B" w14:textId="77777777" w:rsidR="004E68CF" w:rsidRPr="000502C3"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58" w:type="dxa"/>
            <w:tcBorders>
              <w:top w:val="single" w:sz="18" w:space="0" w:color="5B9BD5" w:themeColor="accent1"/>
              <w:left w:val="single" w:sz="4" w:space="0" w:color="5B9BD5" w:themeColor="accent1"/>
              <w:bottom w:val="single" w:sz="4" w:space="0" w:color="5B9BD5" w:themeColor="accent1"/>
            </w:tcBorders>
          </w:tcPr>
          <w:p w14:paraId="326BA4AC" w14:textId="77777777" w:rsidR="004E68CF" w:rsidRPr="000502C3"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bl>
    <w:p w14:paraId="7E377243" w14:textId="77777777" w:rsidR="00B0114D" w:rsidRDefault="00B0114D" w:rsidP="00B0114D">
      <w:pPr>
        <w:pStyle w:val="Paragraphedeliste"/>
        <w:autoSpaceDE w:val="0"/>
        <w:autoSpaceDN w:val="0"/>
        <w:adjustRightInd w:val="0"/>
        <w:spacing w:after="0" w:line="240" w:lineRule="auto"/>
        <w:jc w:val="both"/>
        <w:rPr>
          <w:rFonts w:cstheme="minorHAnsi"/>
        </w:rPr>
      </w:pPr>
    </w:p>
    <w:p w14:paraId="30275D04" w14:textId="77777777" w:rsidR="00B0114D" w:rsidRPr="00466BF2" w:rsidRDefault="00B0114D" w:rsidP="00466BF2">
      <w:pPr>
        <w:spacing w:after="0" w:line="240" w:lineRule="auto"/>
        <w:jc w:val="both"/>
        <w:rPr>
          <w:rFonts w:ascii="Calibri" w:hAnsi="Calibri"/>
          <w:b/>
          <w:smallCaps/>
          <w:color w:val="2E74B5" w:themeColor="accent1" w:themeShade="BF"/>
          <w:sz w:val="24"/>
        </w:rPr>
      </w:pPr>
      <w:r w:rsidRPr="00466BF2">
        <w:rPr>
          <w:rFonts w:ascii="Calibri" w:hAnsi="Calibri"/>
          <w:b/>
          <w:smallCaps/>
          <w:color w:val="2E74B5" w:themeColor="accent1" w:themeShade="BF"/>
          <w:sz w:val="24"/>
        </w:rPr>
        <w:t>Contrôles :</w:t>
      </w:r>
    </w:p>
    <w:p w14:paraId="712832D9" w14:textId="1BBD390F" w:rsidR="00B0114D" w:rsidRPr="00346936" w:rsidRDefault="00B0114D" w:rsidP="00B0114D">
      <w:pPr>
        <w:pStyle w:val="Paragraphedeliste"/>
        <w:autoSpaceDE w:val="0"/>
        <w:autoSpaceDN w:val="0"/>
        <w:adjustRightInd w:val="0"/>
        <w:spacing w:after="0" w:line="240" w:lineRule="auto"/>
        <w:jc w:val="both"/>
        <w:rPr>
          <w:rFonts w:cstheme="minorHAnsi"/>
        </w:rPr>
      </w:pPr>
    </w:p>
    <w:p w14:paraId="4542B902" w14:textId="7C28B1D4" w:rsidR="00346936" w:rsidRPr="0081549B" w:rsidRDefault="00346936" w:rsidP="0081549B">
      <w:pPr>
        <w:spacing w:after="0" w:line="240" w:lineRule="auto"/>
        <w:jc w:val="both"/>
        <w:rPr>
          <w:rFonts w:cstheme="minorHAnsi"/>
        </w:rPr>
      </w:pPr>
      <w:r w:rsidRPr="0081549B">
        <w:rPr>
          <w:rFonts w:cstheme="minorHAnsi"/>
        </w:rPr>
        <w:t>Les règles de contrôle suivantes doivent être app</w:t>
      </w:r>
      <w:r w:rsidR="00E06F9C" w:rsidRPr="0081549B">
        <w:rPr>
          <w:rFonts w:cstheme="minorHAnsi"/>
        </w:rPr>
        <w:t>liquées en nombre et en valeur.</w:t>
      </w:r>
    </w:p>
    <w:p w14:paraId="0EADAE08" w14:textId="4B853185" w:rsidR="00346936" w:rsidRDefault="00346936" w:rsidP="00B0114D">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98268C" w:rsidRPr="006D1216" w14:paraId="19ED9D7A" w14:textId="77777777" w:rsidTr="0098268C">
        <w:tc>
          <w:tcPr>
            <w:tcW w:w="9054" w:type="dxa"/>
          </w:tcPr>
          <w:p w14:paraId="73BDE219" w14:textId="5E7CFEA1" w:rsidR="0098268C" w:rsidRPr="00466BF2" w:rsidRDefault="0098268C" w:rsidP="0098268C">
            <w:pPr>
              <w:pStyle w:val="Paragraphedeliste"/>
              <w:autoSpaceDE w:val="0"/>
              <w:autoSpaceDN w:val="0"/>
              <w:adjustRightInd w:val="0"/>
              <w:ind w:left="0"/>
              <w:jc w:val="both"/>
              <w:rPr>
                <w:sz w:val="18"/>
              </w:rPr>
            </w:pPr>
            <w:r>
              <w:rPr>
                <w:rFonts w:cstheme="minorHAnsi"/>
                <w:sz w:val="18"/>
                <w:szCs w:val="18"/>
              </w:rPr>
              <w:t xml:space="preserve">Le total des opérations de transmission de fonds émises est = à la somme des trois sous-ventilations géographiques associées (France, au sein de l’EEE et </w:t>
            </w:r>
            <w:r w:rsidRPr="000945DD">
              <w:rPr>
                <w:rFonts w:cstheme="minorHAnsi"/>
                <w:sz w:val="18"/>
                <w:szCs w:val="18"/>
              </w:rPr>
              <w:t>hors de l’EEE</w:t>
            </w:r>
            <w:r w:rsidR="007C06E0">
              <w:rPr>
                <w:rFonts w:cstheme="minorHAnsi"/>
                <w:sz w:val="18"/>
                <w:szCs w:val="18"/>
              </w:rPr>
              <w:t>)</w:t>
            </w:r>
            <w:r w:rsidRPr="000945DD">
              <w:rPr>
                <w:rFonts w:cstheme="minorHAnsi"/>
                <w:sz w:val="18"/>
                <w:szCs w:val="18"/>
              </w:rPr>
              <w:t>.</w:t>
            </w:r>
          </w:p>
        </w:tc>
      </w:tr>
      <w:tr w:rsidR="0098268C" w:rsidRPr="005771F5" w14:paraId="557D00C9" w14:textId="77777777" w:rsidTr="0098268C">
        <w:tc>
          <w:tcPr>
            <w:tcW w:w="9054" w:type="dxa"/>
          </w:tcPr>
          <w:p w14:paraId="4BBF114F" w14:textId="00598727" w:rsidR="0098268C" w:rsidRPr="00466BF2" w:rsidRDefault="0098268C" w:rsidP="0098268C">
            <w:pPr>
              <w:pStyle w:val="Paragraphedeliste"/>
              <w:autoSpaceDE w:val="0"/>
              <w:autoSpaceDN w:val="0"/>
              <w:adjustRightInd w:val="0"/>
              <w:ind w:left="0"/>
              <w:jc w:val="both"/>
              <w:rPr>
                <w:sz w:val="18"/>
              </w:rPr>
            </w:pPr>
            <w:r>
              <w:rPr>
                <w:rFonts w:cstheme="minorHAnsi"/>
                <w:sz w:val="18"/>
                <w:szCs w:val="18"/>
              </w:rPr>
              <w:t>Le total des opérations de transmission de fonds émises « au sein de la zone de l’EEE » est = à la somme de la ventilation par pays de l’EEE.</w:t>
            </w:r>
          </w:p>
        </w:tc>
      </w:tr>
    </w:tbl>
    <w:p w14:paraId="2F813FDC" w14:textId="77777777" w:rsidR="00B0114D" w:rsidRDefault="00B0114D" w:rsidP="00B0114D">
      <w:pPr>
        <w:pStyle w:val="Paragraphedeliste"/>
        <w:autoSpaceDE w:val="0"/>
        <w:autoSpaceDN w:val="0"/>
        <w:adjustRightInd w:val="0"/>
        <w:spacing w:after="0" w:line="240" w:lineRule="auto"/>
        <w:jc w:val="both"/>
        <w:rPr>
          <w:rFonts w:cstheme="minorHAnsi"/>
        </w:rPr>
      </w:pPr>
    </w:p>
    <w:p w14:paraId="07D9371D" w14:textId="15400597" w:rsidR="00A82945" w:rsidRPr="006B400E" w:rsidRDefault="004C753D" w:rsidP="007718A3">
      <w:pPr>
        <w:pStyle w:val="Titre3"/>
        <w:numPr>
          <w:ilvl w:val="2"/>
          <w:numId w:val="38"/>
        </w:numPr>
        <w:jc w:val="both"/>
      </w:pPr>
      <w:bookmarkStart w:id="72" w:name="_Toc222476902"/>
      <w:r w:rsidRPr="006B400E">
        <w:lastRenderedPageBreak/>
        <w:t xml:space="preserve">Opérations de transmission de fonds </w:t>
      </w:r>
      <w:r w:rsidR="00A82945" w:rsidRPr="006B400E">
        <w:t>reçu</w:t>
      </w:r>
      <w:r w:rsidR="009D45D7" w:rsidRPr="006B400E">
        <w:t>e</w:t>
      </w:r>
      <w:r w:rsidR="00A82945" w:rsidRPr="006B400E">
        <w:t>s par l’établissement</w:t>
      </w:r>
      <w:bookmarkEnd w:id="72"/>
    </w:p>
    <w:p w14:paraId="4E12F1EA" w14:textId="1D03B171" w:rsidR="00F62115" w:rsidRDefault="00F62115" w:rsidP="00F735D7">
      <w:pPr>
        <w:spacing w:after="0" w:line="240" w:lineRule="auto"/>
        <w:rPr>
          <w:rFonts w:ascii="Calibri" w:eastAsia="Times New Roman" w:hAnsi="Calibri" w:cs="Calibri"/>
          <w:i/>
          <w:sz w:val="20"/>
          <w:szCs w:val="20"/>
          <w:lang w:eastAsia="fr-FR"/>
        </w:rPr>
      </w:pPr>
    </w:p>
    <w:p w14:paraId="2CDC7EDD" w14:textId="657F55DF" w:rsidR="004C753D" w:rsidRPr="00B11E50" w:rsidRDefault="004C753D" w:rsidP="004C753D">
      <w:pPr>
        <w:spacing w:after="0" w:line="240" w:lineRule="auto"/>
        <w:jc w:val="both"/>
        <w:rPr>
          <w:rFonts w:ascii="Calibri" w:eastAsia="Times New Roman" w:hAnsi="Calibri" w:cs="Calibri"/>
          <w:b/>
          <w:smallCaps/>
          <w:sz w:val="24"/>
          <w:szCs w:val="24"/>
          <w:lang w:eastAsia="fr-FR"/>
        </w:rPr>
      </w:pPr>
      <w:r>
        <w:rPr>
          <w:rFonts w:cstheme="minorHAnsi"/>
        </w:rPr>
        <w:t>I</w:t>
      </w:r>
      <w:r w:rsidRPr="006A1B3D">
        <w:rPr>
          <w:rFonts w:cstheme="minorHAnsi"/>
        </w:rPr>
        <w:t>l s’</w:t>
      </w:r>
      <w:r>
        <w:rPr>
          <w:rFonts w:cstheme="minorHAnsi"/>
        </w:rPr>
        <w:t>agit de déclarer, en volume et valeur, les opérations de transmission de fond reçues par l’établissement en tant que PSP du payé.</w:t>
      </w:r>
    </w:p>
    <w:p w14:paraId="31BB0375" w14:textId="77777777" w:rsidR="004C753D" w:rsidRDefault="004C753D" w:rsidP="00F735D7">
      <w:pPr>
        <w:spacing w:after="0" w:line="240" w:lineRule="auto"/>
        <w:rPr>
          <w:rFonts w:ascii="Calibri" w:eastAsia="Times New Roman" w:hAnsi="Calibri" w:cs="Calibri"/>
          <w:i/>
          <w:sz w:val="20"/>
          <w:szCs w:val="20"/>
          <w:lang w:eastAsia="fr-FR"/>
        </w:rPr>
      </w:pPr>
    </w:p>
    <w:p w14:paraId="29F37E11"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3311A67F" w14:textId="021F52ED" w:rsidR="00F62115" w:rsidRDefault="00F62115" w:rsidP="00F735D7">
      <w:pPr>
        <w:spacing w:after="0" w:line="240" w:lineRule="auto"/>
        <w:rPr>
          <w:rFonts w:ascii="Calibri" w:eastAsia="Times New Roman" w:hAnsi="Calibri" w:cs="Calibri"/>
          <w:i/>
          <w:sz w:val="20"/>
          <w:szCs w:val="20"/>
          <w:lang w:eastAsia="fr-FR"/>
        </w:rPr>
      </w:pPr>
    </w:p>
    <w:tbl>
      <w:tblPr>
        <w:tblStyle w:val="Tableausimple2"/>
        <w:tblW w:w="8789"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28"/>
        <w:gridCol w:w="1559"/>
        <w:gridCol w:w="1134"/>
        <w:gridCol w:w="1134"/>
        <w:gridCol w:w="1134"/>
      </w:tblGrid>
      <w:tr w:rsidR="00447E28" w:rsidRPr="00BB7ACB" w14:paraId="68818AAC" w14:textId="77777777" w:rsidTr="0028341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8" w:type="dxa"/>
            <w:tcBorders>
              <w:bottom w:val="single" w:sz="18" w:space="0" w:color="5B9BD5" w:themeColor="accent1"/>
            </w:tcBorders>
            <w:noWrap/>
          </w:tcPr>
          <w:p w14:paraId="73E6EC62" w14:textId="77777777" w:rsidR="00447E28" w:rsidRPr="000502C3" w:rsidRDefault="00447E28" w:rsidP="00447E28">
            <w:pPr>
              <w:rPr>
                <w:rFonts w:ascii="Calibri" w:eastAsia="Times New Roman" w:hAnsi="Calibri" w:cs="Calibri"/>
                <w:i/>
                <w:sz w:val="18"/>
                <w:szCs w:val="18"/>
                <w:lang w:eastAsia="fr-FR"/>
              </w:rPr>
            </w:pPr>
          </w:p>
        </w:tc>
        <w:tc>
          <w:tcPr>
            <w:tcW w:w="1559" w:type="dxa"/>
            <w:tcBorders>
              <w:bottom w:val="single" w:sz="18" w:space="0" w:color="5B9BD5" w:themeColor="accent1"/>
            </w:tcBorders>
          </w:tcPr>
          <w:p w14:paraId="7D076C1A" w14:textId="77777777" w:rsidR="00447E28" w:rsidRPr="00466BF2" w:rsidRDefault="00447E28" w:rsidP="00447E28">
            <w:pPr>
              <w:jc w:val="both"/>
              <w:cnfStyle w:val="100000000000" w:firstRow="1" w:lastRow="0" w:firstColumn="0" w:lastColumn="0" w:oddVBand="0" w:evenVBand="0" w:oddHBand="0" w:evenHBand="0" w:firstRowFirstColumn="0" w:firstRowLastColumn="0" w:lastRowFirstColumn="0" w:lastRowLastColumn="0"/>
              <w:rPr>
                <w:rFonts w:ascii="Calibri" w:hAnsi="Calibri"/>
                <w:sz w:val="18"/>
              </w:rPr>
            </w:pPr>
          </w:p>
        </w:tc>
        <w:tc>
          <w:tcPr>
            <w:tcW w:w="1134" w:type="dxa"/>
            <w:tcBorders>
              <w:top w:val="single" w:sz="18" w:space="0" w:color="5B9BD5" w:themeColor="accent1"/>
              <w:bottom w:val="single" w:sz="18" w:space="0" w:color="5B9BD5" w:themeColor="accent1"/>
              <w:right w:val="single" w:sz="2" w:space="0" w:color="5B9BD5" w:themeColor="accent1"/>
            </w:tcBorders>
            <w:shd w:val="solid" w:color="FFFFFF" w:fill="000000"/>
            <w:noWrap/>
          </w:tcPr>
          <w:p w14:paraId="20CB1A9B" w14:textId="6CD42709" w:rsidR="00447E28" w:rsidRPr="000502C3" w:rsidRDefault="004E68CF" w:rsidP="004E68C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Pays du PSP du payeur</w:t>
            </w: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2AC87B36" w14:textId="769445B1" w:rsidR="00447E28" w:rsidRPr="000502C3" w:rsidRDefault="00447E28" w:rsidP="004E68C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113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31428153" w14:textId="77777777" w:rsidR="00447E28" w:rsidRDefault="00447E28" w:rsidP="004E68C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682B845B" w14:textId="5F6827E4" w:rsidR="00447E28" w:rsidRPr="000502C3" w:rsidRDefault="00447E28" w:rsidP="004E68C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Pr>
                <w:rFonts w:cstheme="minorHAnsi"/>
                <w:sz w:val="14"/>
                <w:szCs w:val="18"/>
              </w:rPr>
              <w:t>euros</w:t>
            </w:r>
            <w:proofErr w:type="gramEnd"/>
          </w:p>
        </w:tc>
      </w:tr>
      <w:tr w:rsidR="004E68CF" w:rsidRPr="00BB7ACB" w14:paraId="3BDA1867" w14:textId="08910854" w:rsidTr="004E68C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8" w:type="dxa"/>
            <w:tcBorders>
              <w:top w:val="single" w:sz="18" w:space="0" w:color="5B9BD5" w:themeColor="accent1"/>
              <w:bottom w:val="single" w:sz="18" w:space="0" w:color="5B9BD5" w:themeColor="accent1"/>
            </w:tcBorders>
            <w:noWrap/>
            <w:hideMark/>
          </w:tcPr>
          <w:p w14:paraId="641F56C5" w14:textId="37E4B0C1" w:rsidR="004E68CF" w:rsidRPr="000502C3" w:rsidRDefault="004E68CF" w:rsidP="004E68CF">
            <w:pPr>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Transmissions des fonds reçus par l’établissement</w:t>
            </w:r>
          </w:p>
        </w:tc>
        <w:tc>
          <w:tcPr>
            <w:tcW w:w="1559" w:type="dxa"/>
            <w:tcBorders>
              <w:top w:val="single" w:sz="18" w:space="0" w:color="5B9BD5" w:themeColor="accent1"/>
              <w:bottom w:val="single" w:sz="18" w:space="0" w:color="5B9BD5" w:themeColor="accent1"/>
            </w:tcBorders>
          </w:tcPr>
          <w:p w14:paraId="2F0395D0" w14:textId="2E944EBC" w:rsidR="004E68CF" w:rsidRPr="000502C3" w:rsidRDefault="004E68CF" w:rsidP="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18" w:space="0" w:color="5B9BD5" w:themeColor="accent1"/>
              <w:bottom w:val="none" w:sz="0" w:space="0" w:color="auto"/>
            </w:tcBorders>
            <w:noWrap/>
          </w:tcPr>
          <w:p w14:paraId="37972102" w14:textId="3D0619C3" w:rsidR="004E68CF" w:rsidRPr="000502C3" w:rsidRDefault="004E68CF" w:rsidP="004E6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sidRPr="004E68CF">
              <w:rPr>
                <w:rFonts w:ascii="Calibri" w:eastAsia="Times New Roman" w:hAnsi="Calibri" w:cs="Calibri"/>
                <w:sz w:val="14"/>
                <w:szCs w:val="18"/>
                <w:lang w:eastAsia="fr-FR"/>
              </w:rPr>
              <w:t>Selon ventilation géographique en section 5</w:t>
            </w:r>
            <w:r w:rsidR="002262D6">
              <w:rPr>
                <w:rFonts w:ascii="Calibri" w:eastAsia="Times New Roman" w:hAnsi="Calibri" w:cs="Calibri"/>
                <w:sz w:val="14"/>
                <w:szCs w:val="18"/>
                <w:lang w:eastAsia="fr-FR"/>
              </w:rPr>
              <w:t>.1</w:t>
            </w:r>
          </w:p>
        </w:tc>
        <w:tc>
          <w:tcPr>
            <w:tcW w:w="1134" w:type="dxa"/>
            <w:tcBorders>
              <w:top w:val="single" w:sz="18" w:space="0" w:color="5B9BD5" w:themeColor="accent1"/>
              <w:bottom w:val="single" w:sz="18" w:space="0" w:color="5B9BD5" w:themeColor="accent1"/>
            </w:tcBorders>
          </w:tcPr>
          <w:p w14:paraId="07F7D090" w14:textId="77777777" w:rsidR="004E68CF" w:rsidRPr="000502C3"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4" w:type="dxa"/>
            <w:tcBorders>
              <w:top w:val="single" w:sz="18" w:space="0" w:color="5B9BD5" w:themeColor="accent1"/>
              <w:bottom w:val="single" w:sz="18" w:space="0" w:color="5B9BD5" w:themeColor="accent1"/>
            </w:tcBorders>
          </w:tcPr>
          <w:p w14:paraId="3EF922C8" w14:textId="77777777" w:rsidR="004E68CF" w:rsidRPr="000502C3"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bl>
    <w:p w14:paraId="3FE0ADDF" w14:textId="77777777" w:rsidR="00B0114D" w:rsidRDefault="00B0114D" w:rsidP="00B0114D">
      <w:pPr>
        <w:pStyle w:val="Paragraphedeliste"/>
        <w:autoSpaceDE w:val="0"/>
        <w:autoSpaceDN w:val="0"/>
        <w:adjustRightInd w:val="0"/>
        <w:spacing w:after="0" w:line="240" w:lineRule="auto"/>
        <w:jc w:val="both"/>
        <w:rPr>
          <w:rFonts w:cstheme="minorHAnsi"/>
        </w:rPr>
      </w:pPr>
    </w:p>
    <w:p w14:paraId="297B1011" w14:textId="77777777" w:rsidR="00B0114D" w:rsidRPr="00466BF2" w:rsidRDefault="00B0114D" w:rsidP="00466BF2">
      <w:pPr>
        <w:spacing w:after="0" w:line="240" w:lineRule="auto"/>
        <w:jc w:val="both"/>
        <w:rPr>
          <w:rFonts w:ascii="Calibri" w:hAnsi="Calibri"/>
          <w:b/>
          <w:smallCaps/>
          <w:color w:val="2E74B5" w:themeColor="accent1" w:themeShade="BF"/>
          <w:sz w:val="24"/>
        </w:rPr>
      </w:pPr>
      <w:r w:rsidRPr="00466BF2">
        <w:rPr>
          <w:rFonts w:ascii="Calibri" w:hAnsi="Calibri"/>
          <w:b/>
          <w:smallCaps/>
          <w:color w:val="2E74B5" w:themeColor="accent1" w:themeShade="BF"/>
          <w:sz w:val="24"/>
        </w:rPr>
        <w:t>Contrôles :</w:t>
      </w:r>
    </w:p>
    <w:p w14:paraId="71241DA9" w14:textId="4FCBC8C7" w:rsidR="00B0114D" w:rsidRPr="009B2AF0" w:rsidRDefault="00B0114D" w:rsidP="00B0114D">
      <w:pPr>
        <w:pStyle w:val="Paragraphedeliste"/>
        <w:autoSpaceDE w:val="0"/>
        <w:autoSpaceDN w:val="0"/>
        <w:adjustRightInd w:val="0"/>
        <w:spacing w:after="0" w:line="240" w:lineRule="auto"/>
        <w:jc w:val="both"/>
        <w:rPr>
          <w:rFonts w:cstheme="minorHAnsi"/>
        </w:rPr>
      </w:pPr>
    </w:p>
    <w:p w14:paraId="20DEBB2B" w14:textId="77777777" w:rsidR="00E06F9C" w:rsidRPr="0081549B" w:rsidRDefault="009B2AF0" w:rsidP="0081549B">
      <w:pPr>
        <w:autoSpaceDE w:val="0"/>
        <w:autoSpaceDN w:val="0"/>
        <w:adjustRightInd w:val="0"/>
        <w:spacing w:after="0" w:line="240" w:lineRule="auto"/>
        <w:jc w:val="both"/>
        <w:rPr>
          <w:rFonts w:cstheme="minorHAnsi"/>
        </w:rPr>
      </w:pPr>
      <w:r w:rsidRPr="0081549B">
        <w:rPr>
          <w:rFonts w:cstheme="minorHAnsi"/>
        </w:rPr>
        <w:t>Les règles de contrôle suivantes doivent être app</w:t>
      </w:r>
      <w:r w:rsidR="00E06F9C" w:rsidRPr="0081549B">
        <w:rPr>
          <w:rFonts w:cstheme="minorHAnsi"/>
        </w:rPr>
        <w:t>liquées en nombre et en valeur.</w:t>
      </w:r>
    </w:p>
    <w:p w14:paraId="3C776D6A" w14:textId="392A251E" w:rsidR="009B2AF0" w:rsidRDefault="00E06F9C" w:rsidP="00B0114D">
      <w:pPr>
        <w:pStyle w:val="Paragraphedeliste"/>
        <w:autoSpaceDE w:val="0"/>
        <w:autoSpaceDN w:val="0"/>
        <w:adjustRightInd w:val="0"/>
        <w:spacing w:after="0" w:line="240" w:lineRule="auto"/>
        <w:jc w:val="both"/>
        <w:rPr>
          <w:rFonts w:cstheme="minorHAnsi"/>
        </w:rPr>
      </w:pPr>
      <w:r>
        <w:rPr>
          <w:rFonts w:cstheme="minorHAnsi"/>
        </w:rPr>
        <w:t xml:space="preserve"> </w:t>
      </w:r>
    </w:p>
    <w:tbl>
      <w:tblPr>
        <w:tblStyle w:val="Grilledutableau"/>
        <w:tblW w:w="8771"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8771"/>
      </w:tblGrid>
      <w:tr w:rsidR="00447E28" w:rsidRPr="00191426" w14:paraId="721392A1" w14:textId="77777777" w:rsidTr="00447E28">
        <w:tc>
          <w:tcPr>
            <w:tcW w:w="8771" w:type="dxa"/>
          </w:tcPr>
          <w:p w14:paraId="1192D329" w14:textId="3F3972EF" w:rsidR="00447E28" w:rsidRPr="00466BF2" w:rsidRDefault="00447E28" w:rsidP="00447E28">
            <w:pPr>
              <w:pStyle w:val="Paragraphedeliste"/>
              <w:autoSpaceDE w:val="0"/>
              <w:autoSpaceDN w:val="0"/>
              <w:adjustRightInd w:val="0"/>
              <w:ind w:left="0"/>
              <w:jc w:val="both"/>
              <w:rPr>
                <w:sz w:val="18"/>
              </w:rPr>
            </w:pPr>
            <w:r>
              <w:rPr>
                <w:rFonts w:cstheme="minorHAnsi"/>
                <w:sz w:val="18"/>
                <w:szCs w:val="18"/>
              </w:rPr>
              <w:t xml:space="preserve">Le total des opérations de transmission de fonds reçues = à la somme des trois sous-ventilations géographiques associées (France, au sein de l’EEE et </w:t>
            </w:r>
            <w:r w:rsidRPr="000945DD">
              <w:rPr>
                <w:rFonts w:cstheme="minorHAnsi"/>
                <w:sz w:val="18"/>
                <w:szCs w:val="18"/>
              </w:rPr>
              <w:t>hors de l’EEE</w:t>
            </w:r>
            <w:r w:rsidR="007C06E0">
              <w:rPr>
                <w:rFonts w:cstheme="minorHAnsi"/>
                <w:sz w:val="18"/>
                <w:szCs w:val="18"/>
              </w:rPr>
              <w:t>)</w:t>
            </w:r>
            <w:r w:rsidRPr="000945DD">
              <w:rPr>
                <w:rFonts w:cstheme="minorHAnsi"/>
                <w:sz w:val="18"/>
                <w:szCs w:val="18"/>
              </w:rPr>
              <w:t>.</w:t>
            </w:r>
          </w:p>
        </w:tc>
      </w:tr>
      <w:tr w:rsidR="00447E28" w:rsidRPr="00191426" w14:paraId="464159B2" w14:textId="77777777" w:rsidTr="00447E28">
        <w:tc>
          <w:tcPr>
            <w:tcW w:w="8771" w:type="dxa"/>
          </w:tcPr>
          <w:p w14:paraId="73ED20CC" w14:textId="780B2CC5" w:rsidR="00447E28" w:rsidRPr="00191426" w:rsidRDefault="00447E28" w:rsidP="00447E28">
            <w:pPr>
              <w:pStyle w:val="Paragraphedeliste"/>
              <w:autoSpaceDE w:val="0"/>
              <w:autoSpaceDN w:val="0"/>
              <w:adjustRightInd w:val="0"/>
              <w:ind w:left="0"/>
              <w:jc w:val="both"/>
              <w:rPr>
                <w:rFonts w:cstheme="minorHAnsi"/>
                <w:sz w:val="18"/>
                <w:szCs w:val="18"/>
                <w:highlight w:val="green"/>
              </w:rPr>
            </w:pPr>
            <w:r>
              <w:rPr>
                <w:rFonts w:cstheme="minorHAnsi"/>
                <w:sz w:val="18"/>
                <w:szCs w:val="18"/>
              </w:rPr>
              <w:t>Le total des opérations de transmission de fonds reçues « au sein de la zone de l’EEE » est = à la somme de la ventilation par pays de l’EEE.</w:t>
            </w:r>
          </w:p>
        </w:tc>
      </w:tr>
    </w:tbl>
    <w:p w14:paraId="191033ED" w14:textId="5A64254C" w:rsidR="005341AA" w:rsidRDefault="005341AA" w:rsidP="00B0114D">
      <w:pPr>
        <w:pStyle w:val="Paragraphedeliste"/>
        <w:autoSpaceDE w:val="0"/>
        <w:autoSpaceDN w:val="0"/>
        <w:adjustRightInd w:val="0"/>
        <w:spacing w:after="0" w:line="240" w:lineRule="auto"/>
        <w:jc w:val="both"/>
        <w:rPr>
          <w:rFonts w:cstheme="minorHAnsi"/>
        </w:rPr>
      </w:pPr>
    </w:p>
    <w:p w14:paraId="4EF7A96E" w14:textId="77777777" w:rsidR="005341AA" w:rsidRDefault="005341AA" w:rsidP="00B0114D">
      <w:pPr>
        <w:pStyle w:val="Paragraphedeliste"/>
        <w:autoSpaceDE w:val="0"/>
        <w:autoSpaceDN w:val="0"/>
        <w:adjustRightInd w:val="0"/>
        <w:spacing w:after="0" w:line="240" w:lineRule="auto"/>
        <w:jc w:val="both"/>
        <w:rPr>
          <w:rFonts w:cstheme="minorHAnsi"/>
        </w:rPr>
      </w:pPr>
    </w:p>
    <w:p w14:paraId="17C0F7C7" w14:textId="22841BE5" w:rsidR="000B4131" w:rsidRPr="006B400E" w:rsidRDefault="000B4131" w:rsidP="007718A3">
      <w:pPr>
        <w:pStyle w:val="Titre3"/>
        <w:numPr>
          <w:ilvl w:val="2"/>
          <w:numId w:val="38"/>
        </w:numPr>
        <w:jc w:val="both"/>
      </w:pPr>
      <w:bookmarkStart w:id="73" w:name="_Toc222476903"/>
      <w:r w:rsidRPr="006B400E">
        <w:t>Commentaires sur les opérations de transmission de fonds</w:t>
      </w:r>
      <w:bookmarkEnd w:id="73"/>
    </w:p>
    <w:p w14:paraId="60EE3B72" w14:textId="77777777" w:rsidR="000B4131" w:rsidRDefault="000B4131" w:rsidP="000B4131">
      <w:pPr>
        <w:spacing w:after="0" w:line="240" w:lineRule="auto"/>
        <w:jc w:val="both"/>
        <w:rPr>
          <w:rFonts w:ascii="Calibri" w:eastAsia="Times New Roman" w:hAnsi="Calibri" w:cs="Calibri"/>
          <w:b/>
          <w:smallCaps/>
          <w:sz w:val="28"/>
          <w:szCs w:val="28"/>
          <w:lang w:eastAsia="fr-FR"/>
        </w:rPr>
      </w:pPr>
    </w:p>
    <w:p w14:paraId="4BC1B53F"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61531C48" w14:textId="77777777" w:rsidR="00FE5E9A" w:rsidRDefault="00FE5E9A" w:rsidP="000B4131">
      <w:pPr>
        <w:spacing w:after="0" w:line="240" w:lineRule="auto"/>
        <w:jc w:val="both"/>
        <w:rPr>
          <w:rFonts w:ascii="Calibri" w:eastAsia="Times New Roman" w:hAnsi="Calibri" w:cs="Calibri"/>
          <w:b/>
          <w:smallCaps/>
          <w:sz w:val="28"/>
          <w:szCs w:val="28"/>
          <w:lang w:eastAsia="fr-FR"/>
        </w:rPr>
      </w:pPr>
    </w:p>
    <w:tbl>
      <w:tblPr>
        <w:tblStyle w:val="Tableausimple2"/>
        <w:tblW w:w="8789"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820"/>
        <w:gridCol w:w="3969"/>
      </w:tblGrid>
      <w:tr w:rsidR="00447E28" w:rsidRPr="007A2DF0" w14:paraId="74EBA33A" w14:textId="77777777" w:rsidTr="00447E2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tcBorders>
              <w:bottom w:val="none" w:sz="0" w:space="0" w:color="auto"/>
            </w:tcBorders>
            <w:noWrap/>
            <w:hideMark/>
          </w:tcPr>
          <w:p w14:paraId="2E6B806C" w14:textId="77777777" w:rsidR="00447E28" w:rsidRDefault="00447E28" w:rsidP="001C39B8">
            <w:pPr>
              <w:rPr>
                <w:rFonts w:ascii="Calibri" w:eastAsia="Times New Roman" w:hAnsi="Calibri" w:cs="Calibri"/>
                <w:i/>
                <w:sz w:val="20"/>
                <w:szCs w:val="20"/>
                <w:lang w:eastAsia="fr-FR"/>
              </w:rPr>
            </w:pPr>
          </w:p>
          <w:p w14:paraId="6D2A7A4F" w14:textId="78B43BCA" w:rsidR="00447E28" w:rsidRDefault="00447E28" w:rsidP="001C39B8">
            <w:pPr>
              <w:rPr>
                <w:rFonts w:ascii="Calibri" w:eastAsia="Times New Roman" w:hAnsi="Calibri" w:cs="Calibri"/>
                <w:i/>
                <w:sz w:val="20"/>
                <w:szCs w:val="20"/>
                <w:lang w:eastAsia="fr-FR"/>
              </w:rPr>
            </w:pPr>
            <w:r w:rsidRPr="007A2DF0">
              <w:rPr>
                <w:rFonts w:ascii="Calibri" w:eastAsia="Times New Roman" w:hAnsi="Calibri" w:cs="Calibri"/>
                <w:i/>
                <w:sz w:val="20"/>
                <w:szCs w:val="20"/>
                <w:lang w:eastAsia="fr-FR"/>
              </w:rPr>
              <w:t xml:space="preserve">Commentaires sur l'activité </w:t>
            </w:r>
            <w:r>
              <w:rPr>
                <w:rFonts w:ascii="Calibri" w:eastAsia="Times New Roman" w:hAnsi="Calibri" w:cs="Calibri"/>
                <w:i/>
                <w:sz w:val="20"/>
                <w:szCs w:val="20"/>
                <w:lang w:eastAsia="fr-FR"/>
              </w:rPr>
              <w:t>opérations de transmission de fonds</w:t>
            </w:r>
          </w:p>
          <w:p w14:paraId="11A3290E" w14:textId="77777777" w:rsidR="00447E28" w:rsidRPr="007A2DF0" w:rsidRDefault="00447E28" w:rsidP="001C39B8">
            <w:pPr>
              <w:rPr>
                <w:rFonts w:ascii="Calibri" w:eastAsia="Times New Roman" w:hAnsi="Calibri" w:cs="Calibri"/>
                <w:i/>
                <w:sz w:val="20"/>
                <w:szCs w:val="20"/>
                <w:lang w:eastAsia="fr-FR"/>
              </w:rPr>
            </w:pPr>
          </w:p>
        </w:tc>
        <w:tc>
          <w:tcPr>
            <w:tcW w:w="3969" w:type="dxa"/>
            <w:tcBorders>
              <w:bottom w:val="none" w:sz="0" w:space="0" w:color="auto"/>
            </w:tcBorders>
            <w:noWrap/>
          </w:tcPr>
          <w:p w14:paraId="25958A69" w14:textId="630762D0" w:rsidR="00447E28" w:rsidRPr="000B4131" w:rsidRDefault="00447E2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20"/>
                <w:szCs w:val="20"/>
                <w:highlight w:val="yellow"/>
                <w:lang w:eastAsia="fr-FR"/>
              </w:rPr>
            </w:pPr>
          </w:p>
        </w:tc>
      </w:tr>
    </w:tbl>
    <w:p w14:paraId="4BE769C4" w14:textId="77777777" w:rsidR="003B5E0B" w:rsidRDefault="003B5E0B" w:rsidP="003B5E0B">
      <w:pPr>
        <w:tabs>
          <w:tab w:val="left" w:pos="5760"/>
        </w:tabs>
        <w:spacing w:after="0" w:line="240" w:lineRule="auto"/>
        <w:jc w:val="both"/>
        <w:rPr>
          <w:rFonts w:ascii="Calibri" w:eastAsia="Times New Roman" w:hAnsi="Calibri" w:cs="Calibri"/>
          <w:b/>
          <w:smallCaps/>
          <w:sz w:val="28"/>
          <w:szCs w:val="28"/>
          <w:lang w:eastAsia="fr-FR"/>
        </w:rPr>
      </w:pPr>
    </w:p>
    <w:p w14:paraId="21D540D7" w14:textId="4150F982" w:rsidR="00EC4F18" w:rsidRPr="006B400E" w:rsidRDefault="00A82945" w:rsidP="007718A3">
      <w:pPr>
        <w:pStyle w:val="Titre2"/>
        <w:numPr>
          <w:ilvl w:val="1"/>
          <w:numId w:val="38"/>
        </w:numPr>
      </w:pPr>
      <w:bookmarkStart w:id="74" w:name="_Toc222476904"/>
      <w:r w:rsidRPr="006B400E">
        <w:t>Opérations de paiement initiées par l’établissement en tant que PSIP</w:t>
      </w:r>
      <w:bookmarkEnd w:id="74"/>
    </w:p>
    <w:p w14:paraId="6A0516C2" w14:textId="45AC2F35" w:rsidR="00EC4F18" w:rsidRDefault="00EC4F18" w:rsidP="00F735D7">
      <w:pPr>
        <w:spacing w:after="0" w:line="240" w:lineRule="auto"/>
        <w:rPr>
          <w:rFonts w:ascii="Calibri" w:eastAsia="Times New Roman" w:hAnsi="Calibri" w:cs="Calibri"/>
          <w:i/>
          <w:sz w:val="20"/>
          <w:szCs w:val="20"/>
          <w:lang w:eastAsia="fr-FR"/>
        </w:rPr>
      </w:pPr>
    </w:p>
    <w:p w14:paraId="799BD672" w14:textId="14D55201" w:rsidR="000A5785" w:rsidRDefault="000A5785" w:rsidP="000A5785">
      <w:pPr>
        <w:spacing w:after="0" w:line="240" w:lineRule="auto"/>
        <w:jc w:val="both"/>
        <w:rPr>
          <w:rFonts w:cstheme="minorHAnsi"/>
        </w:rPr>
      </w:pPr>
      <w:r>
        <w:rPr>
          <w:rFonts w:cstheme="minorHAnsi"/>
        </w:rPr>
        <w:t>I</w:t>
      </w:r>
      <w:r w:rsidRPr="006A1B3D">
        <w:rPr>
          <w:rFonts w:cstheme="minorHAnsi"/>
        </w:rPr>
        <w:t>l s’</w:t>
      </w:r>
      <w:r>
        <w:rPr>
          <w:rFonts w:cstheme="minorHAnsi"/>
        </w:rPr>
        <w:t xml:space="preserve">agit de déclarer, en volume et valeur, les opérations de paiement initiés par l’établissement </w:t>
      </w:r>
      <w:r w:rsidR="001E3E01">
        <w:rPr>
          <w:rFonts w:cstheme="minorHAnsi"/>
        </w:rPr>
        <w:t>pour le compte de sa clientèle en qualité de prestataire de service d’in</w:t>
      </w:r>
      <w:r w:rsidR="000E7E5C">
        <w:rPr>
          <w:rFonts w:cstheme="minorHAnsi"/>
        </w:rPr>
        <w:t xml:space="preserve">itiation de paiement </w:t>
      </w:r>
      <w:r>
        <w:rPr>
          <w:rFonts w:cstheme="minorHAnsi"/>
        </w:rPr>
        <w:t>(service 7 de l’art. 314-1 du Code monétaire et financier).</w:t>
      </w:r>
    </w:p>
    <w:p w14:paraId="416F0E81" w14:textId="5C8C36EA" w:rsidR="001E3E01" w:rsidRDefault="001E3E01" w:rsidP="000A5785">
      <w:pPr>
        <w:spacing w:after="0" w:line="240" w:lineRule="auto"/>
        <w:jc w:val="both"/>
        <w:rPr>
          <w:rFonts w:cstheme="minorHAnsi"/>
        </w:rPr>
      </w:pPr>
    </w:p>
    <w:p w14:paraId="4C70F3A9" w14:textId="26056708" w:rsidR="009505F1" w:rsidRPr="006B400E" w:rsidRDefault="009505F1" w:rsidP="007718A3">
      <w:pPr>
        <w:pStyle w:val="Titre3"/>
        <w:numPr>
          <w:ilvl w:val="2"/>
          <w:numId w:val="38"/>
        </w:numPr>
        <w:jc w:val="both"/>
      </w:pPr>
      <w:bookmarkStart w:id="75" w:name="_Toc222476905"/>
      <w:r w:rsidRPr="006B400E">
        <w:t xml:space="preserve">Opérations de paiement initiées par l’établissement ventilées par canal d’initiation, </w:t>
      </w:r>
      <w:r w:rsidR="005A6076" w:rsidRPr="006B400E">
        <w:t xml:space="preserve">zone géographique, </w:t>
      </w:r>
      <w:r w:rsidRPr="006B400E">
        <w:t>méthode d’authentification et motif d</w:t>
      </w:r>
      <w:r w:rsidR="00824654">
        <w:t xml:space="preserve">’exemption </w:t>
      </w:r>
      <w:r w:rsidRPr="006B400E">
        <w:t>à l’application de l’authentification forte</w:t>
      </w:r>
      <w:bookmarkEnd w:id="75"/>
    </w:p>
    <w:p w14:paraId="24407DC0" w14:textId="77777777" w:rsidR="00F62115" w:rsidRDefault="00F62115" w:rsidP="00F735D7">
      <w:pPr>
        <w:spacing w:after="0" w:line="240" w:lineRule="auto"/>
        <w:rPr>
          <w:rFonts w:ascii="Calibri" w:eastAsia="Times New Roman" w:hAnsi="Calibri" w:cs="Calibri"/>
          <w:i/>
          <w:sz w:val="20"/>
          <w:szCs w:val="20"/>
          <w:lang w:eastAsia="fr-FR"/>
        </w:rPr>
      </w:pPr>
    </w:p>
    <w:p w14:paraId="0C274451" w14:textId="77777777" w:rsidR="005A6076" w:rsidRDefault="005A6076" w:rsidP="00FE5E9A">
      <w:pPr>
        <w:spacing w:after="0" w:line="240" w:lineRule="auto"/>
        <w:jc w:val="both"/>
        <w:rPr>
          <w:rFonts w:ascii="Calibri" w:eastAsia="Times New Roman" w:hAnsi="Calibri" w:cs="Calibri"/>
          <w:b/>
          <w:smallCaps/>
          <w:color w:val="2E74B5" w:themeColor="accent1" w:themeShade="BF"/>
          <w:sz w:val="24"/>
          <w:szCs w:val="24"/>
          <w:lang w:eastAsia="fr-FR"/>
        </w:rPr>
      </w:pPr>
    </w:p>
    <w:p w14:paraId="597495C4" w14:textId="77777777" w:rsidR="00FE5E9A" w:rsidRDefault="00FE5E9A" w:rsidP="00FE5E9A">
      <w:pPr>
        <w:spacing w:after="0" w:line="240" w:lineRule="auto"/>
        <w:jc w:val="both"/>
        <w:rPr>
          <w:rFonts w:ascii="Calibri" w:eastAsia="Times New Roman" w:hAnsi="Calibri" w:cs="Calibri"/>
          <w:i/>
          <w:sz w:val="20"/>
          <w:szCs w:val="20"/>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28B67C9A" w14:textId="77777777" w:rsidR="00F62115" w:rsidRDefault="00F62115" w:rsidP="00F735D7">
      <w:pPr>
        <w:spacing w:after="0" w:line="240" w:lineRule="auto"/>
        <w:rPr>
          <w:rFonts w:ascii="Calibri" w:eastAsia="Times New Roman" w:hAnsi="Calibri" w:cs="Calibri"/>
          <w:i/>
          <w:sz w:val="20"/>
          <w:szCs w:val="20"/>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
        <w:gridCol w:w="262"/>
        <w:gridCol w:w="3020"/>
        <w:gridCol w:w="1985"/>
        <w:gridCol w:w="1417"/>
        <w:gridCol w:w="992"/>
        <w:gridCol w:w="1134"/>
      </w:tblGrid>
      <w:tr w:rsidR="00447E28" w:rsidRPr="00F62115" w14:paraId="29B9E170" w14:textId="77777777" w:rsidTr="005E33F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gridSpan w:val="3"/>
            <w:tcBorders>
              <w:top w:val="single" w:sz="18" w:space="0" w:color="5B9BD5" w:themeColor="accent1"/>
              <w:bottom w:val="single" w:sz="18" w:space="0" w:color="5B9BD5" w:themeColor="accent1"/>
            </w:tcBorders>
            <w:noWrap/>
          </w:tcPr>
          <w:p w14:paraId="103FAD8C" w14:textId="77777777" w:rsidR="00447E28" w:rsidRPr="00837661" w:rsidRDefault="00447E28" w:rsidP="00447E28">
            <w:pPr>
              <w:rPr>
                <w:rFonts w:ascii="Calibri" w:eastAsia="Times New Roman" w:hAnsi="Calibri" w:cs="Calibri"/>
                <w:i/>
                <w:sz w:val="18"/>
                <w:szCs w:val="18"/>
                <w:lang w:eastAsia="fr-FR"/>
              </w:rPr>
            </w:pPr>
          </w:p>
        </w:tc>
        <w:tc>
          <w:tcPr>
            <w:tcW w:w="1985" w:type="dxa"/>
            <w:tcBorders>
              <w:top w:val="single" w:sz="18" w:space="0" w:color="5B9BD5" w:themeColor="accent1"/>
              <w:bottom w:val="single" w:sz="18" w:space="0" w:color="5B9BD5" w:themeColor="accent1"/>
            </w:tcBorders>
          </w:tcPr>
          <w:p w14:paraId="75F19D36" w14:textId="77777777" w:rsidR="00447E28" w:rsidRPr="00837661" w:rsidRDefault="00447E28" w:rsidP="00447E2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417" w:type="dxa"/>
            <w:tcBorders>
              <w:top w:val="single" w:sz="18" w:space="0" w:color="5B9BD5" w:themeColor="accent1"/>
              <w:bottom w:val="single" w:sz="18" w:space="0" w:color="5B9BD5" w:themeColor="accent1"/>
              <w:right w:val="single" w:sz="2" w:space="0" w:color="5B9BD5" w:themeColor="accent1"/>
            </w:tcBorders>
            <w:shd w:val="solid" w:color="FFFFFF" w:fill="000000"/>
            <w:noWrap/>
          </w:tcPr>
          <w:p w14:paraId="51291A26" w14:textId="0922B8E1" w:rsidR="00447E28" w:rsidRPr="00B853F2" w:rsidRDefault="004E68CF" w:rsidP="00007BC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Pays du PSP du pay</w:t>
            </w:r>
            <w:r w:rsidR="00007BC0">
              <w:rPr>
                <w:rFonts w:cstheme="minorHAnsi"/>
                <w:sz w:val="14"/>
                <w:szCs w:val="18"/>
              </w:rPr>
              <w:t>é</w:t>
            </w:r>
          </w:p>
        </w:tc>
        <w:tc>
          <w:tcPr>
            <w:tcW w:w="992"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30DD159F" w14:textId="4C35C844" w:rsidR="00447E28" w:rsidRPr="00B853F2" w:rsidRDefault="00447E28" w:rsidP="00447E2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113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4650B0AB" w14:textId="77777777" w:rsidR="00447E28" w:rsidRDefault="00447E28" w:rsidP="00447E2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2C934B3B" w14:textId="20967367" w:rsidR="00447E28" w:rsidRPr="00B853F2" w:rsidRDefault="00447E28" w:rsidP="00447E2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Pr>
                <w:rFonts w:cstheme="minorHAnsi"/>
                <w:sz w:val="14"/>
                <w:szCs w:val="18"/>
              </w:rPr>
              <w:t>euros</w:t>
            </w:r>
            <w:proofErr w:type="gramEnd"/>
          </w:p>
        </w:tc>
      </w:tr>
      <w:tr w:rsidR="004E68CF" w:rsidRPr="00F62115" w14:paraId="21160F7A" w14:textId="755EC474" w:rsidTr="005E33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gridSpan w:val="3"/>
            <w:tcBorders>
              <w:top w:val="single" w:sz="18" w:space="0" w:color="5B9BD5" w:themeColor="accent1"/>
            </w:tcBorders>
            <w:noWrap/>
            <w:hideMark/>
          </w:tcPr>
          <w:p w14:paraId="7BD6E626" w14:textId="58C1C85A" w:rsidR="004E68CF" w:rsidRPr="00837661" w:rsidRDefault="004E68CF" w:rsidP="004E68CF">
            <w:pPr>
              <w:rPr>
                <w:rFonts w:ascii="Calibri" w:eastAsia="Times New Roman" w:hAnsi="Calibri" w:cs="Calibri"/>
                <w:i/>
                <w:sz w:val="18"/>
                <w:szCs w:val="18"/>
                <w:lang w:eastAsia="fr-FR"/>
              </w:rPr>
            </w:pPr>
            <w:r w:rsidRPr="00837661">
              <w:rPr>
                <w:rFonts w:ascii="Calibri" w:eastAsia="Times New Roman" w:hAnsi="Calibri" w:cs="Calibri"/>
                <w:i/>
                <w:sz w:val="18"/>
                <w:szCs w:val="18"/>
                <w:lang w:eastAsia="fr-FR"/>
              </w:rPr>
              <w:lastRenderedPageBreak/>
              <w:t xml:space="preserve">Paiements initiés par </w:t>
            </w:r>
            <w:proofErr w:type="gramStart"/>
            <w:r w:rsidRPr="00837661">
              <w:rPr>
                <w:rFonts w:ascii="Calibri" w:eastAsia="Times New Roman" w:hAnsi="Calibri" w:cs="Calibri"/>
                <w:i/>
                <w:sz w:val="18"/>
                <w:szCs w:val="18"/>
                <w:lang w:eastAsia="fr-FR"/>
              </w:rPr>
              <w:t>l’établissement  en</w:t>
            </w:r>
            <w:proofErr w:type="gramEnd"/>
            <w:r w:rsidRPr="00837661">
              <w:rPr>
                <w:rFonts w:ascii="Calibri" w:eastAsia="Times New Roman" w:hAnsi="Calibri" w:cs="Calibri"/>
                <w:i/>
                <w:sz w:val="18"/>
                <w:szCs w:val="18"/>
                <w:lang w:eastAsia="fr-FR"/>
              </w:rPr>
              <w:t xml:space="preserve"> tant que PSIP</w:t>
            </w:r>
          </w:p>
        </w:tc>
        <w:tc>
          <w:tcPr>
            <w:tcW w:w="1985" w:type="dxa"/>
            <w:tcBorders>
              <w:top w:val="single" w:sz="18" w:space="0" w:color="5B9BD5" w:themeColor="accent1"/>
            </w:tcBorders>
          </w:tcPr>
          <w:p w14:paraId="7E484792" w14:textId="77777777"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417" w:type="dxa"/>
            <w:vMerge w:val="restart"/>
            <w:tcBorders>
              <w:top w:val="single" w:sz="18" w:space="0" w:color="5B9BD5" w:themeColor="accent1"/>
            </w:tcBorders>
            <w:noWrap/>
          </w:tcPr>
          <w:p w14:paraId="35EEB156" w14:textId="3BDC497E" w:rsidR="004E68CF" w:rsidRPr="00447E28" w:rsidRDefault="004E68CF" w:rsidP="004E6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4E68CF">
              <w:rPr>
                <w:rFonts w:ascii="Calibri" w:eastAsia="Times New Roman" w:hAnsi="Calibri" w:cs="Calibri"/>
                <w:sz w:val="14"/>
                <w:szCs w:val="18"/>
                <w:lang w:eastAsia="fr-FR"/>
              </w:rPr>
              <w:t>Selon ventilation géographique en section 5</w:t>
            </w:r>
            <w:r w:rsidR="002262D6">
              <w:rPr>
                <w:rFonts w:ascii="Calibri" w:eastAsia="Times New Roman" w:hAnsi="Calibri" w:cs="Calibri"/>
                <w:sz w:val="14"/>
                <w:szCs w:val="18"/>
                <w:lang w:eastAsia="fr-FR"/>
              </w:rPr>
              <w:t>.1</w:t>
            </w:r>
          </w:p>
        </w:tc>
        <w:tc>
          <w:tcPr>
            <w:tcW w:w="992" w:type="dxa"/>
            <w:tcBorders>
              <w:top w:val="single" w:sz="18" w:space="0" w:color="5B9BD5" w:themeColor="accent1"/>
            </w:tcBorders>
          </w:tcPr>
          <w:p w14:paraId="648137AF" w14:textId="77777777"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4" w:type="dxa"/>
            <w:tcBorders>
              <w:top w:val="single" w:sz="18" w:space="0" w:color="5B9BD5" w:themeColor="accent1"/>
            </w:tcBorders>
          </w:tcPr>
          <w:p w14:paraId="4FA38AA7" w14:textId="77777777"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4E68CF" w:rsidRPr="00F62115" w14:paraId="7D015B42" w14:textId="5F480AC6" w:rsidTr="005E33FC">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tcBorders>
            <w:noWrap/>
          </w:tcPr>
          <w:p w14:paraId="5CE77EB2" w14:textId="64A05813" w:rsidR="004E68CF" w:rsidRPr="00837661" w:rsidRDefault="004E68CF" w:rsidP="004E68CF">
            <w:pPr>
              <w:rPr>
                <w:rFonts w:ascii="Calibri" w:eastAsia="Times New Roman" w:hAnsi="Calibri" w:cs="Calibri"/>
                <w:i/>
                <w:sz w:val="18"/>
                <w:szCs w:val="18"/>
                <w:lang w:eastAsia="fr-FR"/>
              </w:rPr>
            </w:pPr>
          </w:p>
        </w:tc>
        <w:tc>
          <w:tcPr>
            <w:tcW w:w="3282" w:type="dxa"/>
            <w:gridSpan w:val="2"/>
            <w:tcBorders>
              <w:top w:val="single" w:sz="18" w:space="0" w:color="5B9BD5" w:themeColor="accent1"/>
              <w:bottom w:val="single" w:sz="4" w:space="0" w:color="5B9BD5" w:themeColor="accent1"/>
            </w:tcBorders>
            <w:noWrap/>
            <w:hideMark/>
          </w:tcPr>
          <w:p w14:paraId="37F455CC" w14:textId="765FBF7E"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837661">
              <w:rPr>
                <w:rFonts w:ascii="Calibri" w:eastAsia="Times New Roman" w:hAnsi="Calibri" w:cs="Calibri"/>
                <w:b/>
                <w:i/>
                <w:sz w:val="18"/>
                <w:szCs w:val="18"/>
                <w:lang w:eastAsia="fr-FR"/>
              </w:rPr>
              <w:t>Dont paiements initiés à distance</w:t>
            </w:r>
          </w:p>
        </w:tc>
        <w:tc>
          <w:tcPr>
            <w:tcW w:w="1985" w:type="dxa"/>
            <w:tcBorders>
              <w:top w:val="single" w:sz="18" w:space="0" w:color="5B9BD5" w:themeColor="accent1"/>
              <w:bottom w:val="single" w:sz="4" w:space="0" w:color="5B9BD5" w:themeColor="accent1"/>
            </w:tcBorders>
          </w:tcPr>
          <w:p w14:paraId="338C3280" w14:textId="56EF1390" w:rsidR="004E68CF" w:rsidRPr="00BB1695" w:rsidRDefault="004E68CF" w:rsidP="004E68C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BB1695">
              <w:rPr>
                <w:rFonts w:ascii="Calibri" w:eastAsia="Times New Roman" w:hAnsi="Calibri" w:cs="Calibri"/>
                <w:sz w:val="18"/>
                <w:szCs w:val="18"/>
                <w:lang w:eastAsia="fr-FR"/>
              </w:rPr>
              <w:t>Paiements initiés sur internet depuis un ordinateur ou un téléphone portable.</w:t>
            </w:r>
          </w:p>
        </w:tc>
        <w:tc>
          <w:tcPr>
            <w:tcW w:w="1417" w:type="dxa"/>
            <w:vMerge/>
            <w:noWrap/>
          </w:tcPr>
          <w:p w14:paraId="247A259A" w14:textId="3EA16C98" w:rsidR="004E68CF" w:rsidRPr="00B853F2"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4" w:space="0" w:color="5B9BD5" w:themeColor="accent1"/>
            </w:tcBorders>
          </w:tcPr>
          <w:p w14:paraId="6B9E2051" w14:textId="77777777" w:rsidR="004E68C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18" w:space="0" w:color="5B9BD5" w:themeColor="accent1"/>
              <w:bottom w:val="single" w:sz="4" w:space="0" w:color="5B9BD5" w:themeColor="accent1"/>
            </w:tcBorders>
          </w:tcPr>
          <w:p w14:paraId="69D2363A" w14:textId="77777777" w:rsidR="004E68C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3A838742" w14:textId="68C499B9" w:rsidTr="005E33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noWrap/>
          </w:tcPr>
          <w:p w14:paraId="030334E4" w14:textId="6EAEE143" w:rsidR="004E68CF" w:rsidRPr="00837661" w:rsidRDefault="004E68CF" w:rsidP="004E68CF">
            <w:pPr>
              <w:rPr>
                <w:rFonts w:ascii="Calibri" w:eastAsia="Times New Roman" w:hAnsi="Calibri" w:cs="Calibri"/>
                <w:i/>
                <w:sz w:val="18"/>
                <w:szCs w:val="18"/>
                <w:lang w:eastAsia="fr-FR"/>
              </w:rPr>
            </w:pPr>
          </w:p>
        </w:tc>
        <w:tc>
          <w:tcPr>
            <w:tcW w:w="262" w:type="dxa"/>
            <w:noWrap/>
          </w:tcPr>
          <w:p w14:paraId="2D10B126" w14:textId="4604C42C"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020" w:type="dxa"/>
            <w:noWrap/>
            <w:hideMark/>
          </w:tcPr>
          <w:p w14:paraId="7468B99F" w14:textId="3FE69723" w:rsidR="004E68CF" w:rsidRPr="00590B9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590B9F">
              <w:rPr>
                <w:rFonts w:ascii="Calibri" w:eastAsia="Times New Roman" w:hAnsi="Calibri" w:cs="Calibri"/>
                <w:b/>
                <w:i/>
                <w:sz w:val="18"/>
                <w:szCs w:val="18"/>
                <w:lang w:eastAsia="fr-FR"/>
              </w:rPr>
              <w:t>Dont avec authentification forte du client</w:t>
            </w:r>
          </w:p>
        </w:tc>
        <w:tc>
          <w:tcPr>
            <w:tcW w:w="1985" w:type="dxa"/>
          </w:tcPr>
          <w:p w14:paraId="70A61028" w14:textId="2B763D03" w:rsidR="004E68CF" w:rsidRPr="00837661" w:rsidRDefault="004E68CF" w:rsidP="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417" w:type="dxa"/>
            <w:vMerge/>
            <w:noWrap/>
          </w:tcPr>
          <w:p w14:paraId="2DC6B110" w14:textId="15252AF1"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Pr>
          <w:p w14:paraId="454C26A2" w14:textId="77777777" w:rsidR="004E68C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Pr>
          <w:p w14:paraId="594A3E4C" w14:textId="77777777" w:rsidR="004E68C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23B540F1" w14:textId="1690C88E" w:rsidTr="005E33FC">
        <w:trPr>
          <w:trHeight w:val="300"/>
        </w:trPr>
        <w:tc>
          <w:tcPr>
            <w:cnfStyle w:val="001000000000" w:firstRow="0" w:lastRow="0" w:firstColumn="1" w:lastColumn="0" w:oddVBand="0" w:evenVBand="0" w:oddHBand="0" w:evenHBand="0" w:firstRowFirstColumn="0" w:firstRowLastColumn="0" w:lastRowFirstColumn="0" w:lastRowLastColumn="0"/>
            <w:tcW w:w="262" w:type="dxa"/>
            <w:noWrap/>
          </w:tcPr>
          <w:p w14:paraId="7C9CF7AC" w14:textId="27782A21" w:rsidR="004E68CF" w:rsidRPr="00837661" w:rsidRDefault="004E68CF" w:rsidP="004E68CF">
            <w:pPr>
              <w:rPr>
                <w:rFonts w:ascii="Calibri" w:eastAsia="Times New Roman" w:hAnsi="Calibri" w:cs="Calibri"/>
                <w:i/>
                <w:sz w:val="18"/>
                <w:szCs w:val="18"/>
                <w:lang w:eastAsia="fr-FR"/>
              </w:rPr>
            </w:pPr>
          </w:p>
        </w:tc>
        <w:tc>
          <w:tcPr>
            <w:tcW w:w="262" w:type="dxa"/>
            <w:noWrap/>
          </w:tcPr>
          <w:p w14:paraId="2CD68BF4" w14:textId="47F50B21"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020" w:type="dxa"/>
            <w:noWrap/>
            <w:hideMark/>
          </w:tcPr>
          <w:p w14:paraId="3DC3DCE4" w14:textId="1EB8D458" w:rsidR="004E68CF" w:rsidRPr="00590B9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590B9F">
              <w:rPr>
                <w:rFonts w:ascii="Calibri" w:eastAsia="Times New Roman" w:hAnsi="Calibri" w:cs="Calibri"/>
                <w:b/>
                <w:i/>
                <w:sz w:val="18"/>
                <w:szCs w:val="18"/>
                <w:lang w:eastAsia="fr-FR"/>
              </w:rPr>
              <w:t>Dont sans authentification forte du client</w:t>
            </w:r>
          </w:p>
        </w:tc>
        <w:tc>
          <w:tcPr>
            <w:tcW w:w="1985" w:type="dxa"/>
          </w:tcPr>
          <w:p w14:paraId="1DFDFB16" w14:textId="7AFC739E"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417" w:type="dxa"/>
            <w:vMerge/>
            <w:noWrap/>
          </w:tcPr>
          <w:p w14:paraId="33962FD1" w14:textId="1BDE7A7B" w:rsidR="004E68CF" w:rsidRPr="00B853F2"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Pr>
          <w:p w14:paraId="60EB59B9" w14:textId="77777777" w:rsidR="004E68C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Pr>
          <w:p w14:paraId="4B6AADED" w14:textId="77777777" w:rsidR="004E68C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7C617F5F" w14:textId="0DE26F92" w:rsidTr="005E33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tcBorders>
            <w:noWrap/>
          </w:tcPr>
          <w:p w14:paraId="4BD2C444" w14:textId="0115F472" w:rsidR="004E68CF" w:rsidRPr="00837661" w:rsidRDefault="004E68CF" w:rsidP="004E68CF">
            <w:pPr>
              <w:rPr>
                <w:rFonts w:ascii="Calibri" w:eastAsia="Times New Roman" w:hAnsi="Calibri" w:cs="Calibri"/>
                <w:i/>
                <w:sz w:val="18"/>
                <w:szCs w:val="18"/>
                <w:lang w:eastAsia="fr-FR"/>
              </w:rPr>
            </w:pPr>
          </w:p>
        </w:tc>
        <w:tc>
          <w:tcPr>
            <w:tcW w:w="3282" w:type="dxa"/>
            <w:gridSpan w:val="2"/>
            <w:tcBorders>
              <w:top w:val="single" w:sz="18" w:space="0" w:color="5B9BD5" w:themeColor="accent1"/>
              <w:bottom w:val="single" w:sz="4" w:space="0" w:color="5B9BD5" w:themeColor="accent1"/>
            </w:tcBorders>
            <w:noWrap/>
            <w:hideMark/>
          </w:tcPr>
          <w:p w14:paraId="6FC04595" w14:textId="424F67DF"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837661">
              <w:rPr>
                <w:rFonts w:ascii="Calibri" w:eastAsia="Times New Roman" w:hAnsi="Calibri" w:cs="Calibri"/>
                <w:b/>
                <w:i/>
                <w:sz w:val="18"/>
                <w:szCs w:val="18"/>
                <w:lang w:eastAsia="fr-FR"/>
              </w:rPr>
              <w:t>Dont paiements initiés en proximité</w:t>
            </w:r>
          </w:p>
        </w:tc>
        <w:tc>
          <w:tcPr>
            <w:tcW w:w="1985" w:type="dxa"/>
            <w:tcBorders>
              <w:top w:val="single" w:sz="18" w:space="0" w:color="5B9BD5" w:themeColor="accent1"/>
              <w:bottom w:val="single" w:sz="4" w:space="0" w:color="5B9BD5" w:themeColor="accent1"/>
            </w:tcBorders>
          </w:tcPr>
          <w:p w14:paraId="3E3A6003" w14:textId="1637D08D" w:rsidR="004E68CF" w:rsidRPr="00BB1695" w:rsidRDefault="004E68CF" w:rsidP="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BB1695">
              <w:rPr>
                <w:rFonts w:ascii="Calibri" w:eastAsia="Times New Roman" w:hAnsi="Calibri" w:cs="Calibri"/>
                <w:sz w:val="18"/>
                <w:szCs w:val="18"/>
                <w:lang w:eastAsia="fr-FR"/>
              </w:rPr>
              <w:t>Paiements initiés au point de vente</w:t>
            </w:r>
            <w:r>
              <w:rPr>
                <w:rFonts w:ascii="Calibri" w:eastAsia="Times New Roman" w:hAnsi="Calibri" w:cs="Calibri"/>
                <w:sz w:val="18"/>
                <w:szCs w:val="18"/>
                <w:lang w:eastAsia="fr-FR"/>
              </w:rPr>
              <w:t>,</w:t>
            </w:r>
            <w:r w:rsidRPr="00BB1695">
              <w:rPr>
                <w:rFonts w:ascii="Calibri" w:eastAsia="Times New Roman" w:hAnsi="Calibri" w:cs="Calibri"/>
                <w:sz w:val="18"/>
                <w:szCs w:val="18"/>
                <w:lang w:eastAsia="fr-FR"/>
              </w:rPr>
              <w:t xml:space="preserve"> sur automate</w:t>
            </w:r>
            <w:r>
              <w:rPr>
                <w:rFonts w:ascii="Calibri" w:eastAsia="Times New Roman" w:hAnsi="Calibri" w:cs="Calibri"/>
                <w:sz w:val="18"/>
                <w:szCs w:val="18"/>
                <w:lang w:eastAsia="fr-FR"/>
              </w:rPr>
              <w:t xml:space="preserve"> ou au guichet bancaire</w:t>
            </w:r>
            <w:r w:rsidRPr="00BB1695">
              <w:rPr>
                <w:rFonts w:ascii="Calibri" w:eastAsia="Times New Roman" w:hAnsi="Calibri" w:cs="Calibri"/>
                <w:sz w:val="18"/>
                <w:szCs w:val="18"/>
                <w:lang w:eastAsia="fr-FR"/>
              </w:rPr>
              <w:t>.</w:t>
            </w:r>
          </w:p>
        </w:tc>
        <w:tc>
          <w:tcPr>
            <w:tcW w:w="1417" w:type="dxa"/>
            <w:vMerge/>
            <w:noWrap/>
          </w:tcPr>
          <w:p w14:paraId="608228BB" w14:textId="01C24AEA"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4" w:space="0" w:color="5B9BD5" w:themeColor="accent1"/>
            </w:tcBorders>
          </w:tcPr>
          <w:p w14:paraId="6BA87934" w14:textId="77777777" w:rsidR="004E68C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18" w:space="0" w:color="5B9BD5" w:themeColor="accent1"/>
              <w:bottom w:val="single" w:sz="4" w:space="0" w:color="5B9BD5" w:themeColor="accent1"/>
            </w:tcBorders>
          </w:tcPr>
          <w:p w14:paraId="42DEFA2C" w14:textId="77777777" w:rsidR="004E68C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0F166407" w14:textId="1A32C41D" w:rsidTr="005E33FC">
        <w:trPr>
          <w:trHeight w:val="300"/>
        </w:trPr>
        <w:tc>
          <w:tcPr>
            <w:cnfStyle w:val="001000000000" w:firstRow="0" w:lastRow="0" w:firstColumn="1" w:lastColumn="0" w:oddVBand="0" w:evenVBand="0" w:oddHBand="0" w:evenHBand="0" w:firstRowFirstColumn="0" w:firstRowLastColumn="0" w:lastRowFirstColumn="0" w:lastRowLastColumn="0"/>
            <w:tcW w:w="262" w:type="dxa"/>
            <w:noWrap/>
          </w:tcPr>
          <w:p w14:paraId="0F2656A9" w14:textId="5861ABA7" w:rsidR="004E68CF" w:rsidRPr="00837661" w:rsidRDefault="004E68CF" w:rsidP="004E68CF">
            <w:pPr>
              <w:rPr>
                <w:rFonts w:ascii="Calibri" w:eastAsia="Times New Roman" w:hAnsi="Calibri" w:cs="Calibri"/>
                <w:i/>
                <w:sz w:val="18"/>
                <w:szCs w:val="18"/>
                <w:lang w:eastAsia="fr-FR"/>
              </w:rPr>
            </w:pPr>
          </w:p>
        </w:tc>
        <w:tc>
          <w:tcPr>
            <w:tcW w:w="262" w:type="dxa"/>
            <w:noWrap/>
          </w:tcPr>
          <w:p w14:paraId="4CD756A1" w14:textId="36030294"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020" w:type="dxa"/>
            <w:noWrap/>
            <w:hideMark/>
          </w:tcPr>
          <w:p w14:paraId="7C233208" w14:textId="2C86CA99" w:rsidR="004E68CF" w:rsidRPr="00590B9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590B9F">
              <w:rPr>
                <w:rFonts w:ascii="Calibri" w:eastAsia="Times New Roman" w:hAnsi="Calibri" w:cs="Calibri"/>
                <w:b/>
                <w:i/>
                <w:sz w:val="18"/>
                <w:szCs w:val="18"/>
                <w:lang w:eastAsia="fr-FR"/>
              </w:rPr>
              <w:t>Dont avec authentification forte du client</w:t>
            </w:r>
          </w:p>
        </w:tc>
        <w:tc>
          <w:tcPr>
            <w:tcW w:w="1985" w:type="dxa"/>
          </w:tcPr>
          <w:p w14:paraId="6D434B0C" w14:textId="2DC67BC4"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417" w:type="dxa"/>
            <w:vMerge/>
            <w:noWrap/>
          </w:tcPr>
          <w:p w14:paraId="49A30C29" w14:textId="2BEB62D8" w:rsidR="004E68CF" w:rsidRPr="00B853F2"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Pr>
          <w:p w14:paraId="4E55E357" w14:textId="77777777" w:rsidR="004E68C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Pr>
          <w:p w14:paraId="289A5298" w14:textId="77777777" w:rsidR="004E68C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62B7ED63" w14:textId="7C07DF94" w:rsidTr="005E33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noWrap/>
          </w:tcPr>
          <w:p w14:paraId="27D1F153" w14:textId="15A92721" w:rsidR="004E68CF" w:rsidRPr="00837661" w:rsidRDefault="004E68CF" w:rsidP="004E68CF">
            <w:pPr>
              <w:rPr>
                <w:rFonts w:ascii="Calibri" w:eastAsia="Times New Roman" w:hAnsi="Calibri" w:cs="Calibri"/>
                <w:i/>
                <w:sz w:val="18"/>
                <w:szCs w:val="18"/>
                <w:lang w:eastAsia="fr-FR"/>
              </w:rPr>
            </w:pPr>
          </w:p>
        </w:tc>
        <w:tc>
          <w:tcPr>
            <w:tcW w:w="262" w:type="dxa"/>
            <w:noWrap/>
          </w:tcPr>
          <w:p w14:paraId="3C23D15F" w14:textId="154ED8A2"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020" w:type="dxa"/>
            <w:noWrap/>
            <w:hideMark/>
          </w:tcPr>
          <w:p w14:paraId="452409A5" w14:textId="0CD988CF" w:rsidR="004E68CF" w:rsidRPr="00590B9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590B9F">
              <w:rPr>
                <w:rFonts w:ascii="Calibri" w:eastAsia="Times New Roman" w:hAnsi="Calibri" w:cs="Calibri"/>
                <w:b/>
                <w:i/>
                <w:sz w:val="18"/>
                <w:szCs w:val="18"/>
                <w:lang w:eastAsia="fr-FR"/>
              </w:rPr>
              <w:t>Dont sans authentification forte du client</w:t>
            </w:r>
          </w:p>
        </w:tc>
        <w:tc>
          <w:tcPr>
            <w:tcW w:w="1985" w:type="dxa"/>
          </w:tcPr>
          <w:p w14:paraId="1292DA82" w14:textId="2EA23820"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417" w:type="dxa"/>
            <w:vMerge/>
            <w:noWrap/>
          </w:tcPr>
          <w:p w14:paraId="26D55F5B" w14:textId="77CF92FB"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Pr>
          <w:p w14:paraId="3A54413A" w14:textId="77777777" w:rsidR="004E68C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Pr>
          <w:p w14:paraId="55192C2C" w14:textId="77777777" w:rsidR="004E68C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5A4D90FB" w14:textId="064A1EB3" w:rsidTr="005E33FC">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18" w:space="0" w:color="5B9BD5" w:themeColor="accent1"/>
            </w:tcBorders>
            <w:noWrap/>
            <w:hideMark/>
          </w:tcPr>
          <w:p w14:paraId="4C3BA938" w14:textId="4B8F4C86" w:rsidR="004E68CF" w:rsidRPr="00837661" w:rsidRDefault="004E68CF" w:rsidP="004E68CF">
            <w:pPr>
              <w:rPr>
                <w:rFonts w:ascii="Calibri" w:eastAsia="Times New Roman" w:hAnsi="Calibri" w:cs="Calibri"/>
                <w:i/>
                <w:sz w:val="18"/>
                <w:szCs w:val="18"/>
                <w:lang w:eastAsia="fr-FR"/>
              </w:rPr>
            </w:pPr>
          </w:p>
        </w:tc>
        <w:tc>
          <w:tcPr>
            <w:tcW w:w="3282" w:type="dxa"/>
            <w:gridSpan w:val="2"/>
            <w:tcBorders>
              <w:top w:val="single" w:sz="18" w:space="0" w:color="5B9BD5" w:themeColor="accent1"/>
              <w:bottom w:val="single" w:sz="18" w:space="0" w:color="5B9BD5" w:themeColor="accent1"/>
            </w:tcBorders>
            <w:noWrap/>
            <w:hideMark/>
          </w:tcPr>
          <w:p w14:paraId="3589CD20" w14:textId="53778A4B"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837661">
              <w:rPr>
                <w:rFonts w:ascii="Calibri" w:eastAsia="Times New Roman" w:hAnsi="Calibri" w:cs="Calibri"/>
                <w:b/>
                <w:i/>
                <w:sz w:val="18"/>
                <w:szCs w:val="18"/>
                <w:lang w:eastAsia="fr-FR"/>
              </w:rPr>
              <w:t>Dont paiements initiés par virement</w:t>
            </w:r>
          </w:p>
        </w:tc>
        <w:tc>
          <w:tcPr>
            <w:tcW w:w="1985" w:type="dxa"/>
            <w:tcBorders>
              <w:top w:val="single" w:sz="18" w:space="0" w:color="5B9BD5" w:themeColor="accent1"/>
              <w:bottom w:val="single" w:sz="18" w:space="0" w:color="5B9BD5" w:themeColor="accent1"/>
            </w:tcBorders>
          </w:tcPr>
          <w:p w14:paraId="028F1EB1" w14:textId="77777777"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417" w:type="dxa"/>
            <w:vMerge/>
            <w:noWrap/>
          </w:tcPr>
          <w:p w14:paraId="47992C84" w14:textId="53FBBAA0" w:rsidR="004E68CF" w:rsidRPr="00B853F2"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18" w:space="0" w:color="5B9BD5" w:themeColor="accent1"/>
            </w:tcBorders>
          </w:tcPr>
          <w:p w14:paraId="1035ED9A" w14:textId="77777777" w:rsidR="004E68CF" w:rsidRPr="00B853F2"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18" w:space="0" w:color="5B9BD5" w:themeColor="accent1"/>
              <w:bottom w:val="single" w:sz="18" w:space="0" w:color="5B9BD5" w:themeColor="accent1"/>
            </w:tcBorders>
          </w:tcPr>
          <w:p w14:paraId="64887425" w14:textId="77777777" w:rsidR="004E68CF" w:rsidRPr="00B853F2"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6B46A5C2" w14:textId="045BC939" w:rsidTr="005E33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18" w:space="0" w:color="5B9BD5" w:themeColor="accent1"/>
            </w:tcBorders>
            <w:noWrap/>
            <w:hideMark/>
          </w:tcPr>
          <w:p w14:paraId="73E73433" w14:textId="4E772935" w:rsidR="004E68CF" w:rsidRPr="00837661" w:rsidRDefault="004E68CF" w:rsidP="004E68CF">
            <w:pPr>
              <w:rPr>
                <w:rFonts w:ascii="Calibri" w:eastAsia="Times New Roman" w:hAnsi="Calibri" w:cs="Calibri"/>
                <w:i/>
                <w:sz w:val="18"/>
                <w:szCs w:val="18"/>
                <w:lang w:eastAsia="fr-FR"/>
              </w:rPr>
            </w:pPr>
          </w:p>
        </w:tc>
        <w:tc>
          <w:tcPr>
            <w:tcW w:w="3282" w:type="dxa"/>
            <w:gridSpan w:val="2"/>
            <w:tcBorders>
              <w:top w:val="single" w:sz="18" w:space="0" w:color="5B9BD5" w:themeColor="accent1"/>
              <w:bottom w:val="single" w:sz="18" w:space="0" w:color="5B9BD5" w:themeColor="accent1"/>
            </w:tcBorders>
            <w:noWrap/>
            <w:hideMark/>
          </w:tcPr>
          <w:p w14:paraId="00E81B3E" w14:textId="31BA0FBB"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837661">
              <w:rPr>
                <w:rFonts w:ascii="Calibri" w:eastAsia="Times New Roman" w:hAnsi="Calibri" w:cs="Calibri"/>
                <w:b/>
                <w:i/>
                <w:sz w:val="18"/>
                <w:szCs w:val="18"/>
                <w:lang w:eastAsia="fr-FR"/>
              </w:rPr>
              <w:t>Dont paiements initiés par autre moyen de paiement</w:t>
            </w:r>
          </w:p>
        </w:tc>
        <w:tc>
          <w:tcPr>
            <w:tcW w:w="1985" w:type="dxa"/>
            <w:tcBorders>
              <w:top w:val="single" w:sz="18" w:space="0" w:color="5B9BD5" w:themeColor="accent1"/>
              <w:bottom w:val="single" w:sz="18" w:space="0" w:color="5B9BD5" w:themeColor="accent1"/>
            </w:tcBorders>
          </w:tcPr>
          <w:p w14:paraId="6369D0D2" w14:textId="533FD7D1"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417" w:type="dxa"/>
            <w:vMerge/>
            <w:tcBorders>
              <w:bottom w:val="single" w:sz="18" w:space="0" w:color="5B9BD5" w:themeColor="accent1"/>
            </w:tcBorders>
            <w:noWrap/>
          </w:tcPr>
          <w:p w14:paraId="6D7CE413" w14:textId="7855E781"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18" w:space="0" w:color="5B9BD5" w:themeColor="accent1"/>
            </w:tcBorders>
          </w:tcPr>
          <w:p w14:paraId="00E9B503" w14:textId="77777777"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18" w:space="0" w:color="5B9BD5" w:themeColor="accent1"/>
              <w:bottom w:val="single" w:sz="18" w:space="0" w:color="5B9BD5" w:themeColor="accent1"/>
            </w:tcBorders>
          </w:tcPr>
          <w:p w14:paraId="504348CD" w14:textId="77777777"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bl>
    <w:p w14:paraId="1DE963AC" w14:textId="77777777" w:rsidR="006C097E" w:rsidRDefault="006C097E" w:rsidP="006C097E">
      <w:pPr>
        <w:pStyle w:val="Paragraphedeliste"/>
        <w:autoSpaceDE w:val="0"/>
        <w:autoSpaceDN w:val="0"/>
        <w:adjustRightInd w:val="0"/>
        <w:spacing w:after="0" w:line="240" w:lineRule="auto"/>
        <w:jc w:val="both"/>
        <w:rPr>
          <w:rFonts w:cstheme="minorHAnsi"/>
        </w:rPr>
      </w:pPr>
    </w:p>
    <w:p w14:paraId="1DA19228" w14:textId="77777777" w:rsidR="006C097E" w:rsidRPr="00466BF2" w:rsidRDefault="006C097E" w:rsidP="00466BF2">
      <w:pPr>
        <w:spacing w:after="0" w:line="240" w:lineRule="auto"/>
        <w:jc w:val="both"/>
        <w:rPr>
          <w:rFonts w:ascii="Calibri" w:hAnsi="Calibri"/>
          <w:b/>
          <w:smallCaps/>
          <w:color w:val="2E74B5" w:themeColor="accent1" w:themeShade="BF"/>
          <w:sz w:val="24"/>
        </w:rPr>
      </w:pPr>
      <w:r w:rsidRPr="00466BF2">
        <w:rPr>
          <w:rFonts w:ascii="Calibri" w:hAnsi="Calibri"/>
          <w:b/>
          <w:smallCaps/>
          <w:color w:val="2E74B5" w:themeColor="accent1" w:themeShade="BF"/>
          <w:sz w:val="24"/>
        </w:rPr>
        <w:t>Contrôles :</w:t>
      </w:r>
    </w:p>
    <w:p w14:paraId="5A70C5BF" w14:textId="1F5ACD39" w:rsidR="006C097E" w:rsidRPr="008F57D4" w:rsidRDefault="006C097E" w:rsidP="006C097E">
      <w:pPr>
        <w:pStyle w:val="Paragraphedeliste"/>
        <w:autoSpaceDE w:val="0"/>
        <w:autoSpaceDN w:val="0"/>
        <w:adjustRightInd w:val="0"/>
        <w:spacing w:after="0" w:line="240" w:lineRule="auto"/>
        <w:jc w:val="both"/>
        <w:rPr>
          <w:rFonts w:cstheme="minorHAnsi"/>
        </w:rPr>
      </w:pPr>
    </w:p>
    <w:p w14:paraId="797FBF46" w14:textId="219AA785" w:rsidR="008F57D4" w:rsidRPr="003A4F90" w:rsidRDefault="008F57D4" w:rsidP="003A4F90">
      <w:pPr>
        <w:autoSpaceDE w:val="0"/>
        <w:autoSpaceDN w:val="0"/>
        <w:adjustRightInd w:val="0"/>
        <w:spacing w:after="0" w:line="240" w:lineRule="auto"/>
        <w:jc w:val="both"/>
        <w:rPr>
          <w:rFonts w:cstheme="minorHAnsi"/>
        </w:rPr>
      </w:pPr>
      <w:r w:rsidRPr="003A4F90">
        <w:rPr>
          <w:rFonts w:cstheme="minorHAnsi"/>
        </w:rPr>
        <w:t>Les règles de contrôle suivantes doivent être app</w:t>
      </w:r>
      <w:r w:rsidR="00E06F9C" w:rsidRPr="003A4F90">
        <w:rPr>
          <w:rFonts w:cstheme="minorHAnsi"/>
        </w:rPr>
        <w:t>liquées en nombre et en valeur.</w:t>
      </w:r>
    </w:p>
    <w:p w14:paraId="221EC01F" w14:textId="77777777" w:rsidR="008F57D4" w:rsidRDefault="008F57D4" w:rsidP="006C097E">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8760B5" w:rsidRPr="00223702" w14:paraId="002A07A7" w14:textId="77777777" w:rsidTr="004E68CF">
        <w:tc>
          <w:tcPr>
            <w:tcW w:w="9054" w:type="dxa"/>
          </w:tcPr>
          <w:p w14:paraId="335F1996" w14:textId="58E653CA" w:rsidR="008760B5" w:rsidRPr="00466BF2" w:rsidRDefault="008760B5" w:rsidP="008760B5">
            <w:pPr>
              <w:pStyle w:val="Paragraphedeliste"/>
              <w:autoSpaceDE w:val="0"/>
              <w:autoSpaceDN w:val="0"/>
              <w:adjustRightInd w:val="0"/>
              <w:ind w:left="0"/>
              <w:jc w:val="both"/>
              <w:rPr>
                <w:sz w:val="18"/>
              </w:rPr>
            </w:pPr>
            <w:r>
              <w:rPr>
                <w:rFonts w:cstheme="minorHAnsi"/>
                <w:sz w:val="18"/>
                <w:szCs w:val="18"/>
              </w:rPr>
              <w:t xml:space="preserve">Le total de chaque indicateur est = à la somme des trois sous-ventilations géographiques associées (France, au sein de l’EEE et </w:t>
            </w:r>
            <w:r w:rsidRPr="000945DD">
              <w:rPr>
                <w:rFonts w:cstheme="minorHAnsi"/>
                <w:sz w:val="18"/>
                <w:szCs w:val="18"/>
              </w:rPr>
              <w:t>hors de l’EEE</w:t>
            </w:r>
            <w:r w:rsidR="007C06E0">
              <w:rPr>
                <w:rFonts w:cstheme="minorHAnsi"/>
                <w:sz w:val="18"/>
                <w:szCs w:val="18"/>
              </w:rPr>
              <w:t>)</w:t>
            </w:r>
            <w:r w:rsidRPr="000945DD">
              <w:rPr>
                <w:rFonts w:cstheme="minorHAnsi"/>
                <w:sz w:val="18"/>
                <w:szCs w:val="18"/>
              </w:rPr>
              <w:t>.</w:t>
            </w:r>
          </w:p>
        </w:tc>
      </w:tr>
      <w:tr w:rsidR="008760B5" w:rsidRPr="008760B5" w14:paraId="14550B01" w14:textId="77777777" w:rsidTr="004E68CF">
        <w:tc>
          <w:tcPr>
            <w:tcW w:w="9054" w:type="dxa"/>
          </w:tcPr>
          <w:p w14:paraId="0C158C12" w14:textId="11367D18" w:rsidR="008760B5" w:rsidRPr="00466BF2" w:rsidRDefault="008760B5" w:rsidP="008760B5">
            <w:pPr>
              <w:pStyle w:val="Paragraphedeliste"/>
              <w:autoSpaceDE w:val="0"/>
              <w:autoSpaceDN w:val="0"/>
              <w:adjustRightInd w:val="0"/>
              <w:ind w:left="0"/>
              <w:jc w:val="both"/>
              <w:rPr>
                <w:sz w:val="18"/>
              </w:rPr>
            </w:pPr>
            <w:r>
              <w:rPr>
                <w:rFonts w:cstheme="minorHAnsi"/>
                <w:sz w:val="18"/>
                <w:szCs w:val="18"/>
              </w:rPr>
              <w:t>Le total de chaque indicateur au sein de la zone de l’EEE » est = à la somme de la ventilation par pays de l’EEE.</w:t>
            </w:r>
          </w:p>
        </w:tc>
      </w:tr>
      <w:tr w:rsidR="008760B5" w:rsidRPr="00191426" w14:paraId="087605BD" w14:textId="77777777" w:rsidTr="004E68CF">
        <w:tc>
          <w:tcPr>
            <w:tcW w:w="9054" w:type="dxa"/>
          </w:tcPr>
          <w:p w14:paraId="67744345" w14:textId="6556AFD4" w:rsidR="008760B5" w:rsidRPr="00466BF2" w:rsidRDefault="008760B5" w:rsidP="00BE66A6">
            <w:pPr>
              <w:pStyle w:val="Paragraphedeliste"/>
              <w:autoSpaceDE w:val="0"/>
              <w:autoSpaceDN w:val="0"/>
              <w:adjustRightInd w:val="0"/>
              <w:ind w:left="0"/>
              <w:jc w:val="both"/>
              <w:rPr>
                <w:sz w:val="18"/>
              </w:rPr>
            </w:pPr>
            <w:r>
              <w:rPr>
                <w:rFonts w:cstheme="minorHAnsi"/>
                <w:sz w:val="18"/>
                <w:szCs w:val="18"/>
              </w:rPr>
              <w:t xml:space="preserve">Le total des paiements initiés est = </w:t>
            </w:r>
            <w:r w:rsidR="00BE66A6">
              <w:rPr>
                <w:rFonts w:cstheme="minorHAnsi"/>
                <w:sz w:val="18"/>
                <w:szCs w:val="18"/>
              </w:rPr>
              <w:t>au total d</w:t>
            </w:r>
            <w:r>
              <w:rPr>
                <w:rFonts w:cstheme="minorHAnsi"/>
                <w:sz w:val="18"/>
                <w:szCs w:val="18"/>
              </w:rPr>
              <w:t xml:space="preserve">es paiements initiés à distance </w:t>
            </w:r>
            <w:r w:rsidR="00BE66A6">
              <w:rPr>
                <w:rFonts w:cstheme="minorHAnsi"/>
                <w:sz w:val="18"/>
                <w:szCs w:val="18"/>
              </w:rPr>
              <w:t xml:space="preserve">+ le total des paiements initiés </w:t>
            </w:r>
            <w:r>
              <w:rPr>
                <w:rFonts w:cstheme="minorHAnsi"/>
                <w:sz w:val="18"/>
                <w:szCs w:val="18"/>
              </w:rPr>
              <w:t>en proximité.</w:t>
            </w:r>
          </w:p>
        </w:tc>
      </w:tr>
      <w:tr w:rsidR="008760B5" w:rsidRPr="00191426" w14:paraId="775C5CD5" w14:textId="77777777" w:rsidTr="004E68CF">
        <w:tc>
          <w:tcPr>
            <w:tcW w:w="9054" w:type="dxa"/>
          </w:tcPr>
          <w:p w14:paraId="32C6DF9B" w14:textId="4B55E28C" w:rsidR="008760B5" w:rsidRPr="00466BF2" w:rsidRDefault="008760B5" w:rsidP="00BE66A6">
            <w:pPr>
              <w:pStyle w:val="Paragraphedeliste"/>
              <w:autoSpaceDE w:val="0"/>
              <w:autoSpaceDN w:val="0"/>
              <w:adjustRightInd w:val="0"/>
              <w:ind w:left="0"/>
              <w:jc w:val="both"/>
              <w:rPr>
                <w:sz w:val="18"/>
              </w:rPr>
            </w:pPr>
            <w:r>
              <w:rPr>
                <w:rFonts w:cstheme="minorHAnsi"/>
                <w:sz w:val="18"/>
                <w:szCs w:val="18"/>
              </w:rPr>
              <w:t xml:space="preserve">Le total des paiements initiés est = </w:t>
            </w:r>
            <w:r w:rsidR="00BE66A6">
              <w:rPr>
                <w:rFonts w:cstheme="minorHAnsi"/>
                <w:sz w:val="18"/>
                <w:szCs w:val="18"/>
              </w:rPr>
              <w:t xml:space="preserve">au total </w:t>
            </w:r>
            <w:r>
              <w:rPr>
                <w:rFonts w:cstheme="minorHAnsi"/>
                <w:sz w:val="18"/>
                <w:szCs w:val="18"/>
              </w:rPr>
              <w:t xml:space="preserve">des paiements initiés par virement </w:t>
            </w:r>
            <w:r w:rsidR="00BE66A6">
              <w:rPr>
                <w:rFonts w:cstheme="minorHAnsi"/>
                <w:sz w:val="18"/>
                <w:szCs w:val="18"/>
              </w:rPr>
              <w:t xml:space="preserve">+ total des paiements initiés </w:t>
            </w:r>
            <w:r>
              <w:rPr>
                <w:rFonts w:cstheme="minorHAnsi"/>
                <w:sz w:val="18"/>
                <w:szCs w:val="18"/>
              </w:rPr>
              <w:t>par autre moyen de paiement.</w:t>
            </w:r>
          </w:p>
        </w:tc>
      </w:tr>
      <w:tr w:rsidR="008760B5" w:rsidRPr="00191426" w14:paraId="2F3BFF4E" w14:textId="77777777" w:rsidTr="004E68CF">
        <w:tc>
          <w:tcPr>
            <w:tcW w:w="9054" w:type="dxa"/>
          </w:tcPr>
          <w:p w14:paraId="439E6957" w14:textId="24411E43" w:rsidR="008760B5" w:rsidRDefault="008760B5" w:rsidP="007C06E0">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 paiements initiés </w:t>
            </w:r>
            <w:r w:rsidR="007C06E0">
              <w:rPr>
                <w:rFonts w:cstheme="minorHAnsi"/>
                <w:sz w:val="18"/>
                <w:szCs w:val="18"/>
              </w:rPr>
              <w:t xml:space="preserve">à distance est </w:t>
            </w:r>
            <w:r>
              <w:rPr>
                <w:rFonts w:cstheme="minorHAnsi"/>
                <w:sz w:val="18"/>
                <w:szCs w:val="18"/>
              </w:rPr>
              <w:t>= à la somme de</w:t>
            </w:r>
            <w:r w:rsidR="007C06E0">
              <w:rPr>
                <w:rFonts w:cstheme="minorHAnsi"/>
                <w:sz w:val="18"/>
                <w:szCs w:val="18"/>
              </w:rPr>
              <w:t xml:space="preserve"> ce</w:t>
            </w:r>
            <w:r>
              <w:rPr>
                <w:rFonts w:cstheme="minorHAnsi"/>
                <w:sz w:val="18"/>
                <w:szCs w:val="18"/>
              </w:rPr>
              <w:t xml:space="preserve">s virements </w:t>
            </w:r>
            <w:r w:rsidR="007C06E0">
              <w:rPr>
                <w:rFonts w:cstheme="minorHAnsi"/>
                <w:sz w:val="18"/>
                <w:szCs w:val="18"/>
              </w:rPr>
              <w:t>ventilés par niveau d’authentification (</w:t>
            </w:r>
            <w:r>
              <w:rPr>
                <w:rFonts w:cstheme="minorHAnsi"/>
                <w:sz w:val="18"/>
                <w:szCs w:val="18"/>
              </w:rPr>
              <w:t>avec et sans authentification forte</w:t>
            </w:r>
            <w:r w:rsidR="007C06E0">
              <w:rPr>
                <w:rFonts w:cstheme="minorHAnsi"/>
                <w:sz w:val="18"/>
                <w:szCs w:val="18"/>
              </w:rPr>
              <w:t>)</w:t>
            </w:r>
            <w:r>
              <w:rPr>
                <w:rFonts w:cstheme="minorHAnsi"/>
                <w:sz w:val="18"/>
                <w:szCs w:val="18"/>
              </w:rPr>
              <w:t>.</w:t>
            </w:r>
          </w:p>
        </w:tc>
      </w:tr>
      <w:tr w:rsidR="007C06E0" w:rsidRPr="00191426" w14:paraId="6B35C4EF" w14:textId="77777777" w:rsidTr="004E68CF">
        <w:tc>
          <w:tcPr>
            <w:tcW w:w="9054" w:type="dxa"/>
          </w:tcPr>
          <w:p w14:paraId="6AF8F0AB" w14:textId="3D1BF992" w:rsidR="007C06E0" w:rsidRDefault="007C06E0" w:rsidP="007C06E0">
            <w:pPr>
              <w:pStyle w:val="Paragraphedeliste"/>
              <w:autoSpaceDE w:val="0"/>
              <w:autoSpaceDN w:val="0"/>
              <w:adjustRightInd w:val="0"/>
              <w:ind w:left="0"/>
              <w:jc w:val="both"/>
              <w:rPr>
                <w:rFonts w:cstheme="minorHAnsi"/>
                <w:sz w:val="18"/>
                <w:szCs w:val="18"/>
              </w:rPr>
            </w:pPr>
            <w:r>
              <w:rPr>
                <w:rFonts w:cstheme="minorHAnsi"/>
                <w:sz w:val="18"/>
                <w:szCs w:val="18"/>
              </w:rPr>
              <w:t>Le total de paiements initiés à en proximité est = à la somme de ces virements ventilés par niveau d’authentification (avec et sans authentification forte).</w:t>
            </w:r>
          </w:p>
        </w:tc>
      </w:tr>
    </w:tbl>
    <w:p w14:paraId="0B494F78" w14:textId="73897F47" w:rsidR="006C097E" w:rsidRDefault="006C097E" w:rsidP="006C097E">
      <w:pPr>
        <w:pStyle w:val="Paragraphedeliste"/>
        <w:autoSpaceDE w:val="0"/>
        <w:autoSpaceDN w:val="0"/>
        <w:adjustRightInd w:val="0"/>
        <w:spacing w:after="0" w:line="240" w:lineRule="auto"/>
        <w:jc w:val="both"/>
        <w:rPr>
          <w:rFonts w:cstheme="minorHAnsi"/>
        </w:rPr>
      </w:pPr>
    </w:p>
    <w:p w14:paraId="7CE4AD84" w14:textId="77777777" w:rsidR="002262D6" w:rsidRDefault="002262D6" w:rsidP="006C097E">
      <w:pPr>
        <w:pStyle w:val="Paragraphedeliste"/>
        <w:autoSpaceDE w:val="0"/>
        <w:autoSpaceDN w:val="0"/>
        <w:adjustRightInd w:val="0"/>
        <w:spacing w:after="0" w:line="240" w:lineRule="auto"/>
        <w:jc w:val="both"/>
        <w:rPr>
          <w:rFonts w:cstheme="minorHAnsi"/>
        </w:rPr>
      </w:pPr>
    </w:p>
    <w:p w14:paraId="39EDE7F7" w14:textId="58E15BE8" w:rsidR="000B4131" w:rsidRPr="006B400E" w:rsidRDefault="000B4131" w:rsidP="007718A3">
      <w:pPr>
        <w:pStyle w:val="Titre3"/>
        <w:numPr>
          <w:ilvl w:val="2"/>
          <w:numId w:val="38"/>
        </w:numPr>
        <w:jc w:val="both"/>
      </w:pPr>
      <w:bookmarkStart w:id="76" w:name="_Toc222476906"/>
      <w:r w:rsidRPr="006B400E">
        <w:t>Commentaires sur les opérations de paiement initiées par l’établissement en tant que PSIP</w:t>
      </w:r>
      <w:bookmarkEnd w:id="76"/>
    </w:p>
    <w:p w14:paraId="76E8BCCD" w14:textId="77777777" w:rsidR="000B4131" w:rsidRDefault="000B4131" w:rsidP="000B4131">
      <w:pPr>
        <w:spacing w:after="0" w:line="240" w:lineRule="auto"/>
        <w:jc w:val="both"/>
        <w:rPr>
          <w:rFonts w:ascii="Calibri" w:eastAsia="Times New Roman" w:hAnsi="Calibri" w:cs="Calibri"/>
          <w:b/>
          <w:smallCaps/>
          <w:sz w:val="28"/>
          <w:szCs w:val="28"/>
          <w:lang w:eastAsia="fr-FR"/>
        </w:rPr>
      </w:pPr>
    </w:p>
    <w:p w14:paraId="4D451E34"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6FA49764" w14:textId="6DF85467" w:rsidR="00FE5E9A" w:rsidRDefault="00FE5E9A" w:rsidP="000B4131">
      <w:pPr>
        <w:spacing w:after="0" w:line="240" w:lineRule="auto"/>
        <w:jc w:val="both"/>
        <w:rPr>
          <w:rFonts w:ascii="Calibri" w:eastAsia="Times New Roman" w:hAnsi="Calibri" w:cs="Calibri"/>
          <w:b/>
          <w:smallCaps/>
          <w:sz w:val="28"/>
          <w:szCs w:val="28"/>
          <w:lang w:eastAsia="fr-FR"/>
        </w:rPr>
      </w:pPr>
    </w:p>
    <w:p w14:paraId="6ACAE0EC" w14:textId="77777777" w:rsidR="002262D6" w:rsidRDefault="002262D6" w:rsidP="000B4131">
      <w:pPr>
        <w:spacing w:after="0" w:line="240" w:lineRule="auto"/>
        <w:jc w:val="both"/>
        <w:rPr>
          <w:rFonts w:ascii="Calibri" w:eastAsia="Times New Roman" w:hAnsi="Calibri" w:cs="Calibri"/>
          <w:b/>
          <w:smallCaps/>
          <w:sz w:val="28"/>
          <w:szCs w:val="28"/>
          <w:lang w:eastAsia="fr-FR"/>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820"/>
        <w:gridCol w:w="4394"/>
      </w:tblGrid>
      <w:tr w:rsidR="009647F5" w:rsidRPr="007A2DF0" w14:paraId="5BB6E55C" w14:textId="77777777" w:rsidTr="00007BC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tcBorders>
              <w:bottom w:val="none" w:sz="0" w:space="0" w:color="auto"/>
            </w:tcBorders>
            <w:noWrap/>
            <w:hideMark/>
          </w:tcPr>
          <w:p w14:paraId="59A00F04" w14:textId="77777777" w:rsidR="009647F5" w:rsidRDefault="009647F5" w:rsidP="001C39B8">
            <w:pPr>
              <w:rPr>
                <w:rFonts w:ascii="Calibri" w:eastAsia="Times New Roman" w:hAnsi="Calibri" w:cs="Calibri"/>
                <w:i/>
                <w:sz w:val="20"/>
                <w:szCs w:val="20"/>
                <w:lang w:eastAsia="fr-FR"/>
              </w:rPr>
            </w:pPr>
          </w:p>
          <w:p w14:paraId="6C6CE0BF" w14:textId="087724F6" w:rsidR="009647F5" w:rsidRDefault="009647F5" w:rsidP="001C39B8">
            <w:pPr>
              <w:rPr>
                <w:rFonts w:ascii="Calibri" w:eastAsia="Times New Roman" w:hAnsi="Calibri" w:cs="Calibri"/>
                <w:i/>
                <w:sz w:val="20"/>
                <w:szCs w:val="20"/>
                <w:lang w:eastAsia="fr-FR"/>
              </w:rPr>
            </w:pPr>
            <w:r w:rsidRPr="007A2DF0">
              <w:rPr>
                <w:rFonts w:ascii="Calibri" w:eastAsia="Times New Roman" w:hAnsi="Calibri" w:cs="Calibri"/>
                <w:i/>
                <w:sz w:val="20"/>
                <w:szCs w:val="20"/>
                <w:lang w:eastAsia="fr-FR"/>
              </w:rPr>
              <w:t xml:space="preserve">Commentaires sur l'activité </w:t>
            </w:r>
            <w:r>
              <w:rPr>
                <w:rFonts w:ascii="Calibri" w:eastAsia="Times New Roman" w:hAnsi="Calibri" w:cs="Calibri"/>
                <w:i/>
                <w:sz w:val="20"/>
                <w:szCs w:val="20"/>
                <w:lang w:eastAsia="fr-FR"/>
              </w:rPr>
              <w:t>opérations de paiement initiées</w:t>
            </w:r>
          </w:p>
          <w:p w14:paraId="27F6E67D" w14:textId="77777777" w:rsidR="009647F5" w:rsidRPr="007A2DF0" w:rsidRDefault="009647F5" w:rsidP="001C39B8">
            <w:pPr>
              <w:rPr>
                <w:rFonts w:ascii="Calibri" w:eastAsia="Times New Roman" w:hAnsi="Calibri" w:cs="Calibri"/>
                <w:i/>
                <w:sz w:val="20"/>
                <w:szCs w:val="20"/>
                <w:lang w:eastAsia="fr-FR"/>
              </w:rPr>
            </w:pPr>
          </w:p>
        </w:tc>
        <w:tc>
          <w:tcPr>
            <w:tcW w:w="4394" w:type="dxa"/>
            <w:tcBorders>
              <w:bottom w:val="none" w:sz="0" w:space="0" w:color="auto"/>
            </w:tcBorders>
            <w:noWrap/>
          </w:tcPr>
          <w:p w14:paraId="02463DA0" w14:textId="0D52E572" w:rsidR="009647F5" w:rsidRPr="000502C3" w:rsidRDefault="009647F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20"/>
                <w:szCs w:val="20"/>
                <w:lang w:eastAsia="fr-FR"/>
              </w:rPr>
            </w:pPr>
          </w:p>
        </w:tc>
      </w:tr>
    </w:tbl>
    <w:p w14:paraId="75703CB3" w14:textId="77777777" w:rsidR="00503DEF" w:rsidRDefault="00503DEF" w:rsidP="00F12806"/>
    <w:p w14:paraId="152815F5" w14:textId="7B549106" w:rsidR="002C40DB" w:rsidRPr="006B400E" w:rsidRDefault="002C40DB" w:rsidP="007718A3">
      <w:pPr>
        <w:pStyle w:val="Titre2"/>
        <w:numPr>
          <w:ilvl w:val="1"/>
          <w:numId w:val="38"/>
        </w:numPr>
      </w:pPr>
      <w:bookmarkStart w:id="77" w:name="_Toc222476907"/>
      <w:r w:rsidRPr="006B400E">
        <w:lastRenderedPageBreak/>
        <w:t xml:space="preserve">Autres </w:t>
      </w:r>
      <w:r w:rsidR="007E5673">
        <w:t xml:space="preserve">services de paiement (non inclus dans la directive (UE) 2015/2366 et autres </w:t>
      </w:r>
      <w:r w:rsidRPr="006B400E">
        <w:t>informations</w:t>
      </w:r>
      <w:bookmarkEnd w:id="77"/>
    </w:p>
    <w:p w14:paraId="52FB50CF" w14:textId="77777777" w:rsidR="00BB1695" w:rsidRDefault="00BB1695" w:rsidP="00A82945">
      <w:pPr>
        <w:spacing w:after="0" w:line="240" w:lineRule="auto"/>
        <w:jc w:val="both"/>
        <w:rPr>
          <w:rFonts w:ascii="Calibri" w:eastAsia="Times New Roman" w:hAnsi="Calibri" w:cs="Calibri"/>
          <w:b/>
          <w:smallCaps/>
          <w:sz w:val="28"/>
          <w:szCs w:val="28"/>
          <w:lang w:eastAsia="fr-FR"/>
        </w:rPr>
      </w:pPr>
    </w:p>
    <w:p w14:paraId="41454066" w14:textId="3FA5D193" w:rsidR="00937B4B" w:rsidRDefault="00937B4B" w:rsidP="00A82945">
      <w:pPr>
        <w:spacing w:after="0" w:line="240" w:lineRule="auto"/>
        <w:jc w:val="both"/>
        <w:rPr>
          <w:rFonts w:cstheme="minorHAnsi"/>
        </w:rPr>
      </w:pPr>
      <w:r w:rsidRPr="00937B4B">
        <w:rPr>
          <w:rFonts w:cstheme="minorHAnsi"/>
          <w:u w:val="single"/>
        </w:rPr>
        <w:t>Remarques</w:t>
      </w:r>
      <w:r w:rsidRPr="00A675AF">
        <w:rPr>
          <w:rFonts w:cstheme="minorHAnsi"/>
        </w:rPr>
        <w:t> :</w:t>
      </w:r>
    </w:p>
    <w:p w14:paraId="5765CF4A" w14:textId="77777777" w:rsidR="0081549B" w:rsidRDefault="0081549B" w:rsidP="00A82945">
      <w:pPr>
        <w:spacing w:after="0" w:line="240" w:lineRule="auto"/>
        <w:jc w:val="both"/>
        <w:rPr>
          <w:rFonts w:cstheme="minorHAnsi"/>
          <w:u w:val="single"/>
        </w:rPr>
      </w:pPr>
    </w:p>
    <w:p w14:paraId="78F6629D" w14:textId="09172359" w:rsidR="00937B4B" w:rsidRPr="00114160" w:rsidRDefault="00937B4B" w:rsidP="00594FDC">
      <w:pPr>
        <w:pStyle w:val="Paragraphedeliste"/>
        <w:numPr>
          <w:ilvl w:val="0"/>
          <w:numId w:val="3"/>
        </w:numPr>
        <w:autoSpaceDE w:val="0"/>
        <w:autoSpaceDN w:val="0"/>
        <w:adjustRightInd w:val="0"/>
        <w:spacing w:after="0" w:line="240" w:lineRule="auto"/>
        <w:jc w:val="both"/>
        <w:rPr>
          <w:rFonts w:cstheme="minorHAnsi"/>
          <w:u w:val="single"/>
        </w:rPr>
      </w:pPr>
      <w:r>
        <w:rPr>
          <w:rFonts w:cstheme="minorHAnsi"/>
        </w:rPr>
        <w:t>Concernant les écr</w:t>
      </w:r>
      <w:r w:rsidR="00114160">
        <w:rPr>
          <w:rFonts w:cstheme="minorHAnsi"/>
        </w:rPr>
        <w:t>itures en compte initiées par l’établissement,</w:t>
      </w:r>
    </w:p>
    <w:p w14:paraId="0CC37413" w14:textId="1E340CB6" w:rsidR="00114160" w:rsidRDefault="00114160" w:rsidP="00114160">
      <w:pPr>
        <w:autoSpaceDE w:val="0"/>
        <w:autoSpaceDN w:val="0"/>
        <w:adjustRightInd w:val="0"/>
        <w:spacing w:after="0" w:line="240" w:lineRule="auto"/>
        <w:jc w:val="both"/>
        <w:rPr>
          <w:rFonts w:cstheme="minorHAnsi"/>
          <w:u w:val="single"/>
        </w:rPr>
      </w:pPr>
    </w:p>
    <w:p w14:paraId="675CF46F" w14:textId="7EE08983" w:rsidR="00114160" w:rsidRPr="00FA6CC4" w:rsidRDefault="00114160" w:rsidP="00A675AF">
      <w:pPr>
        <w:spacing w:before="120" w:after="0"/>
        <w:ind w:left="12" w:firstLine="709"/>
        <w:rPr>
          <w:rFonts w:cstheme="minorHAnsi"/>
        </w:rPr>
      </w:pPr>
      <w:r w:rsidRPr="00FA6CC4">
        <w:rPr>
          <w:rFonts w:cstheme="minorHAnsi"/>
        </w:rPr>
        <w:t>Les écritures portées au crédit concernent</w:t>
      </w:r>
      <w:r w:rsidR="006C097E">
        <w:rPr>
          <w:rFonts w:cstheme="minorHAnsi"/>
        </w:rPr>
        <w:t> </w:t>
      </w:r>
      <w:r w:rsidRPr="00FA6CC4">
        <w:rPr>
          <w:rFonts w:cstheme="minorHAnsi"/>
        </w:rPr>
        <w:t>:</w:t>
      </w:r>
    </w:p>
    <w:p w14:paraId="741A29E7" w14:textId="77777777" w:rsidR="00114160" w:rsidRPr="00FA6CC4" w:rsidRDefault="00114160" w:rsidP="00594FDC">
      <w:pPr>
        <w:numPr>
          <w:ilvl w:val="0"/>
          <w:numId w:val="8"/>
        </w:numPr>
        <w:spacing w:after="0" w:line="240" w:lineRule="auto"/>
        <w:jc w:val="both"/>
        <w:rPr>
          <w:rFonts w:cstheme="minorHAnsi"/>
        </w:rPr>
      </w:pPr>
      <w:proofErr w:type="gramStart"/>
      <w:r w:rsidRPr="00FA6CC4">
        <w:rPr>
          <w:rFonts w:cstheme="minorHAnsi"/>
        </w:rPr>
        <w:t>a</w:t>
      </w:r>
      <w:proofErr w:type="gramEnd"/>
      <w:r w:rsidRPr="00FA6CC4">
        <w:rPr>
          <w:rFonts w:cstheme="minorHAnsi"/>
        </w:rPr>
        <w:t> : le paiement d’intérêts (ex : sur comptes à vue, comptes à terme, comptes d’épargne…) ;</w:t>
      </w:r>
    </w:p>
    <w:p w14:paraId="2AC66C1E" w14:textId="77777777" w:rsidR="00114160" w:rsidRPr="00FA6CC4" w:rsidRDefault="00114160" w:rsidP="00594FDC">
      <w:pPr>
        <w:numPr>
          <w:ilvl w:val="0"/>
          <w:numId w:val="8"/>
        </w:numPr>
        <w:spacing w:after="0" w:line="240" w:lineRule="auto"/>
        <w:jc w:val="both"/>
        <w:rPr>
          <w:rFonts w:cstheme="minorHAnsi"/>
        </w:rPr>
      </w:pPr>
      <w:proofErr w:type="gramStart"/>
      <w:r w:rsidRPr="00FA6CC4">
        <w:rPr>
          <w:rFonts w:cstheme="minorHAnsi"/>
        </w:rPr>
        <w:t>b</w:t>
      </w:r>
      <w:proofErr w:type="gramEnd"/>
      <w:r w:rsidRPr="00FA6CC4">
        <w:rPr>
          <w:rFonts w:cstheme="minorHAnsi"/>
        </w:rPr>
        <w:t> : le paiement de dividendes (ex : sur produits financiers…) ;</w:t>
      </w:r>
    </w:p>
    <w:p w14:paraId="192E95A4" w14:textId="77777777" w:rsidR="00114160" w:rsidRPr="00FA6CC4" w:rsidRDefault="00114160" w:rsidP="00594FDC">
      <w:pPr>
        <w:numPr>
          <w:ilvl w:val="0"/>
          <w:numId w:val="8"/>
        </w:numPr>
        <w:spacing w:after="0" w:line="240" w:lineRule="auto"/>
        <w:jc w:val="both"/>
        <w:rPr>
          <w:rFonts w:cstheme="minorHAnsi"/>
        </w:rPr>
      </w:pPr>
      <w:proofErr w:type="gramStart"/>
      <w:r w:rsidRPr="00FA6CC4">
        <w:rPr>
          <w:rFonts w:cstheme="minorHAnsi"/>
        </w:rPr>
        <w:t>c</w:t>
      </w:r>
      <w:proofErr w:type="gramEnd"/>
      <w:r w:rsidRPr="00FA6CC4">
        <w:rPr>
          <w:rFonts w:cstheme="minorHAnsi"/>
        </w:rPr>
        <w:t> : la mise à disposition des sommes prêtées au client, sur un compte (client lui-même, notaire…) tenu sur les livres de l’établissement.</w:t>
      </w:r>
    </w:p>
    <w:p w14:paraId="5486D4F5" w14:textId="44AB68CE" w:rsidR="00114160" w:rsidRPr="00FA6CC4" w:rsidRDefault="00114160" w:rsidP="00A675AF">
      <w:pPr>
        <w:spacing w:before="120" w:after="0"/>
        <w:ind w:firstLine="709"/>
        <w:rPr>
          <w:rFonts w:cstheme="minorHAnsi"/>
        </w:rPr>
      </w:pPr>
      <w:r w:rsidRPr="00FA6CC4">
        <w:rPr>
          <w:rFonts w:cstheme="minorHAnsi"/>
        </w:rPr>
        <w:t>Les écritures portées au débit concernent</w:t>
      </w:r>
      <w:r w:rsidR="006C097E">
        <w:rPr>
          <w:rFonts w:cstheme="minorHAnsi"/>
        </w:rPr>
        <w:t> </w:t>
      </w:r>
      <w:r w:rsidRPr="00FA6CC4">
        <w:rPr>
          <w:rFonts w:cstheme="minorHAnsi"/>
        </w:rPr>
        <w:t>:</w:t>
      </w:r>
    </w:p>
    <w:p w14:paraId="53A48DB9" w14:textId="77777777" w:rsidR="00114160" w:rsidRPr="00FA6CC4" w:rsidRDefault="00114160" w:rsidP="00594FDC">
      <w:pPr>
        <w:numPr>
          <w:ilvl w:val="0"/>
          <w:numId w:val="7"/>
        </w:numPr>
        <w:spacing w:after="0" w:line="240" w:lineRule="auto"/>
        <w:jc w:val="both"/>
        <w:rPr>
          <w:rFonts w:cstheme="minorHAnsi"/>
        </w:rPr>
      </w:pPr>
      <w:proofErr w:type="gramStart"/>
      <w:r w:rsidRPr="00FA6CC4">
        <w:rPr>
          <w:rFonts w:cstheme="minorHAnsi"/>
        </w:rPr>
        <w:t>d</w:t>
      </w:r>
      <w:proofErr w:type="gramEnd"/>
      <w:r w:rsidRPr="00FA6CC4">
        <w:rPr>
          <w:rFonts w:cstheme="minorHAnsi"/>
        </w:rPr>
        <w:t> : le prélèvement d’intérêts dus par le client (ex : intérêts compte débiteur, intérêts d’emprunt…) ;</w:t>
      </w:r>
    </w:p>
    <w:p w14:paraId="6ADDE06D" w14:textId="77777777" w:rsidR="00114160" w:rsidRPr="00FA6CC4" w:rsidRDefault="00114160" w:rsidP="00594FDC">
      <w:pPr>
        <w:numPr>
          <w:ilvl w:val="0"/>
          <w:numId w:val="7"/>
        </w:numPr>
        <w:spacing w:after="0" w:line="240" w:lineRule="auto"/>
        <w:jc w:val="both"/>
        <w:rPr>
          <w:rFonts w:cstheme="minorHAnsi"/>
        </w:rPr>
      </w:pPr>
      <w:proofErr w:type="gramStart"/>
      <w:r w:rsidRPr="00FA6CC4">
        <w:rPr>
          <w:rFonts w:cstheme="minorHAnsi"/>
        </w:rPr>
        <w:t>e</w:t>
      </w:r>
      <w:proofErr w:type="gramEnd"/>
      <w:r w:rsidRPr="00FA6CC4">
        <w:rPr>
          <w:rFonts w:cstheme="minorHAnsi"/>
        </w:rPr>
        <w:t> : le prélèvement de frais (ex : tenue de compte, cotisation carte bancaire, abonnement internet, frais de garde, frais de dossier de crédit, frais de garantie…) ;</w:t>
      </w:r>
    </w:p>
    <w:p w14:paraId="5CF796DA" w14:textId="77777777" w:rsidR="00114160" w:rsidRPr="00FA6CC4" w:rsidRDefault="00114160" w:rsidP="00594FDC">
      <w:pPr>
        <w:numPr>
          <w:ilvl w:val="0"/>
          <w:numId w:val="7"/>
        </w:numPr>
        <w:spacing w:after="0" w:line="240" w:lineRule="auto"/>
        <w:jc w:val="both"/>
        <w:rPr>
          <w:rFonts w:cstheme="minorHAnsi"/>
        </w:rPr>
      </w:pPr>
      <w:proofErr w:type="gramStart"/>
      <w:r w:rsidRPr="00FA6CC4">
        <w:rPr>
          <w:rFonts w:cstheme="minorHAnsi"/>
        </w:rPr>
        <w:t>f</w:t>
      </w:r>
      <w:proofErr w:type="gramEnd"/>
      <w:r w:rsidRPr="00FA6CC4">
        <w:rPr>
          <w:rFonts w:cstheme="minorHAnsi"/>
        </w:rPr>
        <w:t> : le paiement de taxes sur les produits financiers, si celles-ci font l’objet d’une transaction distincte de celle portant sur les produits financiers et que leur paiement n’est pas explicitement autorisé par le client (ex : prélèvements libératoires…),</w:t>
      </w:r>
    </w:p>
    <w:p w14:paraId="216320B5" w14:textId="77777777" w:rsidR="00114160" w:rsidRPr="00FA6CC4" w:rsidRDefault="00114160" w:rsidP="00594FDC">
      <w:pPr>
        <w:numPr>
          <w:ilvl w:val="0"/>
          <w:numId w:val="7"/>
        </w:numPr>
        <w:spacing w:after="0" w:line="240" w:lineRule="auto"/>
        <w:jc w:val="both"/>
        <w:rPr>
          <w:rFonts w:cstheme="minorHAnsi"/>
        </w:rPr>
      </w:pPr>
      <w:proofErr w:type="gramStart"/>
      <w:r w:rsidRPr="00FA6CC4">
        <w:rPr>
          <w:rFonts w:cstheme="minorHAnsi"/>
        </w:rPr>
        <w:t>g</w:t>
      </w:r>
      <w:proofErr w:type="gramEnd"/>
      <w:r w:rsidRPr="00FA6CC4">
        <w:rPr>
          <w:rFonts w:cstheme="minorHAnsi"/>
        </w:rPr>
        <w:t> : le remboursement des prêts.</w:t>
      </w:r>
    </w:p>
    <w:p w14:paraId="4CC9C118" w14:textId="77777777" w:rsidR="002F20AD" w:rsidRDefault="002F20AD" w:rsidP="000B4131">
      <w:pPr>
        <w:ind w:left="708"/>
        <w:jc w:val="both"/>
        <w:rPr>
          <w:rFonts w:cstheme="minorHAnsi"/>
        </w:rPr>
      </w:pPr>
    </w:p>
    <w:p w14:paraId="2B7260A5" w14:textId="0BAB7C3C" w:rsidR="00114160" w:rsidRPr="00FA6CC4" w:rsidRDefault="00114160" w:rsidP="000B4131">
      <w:pPr>
        <w:ind w:left="708"/>
        <w:jc w:val="both"/>
        <w:rPr>
          <w:rFonts w:cstheme="minorHAnsi"/>
        </w:rPr>
      </w:pPr>
      <w:r w:rsidRPr="00FA6CC4">
        <w:rPr>
          <w:rFonts w:cstheme="minorHAnsi"/>
        </w:rPr>
        <w:t>Le montant des opérations soumises à TVA doit être indiqué TTC.</w:t>
      </w:r>
    </w:p>
    <w:p w14:paraId="36D26E0A" w14:textId="57B3B232" w:rsidR="00114160" w:rsidRPr="00FA6CC4" w:rsidRDefault="00114160" w:rsidP="000B4131">
      <w:pPr>
        <w:ind w:left="708"/>
        <w:jc w:val="both"/>
        <w:rPr>
          <w:rFonts w:cstheme="minorHAnsi"/>
        </w:rPr>
      </w:pPr>
      <w:r w:rsidRPr="00FA6CC4">
        <w:rPr>
          <w:rFonts w:cstheme="minorHAnsi"/>
          <w:b/>
        </w:rPr>
        <w:t>Les établissements qui sont dans l’incapacité de dénombrer chacune des rubriques (a, b, c, d…) composant les écritures en compte à déclarer, sont invités à saisir les chiffres disponibles, en précisant dans la zone commentaire les rubriques non prises en compte</w:t>
      </w:r>
      <w:r w:rsidRPr="00FA6CC4">
        <w:rPr>
          <w:rFonts w:cstheme="minorHAnsi"/>
        </w:rPr>
        <w:t xml:space="preserve">. Les questions et commentaires éventuels sur ces rubriques peuvent être adressés à la Banque de France par courriel, à l’adresse suivante : </w:t>
      </w:r>
      <w:r w:rsidR="008D20E7">
        <w:rPr>
          <w:rFonts w:cstheme="minorHAnsi"/>
        </w:rPr>
        <w:t>2323-</w:t>
      </w:r>
      <w:r w:rsidRPr="00FA6CC4">
        <w:rPr>
          <w:rFonts w:cstheme="minorHAnsi"/>
        </w:rPr>
        <w:t>collectes</w:t>
      </w:r>
      <w:r w:rsidR="008D20E7">
        <w:rPr>
          <w:rFonts w:cstheme="minorHAnsi"/>
        </w:rPr>
        <w:t>-ut</w:t>
      </w:r>
      <w:r w:rsidRPr="00FA6CC4">
        <w:rPr>
          <w:rFonts w:cstheme="minorHAnsi"/>
        </w:rPr>
        <w:t>@banque-france.fr.</w:t>
      </w:r>
    </w:p>
    <w:p w14:paraId="1850C3C1"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5625736F" w14:textId="75CA5F1C" w:rsidR="002C40DB" w:rsidRDefault="002C40DB" w:rsidP="00F735D7">
      <w:pPr>
        <w:spacing w:after="0" w:line="240" w:lineRule="auto"/>
        <w:rPr>
          <w:rFonts w:ascii="Calibri" w:eastAsia="Times New Roman" w:hAnsi="Calibri" w:cs="Calibri"/>
          <w:b/>
          <w:sz w:val="20"/>
          <w:szCs w:val="20"/>
          <w:lang w:eastAsia="fr-FR"/>
        </w:rPr>
      </w:pPr>
    </w:p>
    <w:tbl>
      <w:tblPr>
        <w:tblStyle w:val="Tableausimple2"/>
        <w:tblW w:w="0" w:type="auto"/>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552"/>
        <w:gridCol w:w="3402"/>
        <w:gridCol w:w="1134"/>
        <w:gridCol w:w="1134"/>
        <w:gridCol w:w="848"/>
      </w:tblGrid>
      <w:tr w:rsidR="00DD4EBF" w:rsidRPr="008943A4" w14:paraId="43308E00" w14:textId="77777777" w:rsidTr="005E33F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52" w:type="dxa"/>
            <w:tcBorders>
              <w:bottom w:val="single" w:sz="18" w:space="0" w:color="5B9BD5" w:themeColor="accent1"/>
            </w:tcBorders>
            <w:noWrap/>
          </w:tcPr>
          <w:p w14:paraId="2DD742B1" w14:textId="77777777" w:rsidR="00DD4EBF" w:rsidRPr="00B40379" w:rsidRDefault="00DD4EBF" w:rsidP="00DD4EBF">
            <w:pPr>
              <w:rPr>
                <w:rFonts w:ascii="Calibri" w:eastAsia="Times New Roman" w:hAnsi="Calibri" w:cs="Calibri"/>
                <w:i/>
                <w:sz w:val="18"/>
                <w:szCs w:val="18"/>
                <w:lang w:eastAsia="fr-FR"/>
              </w:rPr>
            </w:pPr>
          </w:p>
        </w:tc>
        <w:tc>
          <w:tcPr>
            <w:tcW w:w="3402" w:type="dxa"/>
            <w:tcBorders>
              <w:bottom w:val="single" w:sz="18" w:space="0" w:color="5B9BD5" w:themeColor="accent1"/>
            </w:tcBorders>
          </w:tcPr>
          <w:p w14:paraId="362643D0" w14:textId="77777777" w:rsidR="00DD4EBF" w:rsidRPr="00B40379" w:rsidRDefault="00DD4EBF" w:rsidP="00DD4EBF">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18" w:space="0" w:color="5B9BD5" w:themeColor="accent1"/>
              <w:bottom w:val="single" w:sz="18" w:space="0" w:color="5B9BD5" w:themeColor="accent1"/>
              <w:right w:val="single" w:sz="2" w:space="0" w:color="5B9BD5" w:themeColor="accent1"/>
            </w:tcBorders>
            <w:shd w:val="clear" w:color="auto" w:fill="A6A6A6" w:themeFill="background1" w:themeFillShade="A6"/>
            <w:noWrap/>
          </w:tcPr>
          <w:p w14:paraId="75044F49" w14:textId="2DB51386" w:rsidR="00DD4EBF" w:rsidRPr="00B40379" w:rsidRDefault="00DD4EBF" w:rsidP="00DD4E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4162A3B9" w14:textId="0CD594E9" w:rsidR="00DD4EBF" w:rsidRPr="00B40379" w:rsidRDefault="00DD4EBF" w:rsidP="00DD4E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848" w:type="dxa"/>
            <w:tcBorders>
              <w:top w:val="single" w:sz="18" w:space="0" w:color="5B9BD5" w:themeColor="accent1"/>
              <w:left w:val="single" w:sz="2" w:space="0" w:color="5B9BD5" w:themeColor="accent1"/>
              <w:bottom w:val="single" w:sz="18" w:space="0" w:color="5B9BD5" w:themeColor="accent1"/>
            </w:tcBorders>
            <w:shd w:val="solid" w:color="FFFFFF" w:fill="000000"/>
          </w:tcPr>
          <w:p w14:paraId="78BE5E25" w14:textId="77777777" w:rsidR="00DD4EBF" w:rsidRDefault="00DD4EBF" w:rsidP="00DD4EB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002FC1F5" w14:textId="3A2EB7CA" w:rsidR="00DD4EBF" w:rsidRPr="00B40379" w:rsidRDefault="00DD4EBF" w:rsidP="00DD4E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Pr>
                <w:rFonts w:cstheme="minorHAnsi"/>
                <w:sz w:val="14"/>
                <w:szCs w:val="18"/>
              </w:rPr>
              <w:t>euros</w:t>
            </w:r>
            <w:proofErr w:type="gramEnd"/>
          </w:p>
        </w:tc>
      </w:tr>
      <w:tr w:rsidR="00DD4EBF" w:rsidRPr="008943A4" w14:paraId="548B063C" w14:textId="469DEE1F" w:rsidTr="002262D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52" w:type="dxa"/>
            <w:tcBorders>
              <w:top w:val="single" w:sz="18" w:space="0" w:color="5B9BD5" w:themeColor="accent1"/>
            </w:tcBorders>
            <w:noWrap/>
            <w:hideMark/>
          </w:tcPr>
          <w:p w14:paraId="21AFBB66" w14:textId="77777777" w:rsidR="00DD4EBF" w:rsidRPr="00B40379" w:rsidRDefault="00DD4EBF" w:rsidP="002C40DB">
            <w:pPr>
              <w:rPr>
                <w:rFonts w:ascii="Calibri" w:eastAsia="Times New Roman" w:hAnsi="Calibri" w:cs="Calibri"/>
                <w:i/>
                <w:sz w:val="18"/>
                <w:szCs w:val="18"/>
                <w:lang w:eastAsia="fr-FR"/>
              </w:rPr>
            </w:pPr>
            <w:r w:rsidRPr="00B40379">
              <w:rPr>
                <w:rFonts w:ascii="Calibri" w:eastAsia="Times New Roman" w:hAnsi="Calibri" w:cs="Calibri"/>
                <w:i/>
                <w:sz w:val="18"/>
                <w:szCs w:val="18"/>
                <w:lang w:eastAsia="fr-FR"/>
              </w:rPr>
              <w:t>Nombre d'abonnements à des services de banque en ligne</w:t>
            </w:r>
          </w:p>
        </w:tc>
        <w:tc>
          <w:tcPr>
            <w:tcW w:w="3402" w:type="dxa"/>
            <w:tcBorders>
              <w:top w:val="single" w:sz="18" w:space="0" w:color="5B9BD5" w:themeColor="accent1"/>
            </w:tcBorders>
          </w:tcPr>
          <w:p w14:paraId="02E9C682" w14:textId="508E1780" w:rsidR="00DD4EBF" w:rsidRPr="00B40379" w:rsidRDefault="00DD4EBF" w:rsidP="00937B4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sidRPr="00B40379">
              <w:rPr>
                <w:rFonts w:ascii="Calibri" w:eastAsia="Times New Roman" w:hAnsi="Calibri" w:cs="Calibri"/>
                <w:sz w:val="18"/>
                <w:szCs w:val="18"/>
                <w:lang w:eastAsia="fr-FR"/>
              </w:rPr>
              <w:t>Un abonnement peut valoir pour plusieurs personnes physiques ou morales, de même que pour plusieurs comptes d’une ou plusieurs personnes. Si un établissement fait partie d’un groupe d’établissements, seuls les abonnements à des services de banque en ligne</w:t>
            </w:r>
            <w:r>
              <w:rPr>
                <w:rFonts w:ascii="Calibri" w:eastAsia="Times New Roman" w:hAnsi="Calibri" w:cs="Calibri"/>
                <w:sz w:val="18"/>
                <w:szCs w:val="18"/>
                <w:lang w:eastAsia="fr-FR"/>
              </w:rPr>
              <w:t xml:space="preserve"> (de type consultation de compte, initiation d’opérations de paiement par exemple)</w:t>
            </w:r>
            <w:r w:rsidRPr="00B40379">
              <w:rPr>
                <w:rFonts w:ascii="Calibri" w:eastAsia="Times New Roman" w:hAnsi="Calibri" w:cs="Calibri"/>
                <w:sz w:val="18"/>
                <w:szCs w:val="18"/>
                <w:lang w:eastAsia="fr-FR"/>
              </w:rPr>
              <w:t xml:space="preserve"> pour des comptes gérés et/ou tenus par l’établissement lui-même doivent être comptabilisés dans cette rubrique.</w:t>
            </w:r>
          </w:p>
        </w:tc>
        <w:tc>
          <w:tcPr>
            <w:tcW w:w="1134" w:type="dxa"/>
            <w:vMerge w:val="restart"/>
            <w:shd w:val="clear" w:color="auto" w:fill="A6A6A6" w:themeFill="background1" w:themeFillShade="A6"/>
            <w:noWrap/>
          </w:tcPr>
          <w:p w14:paraId="6DB504EE" w14:textId="1B107639"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4" w:type="dxa"/>
          </w:tcPr>
          <w:p w14:paraId="18076006"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848" w:type="dxa"/>
            <w:shd w:val="clear" w:color="auto" w:fill="A6A6A6" w:themeFill="background1" w:themeFillShade="A6"/>
          </w:tcPr>
          <w:p w14:paraId="33C4EA89"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DD4EBF" w:rsidRPr="008943A4" w14:paraId="260FECB6" w14:textId="24666A5B" w:rsidTr="002262D6">
        <w:trPr>
          <w:trHeight w:val="40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7F7F7F" w:themeColor="text1" w:themeTint="80"/>
              <w:bottom w:val="single" w:sz="4" w:space="0" w:color="5B9BD5" w:themeColor="accent1"/>
            </w:tcBorders>
            <w:noWrap/>
            <w:hideMark/>
          </w:tcPr>
          <w:p w14:paraId="747B1BA9" w14:textId="1733474A" w:rsidR="00DD4EBF" w:rsidRPr="00B40379" w:rsidRDefault="00DD4EBF" w:rsidP="00A95351">
            <w:pPr>
              <w:rPr>
                <w:rFonts w:ascii="Calibri" w:eastAsia="Times New Roman" w:hAnsi="Calibri" w:cs="Calibri"/>
                <w:i/>
                <w:sz w:val="18"/>
                <w:szCs w:val="18"/>
                <w:lang w:eastAsia="fr-FR"/>
              </w:rPr>
            </w:pPr>
            <w:r w:rsidRPr="00B40379">
              <w:rPr>
                <w:rFonts w:ascii="Calibri" w:eastAsia="Times New Roman" w:hAnsi="Calibri" w:cs="Calibri"/>
                <w:i/>
                <w:sz w:val="18"/>
                <w:szCs w:val="18"/>
                <w:lang w:eastAsia="fr-FR"/>
              </w:rPr>
              <w:t>Nombre de comptes de paiement de l’établissement consultés à travers un service tiers d'agrégation</w:t>
            </w:r>
          </w:p>
        </w:tc>
        <w:tc>
          <w:tcPr>
            <w:tcW w:w="3402" w:type="dxa"/>
            <w:tcBorders>
              <w:top w:val="single" w:sz="4" w:space="0" w:color="7F7F7F" w:themeColor="text1" w:themeTint="80"/>
              <w:bottom w:val="single" w:sz="4" w:space="0" w:color="5B9BD5" w:themeColor="accent1"/>
            </w:tcBorders>
          </w:tcPr>
          <w:p w14:paraId="59F099D6" w14:textId="6FE01E9F" w:rsidR="00DD4EBF" w:rsidRPr="00B40379" w:rsidRDefault="00DD4EBF" w:rsidP="00937B4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B40379">
              <w:rPr>
                <w:rFonts w:ascii="Calibri" w:eastAsia="Times New Roman" w:hAnsi="Calibri" w:cs="Calibri"/>
                <w:sz w:val="18"/>
                <w:szCs w:val="18"/>
                <w:lang w:eastAsia="fr-FR"/>
              </w:rPr>
              <w:t xml:space="preserve">Comptes de paiement détenus par la clientèle dans les livres de l’établissement lui-même et consultés par un autre prestataire de service de paiement dans le </w:t>
            </w:r>
            <w:r w:rsidRPr="00B40379">
              <w:rPr>
                <w:rFonts w:ascii="Calibri" w:eastAsia="Times New Roman" w:hAnsi="Calibri" w:cs="Calibri"/>
                <w:sz w:val="18"/>
                <w:szCs w:val="18"/>
                <w:lang w:eastAsia="fr-FR"/>
              </w:rPr>
              <w:lastRenderedPageBreak/>
              <w:t>cadre du service d’information sur les comptes.</w:t>
            </w:r>
          </w:p>
        </w:tc>
        <w:tc>
          <w:tcPr>
            <w:tcW w:w="1134" w:type="dxa"/>
            <w:vMerge/>
            <w:tcBorders>
              <w:top w:val="single" w:sz="4" w:space="0" w:color="7F7F7F" w:themeColor="text1" w:themeTint="80"/>
              <w:bottom w:val="single" w:sz="4" w:space="0" w:color="5B9BD5" w:themeColor="accent1"/>
            </w:tcBorders>
            <w:shd w:val="clear" w:color="auto" w:fill="A6A6A6" w:themeFill="background1" w:themeFillShade="A6"/>
            <w:noWrap/>
          </w:tcPr>
          <w:p w14:paraId="31E129DE" w14:textId="61941776"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7F7F7F" w:themeColor="text1" w:themeTint="80"/>
              <w:bottom w:val="single" w:sz="4" w:space="0" w:color="5B9BD5" w:themeColor="accent1"/>
            </w:tcBorders>
          </w:tcPr>
          <w:p w14:paraId="644E985F"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7F7F7F" w:themeColor="text1" w:themeTint="80"/>
              <w:bottom w:val="single" w:sz="4" w:space="0" w:color="5B9BD5" w:themeColor="accent1"/>
            </w:tcBorders>
            <w:shd w:val="clear" w:color="auto" w:fill="A6A6A6" w:themeFill="background1" w:themeFillShade="A6"/>
          </w:tcPr>
          <w:p w14:paraId="080ADDB5"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DD4EBF" w:rsidRPr="008943A4" w14:paraId="689EB766" w14:textId="23E82885" w:rsidTr="002262D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B9BD5" w:themeColor="accent1"/>
              <w:bottom w:val="single" w:sz="4" w:space="0" w:color="5B9BD5" w:themeColor="accent1"/>
            </w:tcBorders>
            <w:noWrap/>
            <w:hideMark/>
          </w:tcPr>
          <w:p w14:paraId="4BF8CB66" w14:textId="3CFD0640" w:rsidR="00DD4EBF" w:rsidRPr="00B40379" w:rsidRDefault="00DD4EBF" w:rsidP="00A95351">
            <w:pPr>
              <w:rPr>
                <w:rFonts w:ascii="Calibri" w:eastAsia="Times New Roman" w:hAnsi="Calibri" w:cs="Calibri"/>
                <w:i/>
                <w:sz w:val="18"/>
                <w:szCs w:val="18"/>
                <w:lang w:eastAsia="fr-FR"/>
              </w:rPr>
            </w:pPr>
            <w:r w:rsidRPr="00B40379">
              <w:rPr>
                <w:rFonts w:ascii="Calibri" w:eastAsia="Times New Roman" w:hAnsi="Calibri" w:cs="Calibri"/>
                <w:i/>
                <w:sz w:val="18"/>
                <w:szCs w:val="18"/>
                <w:lang w:eastAsia="fr-FR"/>
              </w:rPr>
              <w:t>Nombre de comptes de paiement externes consultés à travers un service d'agrégation fourni par l’établissement</w:t>
            </w:r>
          </w:p>
        </w:tc>
        <w:tc>
          <w:tcPr>
            <w:tcW w:w="3402" w:type="dxa"/>
            <w:tcBorders>
              <w:top w:val="single" w:sz="4" w:space="0" w:color="5B9BD5" w:themeColor="accent1"/>
              <w:bottom w:val="single" w:sz="4" w:space="0" w:color="5B9BD5" w:themeColor="accent1"/>
            </w:tcBorders>
          </w:tcPr>
          <w:p w14:paraId="0CFCB13E" w14:textId="244B2177" w:rsidR="00DD4EBF" w:rsidRPr="00B40379" w:rsidRDefault="00DD4EBF" w:rsidP="00937B4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B40379">
              <w:rPr>
                <w:rFonts w:ascii="Calibri" w:eastAsia="Times New Roman" w:hAnsi="Calibri" w:cs="Calibri"/>
                <w:sz w:val="18"/>
                <w:szCs w:val="18"/>
                <w:lang w:eastAsia="fr-FR"/>
              </w:rPr>
              <w:t>Comptes de paiement détenus par la clientèle dans les livres d’un autre prestataire de service de paiement et consultés par l’établissement lui-même dans le cadre du service d’information sur les comptes qu’il fournit.</w:t>
            </w:r>
          </w:p>
        </w:tc>
        <w:tc>
          <w:tcPr>
            <w:tcW w:w="1134" w:type="dxa"/>
            <w:vMerge/>
            <w:tcBorders>
              <w:top w:val="single" w:sz="4" w:space="0" w:color="5B9BD5" w:themeColor="accent1"/>
              <w:bottom w:val="single" w:sz="4" w:space="0" w:color="5B9BD5" w:themeColor="accent1"/>
            </w:tcBorders>
            <w:shd w:val="clear" w:color="auto" w:fill="A6A6A6" w:themeFill="background1" w:themeFillShade="A6"/>
            <w:noWrap/>
          </w:tcPr>
          <w:p w14:paraId="229FD442" w14:textId="0954F0E6"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bottom w:val="single" w:sz="4" w:space="0" w:color="5B9BD5" w:themeColor="accent1"/>
            </w:tcBorders>
          </w:tcPr>
          <w:p w14:paraId="2933E398"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bottom w:val="single" w:sz="4" w:space="0" w:color="5B9BD5" w:themeColor="accent1"/>
            </w:tcBorders>
            <w:shd w:val="clear" w:color="auto" w:fill="A6A6A6" w:themeFill="background1" w:themeFillShade="A6"/>
          </w:tcPr>
          <w:p w14:paraId="1C673FE6"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DD4EBF" w:rsidRPr="008943A4" w14:paraId="2985C080" w14:textId="400B1C44" w:rsidTr="002262D6">
        <w:trPr>
          <w:trHeight w:val="40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B9BD5" w:themeColor="accent1"/>
              <w:bottom w:val="single" w:sz="4" w:space="0" w:color="5B9BD5" w:themeColor="accent1"/>
            </w:tcBorders>
            <w:noWrap/>
            <w:hideMark/>
          </w:tcPr>
          <w:p w14:paraId="2BEEB293" w14:textId="4839DF3C" w:rsidR="00DD4EBF" w:rsidRPr="00B40379" w:rsidRDefault="00DD4EBF" w:rsidP="002C40DB">
            <w:pPr>
              <w:rPr>
                <w:rFonts w:ascii="Calibri" w:eastAsia="Times New Roman" w:hAnsi="Calibri" w:cs="Calibri"/>
                <w:i/>
                <w:sz w:val="18"/>
                <w:szCs w:val="18"/>
                <w:lang w:eastAsia="fr-FR"/>
              </w:rPr>
            </w:pPr>
            <w:r w:rsidRPr="00B40379">
              <w:rPr>
                <w:rFonts w:ascii="Calibri" w:eastAsia="Times New Roman" w:hAnsi="Calibri" w:cs="Calibri"/>
                <w:i/>
                <w:sz w:val="18"/>
                <w:szCs w:val="18"/>
                <w:lang w:eastAsia="fr-FR"/>
              </w:rPr>
              <w:t>Opérations au crédit des comptes par « simple jeu d’écritures »</w:t>
            </w:r>
          </w:p>
        </w:tc>
        <w:tc>
          <w:tcPr>
            <w:tcW w:w="3402" w:type="dxa"/>
            <w:tcBorders>
              <w:top w:val="single" w:sz="4" w:space="0" w:color="5B9BD5" w:themeColor="accent1"/>
              <w:bottom w:val="single" w:sz="4" w:space="0" w:color="5B9BD5" w:themeColor="accent1"/>
            </w:tcBorders>
          </w:tcPr>
          <w:p w14:paraId="054DD6A0" w14:textId="50D95705" w:rsidR="00DD4EBF" w:rsidRPr="00B40379" w:rsidRDefault="00DD4EBF" w:rsidP="00937B4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B40379">
              <w:rPr>
                <w:rFonts w:ascii="Calibri" w:eastAsia="Times New Roman" w:hAnsi="Calibri" w:cs="Calibri"/>
                <w:sz w:val="18"/>
                <w:szCs w:val="18"/>
                <w:lang w:eastAsia="fr-FR"/>
              </w:rPr>
              <w:t>Les opérations concernées sont les opérations de clientèle (pour toutes les activités « classiques » d’une banque, sauf assurance : crédit, gestion des comptes, produits d’épargne, gestion des titres…) effectuées directement par les établissements teneurs de compte au débit ou au crédit de comptes de clientèle sans l'utilisation d'un quelconque moyen de paiement et sans ordre explicite du client (Cf. remarques ci-dessus).</w:t>
            </w:r>
          </w:p>
        </w:tc>
        <w:tc>
          <w:tcPr>
            <w:tcW w:w="1134" w:type="dxa"/>
            <w:vMerge/>
            <w:tcBorders>
              <w:top w:val="single" w:sz="4" w:space="0" w:color="5B9BD5" w:themeColor="accent1"/>
              <w:bottom w:val="single" w:sz="4" w:space="0" w:color="5B9BD5" w:themeColor="accent1"/>
            </w:tcBorders>
            <w:shd w:val="clear" w:color="auto" w:fill="A6A6A6" w:themeFill="background1" w:themeFillShade="A6"/>
            <w:noWrap/>
          </w:tcPr>
          <w:p w14:paraId="7F45882A" w14:textId="1AAA51AB"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bottom w:val="single" w:sz="4" w:space="0" w:color="5B9BD5" w:themeColor="accent1"/>
            </w:tcBorders>
          </w:tcPr>
          <w:p w14:paraId="4274F493"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bottom w:val="single" w:sz="4" w:space="0" w:color="5B9BD5" w:themeColor="accent1"/>
            </w:tcBorders>
          </w:tcPr>
          <w:p w14:paraId="05484203"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DD4EBF" w:rsidRPr="008943A4" w14:paraId="3864DA14" w14:textId="40191062" w:rsidTr="002262D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B9BD5" w:themeColor="accent1"/>
              <w:bottom w:val="single" w:sz="4" w:space="0" w:color="5B9BD5" w:themeColor="accent1"/>
            </w:tcBorders>
            <w:noWrap/>
            <w:hideMark/>
          </w:tcPr>
          <w:p w14:paraId="0B36B11D" w14:textId="0D537D92" w:rsidR="00DD4EBF" w:rsidRPr="00B40379" w:rsidRDefault="00DD4EBF" w:rsidP="002C40DB">
            <w:pPr>
              <w:rPr>
                <w:rFonts w:ascii="Calibri" w:eastAsia="Times New Roman" w:hAnsi="Calibri" w:cs="Calibri"/>
                <w:i/>
                <w:sz w:val="18"/>
                <w:szCs w:val="18"/>
                <w:lang w:eastAsia="fr-FR"/>
              </w:rPr>
            </w:pPr>
            <w:r w:rsidRPr="00B40379">
              <w:rPr>
                <w:rFonts w:ascii="Calibri" w:eastAsia="Times New Roman" w:hAnsi="Calibri" w:cs="Calibri"/>
                <w:i/>
                <w:sz w:val="18"/>
                <w:szCs w:val="18"/>
                <w:lang w:eastAsia="fr-FR"/>
              </w:rPr>
              <w:t>Opérations au débit des comptes par « simple jeu d’écritures »</w:t>
            </w:r>
          </w:p>
        </w:tc>
        <w:tc>
          <w:tcPr>
            <w:tcW w:w="3402" w:type="dxa"/>
            <w:tcBorders>
              <w:top w:val="single" w:sz="4" w:space="0" w:color="5B9BD5" w:themeColor="accent1"/>
              <w:bottom w:val="single" w:sz="4" w:space="0" w:color="5B9BD5" w:themeColor="accent1"/>
            </w:tcBorders>
          </w:tcPr>
          <w:p w14:paraId="33D84946" w14:textId="4F26B626" w:rsidR="00DD4EBF" w:rsidRPr="00B40379" w:rsidRDefault="00DD4EBF" w:rsidP="001141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B40379">
              <w:rPr>
                <w:rFonts w:ascii="Calibri" w:eastAsia="Times New Roman" w:hAnsi="Calibri" w:cs="Calibri"/>
                <w:sz w:val="18"/>
                <w:szCs w:val="18"/>
                <w:lang w:eastAsia="fr-FR"/>
              </w:rPr>
              <w:t>Les opérations concernées sont les opérations de clientèle (pour toutes les activités « classiques » d’une banque, sauf assurance : crédit, gestion des comptes, produits d’épargne, gestion des titres…) effectuées directement par les établissements teneurs de compte au débit ou au crédit de comptes de clientèle sans l'utilisation d'un quelconque moyen de paiement et sans ordre explicite du client (Cf. remarques ci-dessus).</w:t>
            </w:r>
          </w:p>
        </w:tc>
        <w:tc>
          <w:tcPr>
            <w:tcW w:w="1134" w:type="dxa"/>
            <w:vMerge/>
            <w:tcBorders>
              <w:top w:val="single" w:sz="4" w:space="0" w:color="5B9BD5" w:themeColor="accent1"/>
              <w:bottom w:val="single" w:sz="4" w:space="0" w:color="5B9BD5" w:themeColor="accent1"/>
            </w:tcBorders>
            <w:shd w:val="clear" w:color="auto" w:fill="A6A6A6" w:themeFill="background1" w:themeFillShade="A6"/>
            <w:noWrap/>
          </w:tcPr>
          <w:p w14:paraId="4C356B5E" w14:textId="130BC3BF"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bottom w:val="single" w:sz="4" w:space="0" w:color="5B9BD5" w:themeColor="accent1"/>
            </w:tcBorders>
          </w:tcPr>
          <w:p w14:paraId="369827C4"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bottom w:val="single" w:sz="4" w:space="0" w:color="5B9BD5" w:themeColor="accent1"/>
            </w:tcBorders>
          </w:tcPr>
          <w:p w14:paraId="1C964849"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DD4EBF" w:rsidRPr="008943A4" w14:paraId="4DFDFE50" w14:textId="77777777" w:rsidTr="002262D6">
        <w:trPr>
          <w:trHeight w:val="40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B9BD5" w:themeColor="accent1"/>
              <w:bottom w:val="single" w:sz="4" w:space="0" w:color="5B9BD5" w:themeColor="accent1"/>
            </w:tcBorders>
            <w:noWrap/>
          </w:tcPr>
          <w:p w14:paraId="5A87E3F2" w14:textId="605219D1" w:rsidR="00DD4EBF" w:rsidRPr="00B40379" w:rsidRDefault="00DD4EBF" w:rsidP="002C40DB">
            <w:pPr>
              <w:rPr>
                <w:rFonts w:ascii="Calibri" w:eastAsia="Times New Roman" w:hAnsi="Calibri" w:cs="Calibri"/>
                <w:i/>
                <w:sz w:val="18"/>
                <w:szCs w:val="18"/>
                <w:lang w:eastAsia="fr-FR"/>
              </w:rPr>
            </w:pPr>
            <w:r>
              <w:rPr>
                <w:rFonts w:ascii="Calibri" w:eastAsia="Times New Roman" w:hAnsi="Calibri" w:cs="Calibri"/>
                <w:i/>
                <w:sz w:val="18"/>
                <w:szCs w:val="18"/>
                <w:lang w:eastAsia="fr-FR"/>
              </w:rPr>
              <w:t>Autres</w:t>
            </w:r>
          </w:p>
        </w:tc>
        <w:tc>
          <w:tcPr>
            <w:tcW w:w="3402" w:type="dxa"/>
            <w:tcBorders>
              <w:top w:val="single" w:sz="4" w:space="0" w:color="5B9BD5" w:themeColor="accent1"/>
              <w:bottom w:val="single" w:sz="4" w:space="0" w:color="5B9BD5" w:themeColor="accent1"/>
            </w:tcBorders>
          </w:tcPr>
          <w:p w14:paraId="2A40A22B" w14:textId="77777777" w:rsidR="00DD4EBF" w:rsidRPr="00B40379" w:rsidRDefault="00DD4EBF" w:rsidP="001141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vMerge/>
            <w:tcBorders>
              <w:top w:val="single" w:sz="4" w:space="0" w:color="5B9BD5" w:themeColor="accent1"/>
              <w:bottom w:val="single" w:sz="4" w:space="0" w:color="5B9BD5" w:themeColor="accent1"/>
            </w:tcBorders>
            <w:shd w:val="clear" w:color="auto" w:fill="A6A6A6" w:themeFill="background1" w:themeFillShade="A6"/>
            <w:noWrap/>
          </w:tcPr>
          <w:p w14:paraId="0C9A0AA4"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bottom w:val="single" w:sz="4" w:space="0" w:color="5B9BD5" w:themeColor="accent1"/>
            </w:tcBorders>
          </w:tcPr>
          <w:p w14:paraId="0C96DFD7"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bottom w:val="single" w:sz="4" w:space="0" w:color="5B9BD5" w:themeColor="accent1"/>
            </w:tcBorders>
          </w:tcPr>
          <w:p w14:paraId="1315FFAB"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DD4EBF" w:rsidRPr="008943A4" w14:paraId="2E9620D7" w14:textId="4C5FD356" w:rsidTr="002262D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B9BD5" w:themeColor="accent1"/>
              <w:bottom w:val="single" w:sz="4" w:space="0" w:color="5B9BD5" w:themeColor="accent1"/>
            </w:tcBorders>
            <w:noWrap/>
            <w:hideMark/>
          </w:tcPr>
          <w:p w14:paraId="1960AC63" w14:textId="77777777" w:rsidR="00DD4EBF" w:rsidRPr="00B40379" w:rsidRDefault="00DD4EBF" w:rsidP="002C40DB">
            <w:pPr>
              <w:rPr>
                <w:rFonts w:ascii="Calibri" w:eastAsia="Times New Roman" w:hAnsi="Calibri" w:cs="Calibri"/>
                <w:i/>
                <w:sz w:val="18"/>
                <w:szCs w:val="18"/>
                <w:lang w:eastAsia="fr-FR"/>
              </w:rPr>
            </w:pPr>
            <w:r w:rsidRPr="00B40379">
              <w:rPr>
                <w:rFonts w:ascii="Calibri" w:eastAsia="Times New Roman" w:hAnsi="Calibri" w:cs="Calibri"/>
                <w:i/>
                <w:sz w:val="18"/>
                <w:szCs w:val="18"/>
                <w:lang w:eastAsia="fr-FR"/>
              </w:rPr>
              <w:t>Retraits d'espèces au guichet</w:t>
            </w:r>
          </w:p>
        </w:tc>
        <w:tc>
          <w:tcPr>
            <w:tcW w:w="3402" w:type="dxa"/>
            <w:tcBorders>
              <w:top w:val="single" w:sz="4" w:space="0" w:color="5B9BD5" w:themeColor="accent1"/>
              <w:bottom w:val="single" w:sz="4" w:space="0" w:color="5B9BD5" w:themeColor="accent1"/>
            </w:tcBorders>
          </w:tcPr>
          <w:p w14:paraId="3D5E8DC2" w14:textId="16849AF8" w:rsidR="00DD4EBF" w:rsidRPr="00B40379" w:rsidRDefault="00DD4EBF" w:rsidP="001141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B40379">
              <w:rPr>
                <w:rFonts w:ascii="Calibri" w:eastAsia="Times New Roman" w:hAnsi="Calibri" w:cs="Calibri"/>
                <w:sz w:val="18"/>
                <w:szCs w:val="18"/>
                <w:lang w:eastAsia="fr-FR"/>
              </w:rPr>
              <w:t>Retraits d’espèces effectués aux guichets via un formulaire.</w:t>
            </w:r>
          </w:p>
        </w:tc>
        <w:tc>
          <w:tcPr>
            <w:tcW w:w="1134" w:type="dxa"/>
            <w:vMerge/>
            <w:tcBorders>
              <w:top w:val="single" w:sz="4" w:space="0" w:color="5B9BD5" w:themeColor="accent1"/>
              <w:bottom w:val="single" w:sz="4" w:space="0" w:color="5B9BD5" w:themeColor="accent1"/>
            </w:tcBorders>
            <w:shd w:val="clear" w:color="auto" w:fill="A6A6A6" w:themeFill="background1" w:themeFillShade="A6"/>
            <w:noWrap/>
          </w:tcPr>
          <w:p w14:paraId="2CC221C4" w14:textId="456139D2"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bottom w:val="single" w:sz="4" w:space="0" w:color="5B9BD5" w:themeColor="accent1"/>
            </w:tcBorders>
          </w:tcPr>
          <w:p w14:paraId="061A6E55"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bottom w:val="single" w:sz="4" w:space="0" w:color="5B9BD5" w:themeColor="accent1"/>
            </w:tcBorders>
          </w:tcPr>
          <w:p w14:paraId="133B7AA3"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DD4EBF" w:rsidRPr="008943A4" w14:paraId="03093870" w14:textId="77777777" w:rsidTr="002262D6">
        <w:trPr>
          <w:trHeight w:val="408"/>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B9BD5" w:themeColor="accent1"/>
              <w:bottom w:val="single" w:sz="4" w:space="0" w:color="5B9BD5" w:themeColor="accent1"/>
            </w:tcBorders>
            <w:noWrap/>
            <w:hideMark/>
          </w:tcPr>
          <w:p w14:paraId="50769A44" w14:textId="77777777" w:rsidR="00DD4EBF" w:rsidRPr="00B40379" w:rsidRDefault="00DD4EBF" w:rsidP="002C40DB">
            <w:pPr>
              <w:rPr>
                <w:rFonts w:ascii="Calibri" w:eastAsia="Times New Roman" w:hAnsi="Calibri" w:cs="Calibri"/>
                <w:i/>
                <w:sz w:val="18"/>
                <w:szCs w:val="18"/>
                <w:lang w:eastAsia="fr-FR"/>
              </w:rPr>
            </w:pPr>
            <w:r w:rsidRPr="00B40379">
              <w:rPr>
                <w:rFonts w:ascii="Calibri" w:eastAsia="Times New Roman" w:hAnsi="Calibri" w:cs="Calibri"/>
                <w:i/>
                <w:sz w:val="18"/>
                <w:szCs w:val="18"/>
                <w:lang w:eastAsia="fr-FR"/>
              </w:rPr>
              <w:t>Dépôts d'espèces au guichet</w:t>
            </w:r>
          </w:p>
        </w:tc>
        <w:tc>
          <w:tcPr>
            <w:tcW w:w="3402" w:type="dxa"/>
            <w:tcBorders>
              <w:top w:val="single" w:sz="4" w:space="0" w:color="5B9BD5" w:themeColor="accent1"/>
              <w:bottom w:val="single" w:sz="4" w:space="0" w:color="5B9BD5" w:themeColor="accent1"/>
            </w:tcBorders>
          </w:tcPr>
          <w:p w14:paraId="6083BF2F" w14:textId="269FB3E6" w:rsidR="00DD4EBF" w:rsidRPr="00B40379" w:rsidRDefault="00DD4EBF" w:rsidP="001141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B40379">
              <w:rPr>
                <w:rFonts w:ascii="Calibri" w:eastAsia="Times New Roman" w:hAnsi="Calibri" w:cs="Calibri"/>
                <w:sz w:val="18"/>
                <w:szCs w:val="18"/>
                <w:lang w:eastAsia="fr-FR"/>
              </w:rPr>
              <w:t>Dépôts d’espèces effectués aux guichets via un formulaire.</w:t>
            </w:r>
          </w:p>
        </w:tc>
        <w:tc>
          <w:tcPr>
            <w:tcW w:w="1134" w:type="dxa"/>
            <w:vMerge/>
            <w:tcBorders>
              <w:top w:val="single" w:sz="4" w:space="0" w:color="5B9BD5" w:themeColor="accent1"/>
              <w:bottom w:val="single" w:sz="4" w:space="0" w:color="5B9BD5" w:themeColor="accent1"/>
            </w:tcBorders>
            <w:shd w:val="clear" w:color="auto" w:fill="A6A6A6" w:themeFill="background1" w:themeFillShade="A6"/>
          </w:tcPr>
          <w:p w14:paraId="18A6D17A"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bottom w:val="single" w:sz="4" w:space="0" w:color="5B9BD5" w:themeColor="accent1"/>
            </w:tcBorders>
          </w:tcPr>
          <w:p w14:paraId="05CF2375"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bottom w:val="single" w:sz="4" w:space="0" w:color="5B9BD5" w:themeColor="accent1"/>
            </w:tcBorders>
            <w:noWrap/>
          </w:tcPr>
          <w:p w14:paraId="71090B73" w14:textId="6BDC845F"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DD4EBF" w:rsidRPr="008943A4" w14:paraId="1245FB52" w14:textId="77777777" w:rsidTr="002262D6">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B9BD5" w:themeColor="accent1"/>
              <w:bottom w:val="single" w:sz="4" w:space="0" w:color="5B9BD5" w:themeColor="accent1"/>
            </w:tcBorders>
            <w:noWrap/>
          </w:tcPr>
          <w:p w14:paraId="5914EDB3" w14:textId="6477F7B8" w:rsidR="00DD4EBF" w:rsidRPr="00B40379" w:rsidRDefault="00DD4EBF" w:rsidP="002C40DB">
            <w:pPr>
              <w:rPr>
                <w:rFonts w:ascii="Calibri" w:eastAsia="Times New Roman" w:hAnsi="Calibri" w:cs="Calibri"/>
                <w:i/>
                <w:sz w:val="18"/>
                <w:szCs w:val="18"/>
                <w:lang w:eastAsia="fr-FR"/>
              </w:rPr>
            </w:pPr>
            <w:r>
              <w:rPr>
                <w:rFonts w:ascii="Calibri" w:eastAsia="Times New Roman" w:hAnsi="Calibri" w:cs="Calibri"/>
                <w:i/>
                <w:sz w:val="18"/>
                <w:szCs w:val="18"/>
                <w:lang w:eastAsia="fr-FR"/>
              </w:rPr>
              <w:t>Avances d’espèces aux TPV</w:t>
            </w:r>
          </w:p>
        </w:tc>
        <w:tc>
          <w:tcPr>
            <w:tcW w:w="3402" w:type="dxa"/>
            <w:tcBorders>
              <w:top w:val="single" w:sz="4" w:space="0" w:color="5B9BD5" w:themeColor="accent1"/>
              <w:bottom w:val="single" w:sz="4" w:space="0" w:color="5B9BD5" w:themeColor="accent1"/>
            </w:tcBorders>
          </w:tcPr>
          <w:p w14:paraId="34319295" w14:textId="77777777" w:rsidR="00DD4EBF" w:rsidRDefault="00196EFB" w:rsidP="001141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196EFB">
              <w:rPr>
                <w:rFonts w:ascii="Calibri" w:eastAsia="Times New Roman" w:hAnsi="Calibri" w:cs="Calibri"/>
                <w:sz w:val="18"/>
                <w:szCs w:val="18"/>
                <w:lang w:eastAsia="fr-FR"/>
              </w:rPr>
              <w:t>Opérations lors de laquelle le porteur de la carte obtient des espèces à un TPV, cette obtention allant de pair avec une opération de paiement de biens ou de services.</w:t>
            </w:r>
          </w:p>
          <w:p w14:paraId="12EFDBAC" w14:textId="1B293EFB" w:rsidR="00196EFB" w:rsidRPr="00B40379" w:rsidRDefault="00196EFB" w:rsidP="00A531D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196EFB">
              <w:rPr>
                <w:rFonts w:ascii="Calibri" w:eastAsia="Times New Roman" w:hAnsi="Calibri" w:cs="Calibri"/>
                <w:sz w:val="18"/>
                <w:szCs w:val="18"/>
                <w:lang w:eastAsia="fr-FR"/>
              </w:rPr>
              <w:t xml:space="preserve">S’il n’est pas possible de distinguer les données relatives au </w:t>
            </w:r>
            <w:r w:rsidRPr="00A531D3">
              <w:rPr>
                <w:rFonts w:ascii="Calibri" w:eastAsia="Times New Roman" w:hAnsi="Calibri" w:cs="Calibri"/>
                <w:i/>
                <w:sz w:val="18"/>
                <w:szCs w:val="18"/>
                <w:lang w:eastAsia="fr-FR"/>
              </w:rPr>
              <w:t>Cashback,</w:t>
            </w:r>
            <w:r w:rsidRPr="00196EFB">
              <w:rPr>
                <w:rFonts w:ascii="Calibri" w:eastAsia="Times New Roman" w:hAnsi="Calibri" w:cs="Calibri"/>
                <w:sz w:val="18"/>
                <w:szCs w:val="18"/>
                <w:lang w:eastAsia="fr-FR"/>
              </w:rPr>
              <w:t xml:space="preserve"> celles-ci sont alors déclarées comme des « Opérations à un point de vente ».</w:t>
            </w:r>
          </w:p>
        </w:tc>
        <w:tc>
          <w:tcPr>
            <w:tcW w:w="1134" w:type="dxa"/>
            <w:vMerge/>
            <w:tcBorders>
              <w:top w:val="single" w:sz="4" w:space="0" w:color="5B9BD5" w:themeColor="accent1"/>
              <w:bottom w:val="single" w:sz="4" w:space="0" w:color="5B9BD5" w:themeColor="accent1"/>
            </w:tcBorders>
            <w:shd w:val="clear" w:color="auto" w:fill="A6A6A6" w:themeFill="background1" w:themeFillShade="A6"/>
          </w:tcPr>
          <w:p w14:paraId="16CB21B0"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bottom w:val="single" w:sz="4" w:space="0" w:color="5B9BD5" w:themeColor="accent1"/>
            </w:tcBorders>
          </w:tcPr>
          <w:p w14:paraId="09D82C5D"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bottom w:val="single" w:sz="4" w:space="0" w:color="5B9BD5" w:themeColor="accent1"/>
            </w:tcBorders>
            <w:noWrap/>
          </w:tcPr>
          <w:p w14:paraId="452AB3F1"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DD4EBF" w:rsidRPr="008943A4" w14:paraId="391083EA" w14:textId="77777777" w:rsidTr="002262D6">
        <w:trPr>
          <w:trHeight w:val="408"/>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B9BD5" w:themeColor="accent1"/>
              <w:bottom w:val="single" w:sz="18" w:space="0" w:color="5B9BD5" w:themeColor="accent1"/>
            </w:tcBorders>
            <w:noWrap/>
          </w:tcPr>
          <w:p w14:paraId="72319E3C" w14:textId="0AFF5425" w:rsidR="00DD4EBF" w:rsidRPr="00B40379" w:rsidRDefault="00DD4EBF" w:rsidP="002C40DB">
            <w:pPr>
              <w:rPr>
                <w:rFonts w:ascii="Calibri" w:eastAsia="Times New Roman" w:hAnsi="Calibri" w:cs="Calibri"/>
                <w:i/>
                <w:sz w:val="18"/>
                <w:szCs w:val="18"/>
                <w:lang w:eastAsia="fr-FR"/>
              </w:rPr>
            </w:pPr>
            <w:r>
              <w:rPr>
                <w:rFonts w:ascii="Calibri" w:eastAsia="Times New Roman" w:hAnsi="Calibri" w:cs="Calibri"/>
                <w:i/>
                <w:sz w:val="18"/>
                <w:szCs w:val="18"/>
                <w:lang w:eastAsia="fr-FR"/>
              </w:rPr>
              <w:t>Cash-in shop</w:t>
            </w:r>
          </w:p>
        </w:tc>
        <w:tc>
          <w:tcPr>
            <w:tcW w:w="3402" w:type="dxa"/>
            <w:tcBorders>
              <w:top w:val="single" w:sz="4" w:space="0" w:color="5B9BD5" w:themeColor="accent1"/>
              <w:bottom w:val="single" w:sz="18" w:space="0" w:color="5B9BD5" w:themeColor="accent1"/>
            </w:tcBorders>
          </w:tcPr>
          <w:p w14:paraId="74905F5A" w14:textId="4A681293" w:rsidR="00DD4EBF" w:rsidRPr="00B40379" w:rsidRDefault="00A531D3" w:rsidP="00A531D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Opérations </w:t>
            </w:r>
            <w:r w:rsidRPr="00A531D3">
              <w:rPr>
                <w:rFonts w:ascii="Calibri" w:eastAsia="Times New Roman" w:hAnsi="Calibri" w:cs="Calibri"/>
                <w:sz w:val="18"/>
                <w:szCs w:val="18"/>
                <w:lang w:eastAsia="fr-FR"/>
              </w:rPr>
              <w:t xml:space="preserve">permettant à un client de retirer de l'argent liquide d'un compte de paiement à l'aide d'une application mobile sur un smartphone dans un magasin participant supportant l'application. Contrairement au </w:t>
            </w:r>
            <w:r w:rsidRPr="00A531D3">
              <w:rPr>
                <w:rFonts w:ascii="Calibri" w:eastAsia="Times New Roman" w:hAnsi="Calibri" w:cs="Calibri"/>
                <w:i/>
                <w:sz w:val="18"/>
                <w:szCs w:val="18"/>
                <w:lang w:eastAsia="fr-FR"/>
              </w:rPr>
              <w:t>Cashback</w:t>
            </w:r>
            <w:r w:rsidRPr="00A531D3">
              <w:rPr>
                <w:rFonts w:ascii="Calibri" w:eastAsia="Times New Roman" w:hAnsi="Calibri" w:cs="Calibri"/>
                <w:sz w:val="18"/>
                <w:szCs w:val="18"/>
                <w:lang w:eastAsia="fr-FR"/>
              </w:rPr>
              <w:t xml:space="preserve">, une transaction cash-in-shop ne nécessite pas que le </w:t>
            </w:r>
            <w:r>
              <w:rPr>
                <w:rFonts w:ascii="Calibri" w:eastAsia="Times New Roman" w:hAnsi="Calibri" w:cs="Calibri"/>
                <w:sz w:val="18"/>
                <w:szCs w:val="18"/>
                <w:lang w:eastAsia="fr-FR"/>
              </w:rPr>
              <w:t>client</w:t>
            </w:r>
            <w:r w:rsidRPr="00A531D3">
              <w:rPr>
                <w:rFonts w:ascii="Calibri" w:eastAsia="Times New Roman" w:hAnsi="Calibri" w:cs="Calibri"/>
                <w:sz w:val="18"/>
                <w:szCs w:val="18"/>
                <w:lang w:eastAsia="fr-FR"/>
              </w:rPr>
              <w:t xml:space="preserve"> effectue un achat.</w:t>
            </w:r>
          </w:p>
        </w:tc>
        <w:tc>
          <w:tcPr>
            <w:tcW w:w="1134" w:type="dxa"/>
            <w:vMerge/>
            <w:tcBorders>
              <w:top w:val="single" w:sz="4" w:space="0" w:color="5B9BD5" w:themeColor="accent1"/>
              <w:bottom w:val="single" w:sz="18" w:space="0" w:color="5B9BD5" w:themeColor="accent1"/>
            </w:tcBorders>
            <w:shd w:val="clear" w:color="auto" w:fill="A6A6A6" w:themeFill="background1" w:themeFillShade="A6"/>
          </w:tcPr>
          <w:p w14:paraId="61A6EDC3"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bottom w:val="single" w:sz="18" w:space="0" w:color="5B9BD5" w:themeColor="accent1"/>
            </w:tcBorders>
          </w:tcPr>
          <w:p w14:paraId="5BFC4B99"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bottom w:val="single" w:sz="18" w:space="0" w:color="5B9BD5" w:themeColor="accent1"/>
            </w:tcBorders>
            <w:noWrap/>
          </w:tcPr>
          <w:p w14:paraId="78ED0CC9"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4884CC5A" w14:textId="77777777" w:rsidR="008D20E7" w:rsidRDefault="008D20E7" w:rsidP="008D20E7">
      <w:pPr>
        <w:pStyle w:val="Paragraphedeliste"/>
        <w:autoSpaceDE w:val="0"/>
        <w:autoSpaceDN w:val="0"/>
        <w:adjustRightInd w:val="0"/>
        <w:spacing w:after="0" w:line="240" w:lineRule="auto"/>
        <w:jc w:val="both"/>
        <w:rPr>
          <w:rFonts w:cstheme="minorHAnsi"/>
        </w:rPr>
      </w:pPr>
    </w:p>
    <w:p w14:paraId="0099F08C" w14:textId="43439D6F" w:rsidR="008D20E7" w:rsidRDefault="008D20E7" w:rsidP="008D20E7">
      <w:pPr>
        <w:pStyle w:val="Paragraphedeliste"/>
        <w:autoSpaceDE w:val="0"/>
        <w:autoSpaceDN w:val="0"/>
        <w:adjustRightInd w:val="0"/>
        <w:spacing w:after="0" w:line="240" w:lineRule="auto"/>
        <w:jc w:val="both"/>
        <w:rPr>
          <w:rFonts w:cstheme="minorHAnsi"/>
        </w:rPr>
      </w:pPr>
    </w:p>
    <w:p w14:paraId="13FB7941" w14:textId="77777777" w:rsidR="005341AA" w:rsidRDefault="005341AA" w:rsidP="008D20E7">
      <w:pPr>
        <w:pStyle w:val="Paragraphedeliste"/>
        <w:autoSpaceDE w:val="0"/>
        <w:autoSpaceDN w:val="0"/>
        <w:adjustRightInd w:val="0"/>
        <w:spacing w:after="0" w:line="240" w:lineRule="auto"/>
        <w:jc w:val="both"/>
        <w:rPr>
          <w:rFonts w:cstheme="minorHAnsi"/>
        </w:rPr>
      </w:pPr>
    </w:p>
    <w:p w14:paraId="43E1259A" w14:textId="79ADF991" w:rsidR="00A82945" w:rsidRPr="006B400E" w:rsidRDefault="00A82945" w:rsidP="007718A3">
      <w:pPr>
        <w:pStyle w:val="Titre3"/>
        <w:numPr>
          <w:ilvl w:val="2"/>
          <w:numId w:val="38"/>
        </w:numPr>
        <w:jc w:val="both"/>
      </w:pPr>
      <w:bookmarkStart w:id="78" w:name="_Toc222476908"/>
      <w:r w:rsidRPr="006B400E">
        <w:t>Commentaires sur les autres informations</w:t>
      </w:r>
      <w:bookmarkEnd w:id="78"/>
    </w:p>
    <w:p w14:paraId="1A5CD845" w14:textId="7CC403F1" w:rsidR="00A82945" w:rsidRDefault="00A82945" w:rsidP="00F735D7">
      <w:pPr>
        <w:spacing w:after="0" w:line="240" w:lineRule="auto"/>
        <w:rPr>
          <w:rFonts w:ascii="Calibri" w:eastAsia="Times New Roman" w:hAnsi="Calibri" w:cs="Calibri"/>
          <w:sz w:val="20"/>
          <w:szCs w:val="20"/>
          <w:lang w:eastAsia="fr-FR"/>
        </w:rPr>
      </w:pPr>
    </w:p>
    <w:p w14:paraId="2CADEB73"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272E6449" w14:textId="77777777" w:rsidR="00FE5E9A" w:rsidRDefault="00FE5E9A" w:rsidP="00F735D7">
      <w:pPr>
        <w:spacing w:after="0" w:line="240" w:lineRule="auto"/>
        <w:rPr>
          <w:rFonts w:ascii="Calibri" w:eastAsia="Times New Roman" w:hAnsi="Calibri" w:cs="Calibri"/>
          <w:sz w:val="20"/>
          <w:szCs w:val="20"/>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47"/>
        <w:gridCol w:w="5125"/>
      </w:tblGrid>
      <w:tr w:rsidR="00DD4EBF" w:rsidRPr="00B40379" w14:paraId="2FD6D470" w14:textId="77777777" w:rsidTr="00007BC0">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3947" w:type="dxa"/>
            <w:tcBorders>
              <w:bottom w:val="none" w:sz="0" w:space="0" w:color="auto"/>
            </w:tcBorders>
            <w:noWrap/>
            <w:hideMark/>
          </w:tcPr>
          <w:p w14:paraId="2FBD51A6" w14:textId="77777777" w:rsidR="00DD4EBF" w:rsidRPr="00B40379" w:rsidRDefault="00DD4EBF" w:rsidP="000A4B5F">
            <w:pPr>
              <w:rPr>
                <w:rFonts w:ascii="Calibri" w:eastAsia="Times New Roman" w:hAnsi="Calibri" w:cs="Calibri"/>
                <w:b w:val="0"/>
                <w:i/>
                <w:sz w:val="18"/>
                <w:szCs w:val="18"/>
                <w:lang w:eastAsia="fr-FR"/>
              </w:rPr>
            </w:pPr>
          </w:p>
          <w:p w14:paraId="3C2B9DC9" w14:textId="3AD0918B" w:rsidR="00DD4EBF" w:rsidRPr="00B40379" w:rsidRDefault="00DD4EBF" w:rsidP="000A4B5F">
            <w:pPr>
              <w:rPr>
                <w:rFonts w:ascii="Calibri" w:eastAsia="Times New Roman" w:hAnsi="Calibri" w:cs="Calibri"/>
                <w:i/>
                <w:sz w:val="18"/>
                <w:szCs w:val="18"/>
                <w:lang w:eastAsia="fr-FR"/>
              </w:rPr>
            </w:pPr>
            <w:r>
              <w:rPr>
                <w:rFonts w:ascii="Calibri" w:eastAsia="Times New Roman" w:hAnsi="Calibri" w:cs="Calibri"/>
                <w:i/>
                <w:sz w:val="18"/>
                <w:szCs w:val="18"/>
                <w:lang w:eastAsia="fr-FR"/>
              </w:rPr>
              <w:lastRenderedPageBreak/>
              <w:t>Commentaires sur les autres informations</w:t>
            </w:r>
          </w:p>
          <w:p w14:paraId="2C59054C" w14:textId="0CF2080D" w:rsidR="00DD4EBF" w:rsidRPr="00B40379" w:rsidRDefault="00DD4EBF" w:rsidP="000A4B5F">
            <w:pPr>
              <w:rPr>
                <w:rFonts w:ascii="Calibri" w:eastAsia="Times New Roman" w:hAnsi="Calibri" w:cs="Calibri"/>
                <w:b w:val="0"/>
                <w:i/>
                <w:sz w:val="18"/>
                <w:szCs w:val="18"/>
                <w:lang w:eastAsia="fr-FR"/>
              </w:rPr>
            </w:pPr>
          </w:p>
        </w:tc>
        <w:tc>
          <w:tcPr>
            <w:tcW w:w="5125" w:type="dxa"/>
            <w:tcBorders>
              <w:bottom w:val="none" w:sz="0" w:space="0" w:color="auto"/>
            </w:tcBorders>
          </w:tcPr>
          <w:p w14:paraId="4F489DB4" w14:textId="657BEA39" w:rsidR="00DD4EBF" w:rsidRPr="00B40379" w:rsidRDefault="00DD4EBF" w:rsidP="00B4037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06D8203A" w14:textId="70CFF54F" w:rsidR="00A82945" w:rsidRDefault="00A82945" w:rsidP="00F735D7">
      <w:pPr>
        <w:spacing w:after="0" w:line="240" w:lineRule="auto"/>
        <w:rPr>
          <w:rFonts w:ascii="Calibri" w:eastAsia="Times New Roman" w:hAnsi="Calibri" w:cs="Calibri"/>
          <w:sz w:val="20"/>
          <w:szCs w:val="20"/>
          <w:lang w:eastAsia="fr-FR"/>
        </w:rPr>
      </w:pPr>
    </w:p>
    <w:p w14:paraId="7502BDD3" w14:textId="789311FC" w:rsidR="007E56D0" w:rsidRDefault="007E56D0">
      <w:pPr>
        <w:rPr>
          <w:rFonts w:ascii="Calibri" w:eastAsia="Times New Roman" w:hAnsi="Calibri" w:cs="Calibri"/>
          <w:sz w:val="20"/>
          <w:szCs w:val="20"/>
          <w:lang w:eastAsia="fr-FR"/>
        </w:rPr>
      </w:pPr>
      <w:r>
        <w:rPr>
          <w:rFonts w:ascii="Calibri" w:eastAsia="Times New Roman" w:hAnsi="Calibri" w:cs="Calibri"/>
          <w:sz w:val="20"/>
          <w:szCs w:val="20"/>
          <w:lang w:eastAsia="fr-FR"/>
        </w:rPr>
        <w:br w:type="page"/>
      </w:r>
    </w:p>
    <w:p w14:paraId="1455DEF2" w14:textId="41EF0A3C" w:rsidR="00352030" w:rsidRDefault="009F7B42" w:rsidP="00D00626">
      <w:pPr>
        <w:pStyle w:val="Titre1"/>
      </w:pPr>
      <w:bookmarkStart w:id="79" w:name="_Toc40338394"/>
      <w:bookmarkStart w:id="80" w:name="_Toc222476909"/>
      <w:bookmarkEnd w:id="79"/>
      <w:r>
        <w:lastRenderedPageBreak/>
        <w:t>V</w:t>
      </w:r>
      <w:r w:rsidR="003952EB">
        <w:t>ENTILATION GEOGRAPHIQUE des indicateurs</w:t>
      </w:r>
      <w:bookmarkEnd w:id="80"/>
      <w:r w:rsidR="003952EB">
        <w:t xml:space="preserve"> </w:t>
      </w:r>
    </w:p>
    <w:p w14:paraId="53EA99FB" w14:textId="48034D57" w:rsidR="002C6295" w:rsidRPr="002C6295" w:rsidRDefault="002C6295" w:rsidP="009C7596">
      <w:pPr>
        <w:pStyle w:val="Titre2"/>
        <w:spacing w:before="120"/>
      </w:pPr>
      <w:bookmarkStart w:id="81" w:name="_Toc222476910"/>
      <w:r w:rsidRPr="002C6295">
        <w:t>5.1 Pour tou</w:t>
      </w:r>
      <w:r w:rsidR="007F0FD5">
        <w:t>te</w:t>
      </w:r>
      <w:r w:rsidRPr="002C6295">
        <w:t xml:space="preserve">s les </w:t>
      </w:r>
      <w:r w:rsidR="009C7596">
        <w:t xml:space="preserve">sections hors </w:t>
      </w:r>
      <w:r w:rsidR="009C7596" w:rsidRPr="002C6295">
        <w:t>4.1.2.1</w:t>
      </w:r>
      <w:r w:rsidR="00756723">
        <w:t>, 4.1.2.4</w:t>
      </w:r>
      <w:r w:rsidR="009C7596" w:rsidRPr="002C6295">
        <w:t xml:space="preserve"> et 4.1.3.1</w:t>
      </w:r>
      <w:bookmarkEnd w:id="81"/>
      <w:r w:rsidR="009C7596" w:rsidRPr="002C6295">
        <w:t xml:space="preserve"> </w:t>
      </w:r>
    </w:p>
    <w:p w14:paraId="7626A45F" w14:textId="77777777" w:rsidR="00007BC0" w:rsidRPr="00007BC0" w:rsidRDefault="00007BC0" w:rsidP="009C7596">
      <w:pPr>
        <w:pStyle w:val="Titre2"/>
        <w:spacing w:before="120"/>
      </w:pPr>
    </w:p>
    <w:tbl>
      <w:tblPr>
        <w:tblStyle w:val="Grilledutableau"/>
        <w:tblW w:w="0" w:type="auto"/>
        <w:tblLook w:val="04A0" w:firstRow="1" w:lastRow="0" w:firstColumn="1" w:lastColumn="0" w:noHBand="0" w:noVBand="1"/>
      </w:tblPr>
      <w:tblGrid>
        <w:gridCol w:w="562"/>
        <w:gridCol w:w="4536"/>
      </w:tblGrid>
      <w:tr w:rsidR="00950614" w14:paraId="1DD45CB9" w14:textId="77777777" w:rsidTr="006B11DE">
        <w:tc>
          <w:tcPr>
            <w:tcW w:w="5098" w:type="dxa"/>
            <w:gridSpan w:val="2"/>
          </w:tcPr>
          <w:p w14:paraId="6C3DE703" w14:textId="59BD8418" w:rsidR="00950614" w:rsidRPr="006B11DE" w:rsidRDefault="00950614" w:rsidP="00352030">
            <w:pPr>
              <w:rPr>
                <w:sz w:val="18"/>
              </w:rPr>
            </w:pPr>
            <w:r w:rsidRPr="006B11DE">
              <w:rPr>
                <w:sz w:val="18"/>
              </w:rPr>
              <w:t>Total</w:t>
            </w:r>
          </w:p>
        </w:tc>
      </w:tr>
      <w:tr w:rsidR="00950614" w14:paraId="2818EABD" w14:textId="77777777" w:rsidTr="006B11DE">
        <w:tc>
          <w:tcPr>
            <w:tcW w:w="5098" w:type="dxa"/>
            <w:gridSpan w:val="2"/>
          </w:tcPr>
          <w:p w14:paraId="506404CC" w14:textId="22F48E90" w:rsidR="00950614" w:rsidRPr="006B11DE" w:rsidRDefault="00950614" w:rsidP="00352030">
            <w:pPr>
              <w:rPr>
                <w:sz w:val="18"/>
              </w:rPr>
            </w:pPr>
            <w:r w:rsidRPr="006B11DE">
              <w:rPr>
                <w:sz w:val="18"/>
              </w:rPr>
              <w:t>France</w:t>
            </w:r>
          </w:p>
        </w:tc>
      </w:tr>
      <w:tr w:rsidR="00950614" w14:paraId="61D5908B" w14:textId="77777777" w:rsidTr="006B11DE">
        <w:tc>
          <w:tcPr>
            <w:tcW w:w="5098" w:type="dxa"/>
            <w:gridSpan w:val="2"/>
          </w:tcPr>
          <w:p w14:paraId="0B9B59ED" w14:textId="4B910B8E" w:rsidR="00950614" w:rsidRPr="006B11DE" w:rsidRDefault="00950614" w:rsidP="00352030">
            <w:pPr>
              <w:rPr>
                <w:sz w:val="18"/>
              </w:rPr>
            </w:pPr>
            <w:r w:rsidRPr="006B11DE">
              <w:rPr>
                <w:sz w:val="18"/>
              </w:rPr>
              <w:t xml:space="preserve">Total pays de l’EEE (hors </w:t>
            </w:r>
            <w:r w:rsidR="006B11DE">
              <w:rPr>
                <w:sz w:val="18"/>
              </w:rPr>
              <w:t>France)</w:t>
            </w:r>
          </w:p>
        </w:tc>
      </w:tr>
      <w:tr w:rsidR="00950614" w14:paraId="05216D39" w14:textId="77777777" w:rsidTr="006B11DE">
        <w:tc>
          <w:tcPr>
            <w:tcW w:w="562" w:type="dxa"/>
          </w:tcPr>
          <w:p w14:paraId="59170E38" w14:textId="48A085E7" w:rsidR="00950614" w:rsidRPr="006B11DE" w:rsidRDefault="00950614" w:rsidP="00950614">
            <w:pPr>
              <w:rPr>
                <w:sz w:val="18"/>
              </w:rPr>
            </w:pPr>
          </w:p>
        </w:tc>
        <w:tc>
          <w:tcPr>
            <w:tcW w:w="4536" w:type="dxa"/>
          </w:tcPr>
          <w:p w14:paraId="64895F7F" w14:textId="090F6608" w:rsidR="00950614" w:rsidRPr="006B11DE" w:rsidRDefault="00950614" w:rsidP="00950614">
            <w:pPr>
              <w:rPr>
                <w:sz w:val="18"/>
              </w:rPr>
            </w:pPr>
            <w:r w:rsidRPr="006B11DE">
              <w:rPr>
                <w:sz w:val="18"/>
              </w:rPr>
              <w:t>Allemagne</w:t>
            </w:r>
          </w:p>
        </w:tc>
      </w:tr>
      <w:tr w:rsidR="00950614" w14:paraId="638FFADC" w14:textId="77777777" w:rsidTr="006B11DE">
        <w:tc>
          <w:tcPr>
            <w:tcW w:w="562" w:type="dxa"/>
          </w:tcPr>
          <w:p w14:paraId="6E67CE44" w14:textId="513DB87F" w:rsidR="00950614" w:rsidRPr="006B11DE" w:rsidRDefault="00950614" w:rsidP="00950614">
            <w:pPr>
              <w:rPr>
                <w:sz w:val="18"/>
              </w:rPr>
            </w:pPr>
          </w:p>
        </w:tc>
        <w:tc>
          <w:tcPr>
            <w:tcW w:w="4536" w:type="dxa"/>
          </w:tcPr>
          <w:p w14:paraId="1F60E723" w14:textId="2ECA06E4" w:rsidR="00950614" w:rsidRPr="006B11DE" w:rsidRDefault="00950614" w:rsidP="00950614">
            <w:pPr>
              <w:rPr>
                <w:sz w:val="18"/>
              </w:rPr>
            </w:pPr>
            <w:r w:rsidRPr="006B11DE">
              <w:rPr>
                <w:sz w:val="18"/>
              </w:rPr>
              <w:t>Autriche</w:t>
            </w:r>
          </w:p>
        </w:tc>
      </w:tr>
      <w:tr w:rsidR="00950614" w14:paraId="6239E5DA" w14:textId="77777777" w:rsidTr="006B11DE">
        <w:tc>
          <w:tcPr>
            <w:tcW w:w="562" w:type="dxa"/>
          </w:tcPr>
          <w:p w14:paraId="2597BF43" w14:textId="47DBC836" w:rsidR="00950614" w:rsidRPr="006B11DE" w:rsidRDefault="00950614" w:rsidP="00950614">
            <w:pPr>
              <w:rPr>
                <w:sz w:val="18"/>
              </w:rPr>
            </w:pPr>
          </w:p>
        </w:tc>
        <w:tc>
          <w:tcPr>
            <w:tcW w:w="4536" w:type="dxa"/>
          </w:tcPr>
          <w:p w14:paraId="4991320D" w14:textId="17772555" w:rsidR="00950614" w:rsidRPr="006B11DE" w:rsidRDefault="00950614" w:rsidP="00950614">
            <w:pPr>
              <w:rPr>
                <w:sz w:val="18"/>
              </w:rPr>
            </w:pPr>
            <w:r w:rsidRPr="006B11DE">
              <w:rPr>
                <w:sz w:val="18"/>
              </w:rPr>
              <w:t>Belgique</w:t>
            </w:r>
          </w:p>
        </w:tc>
      </w:tr>
      <w:tr w:rsidR="00950614" w14:paraId="2325AF33" w14:textId="77777777" w:rsidTr="006B11DE">
        <w:tc>
          <w:tcPr>
            <w:tcW w:w="562" w:type="dxa"/>
          </w:tcPr>
          <w:p w14:paraId="6233C0D2" w14:textId="559CA4EB" w:rsidR="00950614" w:rsidRPr="006B11DE" w:rsidRDefault="00950614" w:rsidP="00950614">
            <w:pPr>
              <w:rPr>
                <w:sz w:val="18"/>
              </w:rPr>
            </w:pPr>
          </w:p>
        </w:tc>
        <w:tc>
          <w:tcPr>
            <w:tcW w:w="4536" w:type="dxa"/>
          </w:tcPr>
          <w:p w14:paraId="76793651" w14:textId="50DFF2D0" w:rsidR="00950614" w:rsidRPr="006B11DE" w:rsidRDefault="00950614" w:rsidP="00950614">
            <w:pPr>
              <w:rPr>
                <w:sz w:val="18"/>
              </w:rPr>
            </w:pPr>
            <w:r w:rsidRPr="006B11DE">
              <w:rPr>
                <w:sz w:val="18"/>
              </w:rPr>
              <w:t>Bulgarie</w:t>
            </w:r>
          </w:p>
        </w:tc>
      </w:tr>
      <w:tr w:rsidR="00950614" w14:paraId="6BD423C1" w14:textId="77777777" w:rsidTr="006B11DE">
        <w:tc>
          <w:tcPr>
            <w:tcW w:w="562" w:type="dxa"/>
          </w:tcPr>
          <w:p w14:paraId="77BEEF0C" w14:textId="77777777" w:rsidR="00950614" w:rsidRPr="006B11DE" w:rsidRDefault="00950614" w:rsidP="00950614">
            <w:pPr>
              <w:rPr>
                <w:sz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2E5900C" w14:textId="289A5F33" w:rsidR="00950614" w:rsidRPr="006B11DE" w:rsidRDefault="00950614" w:rsidP="00950614">
            <w:pPr>
              <w:rPr>
                <w:sz w:val="18"/>
              </w:rPr>
            </w:pPr>
            <w:r w:rsidRPr="006B11DE">
              <w:rPr>
                <w:rFonts w:ascii="Calibri" w:hAnsi="Calibri" w:cs="Calibri"/>
                <w:color w:val="000000"/>
                <w:sz w:val="18"/>
              </w:rPr>
              <w:t>Chypre</w:t>
            </w:r>
          </w:p>
        </w:tc>
      </w:tr>
      <w:tr w:rsidR="00950614" w14:paraId="767D3955" w14:textId="77777777" w:rsidTr="006B11DE">
        <w:tc>
          <w:tcPr>
            <w:tcW w:w="562" w:type="dxa"/>
          </w:tcPr>
          <w:p w14:paraId="195D5ACF"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2D718161" w14:textId="4542F813" w:rsidR="00950614" w:rsidRPr="006B11DE" w:rsidRDefault="00950614" w:rsidP="00950614">
            <w:pPr>
              <w:rPr>
                <w:sz w:val="18"/>
              </w:rPr>
            </w:pPr>
            <w:r w:rsidRPr="006B11DE">
              <w:rPr>
                <w:rFonts w:ascii="Calibri" w:hAnsi="Calibri" w:cs="Calibri"/>
                <w:color w:val="000000"/>
                <w:sz w:val="18"/>
              </w:rPr>
              <w:t>Croatie</w:t>
            </w:r>
          </w:p>
        </w:tc>
      </w:tr>
      <w:tr w:rsidR="00950614" w14:paraId="1856E9BF" w14:textId="77777777" w:rsidTr="006B11DE">
        <w:tc>
          <w:tcPr>
            <w:tcW w:w="562" w:type="dxa"/>
          </w:tcPr>
          <w:p w14:paraId="3D0D5C94"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4A5666B" w14:textId="3533D4DC" w:rsidR="00950614" w:rsidRPr="006B11DE" w:rsidRDefault="00950614" w:rsidP="00950614">
            <w:pPr>
              <w:rPr>
                <w:sz w:val="18"/>
              </w:rPr>
            </w:pPr>
            <w:r w:rsidRPr="006B11DE">
              <w:rPr>
                <w:rFonts w:ascii="Calibri" w:hAnsi="Calibri" w:cs="Calibri"/>
                <w:color w:val="000000"/>
                <w:sz w:val="18"/>
              </w:rPr>
              <w:t>Danemark</w:t>
            </w:r>
          </w:p>
        </w:tc>
      </w:tr>
      <w:tr w:rsidR="00950614" w14:paraId="7736FC4B" w14:textId="77777777" w:rsidTr="006B11DE">
        <w:tc>
          <w:tcPr>
            <w:tcW w:w="562" w:type="dxa"/>
          </w:tcPr>
          <w:p w14:paraId="5951F3D1"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380371F1" w14:textId="2079BB3D" w:rsidR="00950614" w:rsidRPr="006B11DE" w:rsidRDefault="00950614" w:rsidP="00950614">
            <w:pPr>
              <w:rPr>
                <w:sz w:val="18"/>
              </w:rPr>
            </w:pPr>
            <w:r w:rsidRPr="006B11DE">
              <w:rPr>
                <w:rFonts w:ascii="Calibri" w:hAnsi="Calibri" w:cs="Calibri"/>
                <w:color w:val="000000"/>
                <w:sz w:val="18"/>
              </w:rPr>
              <w:t>Espagne</w:t>
            </w:r>
          </w:p>
        </w:tc>
      </w:tr>
      <w:tr w:rsidR="00950614" w14:paraId="0FEE5B66" w14:textId="77777777" w:rsidTr="006B11DE">
        <w:tc>
          <w:tcPr>
            <w:tcW w:w="562" w:type="dxa"/>
          </w:tcPr>
          <w:p w14:paraId="1379CFF8"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32C2759" w14:textId="7910D94A" w:rsidR="00950614" w:rsidRPr="006B11DE" w:rsidRDefault="00950614" w:rsidP="00950614">
            <w:pPr>
              <w:rPr>
                <w:sz w:val="18"/>
              </w:rPr>
            </w:pPr>
            <w:r w:rsidRPr="006B11DE">
              <w:rPr>
                <w:rFonts w:ascii="Calibri" w:hAnsi="Calibri" w:cs="Calibri"/>
                <w:color w:val="000000"/>
                <w:sz w:val="18"/>
              </w:rPr>
              <w:t>Estonie</w:t>
            </w:r>
          </w:p>
        </w:tc>
      </w:tr>
      <w:tr w:rsidR="00950614" w14:paraId="1C385412" w14:textId="77777777" w:rsidTr="006B11DE">
        <w:tc>
          <w:tcPr>
            <w:tcW w:w="562" w:type="dxa"/>
          </w:tcPr>
          <w:p w14:paraId="46351845"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7DF0DC17" w14:textId="166CECB0" w:rsidR="00950614" w:rsidRPr="006B11DE" w:rsidRDefault="00950614" w:rsidP="00950614">
            <w:pPr>
              <w:rPr>
                <w:sz w:val="18"/>
              </w:rPr>
            </w:pPr>
            <w:r w:rsidRPr="006B11DE">
              <w:rPr>
                <w:rFonts w:ascii="Calibri" w:hAnsi="Calibri" w:cs="Calibri"/>
                <w:color w:val="000000"/>
                <w:sz w:val="18"/>
              </w:rPr>
              <w:t>Finlande</w:t>
            </w:r>
          </w:p>
        </w:tc>
      </w:tr>
      <w:tr w:rsidR="00950614" w14:paraId="2391B70B" w14:textId="77777777" w:rsidTr="006B11DE">
        <w:tc>
          <w:tcPr>
            <w:tcW w:w="562" w:type="dxa"/>
          </w:tcPr>
          <w:p w14:paraId="61EE0635"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03711079" w14:textId="6BC0D8B4" w:rsidR="00950614" w:rsidRPr="006B11DE" w:rsidRDefault="00950614" w:rsidP="00950614">
            <w:pPr>
              <w:rPr>
                <w:sz w:val="18"/>
              </w:rPr>
            </w:pPr>
            <w:r w:rsidRPr="006B11DE">
              <w:rPr>
                <w:rFonts w:ascii="Calibri" w:hAnsi="Calibri" w:cs="Calibri"/>
                <w:color w:val="000000"/>
                <w:sz w:val="18"/>
              </w:rPr>
              <w:t>Grèce</w:t>
            </w:r>
          </w:p>
        </w:tc>
      </w:tr>
      <w:tr w:rsidR="00950614" w14:paraId="66CECE6B" w14:textId="77777777" w:rsidTr="006B11DE">
        <w:tc>
          <w:tcPr>
            <w:tcW w:w="562" w:type="dxa"/>
          </w:tcPr>
          <w:p w14:paraId="2827E69B"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DC69856" w14:textId="60465724" w:rsidR="00950614" w:rsidRPr="006B11DE" w:rsidRDefault="00950614" w:rsidP="00950614">
            <w:pPr>
              <w:rPr>
                <w:sz w:val="18"/>
              </w:rPr>
            </w:pPr>
            <w:r w:rsidRPr="006B11DE">
              <w:rPr>
                <w:rFonts w:ascii="Calibri" w:hAnsi="Calibri" w:cs="Calibri"/>
                <w:color w:val="000000"/>
                <w:sz w:val="18"/>
              </w:rPr>
              <w:t>Hongrie</w:t>
            </w:r>
          </w:p>
        </w:tc>
      </w:tr>
      <w:tr w:rsidR="00950614" w14:paraId="5E2DC462" w14:textId="77777777" w:rsidTr="006B11DE">
        <w:tc>
          <w:tcPr>
            <w:tcW w:w="562" w:type="dxa"/>
          </w:tcPr>
          <w:p w14:paraId="26D1BB09"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57010BC7" w14:textId="0589F3B2" w:rsidR="00950614" w:rsidRPr="006B11DE" w:rsidRDefault="00950614" w:rsidP="00950614">
            <w:pPr>
              <w:rPr>
                <w:sz w:val="18"/>
              </w:rPr>
            </w:pPr>
            <w:r w:rsidRPr="006B11DE">
              <w:rPr>
                <w:rFonts w:ascii="Calibri" w:hAnsi="Calibri" w:cs="Calibri"/>
                <w:color w:val="000000"/>
                <w:sz w:val="18"/>
              </w:rPr>
              <w:t>Irlande</w:t>
            </w:r>
          </w:p>
        </w:tc>
      </w:tr>
      <w:tr w:rsidR="00950614" w14:paraId="573FB798" w14:textId="77777777" w:rsidTr="006B11DE">
        <w:tc>
          <w:tcPr>
            <w:tcW w:w="562" w:type="dxa"/>
          </w:tcPr>
          <w:p w14:paraId="1CD3BD71"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021769BA" w14:textId="1856B18F" w:rsidR="00950614" w:rsidRPr="006B11DE" w:rsidRDefault="00950614" w:rsidP="00950614">
            <w:pPr>
              <w:rPr>
                <w:sz w:val="18"/>
              </w:rPr>
            </w:pPr>
            <w:r w:rsidRPr="006B11DE">
              <w:rPr>
                <w:rFonts w:ascii="Calibri" w:hAnsi="Calibri" w:cs="Calibri"/>
                <w:color w:val="000000"/>
                <w:sz w:val="18"/>
              </w:rPr>
              <w:t>Islande</w:t>
            </w:r>
          </w:p>
        </w:tc>
      </w:tr>
      <w:tr w:rsidR="00950614" w14:paraId="03C1CAEB" w14:textId="77777777" w:rsidTr="006B11DE">
        <w:tc>
          <w:tcPr>
            <w:tcW w:w="562" w:type="dxa"/>
          </w:tcPr>
          <w:p w14:paraId="427336CF"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590A85F4" w14:textId="50E66FC6" w:rsidR="00950614" w:rsidRPr="006B11DE" w:rsidRDefault="00950614" w:rsidP="00950614">
            <w:pPr>
              <w:rPr>
                <w:sz w:val="18"/>
              </w:rPr>
            </w:pPr>
            <w:r w:rsidRPr="006B11DE">
              <w:rPr>
                <w:rFonts w:ascii="Calibri" w:hAnsi="Calibri" w:cs="Calibri"/>
                <w:color w:val="000000"/>
                <w:sz w:val="18"/>
              </w:rPr>
              <w:t>Italie</w:t>
            </w:r>
          </w:p>
        </w:tc>
      </w:tr>
      <w:tr w:rsidR="00950614" w14:paraId="4460B01A" w14:textId="77777777" w:rsidTr="006B11DE">
        <w:tc>
          <w:tcPr>
            <w:tcW w:w="562" w:type="dxa"/>
          </w:tcPr>
          <w:p w14:paraId="5D36BA02"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78AD6D7" w14:textId="335ADAF1" w:rsidR="00950614" w:rsidRPr="006B11DE" w:rsidRDefault="00950614" w:rsidP="00950614">
            <w:pPr>
              <w:rPr>
                <w:sz w:val="18"/>
              </w:rPr>
            </w:pPr>
            <w:r w:rsidRPr="006B11DE">
              <w:rPr>
                <w:rFonts w:ascii="Calibri" w:hAnsi="Calibri" w:cs="Calibri"/>
                <w:color w:val="000000"/>
                <w:sz w:val="18"/>
              </w:rPr>
              <w:t>Lettonie</w:t>
            </w:r>
          </w:p>
        </w:tc>
      </w:tr>
      <w:tr w:rsidR="00950614" w14:paraId="114B3527" w14:textId="77777777" w:rsidTr="006B11DE">
        <w:tc>
          <w:tcPr>
            <w:tcW w:w="562" w:type="dxa"/>
          </w:tcPr>
          <w:p w14:paraId="4C509F8D"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C05B059" w14:textId="3F8E2B7D" w:rsidR="00950614" w:rsidRPr="006B11DE" w:rsidRDefault="00950614" w:rsidP="00950614">
            <w:pPr>
              <w:rPr>
                <w:sz w:val="18"/>
              </w:rPr>
            </w:pPr>
            <w:r w:rsidRPr="006B11DE">
              <w:rPr>
                <w:rFonts w:ascii="Calibri" w:hAnsi="Calibri" w:cs="Calibri"/>
                <w:color w:val="000000"/>
                <w:sz w:val="18"/>
              </w:rPr>
              <w:t>Liechtenstein</w:t>
            </w:r>
          </w:p>
        </w:tc>
      </w:tr>
      <w:tr w:rsidR="00950614" w14:paraId="0D82F53D" w14:textId="77777777" w:rsidTr="006B11DE">
        <w:tc>
          <w:tcPr>
            <w:tcW w:w="562" w:type="dxa"/>
          </w:tcPr>
          <w:p w14:paraId="0D42E573"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5A691CCE" w14:textId="4C272F61" w:rsidR="00950614" w:rsidRPr="006B11DE" w:rsidRDefault="00950614" w:rsidP="00950614">
            <w:pPr>
              <w:rPr>
                <w:sz w:val="18"/>
              </w:rPr>
            </w:pPr>
            <w:r w:rsidRPr="006B11DE">
              <w:rPr>
                <w:rFonts w:ascii="Calibri" w:hAnsi="Calibri" w:cs="Calibri"/>
                <w:color w:val="000000"/>
                <w:sz w:val="18"/>
              </w:rPr>
              <w:t>Lituanie</w:t>
            </w:r>
          </w:p>
        </w:tc>
      </w:tr>
      <w:tr w:rsidR="00950614" w14:paraId="4BDB17F1" w14:textId="77777777" w:rsidTr="006B11DE">
        <w:tc>
          <w:tcPr>
            <w:tcW w:w="562" w:type="dxa"/>
          </w:tcPr>
          <w:p w14:paraId="7406D5F0"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54A3B8B" w14:textId="16517555" w:rsidR="00950614" w:rsidRPr="006B11DE" w:rsidRDefault="00950614" w:rsidP="00950614">
            <w:pPr>
              <w:rPr>
                <w:sz w:val="18"/>
              </w:rPr>
            </w:pPr>
            <w:r w:rsidRPr="006B11DE">
              <w:rPr>
                <w:rFonts w:ascii="Calibri" w:hAnsi="Calibri" w:cs="Calibri"/>
                <w:color w:val="000000"/>
                <w:sz w:val="18"/>
              </w:rPr>
              <w:t>Luxembourg</w:t>
            </w:r>
          </w:p>
        </w:tc>
      </w:tr>
      <w:tr w:rsidR="00950614" w14:paraId="48CB6FAE" w14:textId="77777777" w:rsidTr="006B11DE">
        <w:tc>
          <w:tcPr>
            <w:tcW w:w="562" w:type="dxa"/>
          </w:tcPr>
          <w:p w14:paraId="2F32473A"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36E34B45" w14:textId="4E0EF03B" w:rsidR="00950614" w:rsidRPr="006B11DE" w:rsidRDefault="00950614" w:rsidP="00950614">
            <w:pPr>
              <w:rPr>
                <w:sz w:val="18"/>
              </w:rPr>
            </w:pPr>
            <w:r w:rsidRPr="006B11DE">
              <w:rPr>
                <w:rFonts w:ascii="Calibri" w:hAnsi="Calibri" w:cs="Calibri"/>
                <w:color w:val="000000"/>
                <w:sz w:val="18"/>
              </w:rPr>
              <w:t>Malte</w:t>
            </w:r>
          </w:p>
        </w:tc>
      </w:tr>
      <w:tr w:rsidR="00950614" w14:paraId="43E6BA86" w14:textId="77777777" w:rsidTr="006B11DE">
        <w:tc>
          <w:tcPr>
            <w:tcW w:w="562" w:type="dxa"/>
          </w:tcPr>
          <w:p w14:paraId="3F884957"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6A72745B" w14:textId="2E22E3AC" w:rsidR="00950614" w:rsidRPr="006B11DE" w:rsidRDefault="00950614" w:rsidP="00950614">
            <w:pPr>
              <w:rPr>
                <w:sz w:val="18"/>
              </w:rPr>
            </w:pPr>
            <w:r w:rsidRPr="006B11DE">
              <w:rPr>
                <w:rFonts w:ascii="Calibri" w:hAnsi="Calibri" w:cs="Calibri"/>
                <w:color w:val="000000"/>
                <w:sz w:val="18"/>
              </w:rPr>
              <w:t>Norvège</w:t>
            </w:r>
          </w:p>
        </w:tc>
      </w:tr>
      <w:tr w:rsidR="00950614" w14:paraId="24E73571" w14:textId="77777777" w:rsidTr="006B11DE">
        <w:tc>
          <w:tcPr>
            <w:tcW w:w="562" w:type="dxa"/>
          </w:tcPr>
          <w:p w14:paraId="058E7D00"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65E2611" w14:textId="0B8507F7" w:rsidR="00950614" w:rsidRPr="006B11DE" w:rsidRDefault="00950614" w:rsidP="00950614">
            <w:pPr>
              <w:rPr>
                <w:sz w:val="18"/>
              </w:rPr>
            </w:pPr>
            <w:r w:rsidRPr="006B11DE">
              <w:rPr>
                <w:rFonts w:ascii="Calibri" w:hAnsi="Calibri" w:cs="Calibri"/>
                <w:color w:val="000000"/>
                <w:sz w:val="18"/>
              </w:rPr>
              <w:t>Pays-Bas</w:t>
            </w:r>
          </w:p>
        </w:tc>
      </w:tr>
      <w:tr w:rsidR="00950614" w14:paraId="7D4A5387" w14:textId="77777777" w:rsidTr="006B11DE">
        <w:tc>
          <w:tcPr>
            <w:tcW w:w="562" w:type="dxa"/>
          </w:tcPr>
          <w:p w14:paraId="54F9ECAB"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2F933F1" w14:textId="098F5757" w:rsidR="00950614" w:rsidRPr="006B11DE" w:rsidRDefault="00950614" w:rsidP="00950614">
            <w:pPr>
              <w:rPr>
                <w:sz w:val="18"/>
              </w:rPr>
            </w:pPr>
            <w:r w:rsidRPr="006B11DE">
              <w:rPr>
                <w:rFonts w:ascii="Calibri" w:hAnsi="Calibri" w:cs="Calibri"/>
                <w:color w:val="000000"/>
                <w:sz w:val="18"/>
              </w:rPr>
              <w:t>Pologne</w:t>
            </w:r>
          </w:p>
        </w:tc>
      </w:tr>
      <w:tr w:rsidR="00950614" w14:paraId="794E5F4F" w14:textId="77777777" w:rsidTr="006B11DE">
        <w:tc>
          <w:tcPr>
            <w:tcW w:w="562" w:type="dxa"/>
          </w:tcPr>
          <w:p w14:paraId="27735DFA"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0FE90415" w14:textId="5B165874" w:rsidR="00950614" w:rsidRPr="006B11DE" w:rsidRDefault="00950614" w:rsidP="00950614">
            <w:pPr>
              <w:rPr>
                <w:sz w:val="18"/>
              </w:rPr>
            </w:pPr>
            <w:r w:rsidRPr="006B11DE">
              <w:rPr>
                <w:rFonts w:ascii="Calibri" w:hAnsi="Calibri" w:cs="Calibri"/>
                <w:color w:val="000000"/>
                <w:sz w:val="18"/>
              </w:rPr>
              <w:t>Portugal</w:t>
            </w:r>
          </w:p>
        </w:tc>
      </w:tr>
      <w:tr w:rsidR="00950614" w14:paraId="53A5D645" w14:textId="77777777" w:rsidTr="006B11DE">
        <w:tc>
          <w:tcPr>
            <w:tcW w:w="562" w:type="dxa"/>
          </w:tcPr>
          <w:p w14:paraId="4EAB570E"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E378995" w14:textId="034C4EA8" w:rsidR="00950614" w:rsidRPr="006B11DE" w:rsidRDefault="00950614" w:rsidP="00950614">
            <w:pPr>
              <w:rPr>
                <w:sz w:val="18"/>
              </w:rPr>
            </w:pPr>
            <w:r w:rsidRPr="006B11DE">
              <w:rPr>
                <w:rFonts w:ascii="Calibri" w:hAnsi="Calibri" w:cs="Calibri"/>
                <w:color w:val="000000"/>
                <w:sz w:val="18"/>
              </w:rPr>
              <w:t>République tchèque</w:t>
            </w:r>
          </w:p>
        </w:tc>
      </w:tr>
      <w:tr w:rsidR="00950614" w14:paraId="1178BCCA" w14:textId="77777777" w:rsidTr="006B11DE">
        <w:tc>
          <w:tcPr>
            <w:tcW w:w="562" w:type="dxa"/>
          </w:tcPr>
          <w:p w14:paraId="1C19F74D"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2B30FD78" w14:textId="217247D1" w:rsidR="00950614" w:rsidRPr="006B11DE" w:rsidRDefault="00950614" w:rsidP="00950614">
            <w:pPr>
              <w:rPr>
                <w:sz w:val="18"/>
              </w:rPr>
            </w:pPr>
            <w:r w:rsidRPr="006B11DE">
              <w:rPr>
                <w:rFonts w:ascii="Calibri" w:hAnsi="Calibri" w:cs="Calibri"/>
                <w:color w:val="000000"/>
                <w:sz w:val="18"/>
              </w:rPr>
              <w:t>Roumanie</w:t>
            </w:r>
          </w:p>
        </w:tc>
      </w:tr>
      <w:tr w:rsidR="00950614" w14:paraId="633DC74E" w14:textId="77777777" w:rsidTr="006B11DE">
        <w:tc>
          <w:tcPr>
            <w:tcW w:w="562" w:type="dxa"/>
          </w:tcPr>
          <w:p w14:paraId="5FEF3CD7"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77FDEB6E" w14:textId="3839ED07" w:rsidR="00950614" w:rsidRPr="006B11DE" w:rsidRDefault="00950614" w:rsidP="00950614">
            <w:pPr>
              <w:rPr>
                <w:sz w:val="18"/>
              </w:rPr>
            </w:pPr>
            <w:r w:rsidRPr="006B11DE">
              <w:rPr>
                <w:rFonts w:ascii="Calibri" w:hAnsi="Calibri" w:cs="Calibri"/>
                <w:color w:val="000000"/>
                <w:sz w:val="18"/>
              </w:rPr>
              <w:t>Slovaquie</w:t>
            </w:r>
          </w:p>
        </w:tc>
      </w:tr>
      <w:tr w:rsidR="00950614" w14:paraId="27C72178" w14:textId="77777777" w:rsidTr="006B11DE">
        <w:tc>
          <w:tcPr>
            <w:tcW w:w="562" w:type="dxa"/>
          </w:tcPr>
          <w:p w14:paraId="5413EE5A"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BABC592" w14:textId="2146F6B1" w:rsidR="00950614" w:rsidRPr="006B11DE" w:rsidRDefault="00950614" w:rsidP="00950614">
            <w:pPr>
              <w:rPr>
                <w:sz w:val="18"/>
              </w:rPr>
            </w:pPr>
            <w:r w:rsidRPr="006B11DE">
              <w:rPr>
                <w:rFonts w:ascii="Calibri" w:hAnsi="Calibri" w:cs="Calibri"/>
                <w:color w:val="000000"/>
                <w:sz w:val="18"/>
              </w:rPr>
              <w:t>Slovénie</w:t>
            </w:r>
          </w:p>
        </w:tc>
      </w:tr>
      <w:tr w:rsidR="00950614" w14:paraId="1C132C3B" w14:textId="77777777" w:rsidTr="006B11DE">
        <w:tc>
          <w:tcPr>
            <w:tcW w:w="562" w:type="dxa"/>
          </w:tcPr>
          <w:p w14:paraId="1D5BD19C"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66851F6B" w14:textId="3A72B347" w:rsidR="00950614" w:rsidRPr="006B11DE" w:rsidRDefault="00950614" w:rsidP="00950614">
            <w:pPr>
              <w:rPr>
                <w:sz w:val="18"/>
              </w:rPr>
            </w:pPr>
            <w:r w:rsidRPr="006B11DE">
              <w:rPr>
                <w:rFonts w:ascii="Calibri" w:hAnsi="Calibri" w:cs="Calibri"/>
                <w:color w:val="000000"/>
                <w:sz w:val="18"/>
              </w:rPr>
              <w:t>Suède</w:t>
            </w:r>
          </w:p>
        </w:tc>
      </w:tr>
      <w:tr w:rsidR="00950614" w14:paraId="13F469CC" w14:textId="77777777" w:rsidTr="006B11DE">
        <w:tc>
          <w:tcPr>
            <w:tcW w:w="5098" w:type="dxa"/>
            <w:gridSpan w:val="2"/>
          </w:tcPr>
          <w:p w14:paraId="2E6C8343" w14:textId="1D0805F7" w:rsidR="00950614" w:rsidRPr="006B11DE" w:rsidRDefault="00950614" w:rsidP="00950614">
            <w:pPr>
              <w:rPr>
                <w:sz w:val="18"/>
              </w:rPr>
            </w:pPr>
            <w:r w:rsidRPr="006B11DE">
              <w:rPr>
                <w:sz w:val="18"/>
              </w:rPr>
              <w:t>Total pays hors de l’EEE</w:t>
            </w:r>
          </w:p>
        </w:tc>
      </w:tr>
    </w:tbl>
    <w:p w14:paraId="3E87C320" w14:textId="77834CB3" w:rsidR="00DD6241" w:rsidRPr="002C6295" w:rsidRDefault="002C6295" w:rsidP="00D00626">
      <w:pPr>
        <w:pStyle w:val="Titre2"/>
      </w:pPr>
      <w:bookmarkStart w:id="82" w:name="_Toc222476911"/>
      <w:r w:rsidRPr="002C6295">
        <w:t>5.2 P</w:t>
      </w:r>
      <w:r w:rsidR="003952EB" w:rsidRPr="002C6295">
        <w:t>our l</w:t>
      </w:r>
      <w:r w:rsidR="007F0FD5">
        <w:t xml:space="preserve">es </w:t>
      </w:r>
      <w:r w:rsidR="00007BC0" w:rsidRPr="002C6295">
        <w:t>section</w:t>
      </w:r>
      <w:r w:rsidR="007F0FD5">
        <w:t>s de la carte</w:t>
      </w:r>
      <w:r w:rsidR="00007BC0" w:rsidRPr="002C6295">
        <w:t xml:space="preserve"> 4.1.2.1</w:t>
      </w:r>
      <w:r w:rsidR="001C54FC">
        <w:t>, 4.1.2.4</w:t>
      </w:r>
      <w:r w:rsidR="00007BC0" w:rsidRPr="002C6295">
        <w:t xml:space="preserve"> et 4.1.3.1</w:t>
      </w:r>
      <w:r w:rsidR="00191B4C" w:rsidRPr="002C6295">
        <w:t xml:space="preserve"> uniquement</w:t>
      </w:r>
      <w:bookmarkEnd w:id="82"/>
    </w:p>
    <w:p w14:paraId="4A8FBEA3" w14:textId="77777777" w:rsidR="00CE031F" w:rsidRPr="00CE031F" w:rsidRDefault="00CE031F" w:rsidP="00CE031F"/>
    <w:tbl>
      <w:tblPr>
        <w:tblStyle w:val="Grilledutableau"/>
        <w:tblW w:w="0" w:type="auto"/>
        <w:tblLook w:val="04A0" w:firstRow="1" w:lastRow="0" w:firstColumn="1" w:lastColumn="0" w:noHBand="0" w:noVBand="1"/>
      </w:tblPr>
      <w:tblGrid>
        <w:gridCol w:w="300"/>
        <w:gridCol w:w="257"/>
        <w:gridCol w:w="303"/>
        <w:gridCol w:w="4200"/>
      </w:tblGrid>
      <w:tr w:rsidR="00DD6241" w:rsidRPr="00DD6241" w14:paraId="02D2520E" w14:textId="77777777" w:rsidTr="00160BA5">
        <w:trPr>
          <w:trHeight w:val="20"/>
        </w:trPr>
        <w:tc>
          <w:tcPr>
            <w:tcW w:w="5060" w:type="dxa"/>
            <w:gridSpan w:val="4"/>
            <w:noWrap/>
          </w:tcPr>
          <w:p w14:paraId="278DB7D6" w14:textId="2AE2DF85" w:rsidR="00DD6241" w:rsidRPr="00CE031F" w:rsidRDefault="00DD6241" w:rsidP="00DD6241">
            <w:pPr>
              <w:rPr>
                <w:b/>
                <w:sz w:val="12"/>
                <w:szCs w:val="12"/>
              </w:rPr>
            </w:pPr>
            <w:r w:rsidRPr="00CE031F">
              <w:rPr>
                <w:b/>
                <w:sz w:val="12"/>
                <w:szCs w:val="12"/>
              </w:rPr>
              <w:t>Total</w:t>
            </w:r>
          </w:p>
        </w:tc>
      </w:tr>
      <w:tr w:rsidR="00DD6241" w:rsidRPr="00DD6241" w14:paraId="208684A4" w14:textId="77777777" w:rsidTr="00160BA5">
        <w:trPr>
          <w:trHeight w:val="20"/>
        </w:trPr>
        <w:tc>
          <w:tcPr>
            <w:tcW w:w="5060" w:type="dxa"/>
            <w:gridSpan w:val="4"/>
            <w:noWrap/>
            <w:hideMark/>
          </w:tcPr>
          <w:p w14:paraId="3ACB3394" w14:textId="40532EE5" w:rsidR="00DD6241" w:rsidRPr="00CE031F" w:rsidRDefault="00DD6241" w:rsidP="00F5600D">
            <w:pPr>
              <w:rPr>
                <w:b/>
                <w:sz w:val="12"/>
                <w:szCs w:val="12"/>
              </w:rPr>
            </w:pPr>
            <w:r w:rsidRPr="00CE031F">
              <w:rPr>
                <w:b/>
                <w:sz w:val="12"/>
                <w:szCs w:val="12"/>
              </w:rPr>
              <w:t>Dont PSP acquéreurs</w:t>
            </w:r>
            <w:r w:rsidR="00B66AB4">
              <w:rPr>
                <w:b/>
                <w:sz w:val="12"/>
                <w:szCs w:val="12"/>
              </w:rPr>
              <w:t>/émetteurs</w:t>
            </w:r>
            <w:r w:rsidRPr="00CE031F">
              <w:rPr>
                <w:b/>
                <w:sz w:val="12"/>
                <w:szCs w:val="12"/>
              </w:rPr>
              <w:t xml:space="preserve"> en France </w:t>
            </w:r>
          </w:p>
        </w:tc>
      </w:tr>
      <w:tr w:rsidR="00DD6241" w:rsidRPr="00DD6241" w14:paraId="75E10BF1" w14:textId="77777777" w:rsidTr="00160BA5">
        <w:trPr>
          <w:trHeight w:val="20"/>
        </w:trPr>
        <w:tc>
          <w:tcPr>
            <w:tcW w:w="0" w:type="auto"/>
            <w:noWrap/>
            <w:hideMark/>
          </w:tcPr>
          <w:p w14:paraId="639B532E" w14:textId="77777777" w:rsidR="00DD6241" w:rsidRPr="00CE031F" w:rsidRDefault="00DD6241" w:rsidP="00DD6241">
            <w:pPr>
              <w:rPr>
                <w:sz w:val="12"/>
                <w:szCs w:val="12"/>
              </w:rPr>
            </w:pPr>
            <w:r w:rsidRPr="00CE031F">
              <w:rPr>
                <w:sz w:val="12"/>
                <w:szCs w:val="12"/>
              </w:rPr>
              <w:t> </w:t>
            </w:r>
          </w:p>
        </w:tc>
        <w:tc>
          <w:tcPr>
            <w:tcW w:w="4760" w:type="dxa"/>
            <w:gridSpan w:val="3"/>
            <w:noWrap/>
            <w:hideMark/>
          </w:tcPr>
          <w:p w14:paraId="08DF342B" w14:textId="569A7D7A" w:rsidR="00DD6241" w:rsidRPr="00CE031F" w:rsidRDefault="00DD6241" w:rsidP="00DD6241">
            <w:pPr>
              <w:rPr>
                <w:sz w:val="12"/>
                <w:szCs w:val="12"/>
              </w:rPr>
            </w:pPr>
            <w:r w:rsidRPr="00CE031F">
              <w:rPr>
                <w:sz w:val="12"/>
                <w:szCs w:val="12"/>
              </w:rPr>
              <w:t>Dont points de vente</w:t>
            </w:r>
            <w:r w:rsidR="00626CD7">
              <w:rPr>
                <w:sz w:val="12"/>
                <w:szCs w:val="12"/>
              </w:rPr>
              <w:t>/</w:t>
            </w:r>
            <w:proofErr w:type="gramStart"/>
            <w:r w:rsidR="00626CD7">
              <w:rPr>
                <w:sz w:val="12"/>
                <w:szCs w:val="12"/>
              </w:rPr>
              <w:t xml:space="preserve">retrait </w:t>
            </w:r>
            <w:r w:rsidRPr="00CE031F">
              <w:rPr>
                <w:sz w:val="12"/>
                <w:szCs w:val="12"/>
              </w:rPr>
              <w:t xml:space="preserve"> en</w:t>
            </w:r>
            <w:proofErr w:type="gramEnd"/>
            <w:r w:rsidRPr="00CE031F">
              <w:rPr>
                <w:sz w:val="12"/>
                <w:szCs w:val="12"/>
              </w:rPr>
              <w:t xml:space="preserve"> France </w:t>
            </w:r>
          </w:p>
        </w:tc>
      </w:tr>
      <w:tr w:rsidR="00DD6241" w:rsidRPr="00DD6241" w14:paraId="088BAB99" w14:textId="77777777" w:rsidTr="007D353E">
        <w:trPr>
          <w:trHeight w:val="20"/>
        </w:trPr>
        <w:tc>
          <w:tcPr>
            <w:tcW w:w="0" w:type="auto"/>
            <w:noWrap/>
            <w:hideMark/>
          </w:tcPr>
          <w:p w14:paraId="559410D7" w14:textId="77777777" w:rsidR="00DD6241" w:rsidRPr="00CE031F" w:rsidRDefault="00DD6241" w:rsidP="00DD6241">
            <w:pPr>
              <w:rPr>
                <w:sz w:val="12"/>
                <w:szCs w:val="12"/>
              </w:rPr>
            </w:pPr>
            <w:r w:rsidRPr="00CE031F">
              <w:rPr>
                <w:sz w:val="12"/>
                <w:szCs w:val="12"/>
              </w:rPr>
              <w:t> </w:t>
            </w:r>
          </w:p>
        </w:tc>
        <w:tc>
          <w:tcPr>
            <w:tcW w:w="4760" w:type="dxa"/>
            <w:gridSpan w:val="3"/>
            <w:tcBorders>
              <w:bottom w:val="single" w:sz="4" w:space="0" w:color="auto"/>
            </w:tcBorders>
            <w:noWrap/>
            <w:hideMark/>
          </w:tcPr>
          <w:p w14:paraId="6B35C321" w14:textId="1B6ED2A3" w:rsidR="00DD6241" w:rsidRPr="00CE031F" w:rsidRDefault="00DD6241" w:rsidP="00DD6241">
            <w:pPr>
              <w:rPr>
                <w:sz w:val="12"/>
                <w:szCs w:val="12"/>
              </w:rPr>
            </w:pPr>
            <w:r w:rsidRPr="00CE031F">
              <w:rPr>
                <w:sz w:val="12"/>
                <w:szCs w:val="12"/>
              </w:rPr>
              <w:t>Dont points de vente</w:t>
            </w:r>
            <w:r w:rsidR="00626CD7">
              <w:rPr>
                <w:sz w:val="12"/>
                <w:szCs w:val="12"/>
              </w:rPr>
              <w:t>/</w:t>
            </w:r>
            <w:proofErr w:type="gramStart"/>
            <w:r w:rsidR="00626CD7">
              <w:rPr>
                <w:sz w:val="12"/>
                <w:szCs w:val="12"/>
              </w:rPr>
              <w:t xml:space="preserve">retrait </w:t>
            </w:r>
            <w:r w:rsidRPr="00CE031F">
              <w:rPr>
                <w:sz w:val="12"/>
                <w:szCs w:val="12"/>
              </w:rPr>
              <w:t xml:space="preserve"> au</w:t>
            </w:r>
            <w:proofErr w:type="gramEnd"/>
            <w:r w:rsidRPr="00CE031F">
              <w:rPr>
                <w:sz w:val="12"/>
                <w:szCs w:val="12"/>
              </w:rPr>
              <w:t xml:space="preserve"> sein de l'EEE (hors France) </w:t>
            </w:r>
          </w:p>
        </w:tc>
      </w:tr>
      <w:tr w:rsidR="00DD6241" w:rsidRPr="00DD6241" w14:paraId="4596CB1B" w14:textId="77777777" w:rsidTr="007D353E">
        <w:trPr>
          <w:trHeight w:val="20"/>
        </w:trPr>
        <w:tc>
          <w:tcPr>
            <w:tcW w:w="0" w:type="auto"/>
            <w:tcBorders>
              <w:right w:val="nil"/>
            </w:tcBorders>
            <w:noWrap/>
            <w:hideMark/>
          </w:tcPr>
          <w:p w14:paraId="7142C18E" w14:textId="77777777" w:rsidR="00DD6241" w:rsidRPr="00CE031F" w:rsidRDefault="00DD6241" w:rsidP="00DD6241">
            <w:pPr>
              <w:rPr>
                <w:sz w:val="12"/>
                <w:szCs w:val="12"/>
              </w:rPr>
            </w:pPr>
            <w:r w:rsidRPr="00CE031F">
              <w:rPr>
                <w:sz w:val="12"/>
                <w:szCs w:val="12"/>
              </w:rPr>
              <w:t> </w:t>
            </w:r>
          </w:p>
        </w:tc>
        <w:tc>
          <w:tcPr>
            <w:tcW w:w="257" w:type="dxa"/>
            <w:tcBorders>
              <w:left w:val="nil"/>
            </w:tcBorders>
            <w:noWrap/>
            <w:hideMark/>
          </w:tcPr>
          <w:p w14:paraId="29084E89" w14:textId="77777777" w:rsidR="00DD6241" w:rsidRPr="00CE031F" w:rsidRDefault="00DD6241" w:rsidP="00DD6241">
            <w:pPr>
              <w:rPr>
                <w:sz w:val="12"/>
                <w:szCs w:val="12"/>
              </w:rPr>
            </w:pPr>
            <w:r w:rsidRPr="00CE031F">
              <w:rPr>
                <w:sz w:val="12"/>
                <w:szCs w:val="12"/>
              </w:rPr>
              <w:t> </w:t>
            </w:r>
          </w:p>
        </w:tc>
        <w:tc>
          <w:tcPr>
            <w:tcW w:w="4503" w:type="dxa"/>
            <w:gridSpan w:val="2"/>
            <w:noWrap/>
            <w:hideMark/>
          </w:tcPr>
          <w:p w14:paraId="74DFB7B0" w14:textId="6FE450EC" w:rsidR="00DD6241" w:rsidRPr="00CE031F" w:rsidRDefault="00DD6241" w:rsidP="006B11DE">
            <w:pPr>
              <w:rPr>
                <w:sz w:val="12"/>
                <w:szCs w:val="12"/>
              </w:rPr>
            </w:pPr>
            <w:r w:rsidRPr="00CE031F">
              <w:rPr>
                <w:sz w:val="12"/>
                <w:szCs w:val="12"/>
              </w:rPr>
              <w:t xml:space="preserve">Dont </w:t>
            </w:r>
            <w:r w:rsidR="006B11DE" w:rsidRPr="00CE031F">
              <w:rPr>
                <w:sz w:val="12"/>
                <w:szCs w:val="12"/>
              </w:rPr>
              <w:t xml:space="preserve">en </w:t>
            </w:r>
            <w:r w:rsidRPr="00CE031F">
              <w:rPr>
                <w:sz w:val="12"/>
                <w:szCs w:val="12"/>
              </w:rPr>
              <w:t>Allemagne </w:t>
            </w:r>
          </w:p>
        </w:tc>
      </w:tr>
      <w:tr w:rsidR="006B11DE" w:rsidRPr="00DD6241" w14:paraId="2A902EBA" w14:textId="77777777" w:rsidTr="007D353E">
        <w:trPr>
          <w:trHeight w:val="20"/>
        </w:trPr>
        <w:tc>
          <w:tcPr>
            <w:tcW w:w="0" w:type="auto"/>
            <w:tcBorders>
              <w:right w:val="nil"/>
            </w:tcBorders>
            <w:noWrap/>
            <w:hideMark/>
          </w:tcPr>
          <w:p w14:paraId="44FAA180" w14:textId="77777777" w:rsidR="006B11DE" w:rsidRPr="00CE031F" w:rsidRDefault="006B11DE" w:rsidP="006B11DE">
            <w:pPr>
              <w:rPr>
                <w:sz w:val="12"/>
                <w:szCs w:val="12"/>
              </w:rPr>
            </w:pPr>
            <w:r w:rsidRPr="00CE031F">
              <w:rPr>
                <w:sz w:val="12"/>
                <w:szCs w:val="12"/>
              </w:rPr>
              <w:t> </w:t>
            </w:r>
          </w:p>
        </w:tc>
        <w:tc>
          <w:tcPr>
            <w:tcW w:w="257" w:type="dxa"/>
            <w:tcBorders>
              <w:left w:val="nil"/>
            </w:tcBorders>
            <w:noWrap/>
            <w:hideMark/>
          </w:tcPr>
          <w:p w14:paraId="5E128B68" w14:textId="77777777" w:rsidR="006B11DE" w:rsidRPr="00CE031F" w:rsidRDefault="006B11DE" w:rsidP="006B11DE">
            <w:pPr>
              <w:rPr>
                <w:sz w:val="12"/>
                <w:szCs w:val="12"/>
              </w:rPr>
            </w:pPr>
            <w:r w:rsidRPr="00CE031F">
              <w:rPr>
                <w:sz w:val="12"/>
                <w:szCs w:val="12"/>
              </w:rPr>
              <w:t> </w:t>
            </w: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00FA53" w14:textId="3E94BEE5" w:rsidR="006B11DE" w:rsidRPr="00CE031F" w:rsidRDefault="006B11DE" w:rsidP="006B11DE">
            <w:pPr>
              <w:rPr>
                <w:sz w:val="12"/>
                <w:szCs w:val="12"/>
              </w:rPr>
            </w:pPr>
            <w:r w:rsidRPr="00CE031F">
              <w:rPr>
                <w:sz w:val="12"/>
                <w:szCs w:val="12"/>
              </w:rPr>
              <w:t>Dont en Autriche</w:t>
            </w:r>
          </w:p>
        </w:tc>
      </w:tr>
      <w:tr w:rsidR="006B11DE" w:rsidRPr="00DD6241" w14:paraId="4F319D43" w14:textId="77777777" w:rsidTr="007D353E">
        <w:trPr>
          <w:trHeight w:val="20"/>
        </w:trPr>
        <w:tc>
          <w:tcPr>
            <w:tcW w:w="0" w:type="auto"/>
            <w:tcBorders>
              <w:right w:val="nil"/>
            </w:tcBorders>
            <w:noWrap/>
          </w:tcPr>
          <w:p w14:paraId="517FDDC8" w14:textId="77777777" w:rsidR="006B11DE" w:rsidRPr="00CE031F" w:rsidRDefault="006B11DE" w:rsidP="006B11DE">
            <w:pPr>
              <w:rPr>
                <w:sz w:val="12"/>
                <w:szCs w:val="12"/>
              </w:rPr>
            </w:pPr>
          </w:p>
        </w:tc>
        <w:tc>
          <w:tcPr>
            <w:tcW w:w="257" w:type="dxa"/>
            <w:tcBorders>
              <w:top w:val="single" w:sz="4" w:space="0" w:color="auto"/>
              <w:left w:val="nil"/>
            </w:tcBorders>
            <w:noWrap/>
          </w:tcPr>
          <w:p w14:paraId="316C2084" w14:textId="77777777" w:rsidR="006B11DE" w:rsidRPr="00CE031F" w:rsidRDefault="006B11DE" w:rsidP="006B11DE">
            <w:pPr>
              <w:rPr>
                <w:sz w:val="12"/>
                <w:szCs w:val="12"/>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284025" w14:textId="1F31C2F0" w:rsidR="006B11DE" w:rsidRPr="00CE031F" w:rsidRDefault="006B11DE" w:rsidP="006B11DE">
            <w:pPr>
              <w:rPr>
                <w:sz w:val="12"/>
                <w:szCs w:val="12"/>
              </w:rPr>
            </w:pPr>
            <w:r w:rsidRPr="00CE031F">
              <w:rPr>
                <w:sz w:val="12"/>
                <w:szCs w:val="12"/>
              </w:rPr>
              <w:t>Dont en Belgique</w:t>
            </w:r>
          </w:p>
        </w:tc>
      </w:tr>
      <w:tr w:rsidR="006B11DE" w:rsidRPr="00DD6241" w14:paraId="09223200" w14:textId="77777777" w:rsidTr="007D353E">
        <w:trPr>
          <w:trHeight w:val="20"/>
        </w:trPr>
        <w:tc>
          <w:tcPr>
            <w:tcW w:w="0" w:type="auto"/>
            <w:tcBorders>
              <w:right w:val="nil"/>
            </w:tcBorders>
            <w:noWrap/>
          </w:tcPr>
          <w:p w14:paraId="3D6AFAAB" w14:textId="77777777" w:rsidR="006B11DE" w:rsidRPr="00CE031F" w:rsidRDefault="006B11DE" w:rsidP="006B11DE">
            <w:pPr>
              <w:rPr>
                <w:sz w:val="12"/>
                <w:szCs w:val="12"/>
              </w:rPr>
            </w:pPr>
          </w:p>
        </w:tc>
        <w:tc>
          <w:tcPr>
            <w:tcW w:w="257" w:type="dxa"/>
            <w:tcBorders>
              <w:top w:val="single" w:sz="4" w:space="0" w:color="auto"/>
              <w:left w:val="nil"/>
            </w:tcBorders>
            <w:noWrap/>
          </w:tcPr>
          <w:p w14:paraId="4C1F381B" w14:textId="77777777" w:rsidR="006B11DE" w:rsidRPr="00CE031F" w:rsidRDefault="006B11DE" w:rsidP="006B11DE">
            <w:pPr>
              <w:rPr>
                <w:sz w:val="12"/>
                <w:szCs w:val="12"/>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B8304F" w14:textId="58D5BFFE" w:rsidR="006B11DE" w:rsidRPr="00CE031F" w:rsidRDefault="006B11DE" w:rsidP="006B11DE">
            <w:pPr>
              <w:rPr>
                <w:sz w:val="12"/>
                <w:szCs w:val="12"/>
              </w:rPr>
            </w:pPr>
            <w:r w:rsidRPr="00CE031F">
              <w:rPr>
                <w:sz w:val="12"/>
                <w:szCs w:val="12"/>
              </w:rPr>
              <w:t>Dont en Bulgarie</w:t>
            </w:r>
          </w:p>
        </w:tc>
      </w:tr>
      <w:tr w:rsidR="006B11DE" w:rsidRPr="00DD6241" w14:paraId="6101E354" w14:textId="77777777" w:rsidTr="007D353E">
        <w:trPr>
          <w:trHeight w:val="20"/>
        </w:trPr>
        <w:tc>
          <w:tcPr>
            <w:tcW w:w="0" w:type="auto"/>
            <w:tcBorders>
              <w:right w:val="nil"/>
            </w:tcBorders>
            <w:noWrap/>
          </w:tcPr>
          <w:p w14:paraId="2400ABC8"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48CAE1E9"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4981B6" w14:textId="5131C7D6"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6B11DE" w:rsidRPr="00DD6241" w14:paraId="55FAAD85" w14:textId="77777777" w:rsidTr="007D353E">
        <w:trPr>
          <w:trHeight w:val="20"/>
        </w:trPr>
        <w:tc>
          <w:tcPr>
            <w:tcW w:w="0" w:type="auto"/>
            <w:tcBorders>
              <w:right w:val="nil"/>
            </w:tcBorders>
            <w:noWrap/>
          </w:tcPr>
          <w:p w14:paraId="207B00E8"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29DE93A2"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D26F0A" w14:textId="37A59AEB"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6B11DE" w:rsidRPr="00DD6241" w14:paraId="2DCB93CD" w14:textId="77777777" w:rsidTr="007D353E">
        <w:trPr>
          <w:trHeight w:val="20"/>
        </w:trPr>
        <w:tc>
          <w:tcPr>
            <w:tcW w:w="0" w:type="auto"/>
            <w:tcBorders>
              <w:right w:val="nil"/>
            </w:tcBorders>
            <w:noWrap/>
          </w:tcPr>
          <w:p w14:paraId="0CDFADD2"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7C1C1758"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B884CD" w14:textId="414F5F96"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6B11DE" w:rsidRPr="00DD6241" w14:paraId="01A1744E" w14:textId="77777777" w:rsidTr="007D353E">
        <w:trPr>
          <w:trHeight w:val="20"/>
        </w:trPr>
        <w:tc>
          <w:tcPr>
            <w:tcW w:w="0" w:type="auto"/>
            <w:tcBorders>
              <w:right w:val="nil"/>
            </w:tcBorders>
            <w:noWrap/>
          </w:tcPr>
          <w:p w14:paraId="75F1E574"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5BFC8601"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ADBFBD" w14:textId="2693E6CD"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6B11DE" w:rsidRPr="00DD6241" w14:paraId="58A57508" w14:textId="77777777" w:rsidTr="007D353E">
        <w:trPr>
          <w:trHeight w:val="20"/>
        </w:trPr>
        <w:tc>
          <w:tcPr>
            <w:tcW w:w="0" w:type="auto"/>
            <w:tcBorders>
              <w:right w:val="nil"/>
            </w:tcBorders>
            <w:noWrap/>
          </w:tcPr>
          <w:p w14:paraId="1050FBFC"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0DDF9CCF"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8F75C2" w14:textId="3FB9763C"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6B11DE" w:rsidRPr="00DD6241" w14:paraId="23B4CBD6" w14:textId="77777777" w:rsidTr="007D353E">
        <w:trPr>
          <w:trHeight w:val="20"/>
        </w:trPr>
        <w:tc>
          <w:tcPr>
            <w:tcW w:w="0" w:type="auto"/>
            <w:tcBorders>
              <w:right w:val="nil"/>
            </w:tcBorders>
            <w:noWrap/>
          </w:tcPr>
          <w:p w14:paraId="5E87A0C7"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142FC936"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46EB12" w14:textId="694BDCD5"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6B11DE" w:rsidRPr="00DD6241" w14:paraId="5FDA518A" w14:textId="77777777" w:rsidTr="007D353E">
        <w:trPr>
          <w:trHeight w:val="20"/>
        </w:trPr>
        <w:tc>
          <w:tcPr>
            <w:tcW w:w="0" w:type="auto"/>
            <w:tcBorders>
              <w:right w:val="nil"/>
            </w:tcBorders>
            <w:noWrap/>
          </w:tcPr>
          <w:p w14:paraId="69FC905B"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193AD511"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0CB722" w14:textId="012F8250"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6B11DE" w:rsidRPr="00DD6241" w14:paraId="747504D0" w14:textId="77777777" w:rsidTr="007D353E">
        <w:trPr>
          <w:trHeight w:val="20"/>
        </w:trPr>
        <w:tc>
          <w:tcPr>
            <w:tcW w:w="0" w:type="auto"/>
            <w:tcBorders>
              <w:right w:val="nil"/>
            </w:tcBorders>
            <w:noWrap/>
          </w:tcPr>
          <w:p w14:paraId="55771232"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5401DF28"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DAD6F3" w14:textId="30EC96B6"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6B11DE" w:rsidRPr="00DD6241" w14:paraId="35A03842" w14:textId="77777777" w:rsidTr="007D353E">
        <w:trPr>
          <w:trHeight w:val="20"/>
        </w:trPr>
        <w:tc>
          <w:tcPr>
            <w:tcW w:w="0" w:type="auto"/>
            <w:tcBorders>
              <w:right w:val="nil"/>
            </w:tcBorders>
            <w:noWrap/>
          </w:tcPr>
          <w:p w14:paraId="484685EA"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548C40A4"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98BD3B" w14:textId="57C36C52"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6B11DE" w:rsidRPr="00DD6241" w14:paraId="27123A79" w14:textId="77777777" w:rsidTr="007D353E">
        <w:trPr>
          <w:trHeight w:val="20"/>
        </w:trPr>
        <w:tc>
          <w:tcPr>
            <w:tcW w:w="0" w:type="auto"/>
            <w:tcBorders>
              <w:right w:val="nil"/>
            </w:tcBorders>
            <w:noWrap/>
          </w:tcPr>
          <w:p w14:paraId="5E9AFBD0"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7ABB5178"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3172E8" w14:textId="43D566FC"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6B11DE" w:rsidRPr="00DD6241" w14:paraId="2C331CCA" w14:textId="77777777" w:rsidTr="007D353E">
        <w:trPr>
          <w:trHeight w:val="20"/>
        </w:trPr>
        <w:tc>
          <w:tcPr>
            <w:tcW w:w="0" w:type="auto"/>
            <w:tcBorders>
              <w:right w:val="nil"/>
            </w:tcBorders>
            <w:noWrap/>
          </w:tcPr>
          <w:p w14:paraId="015A081B"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75F5A69B"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058E5B" w14:textId="49F0A722"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6B11DE" w:rsidRPr="00DD6241" w14:paraId="70683719" w14:textId="77777777" w:rsidTr="007D353E">
        <w:trPr>
          <w:trHeight w:val="20"/>
        </w:trPr>
        <w:tc>
          <w:tcPr>
            <w:tcW w:w="0" w:type="auto"/>
            <w:tcBorders>
              <w:right w:val="nil"/>
            </w:tcBorders>
            <w:noWrap/>
          </w:tcPr>
          <w:p w14:paraId="2085C32C"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469D3F88"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9B285D" w14:textId="52D327A2"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6B11DE" w:rsidRPr="00DD6241" w14:paraId="37EC81B3" w14:textId="77777777" w:rsidTr="007D353E">
        <w:trPr>
          <w:trHeight w:val="20"/>
        </w:trPr>
        <w:tc>
          <w:tcPr>
            <w:tcW w:w="0" w:type="auto"/>
            <w:tcBorders>
              <w:right w:val="nil"/>
            </w:tcBorders>
            <w:noWrap/>
          </w:tcPr>
          <w:p w14:paraId="6916A693"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25015635"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54EBF2" w14:textId="59121E09"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6B11DE" w:rsidRPr="00DD6241" w14:paraId="34AF559E" w14:textId="77777777" w:rsidTr="007D353E">
        <w:trPr>
          <w:trHeight w:val="20"/>
        </w:trPr>
        <w:tc>
          <w:tcPr>
            <w:tcW w:w="0" w:type="auto"/>
            <w:tcBorders>
              <w:right w:val="nil"/>
            </w:tcBorders>
            <w:noWrap/>
          </w:tcPr>
          <w:p w14:paraId="07388141"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1DC34A32"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0220C0" w14:textId="07989292"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6B11DE" w:rsidRPr="00DD6241" w14:paraId="29145076" w14:textId="77777777" w:rsidTr="007D353E">
        <w:trPr>
          <w:trHeight w:val="20"/>
        </w:trPr>
        <w:tc>
          <w:tcPr>
            <w:tcW w:w="0" w:type="auto"/>
            <w:tcBorders>
              <w:right w:val="nil"/>
            </w:tcBorders>
            <w:noWrap/>
          </w:tcPr>
          <w:p w14:paraId="45746F81"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1EE6914A"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608D2B" w14:textId="5FEA038F"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6B11DE" w:rsidRPr="00DD6241" w14:paraId="4D18131A" w14:textId="77777777" w:rsidTr="007D353E">
        <w:trPr>
          <w:trHeight w:val="20"/>
        </w:trPr>
        <w:tc>
          <w:tcPr>
            <w:tcW w:w="0" w:type="auto"/>
            <w:tcBorders>
              <w:right w:val="nil"/>
            </w:tcBorders>
            <w:noWrap/>
          </w:tcPr>
          <w:p w14:paraId="0B5F8E4B"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6BE29B66"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70952F" w14:textId="60468EE6"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6B11DE" w:rsidRPr="00DD6241" w14:paraId="6F72A9E1" w14:textId="77777777" w:rsidTr="007D353E">
        <w:trPr>
          <w:trHeight w:val="20"/>
        </w:trPr>
        <w:tc>
          <w:tcPr>
            <w:tcW w:w="0" w:type="auto"/>
            <w:tcBorders>
              <w:right w:val="nil"/>
            </w:tcBorders>
            <w:noWrap/>
          </w:tcPr>
          <w:p w14:paraId="2FA19CFF"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6610A03A"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DFB6C0" w14:textId="00A78CBD" w:rsidR="006B11DE" w:rsidRPr="00CE031F" w:rsidRDefault="00E02A36" w:rsidP="006B11DE">
            <w:pPr>
              <w:rPr>
                <w:rFonts w:ascii="Calibri" w:hAnsi="Calibri" w:cs="Calibri"/>
                <w:color w:val="000000"/>
                <w:sz w:val="12"/>
                <w:szCs w:val="12"/>
              </w:rPr>
            </w:pPr>
            <w:r w:rsidRPr="00CE031F">
              <w:rPr>
                <w:rFonts w:ascii="Calibri" w:hAnsi="Calibri" w:cs="Calibri"/>
                <w:color w:val="000000"/>
                <w:sz w:val="12"/>
                <w:szCs w:val="12"/>
              </w:rPr>
              <w:t>Dont en N</w:t>
            </w:r>
            <w:r w:rsidR="006B11DE" w:rsidRPr="00CE031F">
              <w:rPr>
                <w:rFonts w:ascii="Calibri" w:hAnsi="Calibri" w:cs="Calibri"/>
                <w:color w:val="000000"/>
                <w:sz w:val="12"/>
                <w:szCs w:val="12"/>
              </w:rPr>
              <w:t>orvège</w:t>
            </w:r>
          </w:p>
        </w:tc>
      </w:tr>
      <w:tr w:rsidR="006B11DE" w:rsidRPr="00DD6241" w14:paraId="0CB1FFD3" w14:textId="77777777" w:rsidTr="007D353E">
        <w:trPr>
          <w:trHeight w:val="20"/>
        </w:trPr>
        <w:tc>
          <w:tcPr>
            <w:tcW w:w="0" w:type="auto"/>
            <w:tcBorders>
              <w:right w:val="nil"/>
            </w:tcBorders>
            <w:noWrap/>
          </w:tcPr>
          <w:p w14:paraId="1CEC1D8B"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29361A44"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9A6218" w14:textId="44B3FBDA"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Pays-Bas</w:t>
            </w:r>
          </w:p>
        </w:tc>
      </w:tr>
      <w:tr w:rsidR="006B11DE" w:rsidRPr="00DD6241" w14:paraId="7B4F13B6" w14:textId="77777777" w:rsidTr="007D353E">
        <w:trPr>
          <w:trHeight w:val="20"/>
        </w:trPr>
        <w:tc>
          <w:tcPr>
            <w:tcW w:w="0" w:type="auto"/>
            <w:tcBorders>
              <w:right w:val="nil"/>
            </w:tcBorders>
            <w:noWrap/>
          </w:tcPr>
          <w:p w14:paraId="23AFF19C"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2FD4AABD"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A6EFED" w14:textId="5EF5B05E"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Pologne</w:t>
            </w:r>
          </w:p>
        </w:tc>
      </w:tr>
      <w:tr w:rsidR="006B11DE" w:rsidRPr="00DD6241" w14:paraId="25A3B8BB" w14:textId="77777777" w:rsidTr="007D353E">
        <w:trPr>
          <w:trHeight w:val="20"/>
        </w:trPr>
        <w:tc>
          <w:tcPr>
            <w:tcW w:w="0" w:type="auto"/>
            <w:tcBorders>
              <w:right w:val="nil"/>
            </w:tcBorders>
            <w:noWrap/>
          </w:tcPr>
          <w:p w14:paraId="23B42B4C"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51EDD7F4"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828136" w14:textId="6BF1E839"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Portugal</w:t>
            </w:r>
          </w:p>
        </w:tc>
      </w:tr>
      <w:tr w:rsidR="006B11DE" w:rsidRPr="00DD6241" w14:paraId="420CF635" w14:textId="77777777" w:rsidTr="007D353E">
        <w:trPr>
          <w:trHeight w:val="20"/>
        </w:trPr>
        <w:tc>
          <w:tcPr>
            <w:tcW w:w="0" w:type="auto"/>
            <w:tcBorders>
              <w:right w:val="nil"/>
            </w:tcBorders>
            <w:noWrap/>
          </w:tcPr>
          <w:p w14:paraId="14F295AF"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39651372"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A7D115" w14:textId="71CA575E"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République tchèque</w:t>
            </w:r>
          </w:p>
        </w:tc>
      </w:tr>
      <w:tr w:rsidR="006B11DE" w:rsidRPr="00DD6241" w14:paraId="2BFF52D8" w14:textId="77777777" w:rsidTr="007D353E">
        <w:trPr>
          <w:trHeight w:val="20"/>
        </w:trPr>
        <w:tc>
          <w:tcPr>
            <w:tcW w:w="0" w:type="auto"/>
            <w:tcBorders>
              <w:right w:val="nil"/>
            </w:tcBorders>
            <w:noWrap/>
          </w:tcPr>
          <w:p w14:paraId="064E3888"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01DB74C1"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1ABE31" w14:textId="6E3BAF9A"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Roumanie</w:t>
            </w:r>
          </w:p>
        </w:tc>
      </w:tr>
      <w:tr w:rsidR="006B11DE" w:rsidRPr="00DD6241" w14:paraId="3C2C28A8" w14:textId="77777777" w:rsidTr="007D353E">
        <w:trPr>
          <w:trHeight w:val="20"/>
        </w:trPr>
        <w:tc>
          <w:tcPr>
            <w:tcW w:w="0" w:type="auto"/>
            <w:tcBorders>
              <w:right w:val="nil"/>
            </w:tcBorders>
            <w:noWrap/>
          </w:tcPr>
          <w:p w14:paraId="7D19E84E"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65F1EF3F"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7427EB" w14:textId="0D05CEB6"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Slovaquie</w:t>
            </w:r>
          </w:p>
        </w:tc>
      </w:tr>
      <w:tr w:rsidR="006B11DE" w:rsidRPr="00DD6241" w14:paraId="7C6F9D79" w14:textId="77777777" w:rsidTr="007D353E">
        <w:trPr>
          <w:trHeight w:val="20"/>
        </w:trPr>
        <w:tc>
          <w:tcPr>
            <w:tcW w:w="0" w:type="auto"/>
            <w:tcBorders>
              <w:right w:val="nil"/>
            </w:tcBorders>
            <w:noWrap/>
          </w:tcPr>
          <w:p w14:paraId="0520770C"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4983BBCF"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C8D3BB" w14:textId="5427286B"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Slovénie</w:t>
            </w:r>
          </w:p>
        </w:tc>
      </w:tr>
      <w:tr w:rsidR="006B11DE" w:rsidRPr="00DD6241" w14:paraId="2900530B" w14:textId="77777777" w:rsidTr="007D353E">
        <w:trPr>
          <w:trHeight w:val="20"/>
        </w:trPr>
        <w:tc>
          <w:tcPr>
            <w:tcW w:w="0" w:type="auto"/>
            <w:tcBorders>
              <w:right w:val="nil"/>
            </w:tcBorders>
            <w:noWrap/>
          </w:tcPr>
          <w:p w14:paraId="60F9246A"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50F6E148"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2D5AC7" w14:textId="526C06EF"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Suède</w:t>
            </w:r>
          </w:p>
        </w:tc>
      </w:tr>
      <w:tr w:rsidR="006B11DE" w:rsidRPr="00DD6241" w14:paraId="58769522" w14:textId="77777777" w:rsidTr="007D353E">
        <w:trPr>
          <w:trHeight w:val="20"/>
        </w:trPr>
        <w:tc>
          <w:tcPr>
            <w:tcW w:w="0" w:type="auto"/>
            <w:tcBorders>
              <w:right w:val="nil"/>
            </w:tcBorders>
            <w:noWrap/>
            <w:hideMark/>
          </w:tcPr>
          <w:p w14:paraId="785D50B0"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tcBorders>
              <w:left w:val="nil"/>
            </w:tcBorders>
            <w:noWrap/>
            <w:hideMark/>
          </w:tcPr>
          <w:p w14:paraId="265CFD85" w14:textId="77559150"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6B11DE" w:rsidRPr="00DD6241" w14:paraId="39219807" w14:textId="77777777" w:rsidTr="00160BA5">
        <w:trPr>
          <w:trHeight w:val="20"/>
        </w:trPr>
        <w:tc>
          <w:tcPr>
            <w:tcW w:w="5060" w:type="dxa"/>
            <w:gridSpan w:val="4"/>
            <w:noWrap/>
            <w:hideMark/>
          </w:tcPr>
          <w:p w14:paraId="64876459" w14:textId="1B31FC6B" w:rsidR="006B11DE" w:rsidRPr="00CE031F" w:rsidRDefault="006B11DE" w:rsidP="00F5600D">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au sein de l'EEE (hors France) </w:t>
            </w:r>
          </w:p>
        </w:tc>
      </w:tr>
      <w:tr w:rsidR="006B11DE" w:rsidRPr="00DD6241" w14:paraId="5236E3F2" w14:textId="77777777" w:rsidTr="00160BA5">
        <w:trPr>
          <w:trHeight w:val="20"/>
        </w:trPr>
        <w:tc>
          <w:tcPr>
            <w:tcW w:w="0" w:type="auto"/>
            <w:noWrap/>
            <w:hideMark/>
          </w:tcPr>
          <w:p w14:paraId="58D21B62"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8DDDB67" w14:textId="3EFB63FF"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 xml:space="preserve">/retrait </w:t>
            </w:r>
            <w:r w:rsidRPr="00CE031F">
              <w:rPr>
                <w:rFonts w:ascii="Calibri" w:eastAsia="Times New Roman" w:hAnsi="Calibri" w:cs="Calibri"/>
                <w:bCs/>
                <w:sz w:val="12"/>
                <w:szCs w:val="12"/>
                <w:lang w:eastAsia="fr-FR"/>
              </w:rPr>
              <w:t>en France</w:t>
            </w:r>
          </w:p>
        </w:tc>
      </w:tr>
      <w:tr w:rsidR="006B11DE" w:rsidRPr="00DD6241" w14:paraId="1E1F6783" w14:textId="77777777" w:rsidTr="00160BA5">
        <w:trPr>
          <w:trHeight w:val="20"/>
        </w:trPr>
        <w:tc>
          <w:tcPr>
            <w:tcW w:w="0" w:type="auto"/>
            <w:noWrap/>
            <w:hideMark/>
          </w:tcPr>
          <w:p w14:paraId="1ED3997A"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3360A825" w14:textId="50E8D611"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 xml:space="preserve">/retrait </w:t>
            </w:r>
            <w:r w:rsidRPr="00CE031F">
              <w:rPr>
                <w:rFonts w:ascii="Calibri" w:eastAsia="Times New Roman" w:hAnsi="Calibri" w:cs="Calibri"/>
                <w:bCs/>
                <w:sz w:val="12"/>
                <w:szCs w:val="12"/>
                <w:lang w:eastAsia="fr-FR"/>
              </w:rPr>
              <w:t>au sein de l'EEE (hors France) </w:t>
            </w:r>
          </w:p>
        </w:tc>
      </w:tr>
      <w:tr w:rsidR="00F5600D" w:rsidRPr="00DD6241" w14:paraId="17FEE8B8" w14:textId="77777777" w:rsidTr="007D353E">
        <w:trPr>
          <w:trHeight w:val="20"/>
        </w:trPr>
        <w:tc>
          <w:tcPr>
            <w:tcW w:w="0" w:type="auto"/>
            <w:tcBorders>
              <w:right w:val="nil"/>
            </w:tcBorders>
            <w:noWrap/>
          </w:tcPr>
          <w:p w14:paraId="596AC5C0"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70313F92"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noWrap/>
          </w:tcPr>
          <w:p w14:paraId="2C60C8AA" w14:textId="78AB179D"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F5600D" w:rsidRPr="00DD6241" w14:paraId="0FA44B8F" w14:textId="77777777" w:rsidTr="007D353E">
        <w:trPr>
          <w:trHeight w:val="20"/>
        </w:trPr>
        <w:tc>
          <w:tcPr>
            <w:tcW w:w="0" w:type="auto"/>
            <w:tcBorders>
              <w:right w:val="nil"/>
            </w:tcBorders>
            <w:noWrap/>
          </w:tcPr>
          <w:p w14:paraId="6D1DCA6B"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2AEB53D9"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FC71BE" w14:textId="56B5D127" w:rsidR="00F5600D" w:rsidRPr="00CE031F" w:rsidRDefault="00F5600D" w:rsidP="00F5600D">
            <w:pPr>
              <w:rPr>
                <w:rFonts w:ascii="Calibri" w:hAnsi="Calibri" w:cs="Calibri"/>
                <w:color w:val="000000"/>
                <w:sz w:val="12"/>
                <w:szCs w:val="12"/>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F5600D" w:rsidRPr="00DD6241" w14:paraId="6006449F" w14:textId="77777777" w:rsidTr="007D353E">
        <w:trPr>
          <w:trHeight w:val="20"/>
        </w:trPr>
        <w:tc>
          <w:tcPr>
            <w:tcW w:w="0" w:type="auto"/>
            <w:tcBorders>
              <w:right w:val="nil"/>
            </w:tcBorders>
            <w:noWrap/>
          </w:tcPr>
          <w:p w14:paraId="29328ED9"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139ED08F"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4EB3BA7E" w14:textId="7879C891"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F5600D" w:rsidRPr="00DD6241" w14:paraId="2D71C277" w14:textId="77777777" w:rsidTr="007D353E">
        <w:trPr>
          <w:trHeight w:val="20"/>
        </w:trPr>
        <w:tc>
          <w:tcPr>
            <w:tcW w:w="0" w:type="auto"/>
            <w:tcBorders>
              <w:right w:val="nil"/>
            </w:tcBorders>
            <w:noWrap/>
          </w:tcPr>
          <w:p w14:paraId="6B836139"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2A35C344"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B90CF68" w14:textId="53050DA5"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F5600D" w:rsidRPr="00DD6241" w14:paraId="7EEDA5CA" w14:textId="77777777" w:rsidTr="007D353E">
        <w:trPr>
          <w:trHeight w:val="20"/>
        </w:trPr>
        <w:tc>
          <w:tcPr>
            <w:tcW w:w="0" w:type="auto"/>
            <w:tcBorders>
              <w:right w:val="nil"/>
            </w:tcBorders>
            <w:noWrap/>
          </w:tcPr>
          <w:p w14:paraId="003E2879"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6BA36A3E"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72FC6E1" w14:textId="294D19A8"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F5600D" w:rsidRPr="00DD6241" w14:paraId="1110AAAE" w14:textId="77777777" w:rsidTr="007D353E">
        <w:trPr>
          <w:trHeight w:val="20"/>
        </w:trPr>
        <w:tc>
          <w:tcPr>
            <w:tcW w:w="0" w:type="auto"/>
            <w:tcBorders>
              <w:right w:val="nil"/>
            </w:tcBorders>
            <w:noWrap/>
          </w:tcPr>
          <w:p w14:paraId="7DFE208E"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1933D043"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3C96ABC" w14:textId="19C6AF61"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F5600D" w:rsidRPr="00DD6241" w14:paraId="031D5D62" w14:textId="77777777" w:rsidTr="007D353E">
        <w:trPr>
          <w:trHeight w:val="20"/>
        </w:trPr>
        <w:tc>
          <w:tcPr>
            <w:tcW w:w="0" w:type="auto"/>
            <w:tcBorders>
              <w:right w:val="nil"/>
            </w:tcBorders>
            <w:noWrap/>
          </w:tcPr>
          <w:p w14:paraId="47709CC4"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63AF6F3"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5F20A9C2" w14:textId="7FD086FD"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F5600D" w:rsidRPr="00DD6241" w14:paraId="10353389" w14:textId="77777777" w:rsidTr="007D353E">
        <w:trPr>
          <w:trHeight w:val="20"/>
        </w:trPr>
        <w:tc>
          <w:tcPr>
            <w:tcW w:w="0" w:type="auto"/>
            <w:tcBorders>
              <w:right w:val="nil"/>
            </w:tcBorders>
            <w:noWrap/>
          </w:tcPr>
          <w:p w14:paraId="18942D47"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0799CAE0"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3208A1D5" w14:textId="52C5645A"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F5600D" w:rsidRPr="00DD6241" w14:paraId="594F0218" w14:textId="77777777" w:rsidTr="007D353E">
        <w:trPr>
          <w:trHeight w:val="20"/>
        </w:trPr>
        <w:tc>
          <w:tcPr>
            <w:tcW w:w="0" w:type="auto"/>
            <w:tcBorders>
              <w:right w:val="nil"/>
            </w:tcBorders>
            <w:noWrap/>
          </w:tcPr>
          <w:p w14:paraId="6406C95D"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7367D045"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0ADDEF3" w14:textId="2FA522AF"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F5600D" w:rsidRPr="00DD6241" w14:paraId="390D0979" w14:textId="77777777" w:rsidTr="007D353E">
        <w:trPr>
          <w:trHeight w:val="20"/>
        </w:trPr>
        <w:tc>
          <w:tcPr>
            <w:tcW w:w="0" w:type="auto"/>
            <w:tcBorders>
              <w:right w:val="nil"/>
            </w:tcBorders>
            <w:noWrap/>
          </w:tcPr>
          <w:p w14:paraId="47102943"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520BC150"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2803E8F7" w14:textId="75EDCCA9"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F5600D" w:rsidRPr="00DD6241" w14:paraId="73D23D84" w14:textId="77777777" w:rsidTr="007D353E">
        <w:trPr>
          <w:trHeight w:val="20"/>
        </w:trPr>
        <w:tc>
          <w:tcPr>
            <w:tcW w:w="0" w:type="auto"/>
            <w:tcBorders>
              <w:right w:val="nil"/>
            </w:tcBorders>
            <w:noWrap/>
          </w:tcPr>
          <w:p w14:paraId="44313435"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2EACB982"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33558B6A" w14:textId="012F2F4D"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F5600D" w:rsidRPr="00DD6241" w14:paraId="62F66119" w14:textId="77777777" w:rsidTr="007D353E">
        <w:trPr>
          <w:trHeight w:val="20"/>
        </w:trPr>
        <w:tc>
          <w:tcPr>
            <w:tcW w:w="0" w:type="auto"/>
            <w:tcBorders>
              <w:right w:val="nil"/>
            </w:tcBorders>
            <w:noWrap/>
          </w:tcPr>
          <w:p w14:paraId="638EF340"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7E16D9A7"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4DA8E217" w14:textId="620F2E0F"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F5600D" w:rsidRPr="00DD6241" w14:paraId="5B22A66D" w14:textId="77777777" w:rsidTr="007D353E">
        <w:trPr>
          <w:trHeight w:val="20"/>
        </w:trPr>
        <w:tc>
          <w:tcPr>
            <w:tcW w:w="0" w:type="auto"/>
            <w:tcBorders>
              <w:right w:val="nil"/>
            </w:tcBorders>
            <w:noWrap/>
          </w:tcPr>
          <w:p w14:paraId="20F7E6A2"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61579391"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7C4FCC9" w14:textId="35122A16"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F5600D" w:rsidRPr="00DD6241" w14:paraId="313C7FD2" w14:textId="77777777" w:rsidTr="007D353E">
        <w:trPr>
          <w:trHeight w:val="20"/>
        </w:trPr>
        <w:tc>
          <w:tcPr>
            <w:tcW w:w="0" w:type="auto"/>
            <w:tcBorders>
              <w:right w:val="nil"/>
            </w:tcBorders>
            <w:noWrap/>
          </w:tcPr>
          <w:p w14:paraId="5B5783BB"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765787F"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1ACC78A1" w14:textId="40909F42"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F5600D" w:rsidRPr="00DD6241" w14:paraId="20FD84E1" w14:textId="77777777" w:rsidTr="007D353E">
        <w:trPr>
          <w:trHeight w:val="20"/>
        </w:trPr>
        <w:tc>
          <w:tcPr>
            <w:tcW w:w="0" w:type="auto"/>
            <w:tcBorders>
              <w:right w:val="nil"/>
            </w:tcBorders>
            <w:noWrap/>
          </w:tcPr>
          <w:p w14:paraId="79007221"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212749D6"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B48554E" w14:textId="689AF88C"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F5600D" w:rsidRPr="00DD6241" w14:paraId="3A0F5B47" w14:textId="77777777" w:rsidTr="007D353E">
        <w:trPr>
          <w:trHeight w:val="20"/>
        </w:trPr>
        <w:tc>
          <w:tcPr>
            <w:tcW w:w="0" w:type="auto"/>
            <w:tcBorders>
              <w:right w:val="nil"/>
            </w:tcBorders>
            <w:noWrap/>
          </w:tcPr>
          <w:p w14:paraId="7792262C"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3CCF5255"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8965387" w14:textId="10ED46D6"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F5600D" w:rsidRPr="00DD6241" w14:paraId="24FAFFF7" w14:textId="77777777" w:rsidTr="007D353E">
        <w:trPr>
          <w:trHeight w:val="20"/>
        </w:trPr>
        <w:tc>
          <w:tcPr>
            <w:tcW w:w="0" w:type="auto"/>
            <w:tcBorders>
              <w:right w:val="nil"/>
            </w:tcBorders>
            <w:noWrap/>
          </w:tcPr>
          <w:p w14:paraId="7A2D88BC"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3FE37B40"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14FC0FE8" w14:textId="53765BA6"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F5600D" w:rsidRPr="00DD6241" w14:paraId="1CE5C0D0" w14:textId="77777777" w:rsidTr="007D353E">
        <w:trPr>
          <w:trHeight w:val="20"/>
        </w:trPr>
        <w:tc>
          <w:tcPr>
            <w:tcW w:w="0" w:type="auto"/>
            <w:tcBorders>
              <w:right w:val="nil"/>
            </w:tcBorders>
            <w:noWrap/>
            <w:hideMark/>
          </w:tcPr>
          <w:p w14:paraId="35D2DECA" w14:textId="77777777"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tcBorders>
            <w:noWrap/>
          </w:tcPr>
          <w:p w14:paraId="75B9A8D2" w14:textId="150FDE86"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B93B724" w14:textId="6111D002"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F5600D" w:rsidRPr="00DD6241" w14:paraId="137C7DAC" w14:textId="77777777" w:rsidTr="007D353E">
        <w:trPr>
          <w:trHeight w:val="20"/>
        </w:trPr>
        <w:tc>
          <w:tcPr>
            <w:tcW w:w="0" w:type="auto"/>
            <w:tcBorders>
              <w:right w:val="nil"/>
            </w:tcBorders>
            <w:noWrap/>
          </w:tcPr>
          <w:p w14:paraId="48D7AF9E"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15792D7F"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4D32698" w14:textId="6FD4AD73"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F5600D" w:rsidRPr="00DD6241" w14:paraId="777E0FE5" w14:textId="77777777" w:rsidTr="007D353E">
        <w:trPr>
          <w:trHeight w:val="20"/>
        </w:trPr>
        <w:tc>
          <w:tcPr>
            <w:tcW w:w="0" w:type="auto"/>
            <w:tcBorders>
              <w:right w:val="nil"/>
            </w:tcBorders>
            <w:noWrap/>
          </w:tcPr>
          <w:p w14:paraId="29EDEAE7"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27597B55"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2EDD366F" w14:textId="54268FA4"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F5600D" w:rsidRPr="00DD6241" w14:paraId="1741B954" w14:textId="77777777" w:rsidTr="007D353E">
        <w:trPr>
          <w:trHeight w:val="20"/>
        </w:trPr>
        <w:tc>
          <w:tcPr>
            <w:tcW w:w="0" w:type="auto"/>
            <w:tcBorders>
              <w:right w:val="nil"/>
            </w:tcBorders>
            <w:noWrap/>
          </w:tcPr>
          <w:p w14:paraId="3A34C0A6"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14CF6EE8"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4DE8282" w14:textId="40D69961"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F5600D" w:rsidRPr="00DD6241" w14:paraId="374C8B25" w14:textId="77777777" w:rsidTr="007D353E">
        <w:trPr>
          <w:trHeight w:val="20"/>
        </w:trPr>
        <w:tc>
          <w:tcPr>
            <w:tcW w:w="0" w:type="auto"/>
            <w:tcBorders>
              <w:right w:val="nil"/>
            </w:tcBorders>
            <w:noWrap/>
          </w:tcPr>
          <w:p w14:paraId="001F6267"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F0EC9DB"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0562B87F" w14:textId="03478785"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F5600D" w:rsidRPr="00DD6241" w14:paraId="225DEC2E" w14:textId="77777777" w:rsidTr="007D353E">
        <w:trPr>
          <w:trHeight w:val="20"/>
        </w:trPr>
        <w:tc>
          <w:tcPr>
            <w:tcW w:w="0" w:type="auto"/>
            <w:tcBorders>
              <w:right w:val="nil"/>
            </w:tcBorders>
            <w:noWrap/>
          </w:tcPr>
          <w:p w14:paraId="0E82EE53"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FFD9E7F"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4FB65EC1" w14:textId="67A32639"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F5600D" w:rsidRPr="00DD6241" w14:paraId="6553A302" w14:textId="77777777" w:rsidTr="007D353E">
        <w:trPr>
          <w:trHeight w:val="20"/>
        </w:trPr>
        <w:tc>
          <w:tcPr>
            <w:tcW w:w="0" w:type="auto"/>
            <w:tcBorders>
              <w:right w:val="nil"/>
            </w:tcBorders>
            <w:noWrap/>
          </w:tcPr>
          <w:p w14:paraId="083A60EE"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2A53120"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565A67F9" w14:textId="4C2DA7CA"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F5600D" w:rsidRPr="00DD6241" w14:paraId="271CBA46" w14:textId="77777777" w:rsidTr="007D353E">
        <w:trPr>
          <w:trHeight w:val="20"/>
        </w:trPr>
        <w:tc>
          <w:tcPr>
            <w:tcW w:w="0" w:type="auto"/>
            <w:tcBorders>
              <w:right w:val="nil"/>
            </w:tcBorders>
            <w:noWrap/>
          </w:tcPr>
          <w:p w14:paraId="54A15E9D"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DB79389"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16A3DB32" w14:textId="7C014F72"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F5600D" w:rsidRPr="00DD6241" w14:paraId="33680E3A" w14:textId="77777777" w:rsidTr="007D353E">
        <w:trPr>
          <w:trHeight w:val="20"/>
        </w:trPr>
        <w:tc>
          <w:tcPr>
            <w:tcW w:w="0" w:type="auto"/>
            <w:tcBorders>
              <w:right w:val="nil"/>
            </w:tcBorders>
            <w:noWrap/>
          </w:tcPr>
          <w:p w14:paraId="1422D03F"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169BB8F0"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F127D91" w14:textId="32815C06"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F5600D" w:rsidRPr="00DD6241" w14:paraId="0E6E9F29" w14:textId="77777777" w:rsidTr="007D353E">
        <w:trPr>
          <w:trHeight w:val="20"/>
        </w:trPr>
        <w:tc>
          <w:tcPr>
            <w:tcW w:w="0" w:type="auto"/>
            <w:tcBorders>
              <w:right w:val="nil"/>
            </w:tcBorders>
            <w:noWrap/>
          </w:tcPr>
          <w:p w14:paraId="39F685F0"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17D0AE0"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517002C" w14:textId="45A4F204"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F5600D" w:rsidRPr="00DD6241" w14:paraId="6E481B33" w14:textId="77777777" w:rsidTr="007D353E">
        <w:trPr>
          <w:trHeight w:val="20"/>
        </w:trPr>
        <w:tc>
          <w:tcPr>
            <w:tcW w:w="0" w:type="auto"/>
            <w:tcBorders>
              <w:right w:val="nil"/>
            </w:tcBorders>
            <w:noWrap/>
          </w:tcPr>
          <w:p w14:paraId="44DC8F15"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5C69F264"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784D765" w14:textId="6FC60899"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F5600D" w:rsidRPr="00DD6241" w14:paraId="52B6DFD9" w14:textId="77777777" w:rsidTr="007D353E">
        <w:trPr>
          <w:trHeight w:val="20"/>
        </w:trPr>
        <w:tc>
          <w:tcPr>
            <w:tcW w:w="0" w:type="auto"/>
            <w:tcBorders>
              <w:right w:val="nil"/>
            </w:tcBorders>
            <w:noWrap/>
          </w:tcPr>
          <w:p w14:paraId="5F4867BD"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77C0B35F"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36AE2B10" w14:textId="39E73BE9"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6B11DE" w:rsidRPr="00DD6241" w14:paraId="612E6643" w14:textId="77777777" w:rsidTr="007D353E">
        <w:trPr>
          <w:trHeight w:val="20"/>
        </w:trPr>
        <w:tc>
          <w:tcPr>
            <w:tcW w:w="0" w:type="auto"/>
            <w:tcBorders>
              <w:right w:val="nil"/>
            </w:tcBorders>
            <w:noWrap/>
            <w:hideMark/>
          </w:tcPr>
          <w:p w14:paraId="04437151"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tcBorders>
              <w:left w:val="nil"/>
            </w:tcBorders>
            <w:noWrap/>
            <w:hideMark/>
          </w:tcPr>
          <w:p w14:paraId="6C6105F5" w14:textId="491D79AC"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CE031F" w:rsidRPr="00DD6241" w14:paraId="7ACA4430" w14:textId="77777777" w:rsidTr="007D353E">
        <w:trPr>
          <w:trHeight w:val="20"/>
        </w:trPr>
        <w:tc>
          <w:tcPr>
            <w:tcW w:w="0" w:type="auto"/>
            <w:tcBorders>
              <w:right w:val="nil"/>
            </w:tcBorders>
            <w:noWrap/>
            <w:hideMark/>
          </w:tcPr>
          <w:p w14:paraId="4C1605A9"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tcBorders>
              <w:left w:val="nil"/>
            </w:tcBorders>
            <w:noWrap/>
            <w:hideMark/>
          </w:tcPr>
          <w:p w14:paraId="153A5B39" w14:textId="5ED227F7" w:rsidR="00CE031F" w:rsidRPr="00CE031F" w:rsidRDefault="00CE031F" w:rsidP="00CE031F">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Allemagne </w:t>
            </w:r>
          </w:p>
        </w:tc>
      </w:tr>
      <w:tr w:rsidR="006B11DE" w:rsidRPr="00DD6241" w14:paraId="16EF3127" w14:textId="77777777" w:rsidTr="007D353E">
        <w:trPr>
          <w:trHeight w:val="20"/>
        </w:trPr>
        <w:tc>
          <w:tcPr>
            <w:tcW w:w="0" w:type="auto"/>
            <w:tcBorders>
              <w:right w:val="nil"/>
            </w:tcBorders>
            <w:noWrap/>
            <w:hideMark/>
          </w:tcPr>
          <w:p w14:paraId="3CA6E544"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tcBorders>
            <w:noWrap/>
            <w:hideMark/>
          </w:tcPr>
          <w:p w14:paraId="69B6370B"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503" w:type="dxa"/>
            <w:gridSpan w:val="2"/>
            <w:noWrap/>
            <w:hideMark/>
          </w:tcPr>
          <w:p w14:paraId="2B131A93" w14:textId="56C773FB"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 xml:space="preserve">/retrait </w:t>
            </w:r>
            <w:r w:rsidRPr="00CE031F">
              <w:rPr>
                <w:rFonts w:ascii="Calibri" w:eastAsia="Times New Roman" w:hAnsi="Calibri" w:cs="Calibri"/>
                <w:bCs/>
                <w:sz w:val="12"/>
                <w:szCs w:val="12"/>
                <w:lang w:eastAsia="fr-FR"/>
              </w:rPr>
              <w:t>en France </w:t>
            </w:r>
          </w:p>
        </w:tc>
      </w:tr>
      <w:tr w:rsidR="006B11DE" w:rsidRPr="00DD6241" w14:paraId="5AFD76C1" w14:textId="77777777" w:rsidTr="007D353E">
        <w:trPr>
          <w:trHeight w:val="20"/>
        </w:trPr>
        <w:tc>
          <w:tcPr>
            <w:tcW w:w="0" w:type="auto"/>
            <w:tcBorders>
              <w:right w:val="nil"/>
            </w:tcBorders>
            <w:noWrap/>
            <w:hideMark/>
          </w:tcPr>
          <w:p w14:paraId="713D5E09"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bottom w:val="single" w:sz="4" w:space="0" w:color="auto"/>
            </w:tcBorders>
            <w:noWrap/>
            <w:hideMark/>
          </w:tcPr>
          <w:p w14:paraId="5A4D7A4D"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503" w:type="dxa"/>
            <w:gridSpan w:val="2"/>
            <w:noWrap/>
            <w:hideMark/>
          </w:tcPr>
          <w:p w14:paraId="331C2D2A" w14:textId="3FCD13E4"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CE031F" w:rsidRPr="00DD6241" w14:paraId="197C7165" w14:textId="77777777" w:rsidTr="00BE7679">
        <w:trPr>
          <w:trHeight w:val="20"/>
        </w:trPr>
        <w:tc>
          <w:tcPr>
            <w:tcW w:w="0" w:type="auto"/>
            <w:tcBorders>
              <w:right w:val="nil"/>
            </w:tcBorders>
            <w:noWrap/>
            <w:hideMark/>
          </w:tcPr>
          <w:p w14:paraId="48C1A36D"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right w:val="nil"/>
            </w:tcBorders>
            <w:noWrap/>
            <w:hideMark/>
          </w:tcPr>
          <w:p w14:paraId="47A77A38"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303" w:type="dxa"/>
            <w:tcBorders>
              <w:left w:val="nil"/>
            </w:tcBorders>
            <w:noWrap/>
          </w:tcPr>
          <w:p w14:paraId="3B7C44D3" w14:textId="35352F2A" w:rsidR="00CE031F" w:rsidRPr="00CE031F" w:rsidRDefault="00CE031F" w:rsidP="00CE031F">
            <w:pPr>
              <w:rPr>
                <w:rFonts w:ascii="Calibri" w:eastAsia="Times New Roman" w:hAnsi="Calibri" w:cs="Calibri"/>
                <w:bCs/>
                <w:sz w:val="12"/>
                <w:szCs w:val="12"/>
                <w:lang w:eastAsia="fr-FR"/>
              </w:rPr>
            </w:pPr>
          </w:p>
        </w:tc>
        <w:tc>
          <w:tcPr>
            <w:tcW w:w="4200" w:type="dxa"/>
          </w:tcPr>
          <w:p w14:paraId="0511DDF3" w14:textId="2C9BF9BB"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CE031F" w:rsidRPr="00DD6241" w14:paraId="51E3EE65" w14:textId="77777777" w:rsidTr="00BE7679">
        <w:trPr>
          <w:trHeight w:val="20"/>
        </w:trPr>
        <w:tc>
          <w:tcPr>
            <w:tcW w:w="0" w:type="auto"/>
            <w:tcBorders>
              <w:right w:val="nil"/>
            </w:tcBorders>
            <w:noWrap/>
            <w:hideMark/>
          </w:tcPr>
          <w:p w14:paraId="5616F96B"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right w:val="nil"/>
            </w:tcBorders>
            <w:noWrap/>
            <w:hideMark/>
          </w:tcPr>
          <w:p w14:paraId="4A6B73E2"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303" w:type="dxa"/>
            <w:tcBorders>
              <w:top w:val="single" w:sz="4" w:space="0" w:color="auto"/>
              <w:left w:val="nil"/>
              <w:bottom w:val="single" w:sz="4" w:space="0" w:color="auto"/>
              <w:right w:val="single" w:sz="4" w:space="0" w:color="auto"/>
            </w:tcBorders>
            <w:shd w:val="clear" w:color="auto" w:fill="auto"/>
            <w:noWrap/>
            <w:vAlign w:val="center"/>
          </w:tcPr>
          <w:p w14:paraId="667F5F60" w14:textId="545F3C84" w:rsidR="00CE031F" w:rsidRPr="00CE031F" w:rsidRDefault="00CE031F" w:rsidP="00CE031F">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A134FA9" w14:textId="76C84F00"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CE031F" w:rsidRPr="00DD6241" w14:paraId="0675CF83" w14:textId="77777777" w:rsidTr="00BE7679">
        <w:trPr>
          <w:trHeight w:val="20"/>
        </w:trPr>
        <w:tc>
          <w:tcPr>
            <w:tcW w:w="0" w:type="auto"/>
            <w:tcBorders>
              <w:right w:val="nil"/>
            </w:tcBorders>
            <w:noWrap/>
          </w:tcPr>
          <w:p w14:paraId="4F477B4D"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04522519"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5643D089" w14:textId="64A1811F"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65E7AD" w14:textId="7D8BAB8E"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CE031F" w:rsidRPr="00DD6241" w14:paraId="1CF9E41E" w14:textId="77777777" w:rsidTr="00BE7679">
        <w:trPr>
          <w:trHeight w:val="20"/>
        </w:trPr>
        <w:tc>
          <w:tcPr>
            <w:tcW w:w="0" w:type="auto"/>
            <w:tcBorders>
              <w:right w:val="nil"/>
            </w:tcBorders>
            <w:noWrap/>
          </w:tcPr>
          <w:p w14:paraId="70A68B23"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4034A08C"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27E2C5F0" w14:textId="22E3750E"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FFE4D0" w14:textId="724170D3"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CE031F" w:rsidRPr="00DD6241" w14:paraId="27F1584B" w14:textId="77777777" w:rsidTr="00BE7679">
        <w:trPr>
          <w:trHeight w:val="20"/>
        </w:trPr>
        <w:tc>
          <w:tcPr>
            <w:tcW w:w="0" w:type="auto"/>
            <w:tcBorders>
              <w:right w:val="nil"/>
            </w:tcBorders>
            <w:noWrap/>
          </w:tcPr>
          <w:p w14:paraId="659361D5"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621D19E5"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2DF38006" w14:textId="0B0E580E"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774727" w14:textId="539253CD"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CE031F" w:rsidRPr="00DD6241" w14:paraId="072DD066" w14:textId="77777777" w:rsidTr="00BE7679">
        <w:trPr>
          <w:trHeight w:val="20"/>
        </w:trPr>
        <w:tc>
          <w:tcPr>
            <w:tcW w:w="0" w:type="auto"/>
            <w:tcBorders>
              <w:right w:val="nil"/>
            </w:tcBorders>
            <w:noWrap/>
          </w:tcPr>
          <w:p w14:paraId="70D506C4"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37717F05"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6895E728" w14:textId="4054CCE1"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22B95D" w14:textId="2FA5B0C5"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CE031F" w:rsidRPr="00DD6241" w14:paraId="28AC7CA7" w14:textId="77777777" w:rsidTr="00BE7679">
        <w:trPr>
          <w:trHeight w:val="20"/>
        </w:trPr>
        <w:tc>
          <w:tcPr>
            <w:tcW w:w="0" w:type="auto"/>
            <w:tcBorders>
              <w:right w:val="nil"/>
            </w:tcBorders>
            <w:noWrap/>
          </w:tcPr>
          <w:p w14:paraId="03A08198"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3F9861F6"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F64BBD3" w14:textId="1044ABA2"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F2E79E" w14:textId="027B527B"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CE031F" w:rsidRPr="00DD6241" w14:paraId="6E890DC9" w14:textId="77777777" w:rsidTr="00BE7679">
        <w:trPr>
          <w:trHeight w:val="20"/>
        </w:trPr>
        <w:tc>
          <w:tcPr>
            <w:tcW w:w="0" w:type="auto"/>
            <w:tcBorders>
              <w:right w:val="nil"/>
            </w:tcBorders>
            <w:noWrap/>
          </w:tcPr>
          <w:p w14:paraId="7C36EDDA"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624FC692"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403FC7CF" w14:textId="35791BCD"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81AAFA" w14:textId="5017F526"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CE031F" w:rsidRPr="00DD6241" w14:paraId="27516713" w14:textId="77777777" w:rsidTr="00BE7679">
        <w:trPr>
          <w:trHeight w:val="20"/>
        </w:trPr>
        <w:tc>
          <w:tcPr>
            <w:tcW w:w="0" w:type="auto"/>
            <w:tcBorders>
              <w:right w:val="nil"/>
            </w:tcBorders>
            <w:noWrap/>
          </w:tcPr>
          <w:p w14:paraId="58F4156D"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26E6E4D2"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419CA4E" w14:textId="022C58EC"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E50730" w14:textId="4224A30D"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CE031F" w:rsidRPr="00DD6241" w14:paraId="106B4960" w14:textId="77777777" w:rsidTr="00BE7679">
        <w:trPr>
          <w:trHeight w:val="20"/>
        </w:trPr>
        <w:tc>
          <w:tcPr>
            <w:tcW w:w="0" w:type="auto"/>
            <w:tcBorders>
              <w:right w:val="nil"/>
            </w:tcBorders>
            <w:noWrap/>
          </w:tcPr>
          <w:p w14:paraId="78EC04F0"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11867582"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DABE280" w14:textId="7A5C1A3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56BBB0" w14:textId="128FF7F3"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CE031F" w:rsidRPr="00DD6241" w14:paraId="1384FFD3" w14:textId="77777777" w:rsidTr="00BE7679">
        <w:trPr>
          <w:trHeight w:val="20"/>
        </w:trPr>
        <w:tc>
          <w:tcPr>
            <w:tcW w:w="0" w:type="auto"/>
            <w:tcBorders>
              <w:right w:val="nil"/>
            </w:tcBorders>
            <w:noWrap/>
          </w:tcPr>
          <w:p w14:paraId="7EEA93DB"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08372A4E"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27D54486" w14:textId="3A66B0EF"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5E9B9F" w14:textId="3827F108"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CE031F" w:rsidRPr="00DD6241" w14:paraId="7ECCAB4A" w14:textId="77777777" w:rsidTr="00BE7679">
        <w:trPr>
          <w:trHeight w:val="20"/>
        </w:trPr>
        <w:tc>
          <w:tcPr>
            <w:tcW w:w="0" w:type="auto"/>
            <w:tcBorders>
              <w:right w:val="nil"/>
            </w:tcBorders>
            <w:noWrap/>
          </w:tcPr>
          <w:p w14:paraId="70570C0E"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56765D16"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9B7DC1D" w14:textId="109EA276"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DDF354" w14:textId="6F568BE2"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CE031F" w:rsidRPr="00DD6241" w14:paraId="673A9479" w14:textId="77777777" w:rsidTr="00BE7679">
        <w:trPr>
          <w:trHeight w:val="20"/>
        </w:trPr>
        <w:tc>
          <w:tcPr>
            <w:tcW w:w="0" w:type="auto"/>
            <w:tcBorders>
              <w:right w:val="nil"/>
            </w:tcBorders>
            <w:noWrap/>
          </w:tcPr>
          <w:p w14:paraId="0CD4248E"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418B1A00"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4CDA117" w14:textId="30CB2FFB"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71579B" w14:textId="66413DFB"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CE031F" w:rsidRPr="00DD6241" w14:paraId="53CA175C" w14:textId="77777777" w:rsidTr="00BE7679">
        <w:trPr>
          <w:trHeight w:val="20"/>
        </w:trPr>
        <w:tc>
          <w:tcPr>
            <w:tcW w:w="0" w:type="auto"/>
            <w:tcBorders>
              <w:right w:val="nil"/>
            </w:tcBorders>
            <w:noWrap/>
          </w:tcPr>
          <w:p w14:paraId="4D5EC484"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47A5DEA2"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41B6FE43" w14:textId="7DFC82FA"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5ACF28" w14:textId="6FF3C123"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CE031F" w:rsidRPr="00DD6241" w14:paraId="7AC16B4B" w14:textId="77777777" w:rsidTr="00BE7679">
        <w:trPr>
          <w:trHeight w:val="20"/>
        </w:trPr>
        <w:tc>
          <w:tcPr>
            <w:tcW w:w="0" w:type="auto"/>
            <w:tcBorders>
              <w:right w:val="nil"/>
            </w:tcBorders>
            <w:noWrap/>
          </w:tcPr>
          <w:p w14:paraId="0AEEF87F"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0CBFCBF9"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237555A2" w14:textId="5B39A602"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00CCE6" w14:textId="75455EB0"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CE031F" w:rsidRPr="00DD6241" w14:paraId="2557869B" w14:textId="77777777" w:rsidTr="00BE7679">
        <w:trPr>
          <w:trHeight w:val="20"/>
        </w:trPr>
        <w:tc>
          <w:tcPr>
            <w:tcW w:w="0" w:type="auto"/>
            <w:tcBorders>
              <w:right w:val="nil"/>
            </w:tcBorders>
            <w:noWrap/>
          </w:tcPr>
          <w:p w14:paraId="693E10FB"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0D1E6D64"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456E185E" w14:textId="4DA277DD"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5740A3" w14:textId="014E7343"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CE031F" w:rsidRPr="00DD6241" w14:paraId="016DAB26" w14:textId="77777777" w:rsidTr="00BE7679">
        <w:trPr>
          <w:trHeight w:val="20"/>
        </w:trPr>
        <w:tc>
          <w:tcPr>
            <w:tcW w:w="0" w:type="auto"/>
            <w:tcBorders>
              <w:right w:val="nil"/>
            </w:tcBorders>
            <w:noWrap/>
          </w:tcPr>
          <w:p w14:paraId="17BE2035"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73E65908"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4CFFDF3F" w14:textId="6CDD2AA8"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F2888E" w14:textId="39A8856A"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CE031F" w:rsidRPr="00DD6241" w14:paraId="219EBBF3" w14:textId="77777777" w:rsidTr="00BE7679">
        <w:trPr>
          <w:trHeight w:val="20"/>
        </w:trPr>
        <w:tc>
          <w:tcPr>
            <w:tcW w:w="0" w:type="auto"/>
            <w:tcBorders>
              <w:right w:val="nil"/>
            </w:tcBorders>
            <w:noWrap/>
          </w:tcPr>
          <w:p w14:paraId="674B7212"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54640F41"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A599834" w14:textId="7BBA52E8"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AA1971" w14:textId="11131691"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CE031F" w:rsidRPr="00DD6241" w14:paraId="523117AF" w14:textId="77777777" w:rsidTr="00BE7679">
        <w:trPr>
          <w:trHeight w:val="20"/>
        </w:trPr>
        <w:tc>
          <w:tcPr>
            <w:tcW w:w="0" w:type="auto"/>
            <w:tcBorders>
              <w:right w:val="nil"/>
            </w:tcBorders>
            <w:noWrap/>
          </w:tcPr>
          <w:p w14:paraId="619D2015"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63E4B86B"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40A95EE9" w14:textId="360B936E"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83C533" w14:textId="24557C90"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CE031F" w:rsidRPr="00DD6241" w14:paraId="420E0E66" w14:textId="77777777" w:rsidTr="00BE7679">
        <w:trPr>
          <w:trHeight w:val="20"/>
        </w:trPr>
        <w:tc>
          <w:tcPr>
            <w:tcW w:w="0" w:type="auto"/>
            <w:tcBorders>
              <w:right w:val="nil"/>
            </w:tcBorders>
            <w:noWrap/>
          </w:tcPr>
          <w:p w14:paraId="40666C77"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345BED8B"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6E585385" w14:textId="7523B441"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B4BEF1" w14:textId="7E986984"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CE031F" w:rsidRPr="00DD6241" w14:paraId="4DD2621A" w14:textId="77777777" w:rsidTr="00BE7679">
        <w:trPr>
          <w:trHeight w:val="20"/>
        </w:trPr>
        <w:tc>
          <w:tcPr>
            <w:tcW w:w="0" w:type="auto"/>
            <w:tcBorders>
              <w:right w:val="nil"/>
            </w:tcBorders>
            <w:noWrap/>
          </w:tcPr>
          <w:p w14:paraId="304B39A5"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50EF3992"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C9EB32D" w14:textId="75C724E2"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806C96" w14:textId="3814D88D"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CE031F" w:rsidRPr="00DD6241" w14:paraId="14C74480" w14:textId="77777777" w:rsidTr="00BE7679">
        <w:trPr>
          <w:trHeight w:val="20"/>
        </w:trPr>
        <w:tc>
          <w:tcPr>
            <w:tcW w:w="0" w:type="auto"/>
            <w:tcBorders>
              <w:right w:val="nil"/>
            </w:tcBorders>
            <w:noWrap/>
          </w:tcPr>
          <w:p w14:paraId="1B0A4E59"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756C6A12"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261480C6" w14:textId="73DEFB4B"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2E2827" w14:textId="12C46CC5"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CE031F" w:rsidRPr="00DD6241" w14:paraId="50873FFD" w14:textId="77777777" w:rsidTr="00BE7679">
        <w:trPr>
          <w:trHeight w:val="20"/>
        </w:trPr>
        <w:tc>
          <w:tcPr>
            <w:tcW w:w="0" w:type="auto"/>
            <w:tcBorders>
              <w:right w:val="nil"/>
            </w:tcBorders>
            <w:noWrap/>
          </w:tcPr>
          <w:p w14:paraId="3B9B9E4B"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5C147B23"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0AD37668" w14:textId="4C5B5C90"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C4CA07" w14:textId="148D895A"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CE031F" w:rsidRPr="00DD6241" w14:paraId="53CA7B3F" w14:textId="77777777" w:rsidTr="00BE7679">
        <w:trPr>
          <w:trHeight w:val="20"/>
        </w:trPr>
        <w:tc>
          <w:tcPr>
            <w:tcW w:w="0" w:type="auto"/>
            <w:tcBorders>
              <w:right w:val="nil"/>
            </w:tcBorders>
            <w:noWrap/>
          </w:tcPr>
          <w:p w14:paraId="6FAEB7C1"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1CCC6811"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3D0219E" w14:textId="67FAE4F0"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C11EE1" w14:textId="14DAF5A0"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CE031F" w:rsidRPr="00DD6241" w14:paraId="6005B39B" w14:textId="77777777" w:rsidTr="00BE7679">
        <w:trPr>
          <w:trHeight w:val="20"/>
        </w:trPr>
        <w:tc>
          <w:tcPr>
            <w:tcW w:w="0" w:type="auto"/>
            <w:tcBorders>
              <w:right w:val="nil"/>
            </w:tcBorders>
            <w:noWrap/>
          </w:tcPr>
          <w:p w14:paraId="19E7141A"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50FAF8B8"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08675E80" w14:textId="1F2DC938"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248B6D" w14:textId="2F0DA9E2"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CE031F" w:rsidRPr="00DD6241" w14:paraId="1D80D4AC" w14:textId="77777777" w:rsidTr="00BE7679">
        <w:trPr>
          <w:trHeight w:val="20"/>
        </w:trPr>
        <w:tc>
          <w:tcPr>
            <w:tcW w:w="0" w:type="auto"/>
            <w:tcBorders>
              <w:right w:val="nil"/>
            </w:tcBorders>
            <w:noWrap/>
          </w:tcPr>
          <w:p w14:paraId="55C8276F"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7A9DBD44"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336AA39" w14:textId="3A8D30C0"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72C1C8" w14:textId="3A3B03C4"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CE031F" w:rsidRPr="00DD6241" w14:paraId="6969A026" w14:textId="77777777" w:rsidTr="00BE7679">
        <w:trPr>
          <w:trHeight w:val="20"/>
        </w:trPr>
        <w:tc>
          <w:tcPr>
            <w:tcW w:w="0" w:type="auto"/>
            <w:tcBorders>
              <w:right w:val="nil"/>
            </w:tcBorders>
            <w:noWrap/>
          </w:tcPr>
          <w:p w14:paraId="726B9B1B"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252A45BC"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6144ECB7" w14:textId="5594138F"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C1F890" w14:textId="050C46AE"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CE031F" w:rsidRPr="00DD6241" w14:paraId="20D87295" w14:textId="77777777" w:rsidTr="00BE7679">
        <w:trPr>
          <w:trHeight w:val="20"/>
        </w:trPr>
        <w:tc>
          <w:tcPr>
            <w:tcW w:w="0" w:type="auto"/>
            <w:tcBorders>
              <w:right w:val="nil"/>
            </w:tcBorders>
            <w:noWrap/>
          </w:tcPr>
          <w:p w14:paraId="1431CAF7"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5544348E"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92F8F93" w14:textId="2CBF3EAD"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A108B9" w14:textId="430037D5"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CE031F" w:rsidRPr="00DD6241" w14:paraId="251386CD" w14:textId="77777777" w:rsidTr="00BE7679">
        <w:trPr>
          <w:trHeight w:val="20"/>
        </w:trPr>
        <w:tc>
          <w:tcPr>
            <w:tcW w:w="0" w:type="auto"/>
            <w:tcBorders>
              <w:right w:val="nil"/>
            </w:tcBorders>
            <w:noWrap/>
          </w:tcPr>
          <w:p w14:paraId="2AB07BA6"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4F8447A6"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0AC7C8E9" w14:textId="3FD431A3"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0BD9BED" w14:textId="7A6AD02D"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CE031F" w:rsidRPr="00DD6241" w14:paraId="1E4601DF" w14:textId="77777777" w:rsidTr="00BE7679">
        <w:trPr>
          <w:trHeight w:val="20"/>
        </w:trPr>
        <w:tc>
          <w:tcPr>
            <w:tcW w:w="0" w:type="auto"/>
            <w:tcBorders>
              <w:right w:val="nil"/>
            </w:tcBorders>
            <w:noWrap/>
            <w:hideMark/>
          </w:tcPr>
          <w:p w14:paraId="303D7707"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right w:val="nil"/>
            </w:tcBorders>
            <w:noWrap/>
            <w:hideMark/>
          </w:tcPr>
          <w:p w14:paraId="410C1552"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303" w:type="dxa"/>
            <w:tcBorders>
              <w:left w:val="nil"/>
            </w:tcBorders>
            <w:noWrap/>
          </w:tcPr>
          <w:p w14:paraId="5C6BAB3A" w14:textId="56276088" w:rsidR="00CE031F" w:rsidRPr="00CE031F" w:rsidRDefault="00CE031F" w:rsidP="00CE031F">
            <w:pPr>
              <w:rPr>
                <w:rFonts w:ascii="Calibri" w:eastAsia="Times New Roman" w:hAnsi="Calibri" w:cs="Calibri"/>
                <w:bCs/>
                <w:sz w:val="12"/>
                <w:szCs w:val="12"/>
                <w:lang w:eastAsia="fr-FR"/>
              </w:rPr>
            </w:pPr>
          </w:p>
        </w:tc>
        <w:tc>
          <w:tcPr>
            <w:tcW w:w="4200" w:type="dxa"/>
          </w:tcPr>
          <w:p w14:paraId="54D5846C" w14:textId="05ECEBA2"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CE031F" w:rsidRPr="00DD6241" w14:paraId="27C25780" w14:textId="77777777" w:rsidTr="00160BA5">
        <w:trPr>
          <w:trHeight w:val="20"/>
        </w:trPr>
        <w:tc>
          <w:tcPr>
            <w:tcW w:w="0" w:type="auto"/>
            <w:noWrap/>
            <w:hideMark/>
          </w:tcPr>
          <w:p w14:paraId="7EC28B4B"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C6347B3" w14:textId="7FB71AE0" w:rsidR="00CE031F" w:rsidRPr="00CE031F" w:rsidRDefault="00CE031F"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sidR="00160BA5">
              <w:rPr>
                <w:rFonts w:ascii="Calibri" w:eastAsia="Times New Roman" w:hAnsi="Calibri" w:cs="Calibri"/>
                <w:b/>
                <w:bCs/>
                <w:sz w:val="12"/>
                <w:szCs w:val="12"/>
                <w:lang w:eastAsia="fr-FR"/>
              </w:rPr>
              <w:t>Autriche</w:t>
            </w:r>
          </w:p>
        </w:tc>
      </w:tr>
      <w:tr w:rsidR="00160BA5" w:rsidRPr="00CE031F" w14:paraId="1715BED9" w14:textId="77777777" w:rsidTr="00160BA5">
        <w:trPr>
          <w:trHeight w:val="20"/>
        </w:trPr>
        <w:tc>
          <w:tcPr>
            <w:tcW w:w="300" w:type="dxa"/>
            <w:noWrap/>
            <w:hideMark/>
          </w:tcPr>
          <w:p w14:paraId="7ACA3D59" w14:textId="77777777" w:rsidR="00160BA5" w:rsidRPr="00CE031F" w:rsidRDefault="00160BA5" w:rsidP="00160BA5">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C0E5037" w14:textId="1729AB77" w:rsidR="00160BA5" w:rsidRPr="00CE031F" w:rsidRDefault="00160BA5" w:rsidP="00160BA5">
            <w:pPr>
              <w:rPr>
                <w:rFonts w:ascii="Calibri" w:eastAsia="Times New Roman" w:hAnsi="Calibri" w:cs="Calibri"/>
                <w:bCs/>
                <w:sz w:val="12"/>
                <w:szCs w:val="12"/>
                <w:lang w:eastAsia="fr-FR"/>
              </w:rPr>
            </w:pPr>
          </w:p>
        </w:tc>
        <w:tc>
          <w:tcPr>
            <w:tcW w:w="4503" w:type="dxa"/>
            <w:gridSpan w:val="2"/>
          </w:tcPr>
          <w:p w14:paraId="3BA07E30" w14:textId="439E9BA2" w:rsidR="00160BA5" w:rsidRPr="00CE031F" w:rsidRDefault="00160BA5" w:rsidP="00160BA5">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7B49B81A" w14:textId="77777777" w:rsidTr="00160BA5">
        <w:trPr>
          <w:trHeight w:val="20"/>
        </w:trPr>
        <w:tc>
          <w:tcPr>
            <w:tcW w:w="300" w:type="dxa"/>
            <w:noWrap/>
            <w:hideMark/>
          </w:tcPr>
          <w:p w14:paraId="38474248" w14:textId="77777777" w:rsidR="00160BA5" w:rsidRPr="00CE031F" w:rsidRDefault="00160BA5" w:rsidP="00160BA5">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4BD67C23" w14:textId="34A3BE30" w:rsidR="00160BA5" w:rsidRPr="00CE031F" w:rsidRDefault="00160BA5" w:rsidP="00160BA5">
            <w:pPr>
              <w:rPr>
                <w:rFonts w:ascii="Calibri" w:eastAsia="Times New Roman" w:hAnsi="Calibri" w:cs="Calibri"/>
                <w:bCs/>
                <w:sz w:val="12"/>
                <w:szCs w:val="12"/>
                <w:lang w:eastAsia="fr-FR"/>
              </w:rPr>
            </w:pPr>
          </w:p>
        </w:tc>
        <w:tc>
          <w:tcPr>
            <w:tcW w:w="4503" w:type="dxa"/>
            <w:gridSpan w:val="2"/>
          </w:tcPr>
          <w:p w14:paraId="20C68785" w14:textId="78019CB2" w:rsidR="00160BA5" w:rsidRPr="00CE031F" w:rsidRDefault="00160BA5" w:rsidP="00160BA5">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CE031F" w:rsidRPr="00CE031F" w14:paraId="4A058009" w14:textId="77777777" w:rsidTr="00160BA5">
        <w:trPr>
          <w:trHeight w:val="20"/>
        </w:trPr>
        <w:tc>
          <w:tcPr>
            <w:tcW w:w="300" w:type="dxa"/>
            <w:noWrap/>
            <w:hideMark/>
          </w:tcPr>
          <w:p w14:paraId="5628C5E4"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53C8CD3" w14:textId="77777777" w:rsidR="00CE031F" w:rsidRPr="00CE031F" w:rsidRDefault="00CE031F" w:rsidP="00CE031F">
            <w:pPr>
              <w:rPr>
                <w:rFonts w:ascii="Calibri" w:eastAsia="Times New Roman" w:hAnsi="Calibri" w:cs="Calibri"/>
                <w:bCs/>
                <w:sz w:val="12"/>
                <w:szCs w:val="12"/>
                <w:lang w:eastAsia="fr-FR"/>
              </w:rPr>
            </w:pPr>
          </w:p>
        </w:tc>
        <w:tc>
          <w:tcPr>
            <w:tcW w:w="4200" w:type="dxa"/>
          </w:tcPr>
          <w:p w14:paraId="2EF3620E"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CE031F" w:rsidRPr="00CE031F" w14:paraId="229F03B9" w14:textId="77777777" w:rsidTr="00160BA5">
        <w:trPr>
          <w:trHeight w:val="20"/>
        </w:trPr>
        <w:tc>
          <w:tcPr>
            <w:tcW w:w="300" w:type="dxa"/>
            <w:noWrap/>
            <w:hideMark/>
          </w:tcPr>
          <w:p w14:paraId="500DC803"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BF06C3"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2A73415B"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CE031F" w:rsidRPr="00CE031F" w14:paraId="7D6AF83F" w14:textId="77777777" w:rsidTr="00160BA5">
        <w:trPr>
          <w:trHeight w:val="20"/>
        </w:trPr>
        <w:tc>
          <w:tcPr>
            <w:tcW w:w="300" w:type="dxa"/>
            <w:noWrap/>
          </w:tcPr>
          <w:p w14:paraId="495E8482"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0E40D3"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D9B113"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CE031F" w:rsidRPr="00CE031F" w14:paraId="7E0D3DB1" w14:textId="77777777" w:rsidTr="00160BA5">
        <w:trPr>
          <w:trHeight w:val="20"/>
        </w:trPr>
        <w:tc>
          <w:tcPr>
            <w:tcW w:w="300" w:type="dxa"/>
            <w:noWrap/>
          </w:tcPr>
          <w:p w14:paraId="0BC27AA2"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E74223"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E115C7"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CE031F" w:rsidRPr="00CE031F" w14:paraId="730BA771" w14:textId="77777777" w:rsidTr="00160BA5">
        <w:trPr>
          <w:trHeight w:val="20"/>
        </w:trPr>
        <w:tc>
          <w:tcPr>
            <w:tcW w:w="300" w:type="dxa"/>
            <w:noWrap/>
          </w:tcPr>
          <w:p w14:paraId="5D04BDAA"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ED0118"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4FC37F"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CE031F" w:rsidRPr="00CE031F" w14:paraId="418E0C74" w14:textId="77777777" w:rsidTr="00160BA5">
        <w:trPr>
          <w:trHeight w:val="20"/>
        </w:trPr>
        <w:tc>
          <w:tcPr>
            <w:tcW w:w="300" w:type="dxa"/>
            <w:noWrap/>
          </w:tcPr>
          <w:p w14:paraId="21237EC2"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C290BF"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37D909"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CE031F" w:rsidRPr="00CE031F" w14:paraId="7C7D086B" w14:textId="77777777" w:rsidTr="00160BA5">
        <w:trPr>
          <w:trHeight w:val="20"/>
        </w:trPr>
        <w:tc>
          <w:tcPr>
            <w:tcW w:w="300" w:type="dxa"/>
            <w:noWrap/>
          </w:tcPr>
          <w:p w14:paraId="0180A459"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2D9484"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A76FE8"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CE031F" w:rsidRPr="00CE031F" w14:paraId="1E64AFA8" w14:textId="77777777" w:rsidTr="00160BA5">
        <w:trPr>
          <w:trHeight w:val="20"/>
        </w:trPr>
        <w:tc>
          <w:tcPr>
            <w:tcW w:w="300" w:type="dxa"/>
            <w:noWrap/>
          </w:tcPr>
          <w:p w14:paraId="63B8FBB6"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9D6549"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437824"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CE031F" w:rsidRPr="00CE031F" w14:paraId="4CC77C33" w14:textId="77777777" w:rsidTr="00160BA5">
        <w:trPr>
          <w:trHeight w:val="20"/>
        </w:trPr>
        <w:tc>
          <w:tcPr>
            <w:tcW w:w="300" w:type="dxa"/>
            <w:noWrap/>
          </w:tcPr>
          <w:p w14:paraId="17B38AD0"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E10BAD"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89DBF1"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CE031F" w:rsidRPr="00CE031F" w14:paraId="6F58D827" w14:textId="77777777" w:rsidTr="00160BA5">
        <w:trPr>
          <w:trHeight w:val="20"/>
        </w:trPr>
        <w:tc>
          <w:tcPr>
            <w:tcW w:w="300" w:type="dxa"/>
            <w:noWrap/>
          </w:tcPr>
          <w:p w14:paraId="1BF48D97"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E8A443"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F25FFA"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CE031F" w:rsidRPr="00CE031F" w14:paraId="65E74EE7" w14:textId="77777777" w:rsidTr="00160BA5">
        <w:trPr>
          <w:trHeight w:val="20"/>
        </w:trPr>
        <w:tc>
          <w:tcPr>
            <w:tcW w:w="300" w:type="dxa"/>
            <w:noWrap/>
          </w:tcPr>
          <w:p w14:paraId="3E694462"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7132F3"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CBC7BD3"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CE031F" w:rsidRPr="00CE031F" w14:paraId="737612DC" w14:textId="77777777" w:rsidTr="00160BA5">
        <w:trPr>
          <w:trHeight w:val="20"/>
        </w:trPr>
        <w:tc>
          <w:tcPr>
            <w:tcW w:w="300" w:type="dxa"/>
            <w:noWrap/>
          </w:tcPr>
          <w:p w14:paraId="75CADA7E"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2D072B"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78A59C"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CE031F" w:rsidRPr="00CE031F" w14:paraId="58FEEF7F" w14:textId="77777777" w:rsidTr="00160BA5">
        <w:trPr>
          <w:trHeight w:val="20"/>
        </w:trPr>
        <w:tc>
          <w:tcPr>
            <w:tcW w:w="300" w:type="dxa"/>
            <w:noWrap/>
          </w:tcPr>
          <w:p w14:paraId="13BE73D1"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C6DD000"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D156E1"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CE031F" w:rsidRPr="00CE031F" w14:paraId="755305EB" w14:textId="77777777" w:rsidTr="00160BA5">
        <w:trPr>
          <w:trHeight w:val="20"/>
        </w:trPr>
        <w:tc>
          <w:tcPr>
            <w:tcW w:w="300" w:type="dxa"/>
            <w:noWrap/>
          </w:tcPr>
          <w:p w14:paraId="4736BB6B"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C0E15F"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92C9C3"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CE031F" w:rsidRPr="00CE031F" w14:paraId="3FD0AD31" w14:textId="77777777" w:rsidTr="00160BA5">
        <w:trPr>
          <w:trHeight w:val="20"/>
        </w:trPr>
        <w:tc>
          <w:tcPr>
            <w:tcW w:w="300" w:type="dxa"/>
            <w:noWrap/>
          </w:tcPr>
          <w:p w14:paraId="0D16FE89"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2F927B"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1341D1"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CE031F" w:rsidRPr="00CE031F" w14:paraId="0DD97AED" w14:textId="77777777" w:rsidTr="00160BA5">
        <w:trPr>
          <w:trHeight w:val="20"/>
        </w:trPr>
        <w:tc>
          <w:tcPr>
            <w:tcW w:w="300" w:type="dxa"/>
            <w:noWrap/>
          </w:tcPr>
          <w:p w14:paraId="43910878"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FEAB00"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F2FCD0"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CE031F" w:rsidRPr="00CE031F" w14:paraId="3C5AF1F6" w14:textId="77777777" w:rsidTr="00160BA5">
        <w:trPr>
          <w:trHeight w:val="20"/>
        </w:trPr>
        <w:tc>
          <w:tcPr>
            <w:tcW w:w="300" w:type="dxa"/>
            <w:noWrap/>
          </w:tcPr>
          <w:p w14:paraId="6B4D94E3"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A55AA8C"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7C8DDB"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CE031F" w:rsidRPr="00CE031F" w14:paraId="77E615C2" w14:textId="77777777" w:rsidTr="00160BA5">
        <w:trPr>
          <w:trHeight w:val="20"/>
        </w:trPr>
        <w:tc>
          <w:tcPr>
            <w:tcW w:w="300" w:type="dxa"/>
            <w:noWrap/>
          </w:tcPr>
          <w:p w14:paraId="08013753"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B40D2C"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6A164B"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CE031F" w:rsidRPr="00CE031F" w14:paraId="7D555BDE" w14:textId="77777777" w:rsidTr="00160BA5">
        <w:trPr>
          <w:trHeight w:val="20"/>
        </w:trPr>
        <w:tc>
          <w:tcPr>
            <w:tcW w:w="300" w:type="dxa"/>
            <w:noWrap/>
          </w:tcPr>
          <w:p w14:paraId="50DD9D80"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0F0123D"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F886B9"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CE031F" w:rsidRPr="00CE031F" w14:paraId="3E1A25B0" w14:textId="77777777" w:rsidTr="00160BA5">
        <w:trPr>
          <w:trHeight w:val="20"/>
        </w:trPr>
        <w:tc>
          <w:tcPr>
            <w:tcW w:w="300" w:type="dxa"/>
            <w:noWrap/>
          </w:tcPr>
          <w:p w14:paraId="4EB24CCF"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39701A"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8E5330"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CE031F" w:rsidRPr="00CE031F" w14:paraId="18C495AD" w14:textId="77777777" w:rsidTr="00160BA5">
        <w:trPr>
          <w:trHeight w:val="20"/>
        </w:trPr>
        <w:tc>
          <w:tcPr>
            <w:tcW w:w="300" w:type="dxa"/>
            <w:noWrap/>
          </w:tcPr>
          <w:p w14:paraId="0C24B532"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47F3FC"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680CED"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CE031F" w:rsidRPr="00CE031F" w14:paraId="2DA87D0B" w14:textId="77777777" w:rsidTr="00160BA5">
        <w:trPr>
          <w:trHeight w:val="20"/>
        </w:trPr>
        <w:tc>
          <w:tcPr>
            <w:tcW w:w="300" w:type="dxa"/>
            <w:noWrap/>
          </w:tcPr>
          <w:p w14:paraId="48AEBC74"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80873A"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D0BB26"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CE031F" w:rsidRPr="00CE031F" w14:paraId="2373BE37" w14:textId="77777777" w:rsidTr="00160BA5">
        <w:trPr>
          <w:trHeight w:val="20"/>
        </w:trPr>
        <w:tc>
          <w:tcPr>
            <w:tcW w:w="300" w:type="dxa"/>
            <w:noWrap/>
          </w:tcPr>
          <w:p w14:paraId="33D1D97A"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90E5EE"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D18F50"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CE031F" w:rsidRPr="00CE031F" w14:paraId="7674D7B9" w14:textId="77777777" w:rsidTr="00160BA5">
        <w:trPr>
          <w:trHeight w:val="20"/>
        </w:trPr>
        <w:tc>
          <w:tcPr>
            <w:tcW w:w="300" w:type="dxa"/>
            <w:noWrap/>
          </w:tcPr>
          <w:p w14:paraId="2A5508C4"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3E174E"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810C57B"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CE031F" w:rsidRPr="00CE031F" w14:paraId="1A7A51E5" w14:textId="77777777" w:rsidTr="00160BA5">
        <w:trPr>
          <w:trHeight w:val="20"/>
        </w:trPr>
        <w:tc>
          <w:tcPr>
            <w:tcW w:w="300" w:type="dxa"/>
            <w:noWrap/>
          </w:tcPr>
          <w:p w14:paraId="7B84BE74"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8B57DC"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B6662B"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CE031F" w:rsidRPr="00CE031F" w14:paraId="5480D9D7" w14:textId="77777777" w:rsidTr="00160BA5">
        <w:trPr>
          <w:trHeight w:val="20"/>
        </w:trPr>
        <w:tc>
          <w:tcPr>
            <w:tcW w:w="300" w:type="dxa"/>
            <w:noWrap/>
          </w:tcPr>
          <w:p w14:paraId="61A48299"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332190"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9B866C"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CE031F" w:rsidRPr="00CE031F" w14:paraId="1E7BA54C" w14:textId="77777777" w:rsidTr="00160BA5">
        <w:trPr>
          <w:trHeight w:val="20"/>
        </w:trPr>
        <w:tc>
          <w:tcPr>
            <w:tcW w:w="300" w:type="dxa"/>
            <w:noWrap/>
          </w:tcPr>
          <w:p w14:paraId="6E31E991"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DA3F10"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B20521"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CE031F" w:rsidRPr="00CE031F" w14:paraId="10D7B47A" w14:textId="77777777" w:rsidTr="00160BA5">
        <w:trPr>
          <w:trHeight w:val="20"/>
        </w:trPr>
        <w:tc>
          <w:tcPr>
            <w:tcW w:w="300" w:type="dxa"/>
            <w:noWrap/>
          </w:tcPr>
          <w:p w14:paraId="08811414"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EBF0F8"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8852A8"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CE031F" w:rsidRPr="00CE031F" w14:paraId="58D0B4E8" w14:textId="77777777" w:rsidTr="00160BA5">
        <w:trPr>
          <w:trHeight w:val="20"/>
        </w:trPr>
        <w:tc>
          <w:tcPr>
            <w:tcW w:w="300" w:type="dxa"/>
            <w:noWrap/>
          </w:tcPr>
          <w:p w14:paraId="3E335DB3"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9E6A67"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64CB1B"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CE031F" w:rsidRPr="00CE031F" w14:paraId="52A32AF3" w14:textId="77777777" w:rsidTr="00160BA5">
        <w:trPr>
          <w:trHeight w:val="20"/>
        </w:trPr>
        <w:tc>
          <w:tcPr>
            <w:tcW w:w="300" w:type="dxa"/>
            <w:noWrap/>
            <w:hideMark/>
          </w:tcPr>
          <w:p w14:paraId="3CF10162"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4CEDDFA" w14:textId="77777777" w:rsidR="00CE031F" w:rsidRPr="00CE031F" w:rsidRDefault="00CE031F" w:rsidP="00CE031F">
            <w:pPr>
              <w:rPr>
                <w:rFonts w:ascii="Calibri" w:eastAsia="Times New Roman" w:hAnsi="Calibri" w:cs="Calibri"/>
                <w:bCs/>
                <w:sz w:val="12"/>
                <w:szCs w:val="12"/>
                <w:lang w:eastAsia="fr-FR"/>
              </w:rPr>
            </w:pPr>
          </w:p>
        </w:tc>
        <w:tc>
          <w:tcPr>
            <w:tcW w:w="4200" w:type="dxa"/>
          </w:tcPr>
          <w:p w14:paraId="0F267D57"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7BB68E94" w14:textId="77777777" w:rsidTr="00465739">
        <w:trPr>
          <w:trHeight w:val="20"/>
        </w:trPr>
        <w:tc>
          <w:tcPr>
            <w:tcW w:w="0" w:type="auto"/>
            <w:noWrap/>
            <w:hideMark/>
          </w:tcPr>
          <w:p w14:paraId="5DAB3ED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0D972D6E" w14:textId="7B4E1566"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Belgique</w:t>
            </w:r>
          </w:p>
        </w:tc>
      </w:tr>
      <w:tr w:rsidR="00160BA5" w:rsidRPr="00CE031F" w14:paraId="76C3BE64" w14:textId="77777777" w:rsidTr="00465739">
        <w:trPr>
          <w:trHeight w:val="20"/>
        </w:trPr>
        <w:tc>
          <w:tcPr>
            <w:tcW w:w="300" w:type="dxa"/>
            <w:noWrap/>
            <w:hideMark/>
          </w:tcPr>
          <w:p w14:paraId="2588B7C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8FE47D9"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1E17166B" w14:textId="0C86DCF9"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0BA6AE4A" w14:textId="77777777" w:rsidTr="00465739">
        <w:trPr>
          <w:trHeight w:val="20"/>
        </w:trPr>
        <w:tc>
          <w:tcPr>
            <w:tcW w:w="300" w:type="dxa"/>
            <w:noWrap/>
            <w:hideMark/>
          </w:tcPr>
          <w:p w14:paraId="4E6BF30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E56E7DA"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709524B" w14:textId="152D005D"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77E787A0" w14:textId="77777777" w:rsidTr="00465739">
        <w:trPr>
          <w:trHeight w:val="20"/>
        </w:trPr>
        <w:tc>
          <w:tcPr>
            <w:tcW w:w="300" w:type="dxa"/>
            <w:noWrap/>
            <w:hideMark/>
          </w:tcPr>
          <w:p w14:paraId="1478F25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EF61346"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414E678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5E54CADA" w14:textId="77777777" w:rsidTr="00465739">
        <w:trPr>
          <w:trHeight w:val="20"/>
        </w:trPr>
        <w:tc>
          <w:tcPr>
            <w:tcW w:w="300" w:type="dxa"/>
            <w:noWrap/>
            <w:hideMark/>
          </w:tcPr>
          <w:p w14:paraId="084B0B8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06CE9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A30D47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18FDFA19" w14:textId="77777777" w:rsidTr="00465739">
        <w:trPr>
          <w:trHeight w:val="20"/>
        </w:trPr>
        <w:tc>
          <w:tcPr>
            <w:tcW w:w="300" w:type="dxa"/>
            <w:noWrap/>
          </w:tcPr>
          <w:p w14:paraId="75F6E84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3AF3B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A5A02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726DA6BE" w14:textId="77777777" w:rsidTr="00465739">
        <w:trPr>
          <w:trHeight w:val="20"/>
        </w:trPr>
        <w:tc>
          <w:tcPr>
            <w:tcW w:w="300" w:type="dxa"/>
            <w:noWrap/>
          </w:tcPr>
          <w:p w14:paraId="6270433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CF35F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55821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67FD0F48" w14:textId="77777777" w:rsidTr="00465739">
        <w:trPr>
          <w:trHeight w:val="20"/>
        </w:trPr>
        <w:tc>
          <w:tcPr>
            <w:tcW w:w="300" w:type="dxa"/>
            <w:noWrap/>
          </w:tcPr>
          <w:p w14:paraId="73A2ABC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A5BD2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56476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6BDCF41C" w14:textId="77777777" w:rsidTr="00465739">
        <w:trPr>
          <w:trHeight w:val="20"/>
        </w:trPr>
        <w:tc>
          <w:tcPr>
            <w:tcW w:w="300" w:type="dxa"/>
            <w:noWrap/>
          </w:tcPr>
          <w:p w14:paraId="72401C1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0827D8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15FEC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46079FCC" w14:textId="77777777" w:rsidTr="00465739">
        <w:trPr>
          <w:trHeight w:val="20"/>
        </w:trPr>
        <w:tc>
          <w:tcPr>
            <w:tcW w:w="300" w:type="dxa"/>
            <w:noWrap/>
          </w:tcPr>
          <w:p w14:paraId="168DB6C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A8E93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07104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47F815E3" w14:textId="77777777" w:rsidTr="00465739">
        <w:trPr>
          <w:trHeight w:val="20"/>
        </w:trPr>
        <w:tc>
          <w:tcPr>
            <w:tcW w:w="300" w:type="dxa"/>
            <w:noWrap/>
          </w:tcPr>
          <w:p w14:paraId="2D8A3D9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6878B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EC795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4C33BC58" w14:textId="77777777" w:rsidTr="00465739">
        <w:trPr>
          <w:trHeight w:val="20"/>
        </w:trPr>
        <w:tc>
          <w:tcPr>
            <w:tcW w:w="300" w:type="dxa"/>
            <w:noWrap/>
          </w:tcPr>
          <w:p w14:paraId="136C750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D2D6B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846C1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66BF0635" w14:textId="77777777" w:rsidTr="00465739">
        <w:trPr>
          <w:trHeight w:val="20"/>
        </w:trPr>
        <w:tc>
          <w:tcPr>
            <w:tcW w:w="300" w:type="dxa"/>
            <w:noWrap/>
          </w:tcPr>
          <w:p w14:paraId="77CD5DD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954A0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4601C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41B6A211" w14:textId="77777777" w:rsidTr="00465739">
        <w:trPr>
          <w:trHeight w:val="20"/>
        </w:trPr>
        <w:tc>
          <w:tcPr>
            <w:tcW w:w="300" w:type="dxa"/>
            <w:noWrap/>
          </w:tcPr>
          <w:p w14:paraId="495E141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34B0D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70C1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508F30B2" w14:textId="77777777" w:rsidTr="00465739">
        <w:trPr>
          <w:trHeight w:val="20"/>
        </w:trPr>
        <w:tc>
          <w:tcPr>
            <w:tcW w:w="300" w:type="dxa"/>
            <w:noWrap/>
          </w:tcPr>
          <w:p w14:paraId="1674302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67468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0A133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02C3A44A" w14:textId="77777777" w:rsidTr="00465739">
        <w:trPr>
          <w:trHeight w:val="20"/>
        </w:trPr>
        <w:tc>
          <w:tcPr>
            <w:tcW w:w="300" w:type="dxa"/>
            <w:noWrap/>
          </w:tcPr>
          <w:p w14:paraId="204BEAB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7938D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86645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5592A06E" w14:textId="77777777" w:rsidTr="00465739">
        <w:trPr>
          <w:trHeight w:val="20"/>
        </w:trPr>
        <w:tc>
          <w:tcPr>
            <w:tcW w:w="300" w:type="dxa"/>
            <w:noWrap/>
          </w:tcPr>
          <w:p w14:paraId="2682601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ACDE1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D2299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42BDFBC6" w14:textId="77777777" w:rsidTr="00465739">
        <w:trPr>
          <w:trHeight w:val="20"/>
        </w:trPr>
        <w:tc>
          <w:tcPr>
            <w:tcW w:w="300" w:type="dxa"/>
            <w:noWrap/>
          </w:tcPr>
          <w:p w14:paraId="752191A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3DE5B0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57434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281CE76E" w14:textId="77777777" w:rsidTr="00465739">
        <w:trPr>
          <w:trHeight w:val="20"/>
        </w:trPr>
        <w:tc>
          <w:tcPr>
            <w:tcW w:w="300" w:type="dxa"/>
            <w:noWrap/>
          </w:tcPr>
          <w:p w14:paraId="0D70BF1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60696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B8017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21EB0408" w14:textId="77777777" w:rsidTr="00465739">
        <w:trPr>
          <w:trHeight w:val="20"/>
        </w:trPr>
        <w:tc>
          <w:tcPr>
            <w:tcW w:w="300" w:type="dxa"/>
            <w:noWrap/>
          </w:tcPr>
          <w:p w14:paraId="77E73F7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7A0C7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3D54C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07EE6FFB" w14:textId="77777777" w:rsidTr="00465739">
        <w:trPr>
          <w:trHeight w:val="20"/>
        </w:trPr>
        <w:tc>
          <w:tcPr>
            <w:tcW w:w="300" w:type="dxa"/>
            <w:noWrap/>
          </w:tcPr>
          <w:p w14:paraId="50066C4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75345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66B9B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56FC4611" w14:textId="77777777" w:rsidTr="00465739">
        <w:trPr>
          <w:trHeight w:val="20"/>
        </w:trPr>
        <w:tc>
          <w:tcPr>
            <w:tcW w:w="300" w:type="dxa"/>
            <w:noWrap/>
          </w:tcPr>
          <w:p w14:paraId="614A97E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B2106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2AE0B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A73B458" w14:textId="77777777" w:rsidTr="00465739">
        <w:trPr>
          <w:trHeight w:val="20"/>
        </w:trPr>
        <w:tc>
          <w:tcPr>
            <w:tcW w:w="300" w:type="dxa"/>
            <w:noWrap/>
          </w:tcPr>
          <w:p w14:paraId="2718D5B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CC8C2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297B8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1CCF56F8" w14:textId="77777777" w:rsidTr="00465739">
        <w:trPr>
          <w:trHeight w:val="20"/>
        </w:trPr>
        <w:tc>
          <w:tcPr>
            <w:tcW w:w="300" w:type="dxa"/>
            <w:noWrap/>
          </w:tcPr>
          <w:p w14:paraId="03DA5B7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F32F8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74403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4B3D923A" w14:textId="77777777" w:rsidTr="00465739">
        <w:trPr>
          <w:trHeight w:val="20"/>
        </w:trPr>
        <w:tc>
          <w:tcPr>
            <w:tcW w:w="300" w:type="dxa"/>
            <w:noWrap/>
          </w:tcPr>
          <w:p w14:paraId="5948204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0B99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0F0B9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11380C8B" w14:textId="77777777" w:rsidTr="00465739">
        <w:trPr>
          <w:trHeight w:val="20"/>
        </w:trPr>
        <w:tc>
          <w:tcPr>
            <w:tcW w:w="300" w:type="dxa"/>
            <w:noWrap/>
          </w:tcPr>
          <w:p w14:paraId="141F8F2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C32A4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39A33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749098A4" w14:textId="77777777" w:rsidTr="00465739">
        <w:trPr>
          <w:trHeight w:val="20"/>
        </w:trPr>
        <w:tc>
          <w:tcPr>
            <w:tcW w:w="300" w:type="dxa"/>
            <w:noWrap/>
          </w:tcPr>
          <w:p w14:paraId="2E45D89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892ACC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FB80F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717D7568" w14:textId="77777777" w:rsidTr="00465739">
        <w:trPr>
          <w:trHeight w:val="20"/>
        </w:trPr>
        <w:tc>
          <w:tcPr>
            <w:tcW w:w="300" w:type="dxa"/>
            <w:noWrap/>
          </w:tcPr>
          <w:p w14:paraId="6A3CBBE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0124D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EE63F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11EC0924" w14:textId="77777777" w:rsidTr="00465739">
        <w:trPr>
          <w:trHeight w:val="20"/>
        </w:trPr>
        <w:tc>
          <w:tcPr>
            <w:tcW w:w="300" w:type="dxa"/>
            <w:noWrap/>
          </w:tcPr>
          <w:p w14:paraId="750E1AF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2CEC5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74910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79D4E3E8" w14:textId="77777777" w:rsidTr="00465739">
        <w:trPr>
          <w:trHeight w:val="20"/>
        </w:trPr>
        <w:tc>
          <w:tcPr>
            <w:tcW w:w="300" w:type="dxa"/>
            <w:noWrap/>
          </w:tcPr>
          <w:p w14:paraId="272776E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08768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B8A66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440545D3" w14:textId="77777777" w:rsidTr="00465739">
        <w:trPr>
          <w:trHeight w:val="20"/>
        </w:trPr>
        <w:tc>
          <w:tcPr>
            <w:tcW w:w="300" w:type="dxa"/>
            <w:noWrap/>
          </w:tcPr>
          <w:p w14:paraId="77382C5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0A2FE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DD1F4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1F04E32D" w14:textId="77777777" w:rsidTr="00465739">
        <w:trPr>
          <w:trHeight w:val="20"/>
        </w:trPr>
        <w:tc>
          <w:tcPr>
            <w:tcW w:w="300" w:type="dxa"/>
            <w:noWrap/>
          </w:tcPr>
          <w:p w14:paraId="19548C7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9E734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B9126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7689E153" w14:textId="77777777" w:rsidTr="00465739">
        <w:trPr>
          <w:trHeight w:val="20"/>
        </w:trPr>
        <w:tc>
          <w:tcPr>
            <w:tcW w:w="300" w:type="dxa"/>
            <w:noWrap/>
            <w:hideMark/>
          </w:tcPr>
          <w:p w14:paraId="0D89749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D4A3A37"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53A831C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56EC57D2" w14:textId="77777777" w:rsidTr="00465739">
        <w:trPr>
          <w:trHeight w:val="20"/>
        </w:trPr>
        <w:tc>
          <w:tcPr>
            <w:tcW w:w="0" w:type="auto"/>
            <w:noWrap/>
            <w:hideMark/>
          </w:tcPr>
          <w:p w14:paraId="3C858E4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6AAF01FE" w14:textId="5AD197EC"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Bulgarie</w:t>
            </w:r>
          </w:p>
        </w:tc>
      </w:tr>
      <w:tr w:rsidR="00160BA5" w:rsidRPr="00CE031F" w14:paraId="1812A3AA" w14:textId="77777777" w:rsidTr="00465739">
        <w:trPr>
          <w:trHeight w:val="20"/>
        </w:trPr>
        <w:tc>
          <w:tcPr>
            <w:tcW w:w="300" w:type="dxa"/>
            <w:noWrap/>
            <w:hideMark/>
          </w:tcPr>
          <w:p w14:paraId="43F1F85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4D20943"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78BA2461" w14:textId="6B018310"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703DC2FB" w14:textId="77777777" w:rsidTr="00465739">
        <w:trPr>
          <w:trHeight w:val="20"/>
        </w:trPr>
        <w:tc>
          <w:tcPr>
            <w:tcW w:w="300" w:type="dxa"/>
            <w:noWrap/>
            <w:hideMark/>
          </w:tcPr>
          <w:p w14:paraId="1E1D5F2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7D7AC43"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57F86B6B" w14:textId="66FE5594"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1C64659A" w14:textId="77777777" w:rsidTr="00465739">
        <w:trPr>
          <w:trHeight w:val="20"/>
        </w:trPr>
        <w:tc>
          <w:tcPr>
            <w:tcW w:w="300" w:type="dxa"/>
            <w:noWrap/>
            <w:hideMark/>
          </w:tcPr>
          <w:p w14:paraId="0C6E129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5CC0AFC"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2FCE677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291AD958" w14:textId="77777777" w:rsidTr="00465739">
        <w:trPr>
          <w:trHeight w:val="20"/>
        </w:trPr>
        <w:tc>
          <w:tcPr>
            <w:tcW w:w="300" w:type="dxa"/>
            <w:noWrap/>
            <w:hideMark/>
          </w:tcPr>
          <w:p w14:paraId="529A73D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5B40C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9D19A5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6B092DF4" w14:textId="77777777" w:rsidTr="00465739">
        <w:trPr>
          <w:trHeight w:val="20"/>
        </w:trPr>
        <w:tc>
          <w:tcPr>
            <w:tcW w:w="300" w:type="dxa"/>
            <w:noWrap/>
          </w:tcPr>
          <w:p w14:paraId="0610C15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D6CFB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AEAC16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3E10B263" w14:textId="77777777" w:rsidTr="00465739">
        <w:trPr>
          <w:trHeight w:val="20"/>
        </w:trPr>
        <w:tc>
          <w:tcPr>
            <w:tcW w:w="300" w:type="dxa"/>
            <w:noWrap/>
          </w:tcPr>
          <w:p w14:paraId="5A34DEA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4F88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36BD8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5E7ADF0A" w14:textId="77777777" w:rsidTr="00465739">
        <w:trPr>
          <w:trHeight w:val="20"/>
        </w:trPr>
        <w:tc>
          <w:tcPr>
            <w:tcW w:w="300" w:type="dxa"/>
            <w:noWrap/>
          </w:tcPr>
          <w:p w14:paraId="2198667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9FCFA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EE0D2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1EC0F40D" w14:textId="77777777" w:rsidTr="00465739">
        <w:trPr>
          <w:trHeight w:val="20"/>
        </w:trPr>
        <w:tc>
          <w:tcPr>
            <w:tcW w:w="300" w:type="dxa"/>
            <w:noWrap/>
          </w:tcPr>
          <w:p w14:paraId="2ACB6EF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6D5FA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FCA7D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27CAD236" w14:textId="77777777" w:rsidTr="00465739">
        <w:trPr>
          <w:trHeight w:val="20"/>
        </w:trPr>
        <w:tc>
          <w:tcPr>
            <w:tcW w:w="300" w:type="dxa"/>
            <w:noWrap/>
          </w:tcPr>
          <w:p w14:paraId="6B5F489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71FAE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B3C64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7544141C" w14:textId="77777777" w:rsidTr="00465739">
        <w:trPr>
          <w:trHeight w:val="20"/>
        </w:trPr>
        <w:tc>
          <w:tcPr>
            <w:tcW w:w="300" w:type="dxa"/>
            <w:noWrap/>
          </w:tcPr>
          <w:p w14:paraId="2AEF267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A3ED6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D6CB5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7F8A706C" w14:textId="77777777" w:rsidTr="00465739">
        <w:trPr>
          <w:trHeight w:val="20"/>
        </w:trPr>
        <w:tc>
          <w:tcPr>
            <w:tcW w:w="300" w:type="dxa"/>
            <w:noWrap/>
          </w:tcPr>
          <w:p w14:paraId="4FC45CE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2CBE9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989B4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5FDB7973" w14:textId="77777777" w:rsidTr="00465739">
        <w:trPr>
          <w:trHeight w:val="20"/>
        </w:trPr>
        <w:tc>
          <w:tcPr>
            <w:tcW w:w="300" w:type="dxa"/>
            <w:noWrap/>
          </w:tcPr>
          <w:p w14:paraId="7D07D9D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3C070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E7A61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7C57C243" w14:textId="77777777" w:rsidTr="00465739">
        <w:trPr>
          <w:trHeight w:val="20"/>
        </w:trPr>
        <w:tc>
          <w:tcPr>
            <w:tcW w:w="300" w:type="dxa"/>
            <w:noWrap/>
          </w:tcPr>
          <w:p w14:paraId="01CF1A5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32C5E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DF65F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200B2967" w14:textId="77777777" w:rsidTr="00465739">
        <w:trPr>
          <w:trHeight w:val="20"/>
        </w:trPr>
        <w:tc>
          <w:tcPr>
            <w:tcW w:w="300" w:type="dxa"/>
            <w:noWrap/>
          </w:tcPr>
          <w:p w14:paraId="4DC475F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4EF3B5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C31BB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32962B89" w14:textId="77777777" w:rsidTr="00465739">
        <w:trPr>
          <w:trHeight w:val="20"/>
        </w:trPr>
        <w:tc>
          <w:tcPr>
            <w:tcW w:w="300" w:type="dxa"/>
            <w:noWrap/>
          </w:tcPr>
          <w:p w14:paraId="674019C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2AAEF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D86AC8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B0F3F04" w14:textId="77777777" w:rsidTr="00465739">
        <w:trPr>
          <w:trHeight w:val="20"/>
        </w:trPr>
        <w:tc>
          <w:tcPr>
            <w:tcW w:w="300" w:type="dxa"/>
            <w:noWrap/>
          </w:tcPr>
          <w:p w14:paraId="4610F4E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90C68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1CAC6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64F7FE32" w14:textId="77777777" w:rsidTr="00465739">
        <w:trPr>
          <w:trHeight w:val="20"/>
        </w:trPr>
        <w:tc>
          <w:tcPr>
            <w:tcW w:w="300" w:type="dxa"/>
            <w:noWrap/>
          </w:tcPr>
          <w:p w14:paraId="22F1547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43500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61BF6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50653067" w14:textId="77777777" w:rsidTr="00465739">
        <w:trPr>
          <w:trHeight w:val="20"/>
        </w:trPr>
        <w:tc>
          <w:tcPr>
            <w:tcW w:w="300" w:type="dxa"/>
            <w:noWrap/>
          </w:tcPr>
          <w:p w14:paraId="18DFBE1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8BA6A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A8661D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0DBF8D94" w14:textId="77777777" w:rsidTr="00465739">
        <w:trPr>
          <w:trHeight w:val="20"/>
        </w:trPr>
        <w:tc>
          <w:tcPr>
            <w:tcW w:w="300" w:type="dxa"/>
            <w:noWrap/>
          </w:tcPr>
          <w:p w14:paraId="54FEC67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0FD3E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40887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3BC7A049" w14:textId="77777777" w:rsidTr="00465739">
        <w:trPr>
          <w:trHeight w:val="20"/>
        </w:trPr>
        <w:tc>
          <w:tcPr>
            <w:tcW w:w="300" w:type="dxa"/>
            <w:noWrap/>
          </w:tcPr>
          <w:p w14:paraId="08A72C8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063EEA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C6DAE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38B50779" w14:textId="77777777" w:rsidTr="00465739">
        <w:trPr>
          <w:trHeight w:val="20"/>
        </w:trPr>
        <w:tc>
          <w:tcPr>
            <w:tcW w:w="300" w:type="dxa"/>
            <w:noWrap/>
          </w:tcPr>
          <w:p w14:paraId="745CF35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F08D9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741E2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C075F9D" w14:textId="77777777" w:rsidTr="00465739">
        <w:trPr>
          <w:trHeight w:val="20"/>
        </w:trPr>
        <w:tc>
          <w:tcPr>
            <w:tcW w:w="300" w:type="dxa"/>
            <w:noWrap/>
          </w:tcPr>
          <w:p w14:paraId="13EC6FD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8C795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186C8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59D46C0B" w14:textId="77777777" w:rsidTr="00465739">
        <w:trPr>
          <w:trHeight w:val="20"/>
        </w:trPr>
        <w:tc>
          <w:tcPr>
            <w:tcW w:w="300" w:type="dxa"/>
            <w:noWrap/>
          </w:tcPr>
          <w:p w14:paraId="01EBE03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05006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EC931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327E2BD5" w14:textId="77777777" w:rsidTr="00465739">
        <w:trPr>
          <w:trHeight w:val="20"/>
        </w:trPr>
        <w:tc>
          <w:tcPr>
            <w:tcW w:w="300" w:type="dxa"/>
            <w:noWrap/>
          </w:tcPr>
          <w:p w14:paraId="4541B7C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34996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EDAFC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2CFD2630" w14:textId="77777777" w:rsidTr="00465739">
        <w:trPr>
          <w:trHeight w:val="20"/>
        </w:trPr>
        <w:tc>
          <w:tcPr>
            <w:tcW w:w="300" w:type="dxa"/>
            <w:noWrap/>
          </w:tcPr>
          <w:p w14:paraId="2D64547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09E52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A9B7C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192AFBCC" w14:textId="77777777" w:rsidTr="00465739">
        <w:trPr>
          <w:trHeight w:val="20"/>
        </w:trPr>
        <w:tc>
          <w:tcPr>
            <w:tcW w:w="300" w:type="dxa"/>
            <w:noWrap/>
          </w:tcPr>
          <w:p w14:paraId="06AEDCE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5C444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7B36B5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77662CE8" w14:textId="77777777" w:rsidTr="00465739">
        <w:trPr>
          <w:trHeight w:val="20"/>
        </w:trPr>
        <w:tc>
          <w:tcPr>
            <w:tcW w:w="300" w:type="dxa"/>
            <w:noWrap/>
          </w:tcPr>
          <w:p w14:paraId="210A843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80352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8347C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5424EEBB" w14:textId="77777777" w:rsidTr="00465739">
        <w:trPr>
          <w:trHeight w:val="20"/>
        </w:trPr>
        <w:tc>
          <w:tcPr>
            <w:tcW w:w="300" w:type="dxa"/>
            <w:noWrap/>
          </w:tcPr>
          <w:p w14:paraId="25D5AB5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1B8B4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BA74E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50AF7F6B" w14:textId="77777777" w:rsidTr="00465739">
        <w:trPr>
          <w:trHeight w:val="20"/>
        </w:trPr>
        <w:tc>
          <w:tcPr>
            <w:tcW w:w="300" w:type="dxa"/>
            <w:noWrap/>
          </w:tcPr>
          <w:p w14:paraId="27E76A1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DD5B8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0E2BB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11FD3EAF" w14:textId="77777777" w:rsidTr="00465739">
        <w:trPr>
          <w:trHeight w:val="20"/>
        </w:trPr>
        <w:tc>
          <w:tcPr>
            <w:tcW w:w="300" w:type="dxa"/>
            <w:noWrap/>
          </w:tcPr>
          <w:p w14:paraId="77B7FC5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5898F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F0B28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188AA2DB" w14:textId="77777777" w:rsidTr="00465739">
        <w:trPr>
          <w:trHeight w:val="20"/>
        </w:trPr>
        <w:tc>
          <w:tcPr>
            <w:tcW w:w="300" w:type="dxa"/>
            <w:noWrap/>
          </w:tcPr>
          <w:p w14:paraId="3B5A730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FC8B6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7C7B1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4FF09B4E" w14:textId="77777777" w:rsidTr="00465739">
        <w:trPr>
          <w:trHeight w:val="20"/>
        </w:trPr>
        <w:tc>
          <w:tcPr>
            <w:tcW w:w="300" w:type="dxa"/>
            <w:noWrap/>
            <w:hideMark/>
          </w:tcPr>
          <w:p w14:paraId="2585179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lastRenderedPageBreak/>
              <w:t> </w:t>
            </w:r>
          </w:p>
        </w:tc>
        <w:tc>
          <w:tcPr>
            <w:tcW w:w="560" w:type="dxa"/>
            <w:gridSpan w:val="2"/>
            <w:noWrap/>
          </w:tcPr>
          <w:p w14:paraId="7DE73A05"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2AA9D22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3CC9B113" w14:textId="77777777" w:rsidTr="00465739">
        <w:trPr>
          <w:trHeight w:val="20"/>
        </w:trPr>
        <w:tc>
          <w:tcPr>
            <w:tcW w:w="0" w:type="auto"/>
            <w:noWrap/>
            <w:hideMark/>
          </w:tcPr>
          <w:p w14:paraId="1378B88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94D1274" w14:textId="36DAA92C"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Chypre</w:t>
            </w:r>
          </w:p>
        </w:tc>
      </w:tr>
      <w:tr w:rsidR="00160BA5" w:rsidRPr="00CE031F" w14:paraId="7B4C35BD" w14:textId="77777777" w:rsidTr="00465739">
        <w:trPr>
          <w:trHeight w:val="20"/>
        </w:trPr>
        <w:tc>
          <w:tcPr>
            <w:tcW w:w="300" w:type="dxa"/>
            <w:noWrap/>
            <w:hideMark/>
          </w:tcPr>
          <w:p w14:paraId="209B03F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5F2E673"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27FC8EF" w14:textId="51F266ED"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4758DB61" w14:textId="77777777" w:rsidTr="00465739">
        <w:trPr>
          <w:trHeight w:val="20"/>
        </w:trPr>
        <w:tc>
          <w:tcPr>
            <w:tcW w:w="300" w:type="dxa"/>
            <w:noWrap/>
            <w:hideMark/>
          </w:tcPr>
          <w:p w14:paraId="35B6875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67363A2"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3C212D3" w14:textId="4AA2B55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0AC8E2F4" w14:textId="77777777" w:rsidTr="00465739">
        <w:trPr>
          <w:trHeight w:val="20"/>
        </w:trPr>
        <w:tc>
          <w:tcPr>
            <w:tcW w:w="300" w:type="dxa"/>
            <w:noWrap/>
            <w:hideMark/>
          </w:tcPr>
          <w:p w14:paraId="36E4F0F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7FC9CE2"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11B2E3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78BB0159" w14:textId="77777777" w:rsidTr="00465739">
        <w:trPr>
          <w:trHeight w:val="20"/>
        </w:trPr>
        <w:tc>
          <w:tcPr>
            <w:tcW w:w="300" w:type="dxa"/>
            <w:noWrap/>
            <w:hideMark/>
          </w:tcPr>
          <w:p w14:paraId="57B75E7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B0E16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0CC4E61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6778E1CB" w14:textId="77777777" w:rsidTr="00465739">
        <w:trPr>
          <w:trHeight w:val="20"/>
        </w:trPr>
        <w:tc>
          <w:tcPr>
            <w:tcW w:w="300" w:type="dxa"/>
            <w:noWrap/>
          </w:tcPr>
          <w:p w14:paraId="392FB81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B6B88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D2E3C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68BF11B0" w14:textId="77777777" w:rsidTr="00465739">
        <w:trPr>
          <w:trHeight w:val="20"/>
        </w:trPr>
        <w:tc>
          <w:tcPr>
            <w:tcW w:w="300" w:type="dxa"/>
            <w:noWrap/>
          </w:tcPr>
          <w:p w14:paraId="237B11C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668BE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124A7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0F41CD1B" w14:textId="77777777" w:rsidTr="00465739">
        <w:trPr>
          <w:trHeight w:val="20"/>
        </w:trPr>
        <w:tc>
          <w:tcPr>
            <w:tcW w:w="300" w:type="dxa"/>
            <w:noWrap/>
          </w:tcPr>
          <w:p w14:paraId="05168D1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2E8FE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52884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45483070" w14:textId="77777777" w:rsidTr="00465739">
        <w:trPr>
          <w:trHeight w:val="20"/>
        </w:trPr>
        <w:tc>
          <w:tcPr>
            <w:tcW w:w="300" w:type="dxa"/>
            <w:noWrap/>
          </w:tcPr>
          <w:p w14:paraId="6A662DB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F4CC6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653509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1D91F41C" w14:textId="77777777" w:rsidTr="00465739">
        <w:trPr>
          <w:trHeight w:val="20"/>
        </w:trPr>
        <w:tc>
          <w:tcPr>
            <w:tcW w:w="300" w:type="dxa"/>
            <w:noWrap/>
          </w:tcPr>
          <w:p w14:paraId="7D77024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9ED2C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0901A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6E092113" w14:textId="77777777" w:rsidTr="00465739">
        <w:trPr>
          <w:trHeight w:val="20"/>
        </w:trPr>
        <w:tc>
          <w:tcPr>
            <w:tcW w:w="300" w:type="dxa"/>
            <w:noWrap/>
          </w:tcPr>
          <w:p w14:paraId="034E9AB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92D97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AE7D4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6E43AE6C" w14:textId="77777777" w:rsidTr="00465739">
        <w:trPr>
          <w:trHeight w:val="20"/>
        </w:trPr>
        <w:tc>
          <w:tcPr>
            <w:tcW w:w="300" w:type="dxa"/>
            <w:noWrap/>
          </w:tcPr>
          <w:p w14:paraId="6F46C1A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7FDEF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986AB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5870D7B8" w14:textId="77777777" w:rsidTr="00465739">
        <w:trPr>
          <w:trHeight w:val="20"/>
        </w:trPr>
        <w:tc>
          <w:tcPr>
            <w:tcW w:w="300" w:type="dxa"/>
            <w:noWrap/>
          </w:tcPr>
          <w:p w14:paraId="3587564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06A58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0A33C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6F123D26" w14:textId="77777777" w:rsidTr="00465739">
        <w:trPr>
          <w:trHeight w:val="20"/>
        </w:trPr>
        <w:tc>
          <w:tcPr>
            <w:tcW w:w="300" w:type="dxa"/>
            <w:noWrap/>
          </w:tcPr>
          <w:p w14:paraId="7C108EC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4329F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AD93F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11282842" w14:textId="77777777" w:rsidTr="00465739">
        <w:trPr>
          <w:trHeight w:val="20"/>
        </w:trPr>
        <w:tc>
          <w:tcPr>
            <w:tcW w:w="300" w:type="dxa"/>
            <w:noWrap/>
          </w:tcPr>
          <w:p w14:paraId="29C0D38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7F3A6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F07E3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464CF66A" w14:textId="77777777" w:rsidTr="00465739">
        <w:trPr>
          <w:trHeight w:val="20"/>
        </w:trPr>
        <w:tc>
          <w:tcPr>
            <w:tcW w:w="300" w:type="dxa"/>
            <w:noWrap/>
          </w:tcPr>
          <w:p w14:paraId="4C9D18A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C6E29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EF3EE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3EF615EB" w14:textId="77777777" w:rsidTr="00465739">
        <w:trPr>
          <w:trHeight w:val="20"/>
        </w:trPr>
        <w:tc>
          <w:tcPr>
            <w:tcW w:w="300" w:type="dxa"/>
            <w:noWrap/>
          </w:tcPr>
          <w:p w14:paraId="119619D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697AE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79D0C8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7D742A3F" w14:textId="77777777" w:rsidTr="00465739">
        <w:trPr>
          <w:trHeight w:val="20"/>
        </w:trPr>
        <w:tc>
          <w:tcPr>
            <w:tcW w:w="300" w:type="dxa"/>
            <w:noWrap/>
          </w:tcPr>
          <w:p w14:paraId="01B3BCC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5DE10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8FA9D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6B7A4409" w14:textId="77777777" w:rsidTr="00465739">
        <w:trPr>
          <w:trHeight w:val="20"/>
        </w:trPr>
        <w:tc>
          <w:tcPr>
            <w:tcW w:w="300" w:type="dxa"/>
            <w:noWrap/>
          </w:tcPr>
          <w:p w14:paraId="6C859E1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0F6F5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2E337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564841C6" w14:textId="77777777" w:rsidTr="00465739">
        <w:trPr>
          <w:trHeight w:val="20"/>
        </w:trPr>
        <w:tc>
          <w:tcPr>
            <w:tcW w:w="300" w:type="dxa"/>
            <w:noWrap/>
          </w:tcPr>
          <w:p w14:paraId="4C90F04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5D9F2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AF046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26FE3FAE" w14:textId="77777777" w:rsidTr="00465739">
        <w:trPr>
          <w:trHeight w:val="20"/>
        </w:trPr>
        <w:tc>
          <w:tcPr>
            <w:tcW w:w="300" w:type="dxa"/>
            <w:noWrap/>
          </w:tcPr>
          <w:p w14:paraId="2D1033D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A213C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DC999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5073EC09" w14:textId="77777777" w:rsidTr="00465739">
        <w:trPr>
          <w:trHeight w:val="20"/>
        </w:trPr>
        <w:tc>
          <w:tcPr>
            <w:tcW w:w="300" w:type="dxa"/>
            <w:noWrap/>
          </w:tcPr>
          <w:p w14:paraId="02DDC4A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0CE680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7AA0B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0669DB72" w14:textId="77777777" w:rsidTr="00465739">
        <w:trPr>
          <w:trHeight w:val="20"/>
        </w:trPr>
        <w:tc>
          <w:tcPr>
            <w:tcW w:w="300" w:type="dxa"/>
            <w:noWrap/>
          </w:tcPr>
          <w:p w14:paraId="0A32FC8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0E5FB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7A004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7129A837" w14:textId="77777777" w:rsidTr="00465739">
        <w:trPr>
          <w:trHeight w:val="20"/>
        </w:trPr>
        <w:tc>
          <w:tcPr>
            <w:tcW w:w="300" w:type="dxa"/>
            <w:noWrap/>
          </w:tcPr>
          <w:p w14:paraId="26145FA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A78A0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67E78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3BB9D67B" w14:textId="77777777" w:rsidTr="00465739">
        <w:trPr>
          <w:trHeight w:val="20"/>
        </w:trPr>
        <w:tc>
          <w:tcPr>
            <w:tcW w:w="300" w:type="dxa"/>
            <w:noWrap/>
          </w:tcPr>
          <w:p w14:paraId="66272A1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865B3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673DC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045B221A" w14:textId="77777777" w:rsidTr="00465739">
        <w:trPr>
          <w:trHeight w:val="20"/>
        </w:trPr>
        <w:tc>
          <w:tcPr>
            <w:tcW w:w="300" w:type="dxa"/>
            <w:noWrap/>
          </w:tcPr>
          <w:p w14:paraId="636608B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C68709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B498E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3718A752" w14:textId="77777777" w:rsidTr="00465739">
        <w:trPr>
          <w:trHeight w:val="20"/>
        </w:trPr>
        <w:tc>
          <w:tcPr>
            <w:tcW w:w="300" w:type="dxa"/>
            <w:noWrap/>
          </w:tcPr>
          <w:p w14:paraId="3737F1C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43FB5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0E4FC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0ED47BA9" w14:textId="77777777" w:rsidTr="00465739">
        <w:trPr>
          <w:trHeight w:val="20"/>
        </w:trPr>
        <w:tc>
          <w:tcPr>
            <w:tcW w:w="300" w:type="dxa"/>
            <w:noWrap/>
          </w:tcPr>
          <w:p w14:paraId="47D7B69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8411A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A6DF6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523FFB4C" w14:textId="77777777" w:rsidTr="00465739">
        <w:trPr>
          <w:trHeight w:val="20"/>
        </w:trPr>
        <w:tc>
          <w:tcPr>
            <w:tcW w:w="300" w:type="dxa"/>
            <w:noWrap/>
          </w:tcPr>
          <w:p w14:paraId="0898B9B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18971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691463"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49393CA6" w14:textId="77777777" w:rsidTr="00465739">
        <w:trPr>
          <w:trHeight w:val="20"/>
        </w:trPr>
        <w:tc>
          <w:tcPr>
            <w:tcW w:w="300" w:type="dxa"/>
            <w:noWrap/>
          </w:tcPr>
          <w:p w14:paraId="7B986A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3D6CA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7F42F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1F46EFAC" w14:textId="77777777" w:rsidTr="00465739">
        <w:trPr>
          <w:trHeight w:val="20"/>
        </w:trPr>
        <w:tc>
          <w:tcPr>
            <w:tcW w:w="300" w:type="dxa"/>
            <w:noWrap/>
          </w:tcPr>
          <w:p w14:paraId="33D87F4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96970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2C22F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71FC3454" w14:textId="77777777" w:rsidTr="00465739">
        <w:trPr>
          <w:trHeight w:val="20"/>
        </w:trPr>
        <w:tc>
          <w:tcPr>
            <w:tcW w:w="300" w:type="dxa"/>
            <w:noWrap/>
          </w:tcPr>
          <w:p w14:paraId="7F654FF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B945D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BA23C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4154CB8F" w14:textId="77777777" w:rsidTr="00465739">
        <w:trPr>
          <w:trHeight w:val="20"/>
        </w:trPr>
        <w:tc>
          <w:tcPr>
            <w:tcW w:w="300" w:type="dxa"/>
            <w:noWrap/>
            <w:hideMark/>
          </w:tcPr>
          <w:p w14:paraId="1328709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117304C1"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48A1BA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5FA49B4D" w14:textId="77777777" w:rsidTr="00465739">
        <w:trPr>
          <w:trHeight w:val="20"/>
        </w:trPr>
        <w:tc>
          <w:tcPr>
            <w:tcW w:w="0" w:type="auto"/>
            <w:noWrap/>
            <w:hideMark/>
          </w:tcPr>
          <w:p w14:paraId="2788D3C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731E17F" w14:textId="1842834A" w:rsidR="00160BA5" w:rsidRPr="00CE031F" w:rsidRDefault="00160BA5"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Croatie</w:t>
            </w:r>
          </w:p>
        </w:tc>
      </w:tr>
      <w:tr w:rsidR="00160BA5" w:rsidRPr="00CE031F" w14:paraId="792775B7" w14:textId="77777777" w:rsidTr="00465739">
        <w:trPr>
          <w:trHeight w:val="20"/>
        </w:trPr>
        <w:tc>
          <w:tcPr>
            <w:tcW w:w="300" w:type="dxa"/>
            <w:noWrap/>
            <w:hideMark/>
          </w:tcPr>
          <w:p w14:paraId="48E6D4D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A7FAC85"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F0A4C8B" w14:textId="1E850F8E"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50B99DB9" w14:textId="77777777" w:rsidTr="00465739">
        <w:trPr>
          <w:trHeight w:val="20"/>
        </w:trPr>
        <w:tc>
          <w:tcPr>
            <w:tcW w:w="300" w:type="dxa"/>
            <w:noWrap/>
            <w:hideMark/>
          </w:tcPr>
          <w:p w14:paraId="79DBEC2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500A6E9"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50FF86A" w14:textId="6DD8AB41"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7C152E5B" w14:textId="77777777" w:rsidTr="00465739">
        <w:trPr>
          <w:trHeight w:val="20"/>
        </w:trPr>
        <w:tc>
          <w:tcPr>
            <w:tcW w:w="300" w:type="dxa"/>
            <w:noWrap/>
            <w:hideMark/>
          </w:tcPr>
          <w:p w14:paraId="7BE4AA4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E657176"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4BE858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25C16FAC" w14:textId="77777777" w:rsidTr="00465739">
        <w:trPr>
          <w:trHeight w:val="20"/>
        </w:trPr>
        <w:tc>
          <w:tcPr>
            <w:tcW w:w="300" w:type="dxa"/>
            <w:noWrap/>
            <w:hideMark/>
          </w:tcPr>
          <w:p w14:paraId="53A0609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A6E46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F9582A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48846FCC" w14:textId="77777777" w:rsidTr="00465739">
        <w:trPr>
          <w:trHeight w:val="20"/>
        </w:trPr>
        <w:tc>
          <w:tcPr>
            <w:tcW w:w="300" w:type="dxa"/>
            <w:noWrap/>
          </w:tcPr>
          <w:p w14:paraId="08E5E5D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AF201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6F6BB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3EFF0193" w14:textId="77777777" w:rsidTr="00465739">
        <w:trPr>
          <w:trHeight w:val="20"/>
        </w:trPr>
        <w:tc>
          <w:tcPr>
            <w:tcW w:w="300" w:type="dxa"/>
            <w:noWrap/>
          </w:tcPr>
          <w:p w14:paraId="1BC1CBE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B88B9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CF6FC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161B5EC7" w14:textId="77777777" w:rsidTr="00465739">
        <w:trPr>
          <w:trHeight w:val="20"/>
        </w:trPr>
        <w:tc>
          <w:tcPr>
            <w:tcW w:w="300" w:type="dxa"/>
            <w:noWrap/>
          </w:tcPr>
          <w:p w14:paraId="57EC42A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C63A9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C1991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512344F4" w14:textId="77777777" w:rsidTr="00465739">
        <w:trPr>
          <w:trHeight w:val="20"/>
        </w:trPr>
        <w:tc>
          <w:tcPr>
            <w:tcW w:w="300" w:type="dxa"/>
            <w:noWrap/>
          </w:tcPr>
          <w:p w14:paraId="330FB41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C7C87E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75C56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5B870A07" w14:textId="77777777" w:rsidTr="00465739">
        <w:trPr>
          <w:trHeight w:val="20"/>
        </w:trPr>
        <w:tc>
          <w:tcPr>
            <w:tcW w:w="300" w:type="dxa"/>
            <w:noWrap/>
          </w:tcPr>
          <w:p w14:paraId="51192F7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3FA8F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432FA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441A483E" w14:textId="77777777" w:rsidTr="00465739">
        <w:trPr>
          <w:trHeight w:val="20"/>
        </w:trPr>
        <w:tc>
          <w:tcPr>
            <w:tcW w:w="300" w:type="dxa"/>
            <w:noWrap/>
          </w:tcPr>
          <w:p w14:paraId="6698A6F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49B48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9EBF3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5A853412" w14:textId="77777777" w:rsidTr="00465739">
        <w:trPr>
          <w:trHeight w:val="20"/>
        </w:trPr>
        <w:tc>
          <w:tcPr>
            <w:tcW w:w="300" w:type="dxa"/>
            <w:noWrap/>
          </w:tcPr>
          <w:p w14:paraId="3F52534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450D18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8438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7E634908" w14:textId="77777777" w:rsidTr="00465739">
        <w:trPr>
          <w:trHeight w:val="20"/>
        </w:trPr>
        <w:tc>
          <w:tcPr>
            <w:tcW w:w="300" w:type="dxa"/>
            <w:noWrap/>
          </w:tcPr>
          <w:p w14:paraId="432B77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96FE7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AE1B8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2A30045A" w14:textId="77777777" w:rsidTr="00465739">
        <w:trPr>
          <w:trHeight w:val="20"/>
        </w:trPr>
        <w:tc>
          <w:tcPr>
            <w:tcW w:w="300" w:type="dxa"/>
            <w:noWrap/>
          </w:tcPr>
          <w:p w14:paraId="41F5B82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AA7BBB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D930B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6BF898A0" w14:textId="77777777" w:rsidTr="00465739">
        <w:trPr>
          <w:trHeight w:val="20"/>
        </w:trPr>
        <w:tc>
          <w:tcPr>
            <w:tcW w:w="300" w:type="dxa"/>
            <w:noWrap/>
          </w:tcPr>
          <w:p w14:paraId="0F23B8E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7A39D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09832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717C54B6" w14:textId="77777777" w:rsidTr="00465739">
        <w:trPr>
          <w:trHeight w:val="20"/>
        </w:trPr>
        <w:tc>
          <w:tcPr>
            <w:tcW w:w="300" w:type="dxa"/>
            <w:noWrap/>
          </w:tcPr>
          <w:p w14:paraId="3B0413D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79A6D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01BB5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4E44E98" w14:textId="77777777" w:rsidTr="00465739">
        <w:trPr>
          <w:trHeight w:val="20"/>
        </w:trPr>
        <w:tc>
          <w:tcPr>
            <w:tcW w:w="300" w:type="dxa"/>
            <w:noWrap/>
          </w:tcPr>
          <w:p w14:paraId="49CACA1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3B7DDD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C6B39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65D30D5C" w14:textId="77777777" w:rsidTr="00465739">
        <w:trPr>
          <w:trHeight w:val="20"/>
        </w:trPr>
        <w:tc>
          <w:tcPr>
            <w:tcW w:w="300" w:type="dxa"/>
            <w:noWrap/>
          </w:tcPr>
          <w:p w14:paraId="05A7F38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36B23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5F29C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4C97331F" w14:textId="77777777" w:rsidTr="00465739">
        <w:trPr>
          <w:trHeight w:val="20"/>
        </w:trPr>
        <w:tc>
          <w:tcPr>
            <w:tcW w:w="300" w:type="dxa"/>
            <w:noWrap/>
          </w:tcPr>
          <w:p w14:paraId="6CB4809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B6694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F2118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46CD4A83" w14:textId="77777777" w:rsidTr="00465739">
        <w:trPr>
          <w:trHeight w:val="20"/>
        </w:trPr>
        <w:tc>
          <w:tcPr>
            <w:tcW w:w="300" w:type="dxa"/>
            <w:noWrap/>
          </w:tcPr>
          <w:p w14:paraId="5F91064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A9A4D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265D1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3ED70D63" w14:textId="77777777" w:rsidTr="00465739">
        <w:trPr>
          <w:trHeight w:val="20"/>
        </w:trPr>
        <w:tc>
          <w:tcPr>
            <w:tcW w:w="300" w:type="dxa"/>
            <w:noWrap/>
          </w:tcPr>
          <w:p w14:paraId="4CB06EA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9238E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9D411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565225BE" w14:textId="77777777" w:rsidTr="00465739">
        <w:trPr>
          <w:trHeight w:val="20"/>
        </w:trPr>
        <w:tc>
          <w:tcPr>
            <w:tcW w:w="300" w:type="dxa"/>
            <w:noWrap/>
          </w:tcPr>
          <w:p w14:paraId="5B29565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E3585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C02B8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5F9D2D38" w14:textId="77777777" w:rsidTr="00465739">
        <w:trPr>
          <w:trHeight w:val="20"/>
        </w:trPr>
        <w:tc>
          <w:tcPr>
            <w:tcW w:w="300" w:type="dxa"/>
            <w:noWrap/>
          </w:tcPr>
          <w:p w14:paraId="287ECC1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368F8B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1AFE5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5F03BF13" w14:textId="77777777" w:rsidTr="00465739">
        <w:trPr>
          <w:trHeight w:val="20"/>
        </w:trPr>
        <w:tc>
          <w:tcPr>
            <w:tcW w:w="300" w:type="dxa"/>
            <w:noWrap/>
          </w:tcPr>
          <w:p w14:paraId="2BDCABB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B4544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1349D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7AF72A30" w14:textId="77777777" w:rsidTr="00465739">
        <w:trPr>
          <w:trHeight w:val="20"/>
        </w:trPr>
        <w:tc>
          <w:tcPr>
            <w:tcW w:w="300" w:type="dxa"/>
            <w:noWrap/>
          </w:tcPr>
          <w:p w14:paraId="2DC6282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000BE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D4A62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1ED7AD3F" w14:textId="77777777" w:rsidTr="00465739">
        <w:trPr>
          <w:trHeight w:val="20"/>
        </w:trPr>
        <w:tc>
          <w:tcPr>
            <w:tcW w:w="300" w:type="dxa"/>
            <w:noWrap/>
          </w:tcPr>
          <w:p w14:paraId="771A75B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23A8B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0BE18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5E95D32C" w14:textId="77777777" w:rsidTr="00465739">
        <w:trPr>
          <w:trHeight w:val="20"/>
        </w:trPr>
        <w:tc>
          <w:tcPr>
            <w:tcW w:w="300" w:type="dxa"/>
            <w:noWrap/>
          </w:tcPr>
          <w:p w14:paraId="531DFC2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05FAC8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6A85A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4F1ADA44" w14:textId="77777777" w:rsidTr="00465739">
        <w:trPr>
          <w:trHeight w:val="20"/>
        </w:trPr>
        <w:tc>
          <w:tcPr>
            <w:tcW w:w="300" w:type="dxa"/>
            <w:noWrap/>
          </w:tcPr>
          <w:p w14:paraId="34D31CB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01A19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A153D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479973CA" w14:textId="77777777" w:rsidTr="00465739">
        <w:trPr>
          <w:trHeight w:val="20"/>
        </w:trPr>
        <w:tc>
          <w:tcPr>
            <w:tcW w:w="300" w:type="dxa"/>
            <w:noWrap/>
          </w:tcPr>
          <w:p w14:paraId="5434372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347B7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71ECE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53A03EB6" w14:textId="77777777" w:rsidTr="00465739">
        <w:trPr>
          <w:trHeight w:val="20"/>
        </w:trPr>
        <w:tc>
          <w:tcPr>
            <w:tcW w:w="300" w:type="dxa"/>
            <w:noWrap/>
          </w:tcPr>
          <w:p w14:paraId="64FBF67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2BAE5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CB26E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3FBB8B99" w14:textId="77777777" w:rsidTr="00465739">
        <w:trPr>
          <w:trHeight w:val="20"/>
        </w:trPr>
        <w:tc>
          <w:tcPr>
            <w:tcW w:w="300" w:type="dxa"/>
            <w:noWrap/>
          </w:tcPr>
          <w:p w14:paraId="4592C16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A118A5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DF51F3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5EB03FD7" w14:textId="77777777" w:rsidTr="00465739">
        <w:trPr>
          <w:trHeight w:val="20"/>
        </w:trPr>
        <w:tc>
          <w:tcPr>
            <w:tcW w:w="300" w:type="dxa"/>
            <w:noWrap/>
          </w:tcPr>
          <w:p w14:paraId="18E747E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BBEEC5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7CD97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278264FA" w14:textId="77777777" w:rsidTr="00465739">
        <w:trPr>
          <w:trHeight w:val="20"/>
        </w:trPr>
        <w:tc>
          <w:tcPr>
            <w:tcW w:w="300" w:type="dxa"/>
            <w:noWrap/>
            <w:hideMark/>
          </w:tcPr>
          <w:p w14:paraId="7A1D653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4C09112"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7A8A524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412810F6" w14:textId="77777777" w:rsidTr="00465739">
        <w:trPr>
          <w:trHeight w:val="20"/>
        </w:trPr>
        <w:tc>
          <w:tcPr>
            <w:tcW w:w="0" w:type="auto"/>
            <w:noWrap/>
            <w:hideMark/>
          </w:tcPr>
          <w:p w14:paraId="7D87A67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80B361E" w14:textId="19911062" w:rsidR="00160BA5" w:rsidRPr="00CE031F" w:rsidRDefault="00160BA5"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Danemark</w:t>
            </w:r>
          </w:p>
        </w:tc>
      </w:tr>
      <w:tr w:rsidR="00160BA5" w:rsidRPr="00CE031F" w14:paraId="64413D25" w14:textId="77777777" w:rsidTr="00465739">
        <w:trPr>
          <w:trHeight w:val="20"/>
        </w:trPr>
        <w:tc>
          <w:tcPr>
            <w:tcW w:w="300" w:type="dxa"/>
            <w:noWrap/>
            <w:hideMark/>
          </w:tcPr>
          <w:p w14:paraId="391F951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BA69601"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10D55C43" w14:textId="4C9802E2"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1A139688" w14:textId="77777777" w:rsidTr="00465739">
        <w:trPr>
          <w:trHeight w:val="20"/>
        </w:trPr>
        <w:tc>
          <w:tcPr>
            <w:tcW w:w="300" w:type="dxa"/>
            <w:noWrap/>
            <w:hideMark/>
          </w:tcPr>
          <w:p w14:paraId="35D3A73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3C366C4"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4A4A28FF" w14:textId="0F11900B"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5C99E093" w14:textId="77777777" w:rsidTr="00465739">
        <w:trPr>
          <w:trHeight w:val="20"/>
        </w:trPr>
        <w:tc>
          <w:tcPr>
            <w:tcW w:w="300" w:type="dxa"/>
            <w:noWrap/>
            <w:hideMark/>
          </w:tcPr>
          <w:p w14:paraId="7C82955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8A89582"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367C60C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74658550" w14:textId="77777777" w:rsidTr="00465739">
        <w:trPr>
          <w:trHeight w:val="20"/>
        </w:trPr>
        <w:tc>
          <w:tcPr>
            <w:tcW w:w="300" w:type="dxa"/>
            <w:noWrap/>
            <w:hideMark/>
          </w:tcPr>
          <w:p w14:paraId="1649544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32D85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37A29CC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3DEB85B9" w14:textId="77777777" w:rsidTr="00465739">
        <w:trPr>
          <w:trHeight w:val="20"/>
        </w:trPr>
        <w:tc>
          <w:tcPr>
            <w:tcW w:w="300" w:type="dxa"/>
            <w:noWrap/>
          </w:tcPr>
          <w:p w14:paraId="75B8340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B145B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CC4E7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0C422CF6" w14:textId="77777777" w:rsidTr="00465739">
        <w:trPr>
          <w:trHeight w:val="20"/>
        </w:trPr>
        <w:tc>
          <w:tcPr>
            <w:tcW w:w="300" w:type="dxa"/>
            <w:noWrap/>
          </w:tcPr>
          <w:p w14:paraId="0F75D72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CC084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66511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0373679F" w14:textId="77777777" w:rsidTr="00465739">
        <w:trPr>
          <w:trHeight w:val="20"/>
        </w:trPr>
        <w:tc>
          <w:tcPr>
            <w:tcW w:w="300" w:type="dxa"/>
            <w:noWrap/>
          </w:tcPr>
          <w:p w14:paraId="61C39D0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6BF03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EAF2D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10B10A42" w14:textId="77777777" w:rsidTr="00465739">
        <w:trPr>
          <w:trHeight w:val="20"/>
        </w:trPr>
        <w:tc>
          <w:tcPr>
            <w:tcW w:w="300" w:type="dxa"/>
            <w:noWrap/>
          </w:tcPr>
          <w:p w14:paraId="7D5AEAB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3EC6CC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156AD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5553D8E9" w14:textId="77777777" w:rsidTr="00465739">
        <w:trPr>
          <w:trHeight w:val="20"/>
        </w:trPr>
        <w:tc>
          <w:tcPr>
            <w:tcW w:w="300" w:type="dxa"/>
            <w:noWrap/>
          </w:tcPr>
          <w:p w14:paraId="72E3506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8F813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5DDF7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6C0B6264" w14:textId="77777777" w:rsidTr="00465739">
        <w:trPr>
          <w:trHeight w:val="20"/>
        </w:trPr>
        <w:tc>
          <w:tcPr>
            <w:tcW w:w="300" w:type="dxa"/>
            <w:noWrap/>
          </w:tcPr>
          <w:p w14:paraId="0CB5515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FD4EC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C393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5DC49A17" w14:textId="77777777" w:rsidTr="00465739">
        <w:trPr>
          <w:trHeight w:val="20"/>
        </w:trPr>
        <w:tc>
          <w:tcPr>
            <w:tcW w:w="300" w:type="dxa"/>
            <w:noWrap/>
          </w:tcPr>
          <w:p w14:paraId="0BCA748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E4ABD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A23B2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3F4A93A1" w14:textId="77777777" w:rsidTr="00465739">
        <w:trPr>
          <w:trHeight w:val="20"/>
        </w:trPr>
        <w:tc>
          <w:tcPr>
            <w:tcW w:w="300" w:type="dxa"/>
            <w:noWrap/>
          </w:tcPr>
          <w:p w14:paraId="5A584A6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2B60C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2BB85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22CACC69" w14:textId="77777777" w:rsidTr="00465739">
        <w:trPr>
          <w:trHeight w:val="20"/>
        </w:trPr>
        <w:tc>
          <w:tcPr>
            <w:tcW w:w="300" w:type="dxa"/>
            <w:noWrap/>
          </w:tcPr>
          <w:p w14:paraId="2B0E54A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D2F20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A9C8C9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7CB05CC8" w14:textId="77777777" w:rsidTr="00465739">
        <w:trPr>
          <w:trHeight w:val="20"/>
        </w:trPr>
        <w:tc>
          <w:tcPr>
            <w:tcW w:w="300" w:type="dxa"/>
            <w:noWrap/>
          </w:tcPr>
          <w:p w14:paraId="5910912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9DDAD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E22BA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1F9759E9" w14:textId="77777777" w:rsidTr="00465739">
        <w:trPr>
          <w:trHeight w:val="20"/>
        </w:trPr>
        <w:tc>
          <w:tcPr>
            <w:tcW w:w="300" w:type="dxa"/>
            <w:noWrap/>
          </w:tcPr>
          <w:p w14:paraId="14E465B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1DBC5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CE762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65A245EB" w14:textId="77777777" w:rsidTr="00465739">
        <w:trPr>
          <w:trHeight w:val="20"/>
        </w:trPr>
        <w:tc>
          <w:tcPr>
            <w:tcW w:w="300" w:type="dxa"/>
            <w:noWrap/>
          </w:tcPr>
          <w:p w14:paraId="0C610BC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0D736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10693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3B1419E6" w14:textId="77777777" w:rsidTr="00465739">
        <w:trPr>
          <w:trHeight w:val="20"/>
        </w:trPr>
        <w:tc>
          <w:tcPr>
            <w:tcW w:w="300" w:type="dxa"/>
            <w:noWrap/>
          </w:tcPr>
          <w:p w14:paraId="1D61236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98413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0AE58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2E71749B" w14:textId="77777777" w:rsidTr="00465739">
        <w:trPr>
          <w:trHeight w:val="20"/>
        </w:trPr>
        <w:tc>
          <w:tcPr>
            <w:tcW w:w="300" w:type="dxa"/>
            <w:noWrap/>
          </w:tcPr>
          <w:p w14:paraId="0D326CB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80778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7541F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7D507C3A" w14:textId="77777777" w:rsidTr="00465739">
        <w:trPr>
          <w:trHeight w:val="20"/>
        </w:trPr>
        <w:tc>
          <w:tcPr>
            <w:tcW w:w="300" w:type="dxa"/>
            <w:noWrap/>
          </w:tcPr>
          <w:p w14:paraId="5193352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6AE0A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39251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562AE7A3" w14:textId="77777777" w:rsidTr="00465739">
        <w:trPr>
          <w:trHeight w:val="20"/>
        </w:trPr>
        <w:tc>
          <w:tcPr>
            <w:tcW w:w="300" w:type="dxa"/>
            <w:noWrap/>
          </w:tcPr>
          <w:p w14:paraId="13BAC8F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BC640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553DA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3ADA6D3F" w14:textId="77777777" w:rsidTr="00465739">
        <w:trPr>
          <w:trHeight w:val="20"/>
        </w:trPr>
        <w:tc>
          <w:tcPr>
            <w:tcW w:w="300" w:type="dxa"/>
            <w:noWrap/>
          </w:tcPr>
          <w:p w14:paraId="47054C6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51E73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20C96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425D5F7D" w14:textId="77777777" w:rsidTr="00465739">
        <w:trPr>
          <w:trHeight w:val="20"/>
        </w:trPr>
        <w:tc>
          <w:tcPr>
            <w:tcW w:w="300" w:type="dxa"/>
            <w:noWrap/>
          </w:tcPr>
          <w:p w14:paraId="689DF00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0D930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9CE81F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6535090D" w14:textId="77777777" w:rsidTr="00465739">
        <w:trPr>
          <w:trHeight w:val="20"/>
        </w:trPr>
        <w:tc>
          <w:tcPr>
            <w:tcW w:w="300" w:type="dxa"/>
            <w:noWrap/>
          </w:tcPr>
          <w:p w14:paraId="1325081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B33CD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327EB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693D0357" w14:textId="77777777" w:rsidTr="00465739">
        <w:trPr>
          <w:trHeight w:val="20"/>
        </w:trPr>
        <w:tc>
          <w:tcPr>
            <w:tcW w:w="300" w:type="dxa"/>
            <w:noWrap/>
          </w:tcPr>
          <w:p w14:paraId="3EA9233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B9F47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E4452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3E9A9FA5" w14:textId="77777777" w:rsidTr="00465739">
        <w:trPr>
          <w:trHeight w:val="20"/>
        </w:trPr>
        <w:tc>
          <w:tcPr>
            <w:tcW w:w="300" w:type="dxa"/>
            <w:noWrap/>
          </w:tcPr>
          <w:p w14:paraId="64B6004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35EF0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1E9DD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2586373E" w14:textId="77777777" w:rsidTr="00465739">
        <w:trPr>
          <w:trHeight w:val="20"/>
        </w:trPr>
        <w:tc>
          <w:tcPr>
            <w:tcW w:w="300" w:type="dxa"/>
            <w:noWrap/>
          </w:tcPr>
          <w:p w14:paraId="4CEB42B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6AAAF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2E7D3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273DD3CB" w14:textId="77777777" w:rsidTr="00465739">
        <w:trPr>
          <w:trHeight w:val="20"/>
        </w:trPr>
        <w:tc>
          <w:tcPr>
            <w:tcW w:w="300" w:type="dxa"/>
            <w:noWrap/>
          </w:tcPr>
          <w:p w14:paraId="290208F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1E8B2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CC289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46FB7B07" w14:textId="77777777" w:rsidTr="00465739">
        <w:trPr>
          <w:trHeight w:val="20"/>
        </w:trPr>
        <w:tc>
          <w:tcPr>
            <w:tcW w:w="300" w:type="dxa"/>
            <w:noWrap/>
          </w:tcPr>
          <w:p w14:paraId="09F2C94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21251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983A2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5908B8ED" w14:textId="77777777" w:rsidTr="00465739">
        <w:trPr>
          <w:trHeight w:val="20"/>
        </w:trPr>
        <w:tc>
          <w:tcPr>
            <w:tcW w:w="300" w:type="dxa"/>
            <w:noWrap/>
          </w:tcPr>
          <w:p w14:paraId="38AB905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CE0AF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867A2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31026A99" w14:textId="77777777" w:rsidTr="00465739">
        <w:trPr>
          <w:trHeight w:val="20"/>
        </w:trPr>
        <w:tc>
          <w:tcPr>
            <w:tcW w:w="300" w:type="dxa"/>
            <w:noWrap/>
          </w:tcPr>
          <w:p w14:paraId="3EAB53F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C1B60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6FF47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4F2E8842" w14:textId="77777777" w:rsidTr="00465739">
        <w:trPr>
          <w:trHeight w:val="20"/>
        </w:trPr>
        <w:tc>
          <w:tcPr>
            <w:tcW w:w="300" w:type="dxa"/>
            <w:noWrap/>
          </w:tcPr>
          <w:p w14:paraId="44C0429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C7F1A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8F4A9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2CBDC74B" w14:textId="77777777" w:rsidTr="00465739">
        <w:trPr>
          <w:trHeight w:val="20"/>
        </w:trPr>
        <w:tc>
          <w:tcPr>
            <w:tcW w:w="300" w:type="dxa"/>
            <w:noWrap/>
            <w:hideMark/>
          </w:tcPr>
          <w:p w14:paraId="6113391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982ED8E"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EE044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23090C9F" w14:textId="77777777" w:rsidTr="00465739">
        <w:trPr>
          <w:trHeight w:val="20"/>
        </w:trPr>
        <w:tc>
          <w:tcPr>
            <w:tcW w:w="0" w:type="auto"/>
            <w:noWrap/>
            <w:hideMark/>
          </w:tcPr>
          <w:p w14:paraId="5A8941A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EA9615D" w14:textId="5BD02D8D"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Espagne</w:t>
            </w:r>
          </w:p>
        </w:tc>
      </w:tr>
      <w:tr w:rsidR="00160BA5" w:rsidRPr="00CE031F" w14:paraId="12A064D8" w14:textId="77777777" w:rsidTr="00465739">
        <w:trPr>
          <w:trHeight w:val="20"/>
        </w:trPr>
        <w:tc>
          <w:tcPr>
            <w:tcW w:w="300" w:type="dxa"/>
            <w:noWrap/>
            <w:hideMark/>
          </w:tcPr>
          <w:p w14:paraId="2D35EF7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92FF7C1"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10406CF3" w14:textId="7C38DA25"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5EF6BEE0" w14:textId="77777777" w:rsidTr="00465739">
        <w:trPr>
          <w:trHeight w:val="20"/>
        </w:trPr>
        <w:tc>
          <w:tcPr>
            <w:tcW w:w="300" w:type="dxa"/>
            <w:noWrap/>
            <w:hideMark/>
          </w:tcPr>
          <w:p w14:paraId="2E497FA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4B2BA3A"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79F2261" w14:textId="7404630C"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196BE8E2" w14:textId="77777777" w:rsidTr="00465739">
        <w:trPr>
          <w:trHeight w:val="20"/>
        </w:trPr>
        <w:tc>
          <w:tcPr>
            <w:tcW w:w="300" w:type="dxa"/>
            <w:noWrap/>
            <w:hideMark/>
          </w:tcPr>
          <w:p w14:paraId="3B0576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BACB2F4"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B5A11D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476A1926" w14:textId="77777777" w:rsidTr="00465739">
        <w:trPr>
          <w:trHeight w:val="20"/>
        </w:trPr>
        <w:tc>
          <w:tcPr>
            <w:tcW w:w="300" w:type="dxa"/>
            <w:noWrap/>
            <w:hideMark/>
          </w:tcPr>
          <w:p w14:paraId="5BD1F64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E1C2E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0FFF123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6EBF6818" w14:textId="77777777" w:rsidTr="00465739">
        <w:trPr>
          <w:trHeight w:val="20"/>
        </w:trPr>
        <w:tc>
          <w:tcPr>
            <w:tcW w:w="300" w:type="dxa"/>
            <w:noWrap/>
          </w:tcPr>
          <w:p w14:paraId="4C53B2D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012C3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0902D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474D3E09" w14:textId="77777777" w:rsidTr="00465739">
        <w:trPr>
          <w:trHeight w:val="20"/>
        </w:trPr>
        <w:tc>
          <w:tcPr>
            <w:tcW w:w="300" w:type="dxa"/>
            <w:noWrap/>
          </w:tcPr>
          <w:p w14:paraId="4009471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F85C2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F4EDA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0FAA4A7A" w14:textId="77777777" w:rsidTr="00465739">
        <w:trPr>
          <w:trHeight w:val="20"/>
        </w:trPr>
        <w:tc>
          <w:tcPr>
            <w:tcW w:w="300" w:type="dxa"/>
            <w:noWrap/>
          </w:tcPr>
          <w:p w14:paraId="7951C57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1183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EECFE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3944B7EC" w14:textId="77777777" w:rsidTr="00465739">
        <w:trPr>
          <w:trHeight w:val="20"/>
        </w:trPr>
        <w:tc>
          <w:tcPr>
            <w:tcW w:w="300" w:type="dxa"/>
            <w:noWrap/>
          </w:tcPr>
          <w:p w14:paraId="12F7EC5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3253B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C18C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59985E39" w14:textId="77777777" w:rsidTr="00465739">
        <w:trPr>
          <w:trHeight w:val="20"/>
        </w:trPr>
        <w:tc>
          <w:tcPr>
            <w:tcW w:w="300" w:type="dxa"/>
            <w:noWrap/>
          </w:tcPr>
          <w:p w14:paraId="1C50ABD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DCCEB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F30F2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0B4005CB" w14:textId="77777777" w:rsidTr="00465739">
        <w:trPr>
          <w:trHeight w:val="20"/>
        </w:trPr>
        <w:tc>
          <w:tcPr>
            <w:tcW w:w="300" w:type="dxa"/>
            <w:noWrap/>
          </w:tcPr>
          <w:p w14:paraId="456386A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31754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6C2E7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66552A1B" w14:textId="77777777" w:rsidTr="00465739">
        <w:trPr>
          <w:trHeight w:val="20"/>
        </w:trPr>
        <w:tc>
          <w:tcPr>
            <w:tcW w:w="300" w:type="dxa"/>
            <w:noWrap/>
          </w:tcPr>
          <w:p w14:paraId="322AFFC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A4887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14643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68B10488" w14:textId="77777777" w:rsidTr="00465739">
        <w:trPr>
          <w:trHeight w:val="20"/>
        </w:trPr>
        <w:tc>
          <w:tcPr>
            <w:tcW w:w="300" w:type="dxa"/>
            <w:noWrap/>
          </w:tcPr>
          <w:p w14:paraId="6C3D3A6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3F57CA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BBA4D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57182734" w14:textId="77777777" w:rsidTr="00465739">
        <w:trPr>
          <w:trHeight w:val="20"/>
        </w:trPr>
        <w:tc>
          <w:tcPr>
            <w:tcW w:w="300" w:type="dxa"/>
            <w:noWrap/>
          </w:tcPr>
          <w:p w14:paraId="6A07C99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CEA80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1141D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57B3C381" w14:textId="77777777" w:rsidTr="00465739">
        <w:trPr>
          <w:trHeight w:val="20"/>
        </w:trPr>
        <w:tc>
          <w:tcPr>
            <w:tcW w:w="300" w:type="dxa"/>
            <w:noWrap/>
          </w:tcPr>
          <w:p w14:paraId="54A4DC0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99756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398BC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0E1AB423" w14:textId="77777777" w:rsidTr="00465739">
        <w:trPr>
          <w:trHeight w:val="20"/>
        </w:trPr>
        <w:tc>
          <w:tcPr>
            <w:tcW w:w="300" w:type="dxa"/>
            <w:noWrap/>
          </w:tcPr>
          <w:p w14:paraId="26601BE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1A75C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2255AD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19B3226A" w14:textId="77777777" w:rsidTr="00465739">
        <w:trPr>
          <w:trHeight w:val="20"/>
        </w:trPr>
        <w:tc>
          <w:tcPr>
            <w:tcW w:w="300" w:type="dxa"/>
            <w:noWrap/>
          </w:tcPr>
          <w:p w14:paraId="317D67E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06C8F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58048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3AC4C85A" w14:textId="77777777" w:rsidTr="00465739">
        <w:trPr>
          <w:trHeight w:val="20"/>
        </w:trPr>
        <w:tc>
          <w:tcPr>
            <w:tcW w:w="300" w:type="dxa"/>
            <w:noWrap/>
          </w:tcPr>
          <w:p w14:paraId="083BEEC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446A4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AE677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358FA9AE" w14:textId="77777777" w:rsidTr="00465739">
        <w:trPr>
          <w:trHeight w:val="20"/>
        </w:trPr>
        <w:tc>
          <w:tcPr>
            <w:tcW w:w="300" w:type="dxa"/>
            <w:noWrap/>
          </w:tcPr>
          <w:p w14:paraId="2A47096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406CB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C96859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683475D1" w14:textId="77777777" w:rsidTr="00465739">
        <w:trPr>
          <w:trHeight w:val="20"/>
        </w:trPr>
        <w:tc>
          <w:tcPr>
            <w:tcW w:w="300" w:type="dxa"/>
            <w:noWrap/>
          </w:tcPr>
          <w:p w14:paraId="636D4F0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7E939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F0067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25E7BDEB" w14:textId="77777777" w:rsidTr="00465739">
        <w:trPr>
          <w:trHeight w:val="20"/>
        </w:trPr>
        <w:tc>
          <w:tcPr>
            <w:tcW w:w="300" w:type="dxa"/>
            <w:noWrap/>
          </w:tcPr>
          <w:p w14:paraId="3F98BF6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F46CA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F9E58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7A52579C" w14:textId="77777777" w:rsidTr="00465739">
        <w:trPr>
          <w:trHeight w:val="20"/>
        </w:trPr>
        <w:tc>
          <w:tcPr>
            <w:tcW w:w="300" w:type="dxa"/>
            <w:noWrap/>
          </w:tcPr>
          <w:p w14:paraId="466DB1A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45CA0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6477B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499C7C1" w14:textId="77777777" w:rsidTr="00465739">
        <w:trPr>
          <w:trHeight w:val="20"/>
        </w:trPr>
        <w:tc>
          <w:tcPr>
            <w:tcW w:w="300" w:type="dxa"/>
            <w:noWrap/>
          </w:tcPr>
          <w:p w14:paraId="43F8069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219FB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F895D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27ED0F3F" w14:textId="77777777" w:rsidTr="00465739">
        <w:trPr>
          <w:trHeight w:val="20"/>
        </w:trPr>
        <w:tc>
          <w:tcPr>
            <w:tcW w:w="300" w:type="dxa"/>
            <w:noWrap/>
          </w:tcPr>
          <w:p w14:paraId="0A90FEC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89B1B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747D0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5ABEB80C" w14:textId="77777777" w:rsidTr="00465739">
        <w:trPr>
          <w:trHeight w:val="20"/>
        </w:trPr>
        <w:tc>
          <w:tcPr>
            <w:tcW w:w="300" w:type="dxa"/>
            <w:noWrap/>
          </w:tcPr>
          <w:p w14:paraId="4C6EA30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72084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B494D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10C5AB1E" w14:textId="77777777" w:rsidTr="00465739">
        <w:trPr>
          <w:trHeight w:val="20"/>
        </w:trPr>
        <w:tc>
          <w:tcPr>
            <w:tcW w:w="300" w:type="dxa"/>
            <w:noWrap/>
          </w:tcPr>
          <w:p w14:paraId="61A78A2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6D27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91786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418C2FA8" w14:textId="77777777" w:rsidTr="00465739">
        <w:trPr>
          <w:trHeight w:val="20"/>
        </w:trPr>
        <w:tc>
          <w:tcPr>
            <w:tcW w:w="300" w:type="dxa"/>
            <w:noWrap/>
          </w:tcPr>
          <w:p w14:paraId="0A42564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F3792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7B342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4AC4B27C" w14:textId="77777777" w:rsidTr="00465739">
        <w:trPr>
          <w:trHeight w:val="20"/>
        </w:trPr>
        <w:tc>
          <w:tcPr>
            <w:tcW w:w="300" w:type="dxa"/>
            <w:noWrap/>
          </w:tcPr>
          <w:p w14:paraId="3A0D0D2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BDA7A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D62E8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761648C5" w14:textId="77777777" w:rsidTr="00465739">
        <w:trPr>
          <w:trHeight w:val="20"/>
        </w:trPr>
        <w:tc>
          <w:tcPr>
            <w:tcW w:w="300" w:type="dxa"/>
            <w:noWrap/>
          </w:tcPr>
          <w:p w14:paraId="7700220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263E5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3324C3"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24DF178A" w14:textId="77777777" w:rsidTr="00465739">
        <w:trPr>
          <w:trHeight w:val="20"/>
        </w:trPr>
        <w:tc>
          <w:tcPr>
            <w:tcW w:w="300" w:type="dxa"/>
            <w:noWrap/>
          </w:tcPr>
          <w:p w14:paraId="4FF2980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BF95D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E3592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2F4B1606" w14:textId="77777777" w:rsidTr="00465739">
        <w:trPr>
          <w:trHeight w:val="20"/>
        </w:trPr>
        <w:tc>
          <w:tcPr>
            <w:tcW w:w="300" w:type="dxa"/>
            <w:noWrap/>
          </w:tcPr>
          <w:p w14:paraId="1D96C6B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528CE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F3A69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2AC8DAC5" w14:textId="77777777" w:rsidTr="00465739">
        <w:trPr>
          <w:trHeight w:val="20"/>
        </w:trPr>
        <w:tc>
          <w:tcPr>
            <w:tcW w:w="300" w:type="dxa"/>
            <w:noWrap/>
          </w:tcPr>
          <w:p w14:paraId="6E98A0D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6069C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C7886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4B337DE9" w14:textId="77777777" w:rsidTr="00465739">
        <w:trPr>
          <w:trHeight w:val="20"/>
        </w:trPr>
        <w:tc>
          <w:tcPr>
            <w:tcW w:w="300" w:type="dxa"/>
            <w:noWrap/>
            <w:hideMark/>
          </w:tcPr>
          <w:p w14:paraId="33C3BB2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6F01D76"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74A7249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1A60AF02" w14:textId="77777777" w:rsidTr="00465739">
        <w:trPr>
          <w:trHeight w:val="20"/>
        </w:trPr>
        <w:tc>
          <w:tcPr>
            <w:tcW w:w="0" w:type="auto"/>
            <w:noWrap/>
            <w:hideMark/>
          </w:tcPr>
          <w:p w14:paraId="490B898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AA8D783" w14:textId="1209487D" w:rsidR="00160BA5" w:rsidRPr="00CE031F" w:rsidRDefault="00160BA5"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Estonie</w:t>
            </w:r>
          </w:p>
        </w:tc>
      </w:tr>
      <w:tr w:rsidR="00160BA5" w:rsidRPr="00CE031F" w14:paraId="58895188" w14:textId="77777777" w:rsidTr="00465739">
        <w:trPr>
          <w:trHeight w:val="20"/>
        </w:trPr>
        <w:tc>
          <w:tcPr>
            <w:tcW w:w="300" w:type="dxa"/>
            <w:noWrap/>
            <w:hideMark/>
          </w:tcPr>
          <w:p w14:paraId="0A26A13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7038B62"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2E06DE42" w14:textId="2C6471C1"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58FA9D4A" w14:textId="77777777" w:rsidTr="00465739">
        <w:trPr>
          <w:trHeight w:val="20"/>
        </w:trPr>
        <w:tc>
          <w:tcPr>
            <w:tcW w:w="300" w:type="dxa"/>
            <w:noWrap/>
            <w:hideMark/>
          </w:tcPr>
          <w:p w14:paraId="2709BA2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B374BA6"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535E0535" w14:textId="2ED46E30"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52C8DC32" w14:textId="77777777" w:rsidTr="00465739">
        <w:trPr>
          <w:trHeight w:val="20"/>
        </w:trPr>
        <w:tc>
          <w:tcPr>
            <w:tcW w:w="300" w:type="dxa"/>
            <w:noWrap/>
            <w:hideMark/>
          </w:tcPr>
          <w:p w14:paraId="2171145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A2571F9"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59920B5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09846C28" w14:textId="77777777" w:rsidTr="00465739">
        <w:trPr>
          <w:trHeight w:val="20"/>
        </w:trPr>
        <w:tc>
          <w:tcPr>
            <w:tcW w:w="300" w:type="dxa"/>
            <w:noWrap/>
            <w:hideMark/>
          </w:tcPr>
          <w:p w14:paraId="7EB445B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E3C90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1A5323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1004DCA1" w14:textId="77777777" w:rsidTr="00465739">
        <w:trPr>
          <w:trHeight w:val="20"/>
        </w:trPr>
        <w:tc>
          <w:tcPr>
            <w:tcW w:w="300" w:type="dxa"/>
            <w:noWrap/>
          </w:tcPr>
          <w:p w14:paraId="3835FDE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A59F8F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8B1974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16CA8545" w14:textId="77777777" w:rsidTr="00465739">
        <w:trPr>
          <w:trHeight w:val="20"/>
        </w:trPr>
        <w:tc>
          <w:tcPr>
            <w:tcW w:w="300" w:type="dxa"/>
            <w:noWrap/>
          </w:tcPr>
          <w:p w14:paraId="2590C68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1E2D0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B2073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71F656A4" w14:textId="77777777" w:rsidTr="00465739">
        <w:trPr>
          <w:trHeight w:val="20"/>
        </w:trPr>
        <w:tc>
          <w:tcPr>
            <w:tcW w:w="300" w:type="dxa"/>
            <w:noWrap/>
          </w:tcPr>
          <w:p w14:paraId="726770D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60107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63851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6EA15AAC" w14:textId="77777777" w:rsidTr="00465739">
        <w:trPr>
          <w:trHeight w:val="20"/>
        </w:trPr>
        <w:tc>
          <w:tcPr>
            <w:tcW w:w="300" w:type="dxa"/>
            <w:noWrap/>
          </w:tcPr>
          <w:p w14:paraId="1266B8C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CAA29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CCA34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6C4A126E" w14:textId="77777777" w:rsidTr="00465739">
        <w:trPr>
          <w:trHeight w:val="20"/>
        </w:trPr>
        <w:tc>
          <w:tcPr>
            <w:tcW w:w="300" w:type="dxa"/>
            <w:noWrap/>
          </w:tcPr>
          <w:p w14:paraId="3F205DF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C097E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29153D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5E289E8C" w14:textId="77777777" w:rsidTr="00465739">
        <w:trPr>
          <w:trHeight w:val="20"/>
        </w:trPr>
        <w:tc>
          <w:tcPr>
            <w:tcW w:w="300" w:type="dxa"/>
            <w:noWrap/>
          </w:tcPr>
          <w:p w14:paraId="70B1F00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53511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5A602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27687AD0" w14:textId="77777777" w:rsidTr="00465739">
        <w:trPr>
          <w:trHeight w:val="20"/>
        </w:trPr>
        <w:tc>
          <w:tcPr>
            <w:tcW w:w="300" w:type="dxa"/>
            <w:noWrap/>
          </w:tcPr>
          <w:p w14:paraId="575758E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FA229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0D7C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1D6552F9" w14:textId="77777777" w:rsidTr="00465739">
        <w:trPr>
          <w:trHeight w:val="20"/>
        </w:trPr>
        <w:tc>
          <w:tcPr>
            <w:tcW w:w="300" w:type="dxa"/>
            <w:noWrap/>
          </w:tcPr>
          <w:p w14:paraId="6E3C498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DE140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B2B20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406E6E10" w14:textId="77777777" w:rsidTr="00465739">
        <w:trPr>
          <w:trHeight w:val="20"/>
        </w:trPr>
        <w:tc>
          <w:tcPr>
            <w:tcW w:w="300" w:type="dxa"/>
            <w:noWrap/>
          </w:tcPr>
          <w:p w14:paraId="532CE16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BD079D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E03C1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01364A64" w14:textId="77777777" w:rsidTr="00465739">
        <w:trPr>
          <w:trHeight w:val="20"/>
        </w:trPr>
        <w:tc>
          <w:tcPr>
            <w:tcW w:w="300" w:type="dxa"/>
            <w:noWrap/>
          </w:tcPr>
          <w:p w14:paraId="678133A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A67CD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0FCCF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60AA1C4A" w14:textId="77777777" w:rsidTr="00465739">
        <w:trPr>
          <w:trHeight w:val="20"/>
        </w:trPr>
        <w:tc>
          <w:tcPr>
            <w:tcW w:w="300" w:type="dxa"/>
            <w:noWrap/>
          </w:tcPr>
          <w:p w14:paraId="1AD0961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1A362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9BBCE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6B8EA81D" w14:textId="77777777" w:rsidTr="00465739">
        <w:trPr>
          <w:trHeight w:val="20"/>
        </w:trPr>
        <w:tc>
          <w:tcPr>
            <w:tcW w:w="300" w:type="dxa"/>
            <w:noWrap/>
          </w:tcPr>
          <w:p w14:paraId="790C3C3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6E008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1869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271642FE" w14:textId="77777777" w:rsidTr="00465739">
        <w:trPr>
          <w:trHeight w:val="20"/>
        </w:trPr>
        <w:tc>
          <w:tcPr>
            <w:tcW w:w="300" w:type="dxa"/>
            <w:noWrap/>
          </w:tcPr>
          <w:p w14:paraId="5AD45B7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C6CD7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C4F5C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6F81E772" w14:textId="77777777" w:rsidTr="00465739">
        <w:trPr>
          <w:trHeight w:val="20"/>
        </w:trPr>
        <w:tc>
          <w:tcPr>
            <w:tcW w:w="300" w:type="dxa"/>
            <w:noWrap/>
          </w:tcPr>
          <w:p w14:paraId="1C14C06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24DBE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14C2C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4DE3763F" w14:textId="77777777" w:rsidTr="00465739">
        <w:trPr>
          <w:trHeight w:val="20"/>
        </w:trPr>
        <w:tc>
          <w:tcPr>
            <w:tcW w:w="300" w:type="dxa"/>
            <w:noWrap/>
          </w:tcPr>
          <w:p w14:paraId="6598EA5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63C5A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A1952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4A7DE83" w14:textId="77777777" w:rsidTr="00465739">
        <w:trPr>
          <w:trHeight w:val="20"/>
        </w:trPr>
        <w:tc>
          <w:tcPr>
            <w:tcW w:w="300" w:type="dxa"/>
            <w:noWrap/>
          </w:tcPr>
          <w:p w14:paraId="2A3C258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0779EC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140F9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6CCEDEF8" w14:textId="77777777" w:rsidTr="00465739">
        <w:trPr>
          <w:trHeight w:val="20"/>
        </w:trPr>
        <w:tc>
          <w:tcPr>
            <w:tcW w:w="300" w:type="dxa"/>
            <w:noWrap/>
          </w:tcPr>
          <w:p w14:paraId="171037A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35043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EFDBC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22C37B98" w14:textId="77777777" w:rsidTr="00465739">
        <w:trPr>
          <w:trHeight w:val="20"/>
        </w:trPr>
        <w:tc>
          <w:tcPr>
            <w:tcW w:w="300" w:type="dxa"/>
            <w:noWrap/>
          </w:tcPr>
          <w:p w14:paraId="574CB81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3F4F0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C899D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54BD897A" w14:textId="77777777" w:rsidTr="00465739">
        <w:trPr>
          <w:trHeight w:val="20"/>
        </w:trPr>
        <w:tc>
          <w:tcPr>
            <w:tcW w:w="300" w:type="dxa"/>
            <w:noWrap/>
          </w:tcPr>
          <w:p w14:paraId="4069348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12309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DEADC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754F78DB" w14:textId="77777777" w:rsidTr="00465739">
        <w:trPr>
          <w:trHeight w:val="20"/>
        </w:trPr>
        <w:tc>
          <w:tcPr>
            <w:tcW w:w="300" w:type="dxa"/>
            <w:noWrap/>
          </w:tcPr>
          <w:p w14:paraId="064FF38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43E2C3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033910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0D6E3F16" w14:textId="77777777" w:rsidTr="00465739">
        <w:trPr>
          <w:trHeight w:val="20"/>
        </w:trPr>
        <w:tc>
          <w:tcPr>
            <w:tcW w:w="300" w:type="dxa"/>
            <w:noWrap/>
          </w:tcPr>
          <w:p w14:paraId="04DC560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DE318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1EC4B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440D60A0" w14:textId="77777777" w:rsidTr="00465739">
        <w:trPr>
          <w:trHeight w:val="20"/>
        </w:trPr>
        <w:tc>
          <w:tcPr>
            <w:tcW w:w="300" w:type="dxa"/>
            <w:noWrap/>
          </w:tcPr>
          <w:p w14:paraId="5976D9D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90562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4563A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1C891B18" w14:textId="77777777" w:rsidTr="00465739">
        <w:trPr>
          <w:trHeight w:val="20"/>
        </w:trPr>
        <w:tc>
          <w:tcPr>
            <w:tcW w:w="300" w:type="dxa"/>
            <w:noWrap/>
          </w:tcPr>
          <w:p w14:paraId="5040BB3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E5BAFD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765433"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6584FF69" w14:textId="77777777" w:rsidTr="00465739">
        <w:trPr>
          <w:trHeight w:val="20"/>
        </w:trPr>
        <w:tc>
          <w:tcPr>
            <w:tcW w:w="300" w:type="dxa"/>
            <w:noWrap/>
          </w:tcPr>
          <w:p w14:paraId="52E1373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102E7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D3843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684B1827" w14:textId="77777777" w:rsidTr="00465739">
        <w:trPr>
          <w:trHeight w:val="20"/>
        </w:trPr>
        <w:tc>
          <w:tcPr>
            <w:tcW w:w="300" w:type="dxa"/>
            <w:noWrap/>
          </w:tcPr>
          <w:p w14:paraId="3A4744A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22590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BEDDA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33EAFE28" w14:textId="77777777" w:rsidTr="00465739">
        <w:trPr>
          <w:trHeight w:val="20"/>
        </w:trPr>
        <w:tc>
          <w:tcPr>
            <w:tcW w:w="300" w:type="dxa"/>
            <w:noWrap/>
          </w:tcPr>
          <w:p w14:paraId="23EA75F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BD8BB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A570F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664E68A2" w14:textId="77777777" w:rsidTr="00465739">
        <w:trPr>
          <w:trHeight w:val="20"/>
        </w:trPr>
        <w:tc>
          <w:tcPr>
            <w:tcW w:w="300" w:type="dxa"/>
            <w:noWrap/>
          </w:tcPr>
          <w:p w14:paraId="5925233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C5CBC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276B5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39E192F0" w14:textId="77777777" w:rsidTr="00465739">
        <w:trPr>
          <w:trHeight w:val="20"/>
        </w:trPr>
        <w:tc>
          <w:tcPr>
            <w:tcW w:w="300" w:type="dxa"/>
            <w:noWrap/>
            <w:hideMark/>
          </w:tcPr>
          <w:p w14:paraId="05C1167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B8878A6"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1D895D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7A8B1EA3" w14:textId="77777777" w:rsidTr="00465739">
        <w:trPr>
          <w:trHeight w:val="20"/>
        </w:trPr>
        <w:tc>
          <w:tcPr>
            <w:tcW w:w="0" w:type="auto"/>
            <w:noWrap/>
            <w:hideMark/>
          </w:tcPr>
          <w:p w14:paraId="10A164D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AA65803" w14:textId="4362CAFC"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Finlande</w:t>
            </w:r>
          </w:p>
        </w:tc>
      </w:tr>
      <w:tr w:rsidR="00160BA5" w:rsidRPr="00CE031F" w14:paraId="4CBBDB56" w14:textId="77777777" w:rsidTr="00465739">
        <w:trPr>
          <w:trHeight w:val="20"/>
        </w:trPr>
        <w:tc>
          <w:tcPr>
            <w:tcW w:w="300" w:type="dxa"/>
            <w:noWrap/>
            <w:hideMark/>
          </w:tcPr>
          <w:p w14:paraId="4623523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41603B0"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B984C81" w14:textId="00048502"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277A4BC6" w14:textId="77777777" w:rsidTr="00465739">
        <w:trPr>
          <w:trHeight w:val="20"/>
        </w:trPr>
        <w:tc>
          <w:tcPr>
            <w:tcW w:w="300" w:type="dxa"/>
            <w:noWrap/>
            <w:hideMark/>
          </w:tcPr>
          <w:p w14:paraId="5DDA506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B4C4BCD"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5904C805" w14:textId="2375F5B0"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536013AC" w14:textId="77777777" w:rsidTr="00465739">
        <w:trPr>
          <w:trHeight w:val="20"/>
        </w:trPr>
        <w:tc>
          <w:tcPr>
            <w:tcW w:w="300" w:type="dxa"/>
            <w:noWrap/>
            <w:hideMark/>
          </w:tcPr>
          <w:p w14:paraId="19B9AA3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2C4F906"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59920F4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623D2C09" w14:textId="77777777" w:rsidTr="00465739">
        <w:trPr>
          <w:trHeight w:val="20"/>
        </w:trPr>
        <w:tc>
          <w:tcPr>
            <w:tcW w:w="300" w:type="dxa"/>
            <w:noWrap/>
            <w:hideMark/>
          </w:tcPr>
          <w:p w14:paraId="27DF7CE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C7BEC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0EF953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4D05FFE7" w14:textId="77777777" w:rsidTr="00465739">
        <w:trPr>
          <w:trHeight w:val="20"/>
        </w:trPr>
        <w:tc>
          <w:tcPr>
            <w:tcW w:w="300" w:type="dxa"/>
            <w:noWrap/>
          </w:tcPr>
          <w:p w14:paraId="5FCF3E2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90DCD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7559E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1ECA541F" w14:textId="77777777" w:rsidTr="00465739">
        <w:trPr>
          <w:trHeight w:val="20"/>
        </w:trPr>
        <w:tc>
          <w:tcPr>
            <w:tcW w:w="300" w:type="dxa"/>
            <w:noWrap/>
          </w:tcPr>
          <w:p w14:paraId="7A3721B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15AA1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2C411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61CF5213" w14:textId="77777777" w:rsidTr="00465739">
        <w:trPr>
          <w:trHeight w:val="20"/>
        </w:trPr>
        <w:tc>
          <w:tcPr>
            <w:tcW w:w="300" w:type="dxa"/>
            <w:noWrap/>
          </w:tcPr>
          <w:p w14:paraId="5309DC4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54D11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E6EAE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15FF8E60" w14:textId="77777777" w:rsidTr="00465739">
        <w:trPr>
          <w:trHeight w:val="20"/>
        </w:trPr>
        <w:tc>
          <w:tcPr>
            <w:tcW w:w="300" w:type="dxa"/>
            <w:noWrap/>
          </w:tcPr>
          <w:p w14:paraId="698C83C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A88A8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D7A5C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39B689C4" w14:textId="77777777" w:rsidTr="00465739">
        <w:trPr>
          <w:trHeight w:val="20"/>
        </w:trPr>
        <w:tc>
          <w:tcPr>
            <w:tcW w:w="300" w:type="dxa"/>
            <w:noWrap/>
          </w:tcPr>
          <w:p w14:paraId="0805AC8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CB78A1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3A255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6FB670A2" w14:textId="77777777" w:rsidTr="00465739">
        <w:trPr>
          <w:trHeight w:val="20"/>
        </w:trPr>
        <w:tc>
          <w:tcPr>
            <w:tcW w:w="300" w:type="dxa"/>
            <w:noWrap/>
          </w:tcPr>
          <w:p w14:paraId="2ACFE8E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27222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557D5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13E756E3" w14:textId="77777777" w:rsidTr="00465739">
        <w:trPr>
          <w:trHeight w:val="20"/>
        </w:trPr>
        <w:tc>
          <w:tcPr>
            <w:tcW w:w="300" w:type="dxa"/>
            <w:noWrap/>
          </w:tcPr>
          <w:p w14:paraId="450BE49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4E85A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69FBA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542D58A0" w14:textId="77777777" w:rsidTr="00465739">
        <w:trPr>
          <w:trHeight w:val="20"/>
        </w:trPr>
        <w:tc>
          <w:tcPr>
            <w:tcW w:w="300" w:type="dxa"/>
            <w:noWrap/>
          </w:tcPr>
          <w:p w14:paraId="2CFCFE8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BE815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75258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673F4982" w14:textId="77777777" w:rsidTr="00465739">
        <w:trPr>
          <w:trHeight w:val="20"/>
        </w:trPr>
        <w:tc>
          <w:tcPr>
            <w:tcW w:w="300" w:type="dxa"/>
            <w:noWrap/>
          </w:tcPr>
          <w:p w14:paraId="6AADDA6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A9FEB7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193CD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3A626048" w14:textId="77777777" w:rsidTr="00465739">
        <w:trPr>
          <w:trHeight w:val="20"/>
        </w:trPr>
        <w:tc>
          <w:tcPr>
            <w:tcW w:w="300" w:type="dxa"/>
            <w:noWrap/>
          </w:tcPr>
          <w:p w14:paraId="01F3FEC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82107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0BEFFA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38AC6DDC" w14:textId="77777777" w:rsidTr="00465739">
        <w:trPr>
          <w:trHeight w:val="20"/>
        </w:trPr>
        <w:tc>
          <w:tcPr>
            <w:tcW w:w="300" w:type="dxa"/>
            <w:noWrap/>
          </w:tcPr>
          <w:p w14:paraId="6B1484B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339D9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30BC1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04BD5A0A" w14:textId="77777777" w:rsidTr="00465739">
        <w:trPr>
          <w:trHeight w:val="20"/>
        </w:trPr>
        <w:tc>
          <w:tcPr>
            <w:tcW w:w="300" w:type="dxa"/>
            <w:noWrap/>
          </w:tcPr>
          <w:p w14:paraId="49FF70E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9B41E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3C420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655B8018" w14:textId="77777777" w:rsidTr="00465739">
        <w:trPr>
          <w:trHeight w:val="20"/>
        </w:trPr>
        <w:tc>
          <w:tcPr>
            <w:tcW w:w="300" w:type="dxa"/>
            <w:noWrap/>
          </w:tcPr>
          <w:p w14:paraId="6F33E92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846DD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7771F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5C342D8B" w14:textId="77777777" w:rsidTr="00465739">
        <w:trPr>
          <w:trHeight w:val="20"/>
        </w:trPr>
        <w:tc>
          <w:tcPr>
            <w:tcW w:w="300" w:type="dxa"/>
            <w:noWrap/>
          </w:tcPr>
          <w:p w14:paraId="024E0C7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41BCE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F7B05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5DFCC917" w14:textId="77777777" w:rsidTr="00465739">
        <w:trPr>
          <w:trHeight w:val="20"/>
        </w:trPr>
        <w:tc>
          <w:tcPr>
            <w:tcW w:w="300" w:type="dxa"/>
            <w:noWrap/>
          </w:tcPr>
          <w:p w14:paraId="58C4107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B8F02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E1440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0ADE1A6" w14:textId="77777777" w:rsidTr="00465739">
        <w:trPr>
          <w:trHeight w:val="20"/>
        </w:trPr>
        <w:tc>
          <w:tcPr>
            <w:tcW w:w="300" w:type="dxa"/>
            <w:noWrap/>
          </w:tcPr>
          <w:p w14:paraId="45BB68D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B313F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11EC9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22B5B836" w14:textId="77777777" w:rsidTr="00465739">
        <w:trPr>
          <w:trHeight w:val="20"/>
        </w:trPr>
        <w:tc>
          <w:tcPr>
            <w:tcW w:w="300" w:type="dxa"/>
            <w:noWrap/>
          </w:tcPr>
          <w:p w14:paraId="09B68F2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9D6EB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ADC6F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47C485D5" w14:textId="77777777" w:rsidTr="00465739">
        <w:trPr>
          <w:trHeight w:val="20"/>
        </w:trPr>
        <w:tc>
          <w:tcPr>
            <w:tcW w:w="300" w:type="dxa"/>
            <w:noWrap/>
          </w:tcPr>
          <w:p w14:paraId="3068ACF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C1105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9BEC4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34EF203A" w14:textId="77777777" w:rsidTr="00465739">
        <w:trPr>
          <w:trHeight w:val="20"/>
        </w:trPr>
        <w:tc>
          <w:tcPr>
            <w:tcW w:w="300" w:type="dxa"/>
            <w:noWrap/>
          </w:tcPr>
          <w:p w14:paraId="594F29F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0B11E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B989F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11729BB4" w14:textId="77777777" w:rsidTr="00465739">
        <w:trPr>
          <w:trHeight w:val="20"/>
        </w:trPr>
        <w:tc>
          <w:tcPr>
            <w:tcW w:w="300" w:type="dxa"/>
            <w:noWrap/>
          </w:tcPr>
          <w:p w14:paraId="54B413D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69A62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17DC7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5C9F4CF1" w14:textId="77777777" w:rsidTr="00465739">
        <w:trPr>
          <w:trHeight w:val="20"/>
        </w:trPr>
        <w:tc>
          <w:tcPr>
            <w:tcW w:w="300" w:type="dxa"/>
            <w:noWrap/>
          </w:tcPr>
          <w:p w14:paraId="74CBF84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004B8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65E599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5C41721F" w14:textId="77777777" w:rsidTr="00465739">
        <w:trPr>
          <w:trHeight w:val="20"/>
        </w:trPr>
        <w:tc>
          <w:tcPr>
            <w:tcW w:w="300" w:type="dxa"/>
            <w:noWrap/>
          </w:tcPr>
          <w:p w14:paraId="6657B30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7B3E6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16A84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37722E29" w14:textId="77777777" w:rsidTr="00465739">
        <w:trPr>
          <w:trHeight w:val="20"/>
        </w:trPr>
        <w:tc>
          <w:tcPr>
            <w:tcW w:w="300" w:type="dxa"/>
            <w:noWrap/>
          </w:tcPr>
          <w:p w14:paraId="55C3E50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37231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4A6E3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403B7919" w14:textId="77777777" w:rsidTr="00465739">
        <w:trPr>
          <w:trHeight w:val="20"/>
        </w:trPr>
        <w:tc>
          <w:tcPr>
            <w:tcW w:w="300" w:type="dxa"/>
            <w:noWrap/>
          </w:tcPr>
          <w:p w14:paraId="3261A52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097CD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08373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1FFD84D4" w14:textId="77777777" w:rsidTr="00465739">
        <w:trPr>
          <w:trHeight w:val="20"/>
        </w:trPr>
        <w:tc>
          <w:tcPr>
            <w:tcW w:w="300" w:type="dxa"/>
            <w:noWrap/>
          </w:tcPr>
          <w:p w14:paraId="44A1836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33BFA8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064E7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7FEE42C7" w14:textId="77777777" w:rsidTr="00465739">
        <w:trPr>
          <w:trHeight w:val="20"/>
        </w:trPr>
        <w:tc>
          <w:tcPr>
            <w:tcW w:w="300" w:type="dxa"/>
            <w:noWrap/>
          </w:tcPr>
          <w:p w14:paraId="5BDD6FB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1389E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9D8B1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1CC6B517" w14:textId="77777777" w:rsidTr="00465739">
        <w:trPr>
          <w:trHeight w:val="20"/>
        </w:trPr>
        <w:tc>
          <w:tcPr>
            <w:tcW w:w="300" w:type="dxa"/>
            <w:noWrap/>
          </w:tcPr>
          <w:p w14:paraId="7284C06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D72AC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91070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066952F7" w14:textId="77777777" w:rsidTr="00465739">
        <w:trPr>
          <w:trHeight w:val="20"/>
        </w:trPr>
        <w:tc>
          <w:tcPr>
            <w:tcW w:w="300" w:type="dxa"/>
            <w:noWrap/>
            <w:hideMark/>
          </w:tcPr>
          <w:p w14:paraId="454ACB9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170FC7A"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4692BCF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72D2D153" w14:textId="77777777" w:rsidTr="00465739">
        <w:trPr>
          <w:trHeight w:val="20"/>
        </w:trPr>
        <w:tc>
          <w:tcPr>
            <w:tcW w:w="0" w:type="auto"/>
            <w:noWrap/>
            <w:hideMark/>
          </w:tcPr>
          <w:p w14:paraId="45D8EE9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2E46F286" w14:textId="56229C61"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Grèce</w:t>
            </w:r>
          </w:p>
        </w:tc>
      </w:tr>
      <w:tr w:rsidR="00160BA5" w:rsidRPr="00CE031F" w14:paraId="5EF0A6C9" w14:textId="77777777" w:rsidTr="00465739">
        <w:trPr>
          <w:trHeight w:val="20"/>
        </w:trPr>
        <w:tc>
          <w:tcPr>
            <w:tcW w:w="300" w:type="dxa"/>
            <w:noWrap/>
            <w:hideMark/>
          </w:tcPr>
          <w:p w14:paraId="1CB5446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10E08F1"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427A0A79" w14:textId="3DD2FB3C"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4D272A86" w14:textId="77777777" w:rsidTr="00465739">
        <w:trPr>
          <w:trHeight w:val="20"/>
        </w:trPr>
        <w:tc>
          <w:tcPr>
            <w:tcW w:w="300" w:type="dxa"/>
            <w:noWrap/>
            <w:hideMark/>
          </w:tcPr>
          <w:p w14:paraId="513B5D4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D75B0EC"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571148EA" w14:textId="1C455490"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23FCB955" w14:textId="77777777" w:rsidTr="00465739">
        <w:trPr>
          <w:trHeight w:val="20"/>
        </w:trPr>
        <w:tc>
          <w:tcPr>
            <w:tcW w:w="300" w:type="dxa"/>
            <w:noWrap/>
            <w:hideMark/>
          </w:tcPr>
          <w:p w14:paraId="729737A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E3E43B4"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25B821F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1B07A1EB" w14:textId="77777777" w:rsidTr="00465739">
        <w:trPr>
          <w:trHeight w:val="20"/>
        </w:trPr>
        <w:tc>
          <w:tcPr>
            <w:tcW w:w="300" w:type="dxa"/>
            <w:noWrap/>
            <w:hideMark/>
          </w:tcPr>
          <w:p w14:paraId="315EC43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9AB07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86FFB4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29751F31" w14:textId="77777777" w:rsidTr="00465739">
        <w:trPr>
          <w:trHeight w:val="20"/>
        </w:trPr>
        <w:tc>
          <w:tcPr>
            <w:tcW w:w="300" w:type="dxa"/>
            <w:noWrap/>
          </w:tcPr>
          <w:p w14:paraId="0EDB870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D78BB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175DC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6DF4A937" w14:textId="77777777" w:rsidTr="00465739">
        <w:trPr>
          <w:trHeight w:val="20"/>
        </w:trPr>
        <w:tc>
          <w:tcPr>
            <w:tcW w:w="300" w:type="dxa"/>
            <w:noWrap/>
          </w:tcPr>
          <w:p w14:paraId="0D3A5F5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692DF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15BCB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389CEE97" w14:textId="77777777" w:rsidTr="00465739">
        <w:trPr>
          <w:trHeight w:val="20"/>
        </w:trPr>
        <w:tc>
          <w:tcPr>
            <w:tcW w:w="300" w:type="dxa"/>
            <w:noWrap/>
          </w:tcPr>
          <w:p w14:paraId="5E0C97C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28277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7F604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7F9E04F9" w14:textId="77777777" w:rsidTr="00465739">
        <w:trPr>
          <w:trHeight w:val="20"/>
        </w:trPr>
        <w:tc>
          <w:tcPr>
            <w:tcW w:w="300" w:type="dxa"/>
            <w:noWrap/>
          </w:tcPr>
          <w:p w14:paraId="7779E12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C0A91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24535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283A9398" w14:textId="77777777" w:rsidTr="00465739">
        <w:trPr>
          <w:trHeight w:val="20"/>
        </w:trPr>
        <w:tc>
          <w:tcPr>
            <w:tcW w:w="300" w:type="dxa"/>
            <w:noWrap/>
          </w:tcPr>
          <w:p w14:paraId="6C31B28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99AB87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A280F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49DF01F0" w14:textId="77777777" w:rsidTr="00465739">
        <w:trPr>
          <w:trHeight w:val="20"/>
        </w:trPr>
        <w:tc>
          <w:tcPr>
            <w:tcW w:w="300" w:type="dxa"/>
            <w:noWrap/>
          </w:tcPr>
          <w:p w14:paraId="6A3CFE7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0FB09A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AF01A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4D18017B" w14:textId="77777777" w:rsidTr="00465739">
        <w:trPr>
          <w:trHeight w:val="20"/>
        </w:trPr>
        <w:tc>
          <w:tcPr>
            <w:tcW w:w="300" w:type="dxa"/>
            <w:noWrap/>
          </w:tcPr>
          <w:p w14:paraId="0B5A3CB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D7FAD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BFEDF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370A81E9" w14:textId="77777777" w:rsidTr="00465739">
        <w:trPr>
          <w:trHeight w:val="20"/>
        </w:trPr>
        <w:tc>
          <w:tcPr>
            <w:tcW w:w="300" w:type="dxa"/>
            <w:noWrap/>
          </w:tcPr>
          <w:p w14:paraId="2CFD97B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B2EF2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8D553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168ED18D" w14:textId="77777777" w:rsidTr="00465739">
        <w:trPr>
          <w:trHeight w:val="20"/>
        </w:trPr>
        <w:tc>
          <w:tcPr>
            <w:tcW w:w="300" w:type="dxa"/>
            <w:noWrap/>
          </w:tcPr>
          <w:p w14:paraId="29268F3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50834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6C8F5E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34FFECFF" w14:textId="77777777" w:rsidTr="00465739">
        <w:trPr>
          <w:trHeight w:val="20"/>
        </w:trPr>
        <w:tc>
          <w:tcPr>
            <w:tcW w:w="300" w:type="dxa"/>
            <w:noWrap/>
          </w:tcPr>
          <w:p w14:paraId="0009C2E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86BFA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7267A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6D78AC02" w14:textId="77777777" w:rsidTr="00465739">
        <w:trPr>
          <w:trHeight w:val="20"/>
        </w:trPr>
        <w:tc>
          <w:tcPr>
            <w:tcW w:w="300" w:type="dxa"/>
            <w:noWrap/>
          </w:tcPr>
          <w:p w14:paraId="5933CD3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54F4B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3C4D9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B2CC489" w14:textId="77777777" w:rsidTr="00465739">
        <w:trPr>
          <w:trHeight w:val="20"/>
        </w:trPr>
        <w:tc>
          <w:tcPr>
            <w:tcW w:w="300" w:type="dxa"/>
            <w:noWrap/>
          </w:tcPr>
          <w:p w14:paraId="496BBDF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64771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A39819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63ED3C4F" w14:textId="77777777" w:rsidTr="00465739">
        <w:trPr>
          <w:trHeight w:val="20"/>
        </w:trPr>
        <w:tc>
          <w:tcPr>
            <w:tcW w:w="300" w:type="dxa"/>
            <w:noWrap/>
          </w:tcPr>
          <w:p w14:paraId="0F7C975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C6705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D1B3D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19BC2070" w14:textId="77777777" w:rsidTr="00465739">
        <w:trPr>
          <w:trHeight w:val="20"/>
        </w:trPr>
        <w:tc>
          <w:tcPr>
            <w:tcW w:w="300" w:type="dxa"/>
            <w:noWrap/>
          </w:tcPr>
          <w:p w14:paraId="1F2F908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C9094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75A80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57D74359" w14:textId="77777777" w:rsidTr="00465739">
        <w:trPr>
          <w:trHeight w:val="20"/>
        </w:trPr>
        <w:tc>
          <w:tcPr>
            <w:tcW w:w="300" w:type="dxa"/>
            <w:noWrap/>
          </w:tcPr>
          <w:p w14:paraId="613520E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3B6C4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B5F72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FFF3A0A" w14:textId="77777777" w:rsidTr="00465739">
        <w:trPr>
          <w:trHeight w:val="20"/>
        </w:trPr>
        <w:tc>
          <w:tcPr>
            <w:tcW w:w="300" w:type="dxa"/>
            <w:noWrap/>
          </w:tcPr>
          <w:p w14:paraId="783F7F4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03A23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73BBF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611B97E3" w14:textId="77777777" w:rsidTr="00465739">
        <w:trPr>
          <w:trHeight w:val="20"/>
        </w:trPr>
        <w:tc>
          <w:tcPr>
            <w:tcW w:w="300" w:type="dxa"/>
            <w:noWrap/>
          </w:tcPr>
          <w:p w14:paraId="2D6271C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B347D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D7E29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2BE9B2E6" w14:textId="77777777" w:rsidTr="00465739">
        <w:trPr>
          <w:trHeight w:val="20"/>
        </w:trPr>
        <w:tc>
          <w:tcPr>
            <w:tcW w:w="300" w:type="dxa"/>
            <w:noWrap/>
          </w:tcPr>
          <w:p w14:paraId="7A9EB6A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D31B8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D4270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14FEB1D0" w14:textId="77777777" w:rsidTr="00465739">
        <w:trPr>
          <w:trHeight w:val="20"/>
        </w:trPr>
        <w:tc>
          <w:tcPr>
            <w:tcW w:w="300" w:type="dxa"/>
            <w:noWrap/>
          </w:tcPr>
          <w:p w14:paraId="3F80F18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BDB46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BFE69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0883CDD8" w14:textId="77777777" w:rsidTr="00465739">
        <w:trPr>
          <w:trHeight w:val="20"/>
        </w:trPr>
        <w:tc>
          <w:tcPr>
            <w:tcW w:w="300" w:type="dxa"/>
            <w:noWrap/>
          </w:tcPr>
          <w:p w14:paraId="09F8227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4E5DD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7390B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580C6A11" w14:textId="77777777" w:rsidTr="00465739">
        <w:trPr>
          <w:trHeight w:val="20"/>
        </w:trPr>
        <w:tc>
          <w:tcPr>
            <w:tcW w:w="300" w:type="dxa"/>
            <w:noWrap/>
          </w:tcPr>
          <w:p w14:paraId="437C99A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1E9E3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A9617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050E65EE" w14:textId="77777777" w:rsidTr="00465739">
        <w:trPr>
          <w:trHeight w:val="20"/>
        </w:trPr>
        <w:tc>
          <w:tcPr>
            <w:tcW w:w="300" w:type="dxa"/>
            <w:noWrap/>
          </w:tcPr>
          <w:p w14:paraId="6F4E009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7988B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7E584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68CF8653" w14:textId="77777777" w:rsidTr="00465739">
        <w:trPr>
          <w:trHeight w:val="20"/>
        </w:trPr>
        <w:tc>
          <w:tcPr>
            <w:tcW w:w="300" w:type="dxa"/>
            <w:noWrap/>
          </w:tcPr>
          <w:p w14:paraId="14691AC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350A6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DDD20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2DD730F2" w14:textId="77777777" w:rsidTr="00465739">
        <w:trPr>
          <w:trHeight w:val="20"/>
        </w:trPr>
        <w:tc>
          <w:tcPr>
            <w:tcW w:w="300" w:type="dxa"/>
            <w:noWrap/>
          </w:tcPr>
          <w:p w14:paraId="7C60FCE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D4546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B7161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080F1CA7" w14:textId="77777777" w:rsidTr="00465739">
        <w:trPr>
          <w:trHeight w:val="20"/>
        </w:trPr>
        <w:tc>
          <w:tcPr>
            <w:tcW w:w="300" w:type="dxa"/>
            <w:noWrap/>
          </w:tcPr>
          <w:p w14:paraId="337D7D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4712B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A5FE0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502E9D7E" w14:textId="77777777" w:rsidTr="00465739">
        <w:trPr>
          <w:trHeight w:val="20"/>
        </w:trPr>
        <w:tc>
          <w:tcPr>
            <w:tcW w:w="300" w:type="dxa"/>
            <w:noWrap/>
          </w:tcPr>
          <w:p w14:paraId="46CAD88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E0C2A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9848D3"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6E9660CD" w14:textId="77777777" w:rsidTr="00465739">
        <w:trPr>
          <w:trHeight w:val="20"/>
        </w:trPr>
        <w:tc>
          <w:tcPr>
            <w:tcW w:w="300" w:type="dxa"/>
            <w:noWrap/>
          </w:tcPr>
          <w:p w14:paraId="275CD89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EF0A2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06645F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3401C269" w14:textId="77777777" w:rsidTr="00465739">
        <w:trPr>
          <w:trHeight w:val="20"/>
        </w:trPr>
        <w:tc>
          <w:tcPr>
            <w:tcW w:w="300" w:type="dxa"/>
            <w:noWrap/>
            <w:hideMark/>
          </w:tcPr>
          <w:p w14:paraId="34FBB61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786571E"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37C8F8E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5884D5DE" w14:textId="77777777" w:rsidTr="00465739">
        <w:trPr>
          <w:trHeight w:val="20"/>
        </w:trPr>
        <w:tc>
          <w:tcPr>
            <w:tcW w:w="0" w:type="auto"/>
            <w:noWrap/>
            <w:hideMark/>
          </w:tcPr>
          <w:p w14:paraId="094AF3E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B7AFE92" w14:textId="5FCB91C7"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Hongrie</w:t>
            </w:r>
          </w:p>
        </w:tc>
      </w:tr>
      <w:tr w:rsidR="00160BA5" w:rsidRPr="00CE031F" w14:paraId="30448775" w14:textId="77777777" w:rsidTr="00465739">
        <w:trPr>
          <w:trHeight w:val="20"/>
        </w:trPr>
        <w:tc>
          <w:tcPr>
            <w:tcW w:w="300" w:type="dxa"/>
            <w:noWrap/>
            <w:hideMark/>
          </w:tcPr>
          <w:p w14:paraId="7B0D93A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2E5ED4B"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59CD33AE" w14:textId="3B06A519"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07C22CE2" w14:textId="77777777" w:rsidTr="00465739">
        <w:trPr>
          <w:trHeight w:val="20"/>
        </w:trPr>
        <w:tc>
          <w:tcPr>
            <w:tcW w:w="300" w:type="dxa"/>
            <w:noWrap/>
            <w:hideMark/>
          </w:tcPr>
          <w:p w14:paraId="500D66E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D3165C4"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5B19CC5F" w14:textId="1526CEB2"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1C84363D" w14:textId="77777777" w:rsidTr="00465739">
        <w:trPr>
          <w:trHeight w:val="20"/>
        </w:trPr>
        <w:tc>
          <w:tcPr>
            <w:tcW w:w="300" w:type="dxa"/>
            <w:noWrap/>
            <w:hideMark/>
          </w:tcPr>
          <w:p w14:paraId="3F40A1C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D8C5585"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7BB9A88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250D7844" w14:textId="77777777" w:rsidTr="00465739">
        <w:trPr>
          <w:trHeight w:val="20"/>
        </w:trPr>
        <w:tc>
          <w:tcPr>
            <w:tcW w:w="300" w:type="dxa"/>
            <w:noWrap/>
            <w:hideMark/>
          </w:tcPr>
          <w:p w14:paraId="1721964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90077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67C992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601BCAE5" w14:textId="77777777" w:rsidTr="00465739">
        <w:trPr>
          <w:trHeight w:val="20"/>
        </w:trPr>
        <w:tc>
          <w:tcPr>
            <w:tcW w:w="300" w:type="dxa"/>
            <w:noWrap/>
          </w:tcPr>
          <w:p w14:paraId="10CB9A9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DF6CDE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44F29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0C70A555" w14:textId="77777777" w:rsidTr="00465739">
        <w:trPr>
          <w:trHeight w:val="20"/>
        </w:trPr>
        <w:tc>
          <w:tcPr>
            <w:tcW w:w="300" w:type="dxa"/>
            <w:noWrap/>
          </w:tcPr>
          <w:p w14:paraId="2543A1F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A8397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6B297A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5B15AC9B" w14:textId="77777777" w:rsidTr="00465739">
        <w:trPr>
          <w:trHeight w:val="20"/>
        </w:trPr>
        <w:tc>
          <w:tcPr>
            <w:tcW w:w="300" w:type="dxa"/>
            <w:noWrap/>
          </w:tcPr>
          <w:p w14:paraId="5883622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5A504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C7B91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253AFD3B" w14:textId="77777777" w:rsidTr="00465739">
        <w:trPr>
          <w:trHeight w:val="20"/>
        </w:trPr>
        <w:tc>
          <w:tcPr>
            <w:tcW w:w="300" w:type="dxa"/>
            <w:noWrap/>
          </w:tcPr>
          <w:p w14:paraId="698BA81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BDAA1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3325B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1076E1EB" w14:textId="77777777" w:rsidTr="00465739">
        <w:trPr>
          <w:trHeight w:val="20"/>
        </w:trPr>
        <w:tc>
          <w:tcPr>
            <w:tcW w:w="300" w:type="dxa"/>
            <w:noWrap/>
          </w:tcPr>
          <w:p w14:paraId="63117DC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13F23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412D6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56B8C05E" w14:textId="77777777" w:rsidTr="00465739">
        <w:trPr>
          <w:trHeight w:val="20"/>
        </w:trPr>
        <w:tc>
          <w:tcPr>
            <w:tcW w:w="300" w:type="dxa"/>
            <w:noWrap/>
          </w:tcPr>
          <w:p w14:paraId="3BC5BBA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BBDF5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74BE6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559D3CE8" w14:textId="77777777" w:rsidTr="00465739">
        <w:trPr>
          <w:trHeight w:val="20"/>
        </w:trPr>
        <w:tc>
          <w:tcPr>
            <w:tcW w:w="300" w:type="dxa"/>
            <w:noWrap/>
          </w:tcPr>
          <w:p w14:paraId="08B8BF4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8EB43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A3E53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63637C79" w14:textId="77777777" w:rsidTr="00465739">
        <w:trPr>
          <w:trHeight w:val="20"/>
        </w:trPr>
        <w:tc>
          <w:tcPr>
            <w:tcW w:w="300" w:type="dxa"/>
            <w:noWrap/>
          </w:tcPr>
          <w:p w14:paraId="0C36668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07FF2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D3E77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18BBC662" w14:textId="77777777" w:rsidTr="00465739">
        <w:trPr>
          <w:trHeight w:val="20"/>
        </w:trPr>
        <w:tc>
          <w:tcPr>
            <w:tcW w:w="300" w:type="dxa"/>
            <w:noWrap/>
          </w:tcPr>
          <w:p w14:paraId="7AAB094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906C3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938E0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3165CD6B" w14:textId="77777777" w:rsidTr="00465739">
        <w:trPr>
          <w:trHeight w:val="20"/>
        </w:trPr>
        <w:tc>
          <w:tcPr>
            <w:tcW w:w="300" w:type="dxa"/>
            <w:noWrap/>
          </w:tcPr>
          <w:p w14:paraId="76B6676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A9D76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B93CF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78294B21" w14:textId="77777777" w:rsidTr="00465739">
        <w:trPr>
          <w:trHeight w:val="20"/>
        </w:trPr>
        <w:tc>
          <w:tcPr>
            <w:tcW w:w="300" w:type="dxa"/>
            <w:noWrap/>
          </w:tcPr>
          <w:p w14:paraId="29863FF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5196A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0CE13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2AE159AE" w14:textId="77777777" w:rsidTr="00465739">
        <w:trPr>
          <w:trHeight w:val="20"/>
        </w:trPr>
        <w:tc>
          <w:tcPr>
            <w:tcW w:w="300" w:type="dxa"/>
            <w:noWrap/>
          </w:tcPr>
          <w:p w14:paraId="633421C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FFD13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0903B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1E5DEF6C" w14:textId="77777777" w:rsidTr="00465739">
        <w:trPr>
          <w:trHeight w:val="20"/>
        </w:trPr>
        <w:tc>
          <w:tcPr>
            <w:tcW w:w="300" w:type="dxa"/>
            <w:noWrap/>
          </w:tcPr>
          <w:p w14:paraId="223A30E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727C0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0C491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1993EC16" w14:textId="77777777" w:rsidTr="00465739">
        <w:trPr>
          <w:trHeight w:val="20"/>
        </w:trPr>
        <w:tc>
          <w:tcPr>
            <w:tcW w:w="300" w:type="dxa"/>
            <w:noWrap/>
          </w:tcPr>
          <w:p w14:paraId="14B6CED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428CD7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5F282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2CCFD8C8" w14:textId="77777777" w:rsidTr="00465739">
        <w:trPr>
          <w:trHeight w:val="20"/>
        </w:trPr>
        <w:tc>
          <w:tcPr>
            <w:tcW w:w="300" w:type="dxa"/>
            <w:noWrap/>
          </w:tcPr>
          <w:p w14:paraId="5AD4B6F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7C440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4A84A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4F910EDD" w14:textId="77777777" w:rsidTr="00465739">
        <w:trPr>
          <w:trHeight w:val="20"/>
        </w:trPr>
        <w:tc>
          <w:tcPr>
            <w:tcW w:w="300" w:type="dxa"/>
            <w:noWrap/>
          </w:tcPr>
          <w:p w14:paraId="3CBC298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91F4B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65CDB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03EE44AA" w14:textId="77777777" w:rsidTr="00465739">
        <w:trPr>
          <w:trHeight w:val="20"/>
        </w:trPr>
        <w:tc>
          <w:tcPr>
            <w:tcW w:w="300" w:type="dxa"/>
            <w:noWrap/>
          </w:tcPr>
          <w:p w14:paraId="0AF40F0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F131B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0E3AA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450D511C" w14:textId="77777777" w:rsidTr="00465739">
        <w:trPr>
          <w:trHeight w:val="20"/>
        </w:trPr>
        <w:tc>
          <w:tcPr>
            <w:tcW w:w="300" w:type="dxa"/>
            <w:noWrap/>
          </w:tcPr>
          <w:p w14:paraId="66CCCF4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37AB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BB6B3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5D8E0DDB" w14:textId="77777777" w:rsidTr="00465739">
        <w:trPr>
          <w:trHeight w:val="20"/>
        </w:trPr>
        <w:tc>
          <w:tcPr>
            <w:tcW w:w="300" w:type="dxa"/>
            <w:noWrap/>
          </w:tcPr>
          <w:p w14:paraId="2AED6C2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59D00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8DA20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3C5BB03F" w14:textId="77777777" w:rsidTr="00465739">
        <w:trPr>
          <w:trHeight w:val="20"/>
        </w:trPr>
        <w:tc>
          <w:tcPr>
            <w:tcW w:w="300" w:type="dxa"/>
            <w:noWrap/>
          </w:tcPr>
          <w:p w14:paraId="2DB67B8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AEA6C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407F2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05CD9D04" w14:textId="77777777" w:rsidTr="00465739">
        <w:trPr>
          <w:trHeight w:val="20"/>
        </w:trPr>
        <w:tc>
          <w:tcPr>
            <w:tcW w:w="300" w:type="dxa"/>
            <w:noWrap/>
          </w:tcPr>
          <w:p w14:paraId="248544F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B4918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3FA5E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4860EF21" w14:textId="77777777" w:rsidTr="00465739">
        <w:trPr>
          <w:trHeight w:val="20"/>
        </w:trPr>
        <w:tc>
          <w:tcPr>
            <w:tcW w:w="300" w:type="dxa"/>
            <w:noWrap/>
          </w:tcPr>
          <w:p w14:paraId="3C0D581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F9B96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49B993"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7A5342B2" w14:textId="77777777" w:rsidTr="00465739">
        <w:trPr>
          <w:trHeight w:val="20"/>
        </w:trPr>
        <w:tc>
          <w:tcPr>
            <w:tcW w:w="300" w:type="dxa"/>
            <w:noWrap/>
          </w:tcPr>
          <w:p w14:paraId="49C29DB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28DEA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F190F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6DFF7EF3" w14:textId="77777777" w:rsidTr="00465739">
        <w:trPr>
          <w:trHeight w:val="20"/>
        </w:trPr>
        <w:tc>
          <w:tcPr>
            <w:tcW w:w="300" w:type="dxa"/>
            <w:noWrap/>
          </w:tcPr>
          <w:p w14:paraId="6732A73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46C3A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CD88A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66E7A01A" w14:textId="77777777" w:rsidTr="00465739">
        <w:trPr>
          <w:trHeight w:val="20"/>
        </w:trPr>
        <w:tc>
          <w:tcPr>
            <w:tcW w:w="300" w:type="dxa"/>
            <w:noWrap/>
          </w:tcPr>
          <w:p w14:paraId="7DB610C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AEC70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1774C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14D7A4EF" w14:textId="77777777" w:rsidTr="00465739">
        <w:trPr>
          <w:trHeight w:val="20"/>
        </w:trPr>
        <w:tc>
          <w:tcPr>
            <w:tcW w:w="300" w:type="dxa"/>
            <w:noWrap/>
          </w:tcPr>
          <w:p w14:paraId="5EF5ECE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8EEDA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400A4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36A7F566" w14:textId="77777777" w:rsidTr="00465739">
        <w:trPr>
          <w:trHeight w:val="20"/>
        </w:trPr>
        <w:tc>
          <w:tcPr>
            <w:tcW w:w="300" w:type="dxa"/>
            <w:noWrap/>
          </w:tcPr>
          <w:p w14:paraId="2FDF157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46D8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EEC27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40F1F52F" w14:textId="77777777" w:rsidTr="00465739">
        <w:trPr>
          <w:trHeight w:val="20"/>
        </w:trPr>
        <w:tc>
          <w:tcPr>
            <w:tcW w:w="300" w:type="dxa"/>
            <w:noWrap/>
            <w:hideMark/>
          </w:tcPr>
          <w:p w14:paraId="6DD4E88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1BE99049"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A51032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485004EA" w14:textId="77777777" w:rsidTr="00465739">
        <w:trPr>
          <w:trHeight w:val="20"/>
        </w:trPr>
        <w:tc>
          <w:tcPr>
            <w:tcW w:w="0" w:type="auto"/>
            <w:noWrap/>
            <w:hideMark/>
          </w:tcPr>
          <w:p w14:paraId="5632B47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24125B2" w14:textId="154B9C82"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Irlande</w:t>
            </w:r>
          </w:p>
        </w:tc>
      </w:tr>
      <w:tr w:rsidR="00160BA5" w:rsidRPr="00CE031F" w14:paraId="47E17D8B" w14:textId="77777777" w:rsidTr="00465739">
        <w:trPr>
          <w:trHeight w:val="20"/>
        </w:trPr>
        <w:tc>
          <w:tcPr>
            <w:tcW w:w="300" w:type="dxa"/>
            <w:noWrap/>
            <w:hideMark/>
          </w:tcPr>
          <w:p w14:paraId="40D96A8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FD8E854"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F55C132" w14:textId="06F9D0FC"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350473C9" w14:textId="77777777" w:rsidTr="00465739">
        <w:trPr>
          <w:trHeight w:val="20"/>
        </w:trPr>
        <w:tc>
          <w:tcPr>
            <w:tcW w:w="300" w:type="dxa"/>
            <w:noWrap/>
            <w:hideMark/>
          </w:tcPr>
          <w:p w14:paraId="309A2A5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lastRenderedPageBreak/>
              <w:t> </w:t>
            </w:r>
          </w:p>
        </w:tc>
        <w:tc>
          <w:tcPr>
            <w:tcW w:w="257" w:type="dxa"/>
            <w:noWrap/>
          </w:tcPr>
          <w:p w14:paraId="25582F11"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43126DA0" w14:textId="1B9F14F8"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4E5533EE" w14:textId="77777777" w:rsidTr="00465739">
        <w:trPr>
          <w:trHeight w:val="20"/>
        </w:trPr>
        <w:tc>
          <w:tcPr>
            <w:tcW w:w="300" w:type="dxa"/>
            <w:noWrap/>
            <w:hideMark/>
          </w:tcPr>
          <w:p w14:paraId="06DAA5A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D1119DC"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419D6E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75A8635D" w14:textId="77777777" w:rsidTr="00465739">
        <w:trPr>
          <w:trHeight w:val="20"/>
        </w:trPr>
        <w:tc>
          <w:tcPr>
            <w:tcW w:w="300" w:type="dxa"/>
            <w:noWrap/>
            <w:hideMark/>
          </w:tcPr>
          <w:p w14:paraId="35B6022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7DAA6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49FFCEA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13A9DF00" w14:textId="77777777" w:rsidTr="00465739">
        <w:trPr>
          <w:trHeight w:val="20"/>
        </w:trPr>
        <w:tc>
          <w:tcPr>
            <w:tcW w:w="300" w:type="dxa"/>
            <w:noWrap/>
          </w:tcPr>
          <w:p w14:paraId="57F8E08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CB14C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E8FFC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1C780A2E" w14:textId="77777777" w:rsidTr="00465739">
        <w:trPr>
          <w:trHeight w:val="20"/>
        </w:trPr>
        <w:tc>
          <w:tcPr>
            <w:tcW w:w="300" w:type="dxa"/>
            <w:noWrap/>
          </w:tcPr>
          <w:p w14:paraId="76DCBBB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1A6EF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1ED90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03A41409" w14:textId="77777777" w:rsidTr="00465739">
        <w:trPr>
          <w:trHeight w:val="20"/>
        </w:trPr>
        <w:tc>
          <w:tcPr>
            <w:tcW w:w="300" w:type="dxa"/>
            <w:noWrap/>
          </w:tcPr>
          <w:p w14:paraId="442B422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94C76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B284F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24EE5D45" w14:textId="77777777" w:rsidTr="00465739">
        <w:trPr>
          <w:trHeight w:val="20"/>
        </w:trPr>
        <w:tc>
          <w:tcPr>
            <w:tcW w:w="300" w:type="dxa"/>
            <w:noWrap/>
          </w:tcPr>
          <w:p w14:paraId="48A14D0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13C78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DA474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6B27CF49" w14:textId="77777777" w:rsidTr="00465739">
        <w:trPr>
          <w:trHeight w:val="20"/>
        </w:trPr>
        <w:tc>
          <w:tcPr>
            <w:tcW w:w="300" w:type="dxa"/>
            <w:noWrap/>
          </w:tcPr>
          <w:p w14:paraId="677CE30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1F526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A8E36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0837D9EF" w14:textId="77777777" w:rsidTr="00465739">
        <w:trPr>
          <w:trHeight w:val="20"/>
        </w:trPr>
        <w:tc>
          <w:tcPr>
            <w:tcW w:w="300" w:type="dxa"/>
            <w:noWrap/>
          </w:tcPr>
          <w:p w14:paraId="714815A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72DA4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2C4AA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0FFA0F79" w14:textId="77777777" w:rsidTr="00465739">
        <w:trPr>
          <w:trHeight w:val="20"/>
        </w:trPr>
        <w:tc>
          <w:tcPr>
            <w:tcW w:w="300" w:type="dxa"/>
            <w:noWrap/>
          </w:tcPr>
          <w:p w14:paraId="61B0585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39525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31822C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74AA7BB8" w14:textId="77777777" w:rsidTr="00465739">
        <w:trPr>
          <w:trHeight w:val="20"/>
        </w:trPr>
        <w:tc>
          <w:tcPr>
            <w:tcW w:w="300" w:type="dxa"/>
            <w:noWrap/>
          </w:tcPr>
          <w:p w14:paraId="073041C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57C7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8D8EC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2EDFFB73" w14:textId="77777777" w:rsidTr="00465739">
        <w:trPr>
          <w:trHeight w:val="20"/>
        </w:trPr>
        <w:tc>
          <w:tcPr>
            <w:tcW w:w="300" w:type="dxa"/>
            <w:noWrap/>
          </w:tcPr>
          <w:p w14:paraId="4B593A8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28250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21C71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2E99803C" w14:textId="77777777" w:rsidTr="00465739">
        <w:trPr>
          <w:trHeight w:val="20"/>
        </w:trPr>
        <w:tc>
          <w:tcPr>
            <w:tcW w:w="300" w:type="dxa"/>
            <w:noWrap/>
          </w:tcPr>
          <w:p w14:paraId="61BE3DC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559ED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BB6EE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0426185E" w14:textId="77777777" w:rsidTr="00465739">
        <w:trPr>
          <w:trHeight w:val="20"/>
        </w:trPr>
        <w:tc>
          <w:tcPr>
            <w:tcW w:w="300" w:type="dxa"/>
            <w:noWrap/>
          </w:tcPr>
          <w:p w14:paraId="51D9571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EFBAC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DDCD9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01E1F052" w14:textId="77777777" w:rsidTr="00465739">
        <w:trPr>
          <w:trHeight w:val="20"/>
        </w:trPr>
        <w:tc>
          <w:tcPr>
            <w:tcW w:w="300" w:type="dxa"/>
            <w:noWrap/>
          </w:tcPr>
          <w:p w14:paraId="44818C3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8EBF6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5EC61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3AA4E610" w14:textId="77777777" w:rsidTr="00465739">
        <w:trPr>
          <w:trHeight w:val="20"/>
        </w:trPr>
        <w:tc>
          <w:tcPr>
            <w:tcW w:w="300" w:type="dxa"/>
            <w:noWrap/>
          </w:tcPr>
          <w:p w14:paraId="53CD215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854FF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8589DA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4B438CDB" w14:textId="77777777" w:rsidTr="00465739">
        <w:trPr>
          <w:trHeight w:val="20"/>
        </w:trPr>
        <w:tc>
          <w:tcPr>
            <w:tcW w:w="300" w:type="dxa"/>
            <w:noWrap/>
          </w:tcPr>
          <w:p w14:paraId="631AB7D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0BD6F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42F1D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004AE45B" w14:textId="77777777" w:rsidTr="00465739">
        <w:trPr>
          <w:trHeight w:val="20"/>
        </w:trPr>
        <w:tc>
          <w:tcPr>
            <w:tcW w:w="300" w:type="dxa"/>
            <w:noWrap/>
          </w:tcPr>
          <w:p w14:paraId="797F94A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76EED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B560A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5937C50" w14:textId="77777777" w:rsidTr="00465739">
        <w:trPr>
          <w:trHeight w:val="20"/>
        </w:trPr>
        <w:tc>
          <w:tcPr>
            <w:tcW w:w="300" w:type="dxa"/>
            <w:noWrap/>
          </w:tcPr>
          <w:p w14:paraId="5427352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2FC91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41E24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02CBE222" w14:textId="77777777" w:rsidTr="00465739">
        <w:trPr>
          <w:trHeight w:val="20"/>
        </w:trPr>
        <w:tc>
          <w:tcPr>
            <w:tcW w:w="300" w:type="dxa"/>
            <w:noWrap/>
          </w:tcPr>
          <w:p w14:paraId="6614E8D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349F5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D2EC9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4B74E8A7" w14:textId="77777777" w:rsidTr="00465739">
        <w:trPr>
          <w:trHeight w:val="20"/>
        </w:trPr>
        <w:tc>
          <w:tcPr>
            <w:tcW w:w="300" w:type="dxa"/>
            <w:noWrap/>
          </w:tcPr>
          <w:p w14:paraId="62AEF47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E44E7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A3440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4F693F73" w14:textId="77777777" w:rsidTr="00465739">
        <w:trPr>
          <w:trHeight w:val="20"/>
        </w:trPr>
        <w:tc>
          <w:tcPr>
            <w:tcW w:w="300" w:type="dxa"/>
            <w:noWrap/>
          </w:tcPr>
          <w:p w14:paraId="5F0E260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D5F92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C4AE8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6DE0A3E2" w14:textId="77777777" w:rsidTr="00465739">
        <w:trPr>
          <w:trHeight w:val="20"/>
        </w:trPr>
        <w:tc>
          <w:tcPr>
            <w:tcW w:w="300" w:type="dxa"/>
            <w:noWrap/>
          </w:tcPr>
          <w:p w14:paraId="13B3EBB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672D5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4241B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3684FCF7" w14:textId="77777777" w:rsidTr="00465739">
        <w:trPr>
          <w:trHeight w:val="20"/>
        </w:trPr>
        <w:tc>
          <w:tcPr>
            <w:tcW w:w="300" w:type="dxa"/>
            <w:noWrap/>
          </w:tcPr>
          <w:p w14:paraId="5DFC061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829D4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D7E55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79C2DF69" w14:textId="77777777" w:rsidTr="00465739">
        <w:trPr>
          <w:trHeight w:val="20"/>
        </w:trPr>
        <w:tc>
          <w:tcPr>
            <w:tcW w:w="300" w:type="dxa"/>
            <w:noWrap/>
          </w:tcPr>
          <w:p w14:paraId="26E94D7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4DE83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D21D8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49B39638" w14:textId="77777777" w:rsidTr="00465739">
        <w:trPr>
          <w:trHeight w:val="20"/>
        </w:trPr>
        <w:tc>
          <w:tcPr>
            <w:tcW w:w="300" w:type="dxa"/>
            <w:noWrap/>
          </w:tcPr>
          <w:p w14:paraId="4401C18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69E74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D97D9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6667EDA0" w14:textId="77777777" w:rsidTr="00465739">
        <w:trPr>
          <w:trHeight w:val="20"/>
        </w:trPr>
        <w:tc>
          <w:tcPr>
            <w:tcW w:w="300" w:type="dxa"/>
            <w:noWrap/>
          </w:tcPr>
          <w:p w14:paraId="0996BB1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930AA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0DCC6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2BA7A797" w14:textId="77777777" w:rsidTr="00465739">
        <w:trPr>
          <w:trHeight w:val="20"/>
        </w:trPr>
        <w:tc>
          <w:tcPr>
            <w:tcW w:w="300" w:type="dxa"/>
            <w:noWrap/>
          </w:tcPr>
          <w:p w14:paraId="3C13FB4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9BAFB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0B06F3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12C74A67" w14:textId="77777777" w:rsidTr="00465739">
        <w:trPr>
          <w:trHeight w:val="20"/>
        </w:trPr>
        <w:tc>
          <w:tcPr>
            <w:tcW w:w="300" w:type="dxa"/>
            <w:noWrap/>
          </w:tcPr>
          <w:p w14:paraId="59D5031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E3EB1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BE762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63C43789" w14:textId="77777777" w:rsidTr="00465739">
        <w:trPr>
          <w:trHeight w:val="20"/>
        </w:trPr>
        <w:tc>
          <w:tcPr>
            <w:tcW w:w="300" w:type="dxa"/>
            <w:noWrap/>
          </w:tcPr>
          <w:p w14:paraId="027E068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CDD40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4B8F4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66C25F2C" w14:textId="77777777" w:rsidTr="00465739">
        <w:trPr>
          <w:trHeight w:val="20"/>
        </w:trPr>
        <w:tc>
          <w:tcPr>
            <w:tcW w:w="300" w:type="dxa"/>
            <w:noWrap/>
            <w:hideMark/>
          </w:tcPr>
          <w:p w14:paraId="3348E3A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E51F55B"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793E515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64A4EAAF" w14:textId="77777777" w:rsidTr="00465739">
        <w:trPr>
          <w:trHeight w:val="20"/>
        </w:trPr>
        <w:tc>
          <w:tcPr>
            <w:tcW w:w="0" w:type="auto"/>
            <w:noWrap/>
            <w:hideMark/>
          </w:tcPr>
          <w:p w14:paraId="20B58DE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011598A" w14:textId="135A6951"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Islande</w:t>
            </w:r>
          </w:p>
        </w:tc>
      </w:tr>
      <w:tr w:rsidR="00160BA5" w:rsidRPr="00CE031F" w14:paraId="570779EA" w14:textId="77777777" w:rsidTr="00465739">
        <w:trPr>
          <w:trHeight w:val="20"/>
        </w:trPr>
        <w:tc>
          <w:tcPr>
            <w:tcW w:w="300" w:type="dxa"/>
            <w:noWrap/>
            <w:hideMark/>
          </w:tcPr>
          <w:p w14:paraId="25CC169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18C531D"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1F5D3D5A" w14:textId="0767CAF5"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4E4473DF" w14:textId="77777777" w:rsidTr="00465739">
        <w:trPr>
          <w:trHeight w:val="20"/>
        </w:trPr>
        <w:tc>
          <w:tcPr>
            <w:tcW w:w="300" w:type="dxa"/>
            <w:noWrap/>
            <w:hideMark/>
          </w:tcPr>
          <w:p w14:paraId="54DCE62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975CEA4"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77854211" w14:textId="2F1F8A2A"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47C73EBF" w14:textId="77777777" w:rsidTr="00465739">
        <w:trPr>
          <w:trHeight w:val="20"/>
        </w:trPr>
        <w:tc>
          <w:tcPr>
            <w:tcW w:w="300" w:type="dxa"/>
            <w:noWrap/>
            <w:hideMark/>
          </w:tcPr>
          <w:p w14:paraId="331E08D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246810B"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5D1416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6D9C675D" w14:textId="77777777" w:rsidTr="00465739">
        <w:trPr>
          <w:trHeight w:val="20"/>
        </w:trPr>
        <w:tc>
          <w:tcPr>
            <w:tcW w:w="300" w:type="dxa"/>
            <w:noWrap/>
            <w:hideMark/>
          </w:tcPr>
          <w:p w14:paraId="41BF0AE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12919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38674A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4231CD0F" w14:textId="77777777" w:rsidTr="00465739">
        <w:trPr>
          <w:trHeight w:val="20"/>
        </w:trPr>
        <w:tc>
          <w:tcPr>
            <w:tcW w:w="300" w:type="dxa"/>
            <w:noWrap/>
          </w:tcPr>
          <w:p w14:paraId="2436409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599B2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A30CE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6180B261" w14:textId="77777777" w:rsidTr="00465739">
        <w:trPr>
          <w:trHeight w:val="20"/>
        </w:trPr>
        <w:tc>
          <w:tcPr>
            <w:tcW w:w="300" w:type="dxa"/>
            <w:noWrap/>
          </w:tcPr>
          <w:p w14:paraId="0B9490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7AD58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5E877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66DC7A3E" w14:textId="77777777" w:rsidTr="00465739">
        <w:trPr>
          <w:trHeight w:val="20"/>
        </w:trPr>
        <w:tc>
          <w:tcPr>
            <w:tcW w:w="300" w:type="dxa"/>
            <w:noWrap/>
          </w:tcPr>
          <w:p w14:paraId="214829A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71B8A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C62DE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488317F4" w14:textId="77777777" w:rsidTr="00465739">
        <w:trPr>
          <w:trHeight w:val="20"/>
        </w:trPr>
        <w:tc>
          <w:tcPr>
            <w:tcW w:w="300" w:type="dxa"/>
            <w:noWrap/>
          </w:tcPr>
          <w:p w14:paraId="334A8FB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7733B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08F3F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37C4E60B" w14:textId="77777777" w:rsidTr="00465739">
        <w:trPr>
          <w:trHeight w:val="20"/>
        </w:trPr>
        <w:tc>
          <w:tcPr>
            <w:tcW w:w="300" w:type="dxa"/>
            <w:noWrap/>
          </w:tcPr>
          <w:p w14:paraId="683AB65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722B7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FADB8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3FD4E307" w14:textId="77777777" w:rsidTr="00465739">
        <w:trPr>
          <w:trHeight w:val="20"/>
        </w:trPr>
        <w:tc>
          <w:tcPr>
            <w:tcW w:w="300" w:type="dxa"/>
            <w:noWrap/>
          </w:tcPr>
          <w:p w14:paraId="17BA149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8B450C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8BA20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4AFB250A" w14:textId="77777777" w:rsidTr="00465739">
        <w:trPr>
          <w:trHeight w:val="20"/>
        </w:trPr>
        <w:tc>
          <w:tcPr>
            <w:tcW w:w="300" w:type="dxa"/>
            <w:noWrap/>
          </w:tcPr>
          <w:p w14:paraId="65166B9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2B71B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5B5D00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24396BE9" w14:textId="77777777" w:rsidTr="00465739">
        <w:trPr>
          <w:trHeight w:val="20"/>
        </w:trPr>
        <w:tc>
          <w:tcPr>
            <w:tcW w:w="300" w:type="dxa"/>
            <w:noWrap/>
          </w:tcPr>
          <w:p w14:paraId="1FC8D1D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2608F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32642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4C052A2A" w14:textId="77777777" w:rsidTr="00465739">
        <w:trPr>
          <w:trHeight w:val="20"/>
        </w:trPr>
        <w:tc>
          <w:tcPr>
            <w:tcW w:w="300" w:type="dxa"/>
            <w:noWrap/>
          </w:tcPr>
          <w:p w14:paraId="49ED9C8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9A49B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0BFD6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1532E89A" w14:textId="77777777" w:rsidTr="00465739">
        <w:trPr>
          <w:trHeight w:val="20"/>
        </w:trPr>
        <w:tc>
          <w:tcPr>
            <w:tcW w:w="300" w:type="dxa"/>
            <w:noWrap/>
          </w:tcPr>
          <w:p w14:paraId="7D2F6D9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8D10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BEF11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564F5D1B" w14:textId="77777777" w:rsidTr="00465739">
        <w:trPr>
          <w:trHeight w:val="20"/>
        </w:trPr>
        <w:tc>
          <w:tcPr>
            <w:tcW w:w="300" w:type="dxa"/>
            <w:noWrap/>
          </w:tcPr>
          <w:p w14:paraId="5D12241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FFE73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35606C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17F6A376" w14:textId="77777777" w:rsidTr="00465739">
        <w:trPr>
          <w:trHeight w:val="20"/>
        </w:trPr>
        <w:tc>
          <w:tcPr>
            <w:tcW w:w="300" w:type="dxa"/>
            <w:noWrap/>
          </w:tcPr>
          <w:p w14:paraId="3DB3B9F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F1F47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3BB0B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0BD49A4A" w14:textId="77777777" w:rsidTr="00465739">
        <w:trPr>
          <w:trHeight w:val="20"/>
        </w:trPr>
        <w:tc>
          <w:tcPr>
            <w:tcW w:w="300" w:type="dxa"/>
            <w:noWrap/>
          </w:tcPr>
          <w:p w14:paraId="6BE9B6F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1C03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C14DD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2143E3D5" w14:textId="77777777" w:rsidTr="00465739">
        <w:trPr>
          <w:trHeight w:val="20"/>
        </w:trPr>
        <w:tc>
          <w:tcPr>
            <w:tcW w:w="300" w:type="dxa"/>
            <w:noWrap/>
          </w:tcPr>
          <w:p w14:paraId="762FAE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48FEE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67416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551BE152" w14:textId="77777777" w:rsidTr="00465739">
        <w:trPr>
          <w:trHeight w:val="20"/>
        </w:trPr>
        <w:tc>
          <w:tcPr>
            <w:tcW w:w="300" w:type="dxa"/>
            <w:noWrap/>
          </w:tcPr>
          <w:p w14:paraId="448821D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872F8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37935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224A124" w14:textId="77777777" w:rsidTr="00465739">
        <w:trPr>
          <w:trHeight w:val="20"/>
        </w:trPr>
        <w:tc>
          <w:tcPr>
            <w:tcW w:w="300" w:type="dxa"/>
            <w:noWrap/>
          </w:tcPr>
          <w:p w14:paraId="299FDE8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28D5C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A9E335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04C93724" w14:textId="77777777" w:rsidTr="00465739">
        <w:trPr>
          <w:trHeight w:val="20"/>
        </w:trPr>
        <w:tc>
          <w:tcPr>
            <w:tcW w:w="300" w:type="dxa"/>
            <w:noWrap/>
          </w:tcPr>
          <w:p w14:paraId="3246CAA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0DA3E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9F13D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294B2EB0" w14:textId="77777777" w:rsidTr="00465739">
        <w:trPr>
          <w:trHeight w:val="20"/>
        </w:trPr>
        <w:tc>
          <w:tcPr>
            <w:tcW w:w="300" w:type="dxa"/>
            <w:noWrap/>
          </w:tcPr>
          <w:p w14:paraId="3655023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43FE2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7930A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67103F8E" w14:textId="77777777" w:rsidTr="00465739">
        <w:trPr>
          <w:trHeight w:val="20"/>
        </w:trPr>
        <w:tc>
          <w:tcPr>
            <w:tcW w:w="300" w:type="dxa"/>
            <w:noWrap/>
          </w:tcPr>
          <w:p w14:paraId="444AD12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45CBD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AA8DD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6A8BDC20" w14:textId="77777777" w:rsidTr="00465739">
        <w:trPr>
          <w:trHeight w:val="20"/>
        </w:trPr>
        <w:tc>
          <w:tcPr>
            <w:tcW w:w="300" w:type="dxa"/>
            <w:noWrap/>
          </w:tcPr>
          <w:p w14:paraId="75630B3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B32F7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32239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3286BFA0" w14:textId="77777777" w:rsidTr="00465739">
        <w:trPr>
          <w:trHeight w:val="20"/>
        </w:trPr>
        <w:tc>
          <w:tcPr>
            <w:tcW w:w="300" w:type="dxa"/>
            <w:noWrap/>
          </w:tcPr>
          <w:p w14:paraId="12889F0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499C7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9057C8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609FF81E" w14:textId="77777777" w:rsidTr="00465739">
        <w:trPr>
          <w:trHeight w:val="20"/>
        </w:trPr>
        <w:tc>
          <w:tcPr>
            <w:tcW w:w="300" w:type="dxa"/>
            <w:noWrap/>
          </w:tcPr>
          <w:p w14:paraId="767237A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CD523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D8C8E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46B83FE2" w14:textId="77777777" w:rsidTr="00465739">
        <w:trPr>
          <w:trHeight w:val="20"/>
        </w:trPr>
        <w:tc>
          <w:tcPr>
            <w:tcW w:w="300" w:type="dxa"/>
            <w:noWrap/>
          </w:tcPr>
          <w:p w14:paraId="73FE8B8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3CE60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51AF2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7E059274" w14:textId="77777777" w:rsidTr="00465739">
        <w:trPr>
          <w:trHeight w:val="20"/>
        </w:trPr>
        <w:tc>
          <w:tcPr>
            <w:tcW w:w="300" w:type="dxa"/>
            <w:noWrap/>
          </w:tcPr>
          <w:p w14:paraId="2577921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2CB07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7B520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3104388D" w14:textId="77777777" w:rsidTr="00465739">
        <w:trPr>
          <w:trHeight w:val="20"/>
        </w:trPr>
        <w:tc>
          <w:tcPr>
            <w:tcW w:w="300" w:type="dxa"/>
            <w:noWrap/>
          </w:tcPr>
          <w:p w14:paraId="36D05EC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D0F53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5B777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5FCE2497" w14:textId="77777777" w:rsidTr="00465739">
        <w:trPr>
          <w:trHeight w:val="20"/>
        </w:trPr>
        <w:tc>
          <w:tcPr>
            <w:tcW w:w="300" w:type="dxa"/>
            <w:noWrap/>
          </w:tcPr>
          <w:p w14:paraId="09FA44E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3216E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A6671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18885A40" w14:textId="77777777" w:rsidTr="00465739">
        <w:trPr>
          <w:trHeight w:val="20"/>
        </w:trPr>
        <w:tc>
          <w:tcPr>
            <w:tcW w:w="300" w:type="dxa"/>
            <w:noWrap/>
          </w:tcPr>
          <w:p w14:paraId="025E8E0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7B35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C0479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05918EC9" w14:textId="77777777" w:rsidTr="00465739">
        <w:trPr>
          <w:trHeight w:val="20"/>
        </w:trPr>
        <w:tc>
          <w:tcPr>
            <w:tcW w:w="300" w:type="dxa"/>
            <w:noWrap/>
            <w:hideMark/>
          </w:tcPr>
          <w:p w14:paraId="532CFB1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FA8FECF"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1144558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67D5E820" w14:textId="77777777" w:rsidTr="00465739">
        <w:trPr>
          <w:trHeight w:val="20"/>
        </w:trPr>
        <w:tc>
          <w:tcPr>
            <w:tcW w:w="0" w:type="auto"/>
            <w:noWrap/>
            <w:hideMark/>
          </w:tcPr>
          <w:p w14:paraId="19504C3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38888152" w14:textId="5B06BFAA"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Italie</w:t>
            </w:r>
          </w:p>
        </w:tc>
      </w:tr>
      <w:tr w:rsidR="00160BA5" w:rsidRPr="00CE031F" w14:paraId="05787F7B" w14:textId="77777777" w:rsidTr="00465739">
        <w:trPr>
          <w:trHeight w:val="20"/>
        </w:trPr>
        <w:tc>
          <w:tcPr>
            <w:tcW w:w="300" w:type="dxa"/>
            <w:noWrap/>
            <w:hideMark/>
          </w:tcPr>
          <w:p w14:paraId="1436FC7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C7FA60A"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8119470" w14:textId="2FB26D58"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647E3987" w14:textId="77777777" w:rsidTr="00465739">
        <w:trPr>
          <w:trHeight w:val="20"/>
        </w:trPr>
        <w:tc>
          <w:tcPr>
            <w:tcW w:w="300" w:type="dxa"/>
            <w:noWrap/>
            <w:hideMark/>
          </w:tcPr>
          <w:p w14:paraId="7ABF4FA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85F7577"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212A07E9" w14:textId="0C4C72B2"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34D797D2" w14:textId="77777777" w:rsidTr="00465739">
        <w:trPr>
          <w:trHeight w:val="20"/>
        </w:trPr>
        <w:tc>
          <w:tcPr>
            <w:tcW w:w="300" w:type="dxa"/>
            <w:noWrap/>
            <w:hideMark/>
          </w:tcPr>
          <w:p w14:paraId="5971DF9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09C4F46"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799DD9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329505D6" w14:textId="77777777" w:rsidTr="00465739">
        <w:trPr>
          <w:trHeight w:val="20"/>
        </w:trPr>
        <w:tc>
          <w:tcPr>
            <w:tcW w:w="300" w:type="dxa"/>
            <w:noWrap/>
            <w:hideMark/>
          </w:tcPr>
          <w:p w14:paraId="4DE812B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22DA3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31B8A4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7E205343" w14:textId="77777777" w:rsidTr="00465739">
        <w:trPr>
          <w:trHeight w:val="20"/>
        </w:trPr>
        <w:tc>
          <w:tcPr>
            <w:tcW w:w="300" w:type="dxa"/>
            <w:noWrap/>
          </w:tcPr>
          <w:p w14:paraId="1A0DAB2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6AAFF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EC3E5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6D0B1153" w14:textId="77777777" w:rsidTr="00465739">
        <w:trPr>
          <w:trHeight w:val="20"/>
        </w:trPr>
        <w:tc>
          <w:tcPr>
            <w:tcW w:w="300" w:type="dxa"/>
            <w:noWrap/>
          </w:tcPr>
          <w:p w14:paraId="3927325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C411E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EF5E8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5AC71145" w14:textId="77777777" w:rsidTr="00465739">
        <w:trPr>
          <w:trHeight w:val="20"/>
        </w:trPr>
        <w:tc>
          <w:tcPr>
            <w:tcW w:w="300" w:type="dxa"/>
            <w:noWrap/>
          </w:tcPr>
          <w:p w14:paraId="5CA48FA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27756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CF965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5B97DE25" w14:textId="77777777" w:rsidTr="00465739">
        <w:trPr>
          <w:trHeight w:val="20"/>
        </w:trPr>
        <w:tc>
          <w:tcPr>
            <w:tcW w:w="300" w:type="dxa"/>
            <w:noWrap/>
          </w:tcPr>
          <w:p w14:paraId="21EE6E8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13823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7863C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65106E5D" w14:textId="77777777" w:rsidTr="00465739">
        <w:trPr>
          <w:trHeight w:val="20"/>
        </w:trPr>
        <w:tc>
          <w:tcPr>
            <w:tcW w:w="300" w:type="dxa"/>
            <w:noWrap/>
          </w:tcPr>
          <w:p w14:paraId="6C32150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85D4A0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ED563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757C2263" w14:textId="77777777" w:rsidTr="00465739">
        <w:trPr>
          <w:trHeight w:val="20"/>
        </w:trPr>
        <w:tc>
          <w:tcPr>
            <w:tcW w:w="300" w:type="dxa"/>
            <w:noWrap/>
          </w:tcPr>
          <w:p w14:paraId="4266DA7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D7407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2D2365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4C99C327" w14:textId="77777777" w:rsidTr="00465739">
        <w:trPr>
          <w:trHeight w:val="20"/>
        </w:trPr>
        <w:tc>
          <w:tcPr>
            <w:tcW w:w="300" w:type="dxa"/>
            <w:noWrap/>
          </w:tcPr>
          <w:p w14:paraId="36402E4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3CD6A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04861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3633032A" w14:textId="77777777" w:rsidTr="00465739">
        <w:trPr>
          <w:trHeight w:val="20"/>
        </w:trPr>
        <w:tc>
          <w:tcPr>
            <w:tcW w:w="300" w:type="dxa"/>
            <w:noWrap/>
          </w:tcPr>
          <w:p w14:paraId="41E086F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A746E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576E6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77481BD9" w14:textId="77777777" w:rsidTr="00465739">
        <w:trPr>
          <w:trHeight w:val="20"/>
        </w:trPr>
        <w:tc>
          <w:tcPr>
            <w:tcW w:w="300" w:type="dxa"/>
            <w:noWrap/>
          </w:tcPr>
          <w:p w14:paraId="5E0D407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6E154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3322F2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23E569E4" w14:textId="77777777" w:rsidTr="00465739">
        <w:trPr>
          <w:trHeight w:val="20"/>
        </w:trPr>
        <w:tc>
          <w:tcPr>
            <w:tcW w:w="300" w:type="dxa"/>
            <w:noWrap/>
          </w:tcPr>
          <w:p w14:paraId="2461398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0E81CC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A59F8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03C27A86" w14:textId="77777777" w:rsidTr="00465739">
        <w:trPr>
          <w:trHeight w:val="20"/>
        </w:trPr>
        <w:tc>
          <w:tcPr>
            <w:tcW w:w="300" w:type="dxa"/>
            <w:noWrap/>
          </w:tcPr>
          <w:p w14:paraId="331C08A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83AFD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FD19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269A7A59" w14:textId="77777777" w:rsidTr="00465739">
        <w:trPr>
          <w:trHeight w:val="20"/>
        </w:trPr>
        <w:tc>
          <w:tcPr>
            <w:tcW w:w="300" w:type="dxa"/>
            <w:noWrap/>
          </w:tcPr>
          <w:p w14:paraId="56E31E9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18DA9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8605D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5B8CD55A" w14:textId="77777777" w:rsidTr="00465739">
        <w:trPr>
          <w:trHeight w:val="20"/>
        </w:trPr>
        <w:tc>
          <w:tcPr>
            <w:tcW w:w="300" w:type="dxa"/>
            <w:noWrap/>
          </w:tcPr>
          <w:p w14:paraId="0F54643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94D76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17C92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098C3DC7" w14:textId="77777777" w:rsidTr="00465739">
        <w:trPr>
          <w:trHeight w:val="20"/>
        </w:trPr>
        <w:tc>
          <w:tcPr>
            <w:tcW w:w="300" w:type="dxa"/>
            <w:noWrap/>
          </w:tcPr>
          <w:p w14:paraId="44E1C50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503D2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4740C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249D18CE" w14:textId="77777777" w:rsidTr="00465739">
        <w:trPr>
          <w:trHeight w:val="20"/>
        </w:trPr>
        <w:tc>
          <w:tcPr>
            <w:tcW w:w="300" w:type="dxa"/>
            <w:noWrap/>
          </w:tcPr>
          <w:p w14:paraId="642AB2F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2085F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C1606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184D2243" w14:textId="77777777" w:rsidTr="00465739">
        <w:trPr>
          <w:trHeight w:val="20"/>
        </w:trPr>
        <w:tc>
          <w:tcPr>
            <w:tcW w:w="300" w:type="dxa"/>
            <w:noWrap/>
          </w:tcPr>
          <w:p w14:paraId="39CD5D3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7D102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E1322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4D242E97" w14:textId="77777777" w:rsidTr="00465739">
        <w:trPr>
          <w:trHeight w:val="20"/>
        </w:trPr>
        <w:tc>
          <w:tcPr>
            <w:tcW w:w="300" w:type="dxa"/>
            <w:noWrap/>
          </w:tcPr>
          <w:p w14:paraId="62282AF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065D7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3D70F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7C09B40" w14:textId="77777777" w:rsidTr="00465739">
        <w:trPr>
          <w:trHeight w:val="20"/>
        </w:trPr>
        <w:tc>
          <w:tcPr>
            <w:tcW w:w="300" w:type="dxa"/>
            <w:noWrap/>
          </w:tcPr>
          <w:p w14:paraId="001C35C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48658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6C533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53184F5E" w14:textId="77777777" w:rsidTr="00465739">
        <w:trPr>
          <w:trHeight w:val="20"/>
        </w:trPr>
        <w:tc>
          <w:tcPr>
            <w:tcW w:w="300" w:type="dxa"/>
            <w:noWrap/>
          </w:tcPr>
          <w:p w14:paraId="7310CA4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2CF27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5D9B3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21376BA6" w14:textId="77777777" w:rsidTr="00465739">
        <w:trPr>
          <w:trHeight w:val="20"/>
        </w:trPr>
        <w:tc>
          <w:tcPr>
            <w:tcW w:w="300" w:type="dxa"/>
            <w:noWrap/>
          </w:tcPr>
          <w:p w14:paraId="66A9A07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7CD9F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C33E3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2A91A7C7" w14:textId="77777777" w:rsidTr="00465739">
        <w:trPr>
          <w:trHeight w:val="20"/>
        </w:trPr>
        <w:tc>
          <w:tcPr>
            <w:tcW w:w="300" w:type="dxa"/>
            <w:noWrap/>
          </w:tcPr>
          <w:p w14:paraId="66298FB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7AC26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80FDB3"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25FDAC8A" w14:textId="77777777" w:rsidTr="00465739">
        <w:trPr>
          <w:trHeight w:val="20"/>
        </w:trPr>
        <w:tc>
          <w:tcPr>
            <w:tcW w:w="300" w:type="dxa"/>
            <w:noWrap/>
          </w:tcPr>
          <w:p w14:paraId="30DE389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82CB9C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E04D2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5B153891" w14:textId="77777777" w:rsidTr="00465739">
        <w:trPr>
          <w:trHeight w:val="20"/>
        </w:trPr>
        <w:tc>
          <w:tcPr>
            <w:tcW w:w="300" w:type="dxa"/>
            <w:noWrap/>
          </w:tcPr>
          <w:p w14:paraId="0FD0E0E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50F5A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BECEB8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4B2737D2" w14:textId="77777777" w:rsidTr="00465739">
        <w:trPr>
          <w:trHeight w:val="20"/>
        </w:trPr>
        <w:tc>
          <w:tcPr>
            <w:tcW w:w="300" w:type="dxa"/>
            <w:noWrap/>
          </w:tcPr>
          <w:p w14:paraId="5828034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132E5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E4734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6FD0A8DB" w14:textId="77777777" w:rsidTr="00465739">
        <w:trPr>
          <w:trHeight w:val="20"/>
        </w:trPr>
        <w:tc>
          <w:tcPr>
            <w:tcW w:w="300" w:type="dxa"/>
            <w:noWrap/>
          </w:tcPr>
          <w:p w14:paraId="3A9542A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2A4EC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1C901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763088EA" w14:textId="77777777" w:rsidTr="00465739">
        <w:trPr>
          <w:trHeight w:val="20"/>
        </w:trPr>
        <w:tc>
          <w:tcPr>
            <w:tcW w:w="300" w:type="dxa"/>
            <w:noWrap/>
          </w:tcPr>
          <w:p w14:paraId="32EAC5F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BA01B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E12AB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19A02661" w14:textId="77777777" w:rsidTr="00465739">
        <w:trPr>
          <w:trHeight w:val="20"/>
        </w:trPr>
        <w:tc>
          <w:tcPr>
            <w:tcW w:w="300" w:type="dxa"/>
            <w:noWrap/>
          </w:tcPr>
          <w:p w14:paraId="3F01826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F56E8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9E369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57847E31" w14:textId="77777777" w:rsidTr="00465739">
        <w:trPr>
          <w:trHeight w:val="20"/>
        </w:trPr>
        <w:tc>
          <w:tcPr>
            <w:tcW w:w="300" w:type="dxa"/>
            <w:noWrap/>
            <w:hideMark/>
          </w:tcPr>
          <w:p w14:paraId="44C5525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0F59E1D"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49BFA0B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56B1CEBD" w14:textId="77777777" w:rsidTr="00465739">
        <w:trPr>
          <w:trHeight w:val="20"/>
        </w:trPr>
        <w:tc>
          <w:tcPr>
            <w:tcW w:w="0" w:type="auto"/>
            <w:noWrap/>
            <w:hideMark/>
          </w:tcPr>
          <w:p w14:paraId="784D66D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C6EEE1E" w14:textId="0AF1BBCC"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Lettonie</w:t>
            </w:r>
          </w:p>
        </w:tc>
      </w:tr>
      <w:tr w:rsidR="00160BA5" w:rsidRPr="00CE031F" w14:paraId="5FCF01DE" w14:textId="77777777" w:rsidTr="00465739">
        <w:trPr>
          <w:trHeight w:val="20"/>
        </w:trPr>
        <w:tc>
          <w:tcPr>
            <w:tcW w:w="300" w:type="dxa"/>
            <w:noWrap/>
            <w:hideMark/>
          </w:tcPr>
          <w:p w14:paraId="7E54FA5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D146845"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32F0ED5E" w14:textId="18B393BB"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05688433" w14:textId="77777777" w:rsidTr="00465739">
        <w:trPr>
          <w:trHeight w:val="20"/>
        </w:trPr>
        <w:tc>
          <w:tcPr>
            <w:tcW w:w="300" w:type="dxa"/>
            <w:noWrap/>
            <w:hideMark/>
          </w:tcPr>
          <w:p w14:paraId="23878FD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2A718E8"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7F734D46" w14:textId="27C5E4A5"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17509CBF" w14:textId="77777777" w:rsidTr="00465739">
        <w:trPr>
          <w:trHeight w:val="20"/>
        </w:trPr>
        <w:tc>
          <w:tcPr>
            <w:tcW w:w="300" w:type="dxa"/>
            <w:noWrap/>
            <w:hideMark/>
          </w:tcPr>
          <w:p w14:paraId="15A43F1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9162A47"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4260D17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0ED689B8" w14:textId="77777777" w:rsidTr="00465739">
        <w:trPr>
          <w:trHeight w:val="20"/>
        </w:trPr>
        <w:tc>
          <w:tcPr>
            <w:tcW w:w="300" w:type="dxa"/>
            <w:noWrap/>
            <w:hideMark/>
          </w:tcPr>
          <w:p w14:paraId="0A9A0F0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401A0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5D3329C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66F22FEC" w14:textId="77777777" w:rsidTr="00465739">
        <w:trPr>
          <w:trHeight w:val="20"/>
        </w:trPr>
        <w:tc>
          <w:tcPr>
            <w:tcW w:w="300" w:type="dxa"/>
            <w:noWrap/>
          </w:tcPr>
          <w:p w14:paraId="576E03D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95A76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439D3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745B9C8F" w14:textId="77777777" w:rsidTr="00465739">
        <w:trPr>
          <w:trHeight w:val="20"/>
        </w:trPr>
        <w:tc>
          <w:tcPr>
            <w:tcW w:w="300" w:type="dxa"/>
            <w:noWrap/>
          </w:tcPr>
          <w:p w14:paraId="742569B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56854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43B3F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30117820" w14:textId="77777777" w:rsidTr="00465739">
        <w:trPr>
          <w:trHeight w:val="20"/>
        </w:trPr>
        <w:tc>
          <w:tcPr>
            <w:tcW w:w="300" w:type="dxa"/>
            <w:noWrap/>
          </w:tcPr>
          <w:p w14:paraId="799222F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554CA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6A8F8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1ED3EAF7" w14:textId="77777777" w:rsidTr="00465739">
        <w:trPr>
          <w:trHeight w:val="20"/>
        </w:trPr>
        <w:tc>
          <w:tcPr>
            <w:tcW w:w="300" w:type="dxa"/>
            <w:noWrap/>
          </w:tcPr>
          <w:p w14:paraId="293A390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AB378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7E42C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35DE66E8" w14:textId="77777777" w:rsidTr="00465739">
        <w:trPr>
          <w:trHeight w:val="20"/>
        </w:trPr>
        <w:tc>
          <w:tcPr>
            <w:tcW w:w="300" w:type="dxa"/>
            <w:noWrap/>
          </w:tcPr>
          <w:p w14:paraId="42E9BB2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BDB49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7C4D9A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2E5B49C1" w14:textId="77777777" w:rsidTr="00465739">
        <w:trPr>
          <w:trHeight w:val="20"/>
        </w:trPr>
        <w:tc>
          <w:tcPr>
            <w:tcW w:w="300" w:type="dxa"/>
            <w:noWrap/>
          </w:tcPr>
          <w:p w14:paraId="301EB59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2822A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C5B27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3BC8F956" w14:textId="77777777" w:rsidTr="00465739">
        <w:trPr>
          <w:trHeight w:val="20"/>
        </w:trPr>
        <w:tc>
          <w:tcPr>
            <w:tcW w:w="300" w:type="dxa"/>
            <w:noWrap/>
          </w:tcPr>
          <w:p w14:paraId="7F294D7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8EFFE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FC9AB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1676BE62" w14:textId="77777777" w:rsidTr="00465739">
        <w:trPr>
          <w:trHeight w:val="20"/>
        </w:trPr>
        <w:tc>
          <w:tcPr>
            <w:tcW w:w="300" w:type="dxa"/>
            <w:noWrap/>
          </w:tcPr>
          <w:p w14:paraId="2812266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57B57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D9D96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6AD5641F" w14:textId="77777777" w:rsidTr="00465739">
        <w:trPr>
          <w:trHeight w:val="20"/>
        </w:trPr>
        <w:tc>
          <w:tcPr>
            <w:tcW w:w="300" w:type="dxa"/>
            <w:noWrap/>
          </w:tcPr>
          <w:p w14:paraId="6472674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F0F90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8EE43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088E2BC9" w14:textId="77777777" w:rsidTr="00465739">
        <w:trPr>
          <w:trHeight w:val="20"/>
        </w:trPr>
        <w:tc>
          <w:tcPr>
            <w:tcW w:w="300" w:type="dxa"/>
            <w:noWrap/>
          </w:tcPr>
          <w:p w14:paraId="176EF32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73A6D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D4675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2CC2AFFC" w14:textId="77777777" w:rsidTr="00465739">
        <w:trPr>
          <w:trHeight w:val="20"/>
        </w:trPr>
        <w:tc>
          <w:tcPr>
            <w:tcW w:w="300" w:type="dxa"/>
            <w:noWrap/>
          </w:tcPr>
          <w:p w14:paraId="51327F2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440F4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0AB4B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07BE9DE8" w14:textId="77777777" w:rsidTr="00465739">
        <w:trPr>
          <w:trHeight w:val="20"/>
        </w:trPr>
        <w:tc>
          <w:tcPr>
            <w:tcW w:w="300" w:type="dxa"/>
            <w:noWrap/>
          </w:tcPr>
          <w:p w14:paraId="43E62D8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6DDC8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B2E9C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638DDED1" w14:textId="77777777" w:rsidTr="00465739">
        <w:trPr>
          <w:trHeight w:val="20"/>
        </w:trPr>
        <w:tc>
          <w:tcPr>
            <w:tcW w:w="300" w:type="dxa"/>
            <w:noWrap/>
          </w:tcPr>
          <w:p w14:paraId="36BC8C5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61F01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44FC4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68A04E66" w14:textId="77777777" w:rsidTr="00465739">
        <w:trPr>
          <w:trHeight w:val="20"/>
        </w:trPr>
        <w:tc>
          <w:tcPr>
            <w:tcW w:w="300" w:type="dxa"/>
            <w:noWrap/>
          </w:tcPr>
          <w:p w14:paraId="54A9E14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34231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33932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2B46B191" w14:textId="77777777" w:rsidTr="00465739">
        <w:trPr>
          <w:trHeight w:val="20"/>
        </w:trPr>
        <w:tc>
          <w:tcPr>
            <w:tcW w:w="300" w:type="dxa"/>
            <w:noWrap/>
          </w:tcPr>
          <w:p w14:paraId="68EC911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687311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73245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42EBF15A" w14:textId="77777777" w:rsidTr="00465739">
        <w:trPr>
          <w:trHeight w:val="20"/>
        </w:trPr>
        <w:tc>
          <w:tcPr>
            <w:tcW w:w="300" w:type="dxa"/>
            <w:noWrap/>
          </w:tcPr>
          <w:p w14:paraId="5216E0D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2BC77C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4C588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67DE34CB" w14:textId="77777777" w:rsidTr="00465739">
        <w:trPr>
          <w:trHeight w:val="20"/>
        </w:trPr>
        <w:tc>
          <w:tcPr>
            <w:tcW w:w="300" w:type="dxa"/>
            <w:noWrap/>
          </w:tcPr>
          <w:p w14:paraId="7096F52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47520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238CD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0BD21E7C" w14:textId="77777777" w:rsidTr="00465739">
        <w:trPr>
          <w:trHeight w:val="20"/>
        </w:trPr>
        <w:tc>
          <w:tcPr>
            <w:tcW w:w="300" w:type="dxa"/>
            <w:noWrap/>
          </w:tcPr>
          <w:p w14:paraId="529C4E2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6EF20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48CC4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38768330" w14:textId="77777777" w:rsidTr="00465739">
        <w:trPr>
          <w:trHeight w:val="20"/>
        </w:trPr>
        <w:tc>
          <w:tcPr>
            <w:tcW w:w="300" w:type="dxa"/>
            <w:noWrap/>
          </w:tcPr>
          <w:p w14:paraId="16E8283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5C273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59434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79329AEE" w14:textId="77777777" w:rsidTr="00465739">
        <w:trPr>
          <w:trHeight w:val="20"/>
        </w:trPr>
        <w:tc>
          <w:tcPr>
            <w:tcW w:w="300" w:type="dxa"/>
            <w:noWrap/>
          </w:tcPr>
          <w:p w14:paraId="3593891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FF7AE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1B665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52AE476F" w14:textId="77777777" w:rsidTr="00465739">
        <w:trPr>
          <w:trHeight w:val="20"/>
        </w:trPr>
        <w:tc>
          <w:tcPr>
            <w:tcW w:w="300" w:type="dxa"/>
            <w:noWrap/>
          </w:tcPr>
          <w:p w14:paraId="256E8F8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85EE1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60AAD7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4DA45ECF" w14:textId="77777777" w:rsidTr="00465739">
        <w:trPr>
          <w:trHeight w:val="20"/>
        </w:trPr>
        <w:tc>
          <w:tcPr>
            <w:tcW w:w="300" w:type="dxa"/>
            <w:noWrap/>
          </w:tcPr>
          <w:p w14:paraId="02F761E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7419C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0D19D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55ED65C1" w14:textId="77777777" w:rsidTr="00465739">
        <w:trPr>
          <w:trHeight w:val="20"/>
        </w:trPr>
        <w:tc>
          <w:tcPr>
            <w:tcW w:w="300" w:type="dxa"/>
            <w:noWrap/>
          </w:tcPr>
          <w:p w14:paraId="35D61D0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23F8E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1140B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4945ABFD" w14:textId="77777777" w:rsidTr="00465739">
        <w:trPr>
          <w:trHeight w:val="20"/>
        </w:trPr>
        <w:tc>
          <w:tcPr>
            <w:tcW w:w="300" w:type="dxa"/>
            <w:noWrap/>
          </w:tcPr>
          <w:p w14:paraId="0F6587D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18033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4027D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73BF371E" w14:textId="77777777" w:rsidTr="00465739">
        <w:trPr>
          <w:trHeight w:val="20"/>
        </w:trPr>
        <w:tc>
          <w:tcPr>
            <w:tcW w:w="300" w:type="dxa"/>
            <w:noWrap/>
          </w:tcPr>
          <w:p w14:paraId="10E3E1E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5F12D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62C8D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75EE9900" w14:textId="77777777" w:rsidTr="00465739">
        <w:trPr>
          <w:trHeight w:val="20"/>
        </w:trPr>
        <w:tc>
          <w:tcPr>
            <w:tcW w:w="300" w:type="dxa"/>
            <w:noWrap/>
          </w:tcPr>
          <w:p w14:paraId="09B26C6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F500C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2BEB4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39A054B4" w14:textId="77777777" w:rsidTr="00465739">
        <w:trPr>
          <w:trHeight w:val="20"/>
        </w:trPr>
        <w:tc>
          <w:tcPr>
            <w:tcW w:w="300" w:type="dxa"/>
            <w:noWrap/>
          </w:tcPr>
          <w:p w14:paraId="5D707F7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D7232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6C024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3CDCBADD" w14:textId="77777777" w:rsidTr="00465739">
        <w:trPr>
          <w:trHeight w:val="20"/>
        </w:trPr>
        <w:tc>
          <w:tcPr>
            <w:tcW w:w="300" w:type="dxa"/>
            <w:noWrap/>
            <w:hideMark/>
          </w:tcPr>
          <w:p w14:paraId="0CA3D5A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4495300"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C01D1D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2CB5274A" w14:textId="77777777" w:rsidTr="00465739">
        <w:trPr>
          <w:trHeight w:val="20"/>
        </w:trPr>
        <w:tc>
          <w:tcPr>
            <w:tcW w:w="0" w:type="auto"/>
            <w:noWrap/>
            <w:hideMark/>
          </w:tcPr>
          <w:p w14:paraId="6BC7570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962571F" w14:textId="1562DA88" w:rsidR="00160BA5" w:rsidRPr="00CE031F" w:rsidRDefault="00160BA5"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sidRPr="00160BA5">
              <w:rPr>
                <w:rFonts w:ascii="Calibri" w:hAnsi="Calibri" w:cs="Calibri"/>
                <w:b/>
                <w:color w:val="000000"/>
                <w:sz w:val="12"/>
                <w:szCs w:val="12"/>
              </w:rPr>
              <w:t>Liechtenstein</w:t>
            </w:r>
          </w:p>
        </w:tc>
      </w:tr>
      <w:tr w:rsidR="00160BA5" w:rsidRPr="00CE031F" w14:paraId="4C8324DE" w14:textId="77777777" w:rsidTr="00465739">
        <w:trPr>
          <w:trHeight w:val="20"/>
        </w:trPr>
        <w:tc>
          <w:tcPr>
            <w:tcW w:w="300" w:type="dxa"/>
            <w:noWrap/>
            <w:hideMark/>
          </w:tcPr>
          <w:p w14:paraId="3CB112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01A0A0B"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320031CC" w14:textId="7090F6CB"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52DE1B31" w14:textId="77777777" w:rsidTr="00465739">
        <w:trPr>
          <w:trHeight w:val="20"/>
        </w:trPr>
        <w:tc>
          <w:tcPr>
            <w:tcW w:w="300" w:type="dxa"/>
            <w:noWrap/>
            <w:hideMark/>
          </w:tcPr>
          <w:p w14:paraId="5E2A369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47DCFF9"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39A03A01" w14:textId="23E049CA"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7CD90B6D" w14:textId="77777777" w:rsidTr="00465739">
        <w:trPr>
          <w:trHeight w:val="20"/>
        </w:trPr>
        <w:tc>
          <w:tcPr>
            <w:tcW w:w="300" w:type="dxa"/>
            <w:noWrap/>
            <w:hideMark/>
          </w:tcPr>
          <w:p w14:paraId="2DC6170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36EDE95"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F5DCEF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684288F5" w14:textId="77777777" w:rsidTr="00465739">
        <w:trPr>
          <w:trHeight w:val="20"/>
        </w:trPr>
        <w:tc>
          <w:tcPr>
            <w:tcW w:w="300" w:type="dxa"/>
            <w:noWrap/>
            <w:hideMark/>
          </w:tcPr>
          <w:p w14:paraId="2D985BF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0E01C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3968103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760FFDFE" w14:textId="77777777" w:rsidTr="00465739">
        <w:trPr>
          <w:trHeight w:val="20"/>
        </w:trPr>
        <w:tc>
          <w:tcPr>
            <w:tcW w:w="300" w:type="dxa"/>
            <w:noWrap/>
          </w:tcPr>
          <w:p w14:paraId="5B8D18B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F8F12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49320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7E515371" w14:textId="77777777" w:rsidTr="00465739">
        <w:trPr>
          <w:trHeight w:val="20"/>
        </w:trPr>
        <w:tc>
          <w:tcPr>
            <w:tcW w:w="300" w:type="dxa"/>
            <w:noWrap/>
          </w:tcPr>
          <w:p w14:paraId="5E8FEAD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232083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71D6F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23CB9269" w14:textId="77777777" w:rsidTr="00465739">
        <w:trPr>
          <w:trHeight w:val="20"/>
        </w:trPr>
        <w:tc>
          <w:tcPr>
            <w:tcW w:w="300" w:type="dxa"/>
            <w:noWrap/>
          </w:tcPr>
          <w:p w14:paraId="10FB045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E28C3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629270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3390EF52" w14:textId="77777777" w:rsidTr="00465739">
        <w:trPr>
          <w:trHeight w:val="20"/>
        </w:trPr>
        <w:tc>
          <w:tcPr>
            <w:tcW w:w="300" w:type="dxa"/>
            <w:noWrap/>
          </w:tcPr>
          <w:p w14:paraId="53BC8FA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3DFB46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819099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5C6ECFEA" w14:textId="77777777" w:rsidTr="00465739">
        <w:trPr>
          <w:trHeight w:val="20"/>
        </w:trPr>
        <w:tc>
          <w:tcPr>
            <w:tcW w:w="300" w:type="dxa"/>
            <w:noWrap/>
          </w:tcPr>
          <w:p w14:paraId="5A39E8F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AC27B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97BC62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66C8FEFA" w14:textId="77777777" w:rsidTr="00465739">
        <w:trPr>
          <w:trHeight w:val="20"/>
        </w:trPr>
        <w:tc>
          <w:tcPr>
            <w:tcW w:w="300" w:type="dxa"/>
            <w:noWrap/>
          </w:tcPr>
          <w:p w14:paraId="222B31D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245CF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0FA21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6C88F1AC" w14:textId="77777777" w:rsidTr="00465739">
        <w:trPr>
          <w:trHeight w:val="20"/>
        </w:trPr>
        <w:tc>
          <w:tcPr>
            <w:tcW w:w="300" w:type="dxa"/>
            <w:noWrap/>
          </w:tcPr>
          <w:p w14:paraId="47EA9B6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57BAE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AAABA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5F951234" w14:textId="77777777" w:rsidTr="00465739">
        <w:trPr>
          <w:trHeight w:val="20"/>
        </w:trPr>
        <w:tc>
          <w:tcPr>
            <w:tcW w:w="300" w:type="dxa"/>
            <w:noWrap/>
          </w:tcPr>
          <w:p w14:paraId="5CAC4DE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3602B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13183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0C5BB7F3" w14:textId="77777777" w:rsidTr="00465739">
        <w:trPr>
          <w:trHeight w:val="20"/>
        </w:trPr>
        <w:tc>
          <w:tcPr>
            <w:tcW w:w="300" w:type="dxa"/>
            <w:noWrap/>
          </w:tcPr>
          <w:p w14:paraId="74E84A6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7A3DE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A4EE6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128D5687" w14:textId="77777777" w:rsidTr="00465739">
        <w:trPr>
          <w:trHeight w:val="20"/>
        </w:trPr>
        <w:tc>
          <w:tcPr>
            <w:tcW w:w="300" w:type="dxa"/>
            <w:noWrap/>
          </w:tcPr>
          <w:p w14:paraId="35AC8B6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6D63C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9A752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6F7BD682" w14:textId="77777777" w:rsidTr="00465739">
        <w:trPr>
          <w:trHeight w:val="20"/>
        </w:trPr>
        <w:tc>
          <w:tcPr>
            <w:tcW w:w="300" w:type="dxa"/>
            <w:noWrap/>
          </w:tcPr>
          <w:p w14:paraId="533D282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3B037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01B4A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7FD53CCB" w14:textId="77777777" w:rsidTr="00465739">
        <w:trPr>
          <w:trHeight w:val="20"/>
        </w:trPr>
        <w:tc>
          <w:tcPr>
            <w:tcW w:w="300" w:type="dxa"/>
            <w:noWrap/>
          </w:tcPr>
          <w:p w14:paraId="7CE13EB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31199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AFF84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6C51F813" w14:textId="77777777" w:rsidTr="00465739">
        <w:trPr>
          <w:trHeight w:val="20"/>
        </w:trPr>
        <w:tc>
          <w:tcPr>
            <w:tcW w:w="300" w:type="dxa"/>
            <w:noWrap/>
          </w:tcPr>
          <w:p w14:paraId="328A390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BB9753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D28C0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7D87CA32" w14:textId="77777777" w:rsidTr="00465739">
        <w:trPr>
          <w:trHeight w:val="20"/>
        </w:trPr>
        <w:tc>
          <w:tcPr>
            <w:tcW w:w="300" w:type="dxa"/>
            <w:noWrap/>
          </w:tcPr>
          <w:p w14:paraId="1FA6D87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ECAB52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9573C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568D8E3B" w14:textId="77777777" w:rsidTr="00465739">
        <w:trPr>
          <w:trHeight w:val="20"/>
        </w:trPr>
        <w:tc>
          <w:tcPr>
            <w:tcW w:w="300" w:type="dxa"/>
            <w:noWrap/>
          </w:tcPr>
          <w:p w14:paraId="5D64DAB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28B18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2F16E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6FAD010" w14:textId="77777777" w:rsidTr="00465739">
        <w:trPr>
          <w:trHeight w:val="20"/>
        </w:trPr>
        <w:tc>
          <w:tcPr>
            <w:tcW w:w="300" w:type="dxa"/>
            <w:noWrap/>
          </w:tcPr>
          <w:p w14:paraId="0F96404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2C562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F2141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727E97C2" w14:textId="77777777" w:rsidTr="00465739">
        <w:trPr>
          <w:trHeight w:val="20"/>
        </w:trPr>
        <w:tc>
          <w:tcPr>
            <w:tcW w:w="300" w:type="dxa"/>
            <w:noWrap/>
          </w:tcPr>
          <w:p w14:paraId="3F0CD7B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BD7D5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7F8E3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75A28F1A" w14:textId="77777777" w:rsidTr="00465739">
        <w:trPr>
          <w:trHeight w:val="20"/>
        </w:trPr>
        <w:tc>
          <w:tcPr>
            <w:tcW w:w="300" w:type="dxa"/>
            <w:noWrap/>
          </w:tcPr>
          <w:p w14:paraId="7D90E2E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5D278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2C1889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2CED15D8" w14:textId="77777777" w:rsidTr="00465739">
        <w:trPr>
          <w:trHeight w:val="20"/>
        </w:trPr>
        <w:tc>
          <w:tcPr>
            <w:tcW w:w="300" w:type="dxa"/>
            <w:noWrap/>
          </w:tcPr>
          <w:p w14:paraId="7858CEC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00BB2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177B9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144B84B0" w14:textId="77777777" w:rsidTr="00465739">
        <w:trPr>
          <w:trHeight w:val="20"/>
        </w:trPr>
        <w:tc>
          <w:tcPr>
            <w:tcW w:w="300" w:type="dxa"/>
            <w:noWrap/>
          </w:tcPr>
          <w:p w14:paraId="1E6BBCB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326EC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D07CA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748CF9BD" w14:textId="77777777" w:rsidTr="00465739">
        <w:trPr>
          <w:trHeight w:val="20"/>
        </w:trPr>
        <w:tc>
          <w:tcPr>
            <w:tcW w:w="300" w:type="dxa"/>
            <w:noWrap/>
          </w:tcPr>
          <w:p w14:paraId="302E226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EA109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8C89B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45AC82F0" w14:textId="77777777" w:rsidTr="00465739">
        <w:trPr>
          <w:trHeight w:val="20"/>
        </w:trPr>
        <w:tc>
          <w:tcPr>
            <w:tcW w:w="300" w:type="dxa"/>
            <w:noWrap/>
          </w:tcPr>
          <w:p w14:paraId="5F55BEF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8B2A5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E4696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211F126D" w14:textId="77777777" w:rsidTr="00465739">
        <w:trPr>
          <w:trHeight w:val="20"/>
        </w:trPr>
        <w:tc>
          <w:tcPr>
            <w:tcW w:w="300" w:type="dxa"/>
            <w:noWrap/>
          </w:tcPr>
          <w:p w14:paraId="062807F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8C6028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5B6AD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56E9DC56" w14:textId="77777777" w:rsidTr="00465739">
        <w:trPr>
          <w:trHeight w:val="20"/>
        </w:trPr>
        <w:tc>
          <w:tcPr>
            <w:tcW w:w="300" w:type="dxa"/>
            <w:noWrap/>
          </w:tcPr>
          <w:p w14:paraId="4012A25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EB773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486F7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3BD6E747" w14:textId="77777777" w:rsidTr="00465739">
        <w:trPr>
          <w:trHeight w:val="20"/>
        </w:trPr>
        <w:tc>
          <w:tcPr>
            <w:tcW w:w="300" w:type="dxa"/>
            <w:noWrap/>
          </w:tcPr>
          <w:p w14:paraId="64B6A57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F7628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8AF49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4FA91AE5" w14:textId="77777777" w:rsidTr="00465739">
        <w:trPr>
          <w:trHeight w:val="20"/>
        </w:trPr>
        <w:tc>
          <w:tcPr>
            <w:tcW w:w="300" w:type="dxa"/>
            <w:noWrap/>
          </w:tcPr>
          <w:p w14:paraId="3E736A2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BB5DE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0F93E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40D86ABB" w14:textId="77777777" w:rsidTr="00465739">
        <w:trPr>
          <w:trHeight w:val="20"/>
        </w:trPr>
        <w:tc>
          <w:tcPr>
            <w:tcW w:w="300" w:type="dxa"/>
            <w:noWrap/>
          </w:tcPr>
          <w:p w14:paraId="25799C4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6D4ED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779D4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15CDF056" w14:textId="77777777" w:rsidTr="00465739">
        <w:trPr>
          <w:trHeight w:val="20"/>
        </w:trPr>
        <w:tc>
          <w:tcPr>
            <w:tcW w:w="300" w:type="dxa"/>
            <w:noWrap/>
            <w:hideMark/>
          </w:tcPr>
          <w:p w14:paraId="382C4C7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167EC4D5"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1851D10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02F0DF65" w14:textId="77777777" w:rsidTr="00465739">
        <w:trPr>
          <w:trHeight w:val="20"/>
        </w:trPr>
        <w:tc>
          <w:tcPr>
            <w:tcW w:w="0" w:type="auto"/>
            <w:noWrap/>
            <w:hideMark/>
          </w:tcPr>
          <w:p w14:paraId="47B1DEF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0DC2BD9D" w14:textId="6502B0B0"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sidRPr="00160BA5">
              <w:rPr>
                <w:rFonts w:ascii="Calibri" w:hAnsi="Calibri" w:cs="Calibri"/>
                <w:b/>
                <w:color w:val="000000"/>
                <w:sz w:val="12"/>
                <w:szCs w:val="12"/>
              </w:rPr>
              <w:t>Li</w:t>
            </w:r>
            <w:r>
              <w:rPr>
                <w:rFonts w:ascii="Calibri" w:hAnsi="Calibri" w:cs="Calibri"/>
                <w:b/>
                <w:color w:val="000000"/>
                <w:sz w:val="12"/>
                <w:szCs w:val="12"/>
              </w:rPr>
              <w:t>tuanie</w:t>
            </w:r>
          </w:p>
        </w:tc>
      </w:tr>
      <w:tr w:rsidR="00160BA5" w:rsidRPr="00CE031F" w14:paraId="034ED486" w14:textId="77777777" w:rsidTr="00465739">
        <w:trPr>
          <w:trHeight w:val="20"/>
        </w:trPr>
        <w:tc>
          <w:tcPr>
            <w:tcW w:w="300" w:type="dxa"/>
            <w:noWrap/>
            <w:hideMark/>
          </w:tcPr>
          <w:p w14:paraId="6DB6D15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98B25BF"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A33E117" w14:textId="20AD5A33"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5F90CC67" w14:textId="77777777" w:rsidTr="00465739">
        <w:trPr>
          <w:trHeight w:val="20"/>
        </w:trPr>
        <w:tc>
          <w:tcPr>
            <w:tcW w:w="300" w:type="dxa"/>
            <w:noWrap/>
            <w:hideMark/>
          </w:tcPr>
          <w:p w14:paraId="023BCFC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4B9DE5FF"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38D5209" w14:textId="7B1AB74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78A660B5" w14:textId="77777777" w:rsidTr="00465739">
        <w:trPr>
          <w:trHeight w:val="20"/>
        </w:trPr>
        <w:tc>
          <w:tcPr>
            <w:tcW w:w="300" w:type="dxa"/>
            <w:noWrap/>
            <w:hideMark/>
          </w:tcPr>
          <w:p w14:paraId="50FE80E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4EA416ED"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810695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64A61A71" w14:textId="77777777" w:rsidTr="00465739">
        <w:trPr>
          <w:trHeight w:val="20"/>
        </w:trPr>
        <w:tc>
          <w:tcPr>
            <w:tcW w:w="300" w:type="dxa"/>
            <w:noWrap/>
            <w:hideMark/>
          </w:tcPr>
          <w:p w14:paraId="21D8F6B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7E9B9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32384A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3EB1B21D" w14:textId="77777777" w:rsidTr="00465739">
        <w:trPr>
          <w:trHeight w:val="20"/>
        </w:trPr>
        <w:tc>
          <w:tcPr>
            <w:tcW w:w="300" w:type="dxa"/>
            <w:noWrap/>
          </w:tcPr>
          <w:p w14:paraId="53515E5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9CB15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4BC42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73FE8D79" w14:textId="77777777" w:rsidTr="00465739">
        <w:trPr>
          <w:trHeight w:val="20"/>
        </w:trPr>
        <w:tc>
          <w:tcPr>
            <w:tcW w:w="300" w:type="dxa"/>
            <w:noWrap/>
          </w:tcPr>
          <w:p w14:paraId="420ACC1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455C9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6FEB1F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6B1920BF" w14:textId="77777777" w:rsidTr="00465739">
        <w:trPr>
          <w:trHeight w:val="20"/>
        </w:trPr>
        <w:tc>
          <w:tcPr>
            <w:tcW w:w="300" w:type="dxa"/>
            <w:noWrap/>
          </w:tcPr>
          <w:p w14:paraId="07864A0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D1C35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3F6BD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64BB1FAF" w14:textId="77777777" w:rsidTr="00465739">
        <w:trPr>
          <w:trHeight w:val="20"/>
        </w:trPr>
        <w:tc>
          <w:tcPr>
            <w:tcW w:w="300" w:type="dxa"/>
            <w:noWrap/>
          </w:tcPr>
          <w:p w14:paraId="3E0A331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564B2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8CE1B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1DB00F82" w14:textId="77777777" w:rsidTr="00465739">
        <w:trPr>
          <w:trHeight w:val="20"/>
        </w:trPr>
        <w:tc>
          <w:tcPr>
            <w:tcW w:w="300" w:type="dxa"/>
            <w:noWrap/>
          </w:tcPr>
          <w:p w14:paraId="79BB7B5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78126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67944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2A8F4019" w14:textId="77777777" w:rsidTr="00465739">
        <w:trPr>
          <w:trHeight w:val="20"/>
        </w:trPr>
        <w:tc>
          <w:tcPr>
            <w:tcW w:w="300" w:type="dxa"/>
            <w:noWrap/>
          </w:tcPr>
          <w:p w14:paraId="064FAC0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87F63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FD7C1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15D23490" w14:textId="77777777" w:rsidTr="00465739">
        <w:trPr>
          <w:trHeight w:val="20"/>
        </w:trPr>
        <w:tc>
          <w:tcPr>
            <w:tcW w:w="300" w:type="dxa"/>
            <w:noWrap/>
          </w:tcPr>
          <w:p w14:paraId="549AD7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4CE9B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AFA82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0E7AA427" w14:textId="77777777" w:rsidTr="00465739">
        <w:trPr>
          <w:trHeight w:val="20"/>
        </w:trPr>
        <w:tc>
          <w:tcPr>
            <w:tcW w:w="300" w:type="dxa"/>
            <w:noWrap/>
          </w:tcPr>
          <w:p w14:paraId="3C3736B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3B632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58748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5EEAB9D3" w14:textId="77777777" w:rsidTr="00465739">
        <w:trPr>
          <w:trHeight w:val="20"/>
        </w:trPr>
        <w:tc>
          <w:tcPr>
            <w:tcW w:w="300" w:type="dxa"/>
            <w:noWrap/>
          </w:tcPr>
          <w:p w14:paraId="11F8287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35FF5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92058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446C1D2F" w14:textId="77777777" w:rsidTr="00465739">
        <w:trPr>
          <w:trHeight w:val="20"/>
        </w:trPr>
        <w:tc>
          <w:tcPr>
            <w:tcW w:w="300" w:type="dxa"/>
            <w:noWrap/>
          </w:tcPr>
          <w:p w14:paraId="6DE7ACD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DDAD9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5A11D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74F567B6" w14:textId="77777777" w:rsidTr="00465739">
        <w:trPr>
          <w:trHeight w:val="20"/>
        </w:trPr>
        <w:tc>
          <w:tcPr>
            <w:tcW w:w="300" w:type="dxa"/>
            <w:noWrap/>
          </w:tcPr>
          <w:p w14:paraId="02A85C0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DE7A9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11BFB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832A727" w14:textId="77777777" w:rsidTr="00465739">
        <w:trPr>
          <w:trHeight w:val="20"/>
        </w:trPr>
        <w:tc>
          <w:tcPr>
            <w:tcW w:w="300" w:type="dxa"/>
            <w:noWrap/>
          </w:tcPr>
          <w:p w14:paraId="059897D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06148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4D8D4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03721D70" w14:textId="77777777" w:rsidTr="00465739">
        <w:trPr>
          <w:trHeight w:val="20"/>
        </w:trPr>
        <w:tc>
          <w:tcPr>
            <w:tcW w:w="300" w:type="dxa"/>
            <w:noWrap/>
          </w:tcPr>
          <w:p w14:paraId="5A43576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7C511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4007A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6092C356" w14:textId="77777777" w:rsidTr="00465739">
        <w:trPr>
          <w:trHeight w:val="20"/>
        </w:trPr>
        <w:tc>
          <w:tcPr>
            <w:tcW w:w="300" w:type="dxa"/>
            <w:noWrap/>
          </w:tcPr>
          <w:p w14:paraId="4BDFF2A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6CEDD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2EE71D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17CB97CB" w14:textId="77777777" w:rsidTr="00465739">
        <w:trPr>
          <w:trHeight w:val="20"/>
        </w:trPr>
        <w:tc>
          <w:tcPr>
            <w:tcW w:w="300" w:type="dxa"/>
            <w:noWrap/>
          </w:tcPr>
          <w:p w14:paraId="795C9FD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6D06F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B2434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22B10547" w14:textId="77777777" w:rsidTr="00465739">
        <w:trPr>
          <w:trHeight w:val="20"/>
        </w:trPr>
        <w:tc>
          <w:tcPr>
            <w:tcW w:w="300" w:type="dxa"/>
            <w:noWrap/>
          </w:tcPr>
          <w:p w14:paraId="788B059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631AB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04F82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00297D36" w14:textId="77777777" w:rsidTr="00465739">
        <w:trPr>
          <w:trHeight w:val="20"/>
        </w:trPr>
        <w:tc>
          <w:tcPr>
            <w:tcW w:w="300" w:type="dxa"/>
            <w:noWrap/>
          </w:tcPr>
          <w:p w14:paraId="7C243A1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D5D1F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E48E0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2B8F70F0" w14:textId="77777777" w:rsidTr="00465739">
        <w:trPr>
          <w:trHeight w:val="20"/>
        </w:trPr>
        <w:tc>
          <w:tcPr>
            <w:tcW w:w="300" w:type="dxa"/>
            <w:noWrap/>
          </w:tcPr>
          <w:p w14:paraId="52B52BD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601C9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36BA2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1D0DCA27" w14:textId="77777777" w:rsidTr="00465739">
        <w:trPr>
          <w:trHeight w:val="20"/>
        </w:trPr>
        <w:tc>
          <w:tcPr>
            <w:tcW w:w="300" w:type="dxa"/>
            <w:noWrap/>
          </w:tcPr>
          <w:p w14:paraId="38EC5EB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EFA41F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C0D08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025AA375" w14:textId="77777777" w:rsidTr="00465739">
        <w:trPr>
          <w:trHeight w:val="20"/>
        </w:trPr>
        <w:tc>
          <w:tcPr>
            <w:tcW w:w="300" w:type="dxa"/>
            <w:noWrap/>
          </w:tcPr>
          <w:p w14:paraId="3511099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A9D45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453DA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0E73038F" w14:textId="77777777" w:rsidTr="00465739">
        <w:trPr>
          <w:trHeight w:val="20"/>
        </w:trPr>
        <w:tc>
          <w:tcPr>
            <w:tcW w:w="300" w:type="dxa"/>
            <w:noWrap/>
          </w:tcPr>
          <w:p w14:paraId="6A3D820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4B29ED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855DF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79ECD28E" w14:textId="77777777" w:rsidTr="00465739">
        <w:trPr>
          <w:trHeight w:val="20"/>
        </w:trPr>
        <w:tc>
          <w:tcPr>
            <w:tcW w:w="300" w:type="dxa"/>
            <w:noWrap/>
          </w:tcPr>
          <w:p w14:paraId="6D5C403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1871D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D3583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70DBA10D" w14:textId="77777777" w:rsidTr="00465739">
        <w:trPr>
          <w:trHeight w:val="20"/>
        </w:trPr>
        <w:tc>
          <w:tcPr>
            <w:tcW w:w="300" w:type="dxa"/>
            <w:noWrap/>
          </w:tcPr>
          <w:p w14:paraId="0D568CD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660CA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00B99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35C90A88" w14:textId="77777777" w:rsidTr="00465739">
        <w:trPr>
          <w:trHeight w:val="20"/>
        </w:trPr>
        <w:tc>
          <w:tcPr>
            <w:tcW w:w="300" w:type="dxa"/>
            <w:noWrap/>
          </w:tcPr>
          <w:p w14:paraId="34BE647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20F3A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2F75D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1635350F" w14:textId="77777777" w:rsidTr="00465739">
        <w:trPr>
          <w:trHeight w:val="20"/>
        </w:trPr>
        <w:tc>
          <w:tcPr>
            <w:tcW w:w="300" w:type="dxa"/>
            <w:noWrap/>
          </w:tcPr>
          <w:p w14:paraId="7CA5D12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56C06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1F2E0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06186DDF" w14:textId="77777777" w:rsidTr="00465739">
        <w:trPr>
          <w:trHeight w:val="20"/>
        </w:trPr>
        <w:tc>
          <w:tcPr>
            <w:tcW w:w="300" w:type="dxa"/>
            <w:noWrap/>
          </w:tcPr>
          <w:p w14:paraId="12414E0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5A2FC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E73CE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73C25B66" w14:textId="77777777" w:rsidTr="00465739">
        <w:trPr>
          <w:trHeight w:val="20"/>
        </w:trPr>
        <w:tc>
          <w:tcPr>
            <w:tcW w:w="300" w:type="dxa"/>
            <w:noWrap/>
          </w:tcPr>
          <w:p w14:paraId="723BB27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3A70B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04306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76152E65" w14:textId="77777777" w:rsidTr="00465739">
        <w:trPr>
          <w:trHeight w:val="20"/>
        </w:trPr>
        <w:tc>
          <w:tcPr>
            <w:tcW w:w="300" w:type="dxa"/>
            <w:noWrap/>
            <w:hideMark/>
          </w:tcPr>
          <w:p w14:paraId="0318793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CEF22FF"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5D1E7FA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05325691" w14:textId="77777777" w:rsidTr="00465739">
        <w:trPr>
          <w:trHeight w:val="20"/>
        </w:trPr>
        <w:tc>
          <w:tcPr>
            <w:tcW w:w="0" w:type="auto"/>
            <w:noWrap/>
            <w:hideMark/>
          </w:tcPr>
          <w:p w14:paraId="6F77777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52EF323" w14:textId="755CE369"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sidRPr="00160BA5">
              <w:rPr>
                <w:rFonts w:ascii="Calibri" w:hAnsi="Calibri" w:cs="Calibri"/>
                <w:b/>
                <w:color w:val="000000"/>
                <w:sz w:val="12"/>
                <w:szCs w:val="12"/>
              </w:rPr>
              <w:t>L</w:t>
            </w:r>
            <w:r>
              <w:rPr>
                <w:rFonts w:ascii="Calibri" w:hAnsi="Calibri" w:cs="Calibri"/>
                <w:b/>
                <w:color w:val="000000"/>
                <w:sz w:val="12"/>
                <w:szCs w:val="12"/>
              </w:rPr>
              <w:t>uxembourg</w:t>
            </w:r>
          </w:p>
        </w:tc>
      </w:tr>
      <w:tr w:rsidR="00160BA5" w:rsidRPr="00CE031F" w14:paraId="10445F4C" w14:textId="77777777" w:rsidTr="00465739">
        <w:trPr>
          <w:trHeight w:val="20"/>
        </w:trPr>
        <w:tc>
          <w:tcPr>
            <w:tcW w:w="300" w:type="dxa"/>
            <w:noWrap/>
            <w:hideMark/>
          </w:tcPr>
          <w:p w14:paraId="772FABC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ADDC67C"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2914711E" w14:textId="2D30DEAB"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01320F45" w14:textId="77777777" w:rsidTr="00465739">
        <w:trPr>
          <w:trHeight w:val="20"/>
        </w:trPr>
        <w:tc>
          <w:tcPr>
            <w:tcW w:w="300" w:type="dxa"/>
            <w:noWrap/>
            <w:hideMark/>
          </w:tcPr>
          <w:p w14:paraId="2A08A07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80064AC"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3222EEDB" w14:textId="7C32495C"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732391B3" w14:textId="77777777" w:rsidTr="00465739">
        <w:trPr>
          <w:trHeight w:val="20"/>
        </w:trPr>
        <w:tc>
          <w:tcPr>
            <w:tcW w:w="300" w:type="dxa"/>
            <w:noWrap/>
            <w:hideMark/>
          </w:tcPr>
          <w:p w14:paraId="7880770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362FA6B"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372DCD2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45EFF45E" w14:textId="77777777" w:rsidTr="00465739">
        <w:trPr>
          <w:trHeight w:val="20"/>
        </w:trPr>
        <w:tc>
          <w:tcPr>
            <w:tcW w:w="300" w:type="dxa"/>
            <w:noWrap/>
            <w:hideMark/>
          </w:tcPr>
          <w:p w14:paraId="3699860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B67F2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0638A3C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5750EA53" w14:textId="77777777" w:rsidTr="00465739">
        <w:trPr>
          <w:trHeight w:val="20"/>
        </w:trPr>
        <w:tc>
          <w:tcPr>
            <w:tcW w:w="300" w:type="dxa"/>
            <w:noWrap/>
          </w:tcPr>
          <w:p w14:paraId="217E834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7F1F6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E549E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49D5C24F" w14:textId="77777777" w:rsidTr="00465739">
        <w:trPr>
          <w:trHeight w:val="20"/>
        </w:trPr>
        <w:tc>
          <w:tcPr>
            <w:tcW w:w="300" w:type="dxa"/>
            <w:noWrap/>
          </w:tcPr>
          <w:p w14:paraId="563A4FF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1A7A1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CAA98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216A982B" w14:textId="77777777" w:rsidTr="00465739">
        <w:trPr>
          <w:trHeight w:val="20"/>
        </w:trPr>
        <w:tc>
          <w:tcPr>
            <w:tcW w:w="300" w:type="dxa"/>
            <w:noWrap/>
          </w:tcPr>
          <w:p w14:paraId="288C21A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F2B13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849C3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6946DEE0" w14:textId="77777777" w:rsidTr="00465739">
        <w:trPr>
          <w:trHeight w:val="20"/>
        </w:trPr>
        <w:tc>
          <w:tcPr>
            <w:tcW w:w="300" w:type="dxa"/>
            <w:noWrap/>
          </w:tcPr>
          <w:p w14:paraId="115C727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9F94E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1FFD5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65320AB0" w14:textId="77777777" w:rsidTr="00465739">
        <w:trPr>
          <w:trHeight w:val="20"/>
        </w:trPr>
        <w:tc>
          <w:tcPr>
            <w:tcW w:w="300" w:type="dxa"/>
            <w:noWrap/>
          </w:tcPr>
          <w:p w14:paraId="5EE1234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12FD7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9935BB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383A0920" w14:textId="77777777" w:rsidTr="00465739">
        <w:trPr>
          <w:trHeight w:val="20"/>
        </w:trPr>
        <w:tc>
          <w:tcPr>
            <w:tcW w:w="300" w:type="dxa"/>
            <w:noWrap/>
          </w:tcPr>
          <w:p w14:paraId="4BD0FD4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91192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7EEC3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5C0FDE8F" w14:textId="77777777" w:rsidTr="00465739">
        <w:trPr>
          <w:trHeight w:val="20"/>
        </w:trPr>
        <w:tc>
          <w:tcPr>
            <w:tcW w:w="300" w:type="dxa"/>
            <w:noWrap/>
          </w:tcPr>
          <w:p w14:paraId="257CDB2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F1434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AF1D9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738C55DA" w14:textId="77777777" w:rsidTr="00465739">
        <w:trPr>
          <w:trHeight w:val="20"/>
        </w:trPr>
        <w:tc>
          <w:tcPr>
            <w:tcW w:w="300" w:type="dxa"/>
            <w:noWrap/>
          </w:tcPr>
          <w:p w14:paraId="67D9FB9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95184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D07E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3FBCB8DE" w14:textId="77777777" w:rsidTr="00465739">
        <w:trPr>
          <w:trHeight w:val="20"/>
        </w:trPr>
        <w:tc>
          <w:tcPr>
            <w:tcW w:w="300" w:type="dxa"/>
            <w:noWrap/>
          </w:tcPr>
          <w:p w14:paraId="69C6828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8987D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2E5D4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29CE70D1" w14:textId="77777777" w:rsidTr="00465739">
        <w:trPr>
          <w:trHeight w:val="20"/>
        </w:trPr>
        <w:tc>
          <w:tcPr>
            <w:tcW w:w="300" w:type="dxa"/>
            <w:noWrap/>
          </w:tcPr>
          <w:p w14:paraId="460CFB3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B0E02E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936D2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556F66AF" w14:textId="77777777" w:rsidTr="00465739">
        <w:trPr>
          <w:trHeight w:val="20"/>
        </w:trPr>
        <w:tc>
          <w:tcPr>
            <w:tcW w:w="300" w:type="dxa"/>
            <w:noWrap/>
          </w:tcPr>
          <w:p w14:paraId="6FCAD5F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8069D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068F44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EE45B51" w14:textId="77777777" w:rsidTr="00465739">
        <w:trPr>
          <w:trHeight w:val="20"/>
        </w:trPr>
        <w:tc>
          <w:tcPr>
            <w:tcW w:w="300" w:type="dxa"/>
            <w:noWrap/>
          </w:tcPr>
          <w:p w14:paraId="2DC3383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4F984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90B10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736F1761" w14:textId="77777777" w:rsidTr="00465739">
        <w:trPr>
          <w:trHeight w:val="20"/>
        </w:trPr>
        <w:tc>
          <w:tcPr>
            <w:tcW w:w="300" w:type="dxa"/>
            <w:noWrap/>
          </w:tcPr>
          <w:p w14:paraId="2990235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A8B68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6FC89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79ACA130" w14:textId="77777777" w:rsidTr="00465739">
        <w:trPr>
          <w:trHeight w:val="20"/>
        </w:trPr>
        <w:tc>
          <w:tcPr>
            <w:tcW w:w="300" w:type="dxa"/>
            <w:noWrap/>
          </w:tcPr>
          <w:p w14:paraId="07E0CBD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F9BF3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298A5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0663DAED" w14:textId="77777777" w:rsidTr="00465739">
        <w:trPr>
          <w:trHeight w:val="20"/>
        </w:trPr>
        <w:tc>
          <w:tcPr>
            <w:tcW w:w="300" w:type="dxa"/>
            <w:noWrap/>
          </w:tcPr>
          <w:p w14:paraId="6EB0A51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BB8BA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EA379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1C8B36F0" w14:textId="77777777" w:rsidTr="00465739">
        <w:trPr>
          <w:trHeight w:val="20"/>
        </w:trPr>
        <w:tc>
          <w:tcPr>
            <w:tcW w:w="300" w:type="dxa"/>
            <w:noWrap/>
          </w:tcPr>
          <w:p w14:paraId="3FD270C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3CF1A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0FADC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7F280C14" w14:textId="77777777" w:rsidTr="00465739">
        <w:trPr>
          <w:trHeight w:val="20"/>
        </w:trPr>
        <w:tc>
          <w:tcPr>
            <w:tcW w:w="300" w:type="dxa"/>
            <w:noWrap/>
          </w:tcPr>
          <w:p w14:paraId="23C7682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F2BD1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4DD66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BDE497D" w14:textId="77777777" w:rsidTr="00465739">
        <w:trPr>
          <w:trHeight w:val="20"/>
        </w:trPr>
        <w:tc>
          <w:tcPr>
            <w:tcW w:w="300" w:type="dxa"/>
            <w:noWrap/>
          </w:tcPr>
          <w:p w14:paraId="3E645E7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88EE1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22FA0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38BB2A98" w14:textId="77777777" w:rsidTr="00465739">
        <w:trPr>
          <w:trHeight w:val="20"/>
        </w:trPr>
        <w:tc>
          <w:tcPr>
            <w:tcW w:w="300" w:type="dxa"/>
            <w:noWrap/>
          </w:tcPr>
          <w:p w14:paraId="59B618A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DD7DA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29B96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07CBEE4A" w14:textId="77777777" w:rsidTr="00465739">
        <w:trPr>
          <w:trHeight w:val="20"/>
        </w:trPr>
        <w:tc>
          <w:tcPr>
            <w:tcW w:w="300" w:type="dxa"/>
            <w:noWrap/>
          </w:tcPr>
          <w:p w14:paraId="7F5DD23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55D0A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33A19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623A70C9" w14:textId="77777777" w:rsidTr="00465739">
        <w:trPr>
          <w:trHeight w:val="20"/>
        </w:trPr>
        <w:tc>
          <w:tcPr>
            <w:tcW w:w="300" w:type="dxa"/>
            <w:noWrap/>
          </w:tcPr>
          <w:p w14:paraId="35812FE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816778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F5012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08F3FD9D" w14:textId="77777777" w:rsidTr="00465739">
        <w:trPr>
          <w:trHeight w:val="20"/>
        </w:trPr>
        <w:tc>
          <w:tcPr>
            <w:tcW w:w="300" w:type="dxa"/>
            <w:noWrap/>
          </w:tcPr>
          <w:p w14:paraId="7705C8A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EE9AC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B3EF6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6945D8A9" w14:textId="77777777" w:rsidTr="00465739">
        <w:trPr>
          <w:trHeight w:val="20"/>
        </w:trPr>
        <w:tc>
          <w:tcPr>
            <w:tcW w:w="300" w:type="dxa"/>
            <w:noWrap/>
          </w:tcPr>
          <w:p w14:paraId="1355368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1A496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7F35F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6BEF169E" w14:textId="77777777" w:rsidTr="00465739">
        <w:trPr>
          <w:trHeight w:val="20"/>
        </w:trPr>
        <w:tc>
          <w:tcPr>
            <w:tcW w:w="300" w:type="dxa"/>
            <w:noWrap/>
          </w:tcPr>
          <w:p w14:paraId="3795B15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4C26B8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A3974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3F6616C3" w14:textId="77777777" w:rsidTr="00465739">
        <w:trPr>
          <w:trHeight w:val="20"/>
        </w:trPr>
        <w:tc>
          <w:tcPr>
            <w:tcW w:w="300" w:type="dxa"/>
            <w:noWrap/>
          </w:tcPr>
          <w:p w14:paraId="4E43A27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BC547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01640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540E1E93" w14:textId="77777777" w:rsidTr="00465739">
        <w:trPr>
          <w:trHeight w:val="20"/>
        </w:trPr>
        <w:tc>
          <w:tcPr>
            <w:tcW w:w="300" w:type="dxa"/>
            <w:noWrap/>
          </w:tcPr>
          <w:p w14:paraId="4A840A9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97DF5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B609A5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2CF586E9" w14:textId="77777777" w:rsidTr="00465739">
        <w:trPr>
          <w:trHeight w:val="20"/>
        </w:trPr>
        <w:tc>
          <w:tcPr>
            <w:tcW w:w="300" w:type="dxa"/>
            <w:noWrap/>
          </w:tcPr>
          <w:p w14:paraId="3CB7C9D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C802A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1B3CB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5CC7376A" w14:textId="77777777" w:rsidTr="00465739">
        <w:trPr>
          <w:trHeight w:val="20"/>
        </w:trPr>
        <w:tc>
          <w:tcPr>
            <w:tcW w:w="300" w:type="dxa"/>
            <w:noWrap/>
            <w:hideMark/>
          </w:tcPr>
          <w:p w14:paraId="48FCCD5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55E6297"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30F9087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1F481B58" w14:textId="77777777" w:rsidTr="00465739">
        <w:trPr>
          <w:trHeight w:val="20"/>
        </w:trPr>
        <w:tc>
          <w:tcPr>
            <w:tcW w:w="0" w:type="auto"/>
            <w:noWrap/>
            <w:hideMark/>
          </w:tcPr>
          <w:p w14:paraId="16B37EB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F0FE16D" w14:textId="0B38B22A"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Malte</w:t>
            </w:r>
          </w:p>
        </w:tc>
      </w:tr>
      <w:tr w:rsidR="00160BA5" w:rsidRPr="00CE031F" w14:paraId="18C85B55" w14:textId="77777777" w:rsidTr="00465739">
        <w:trPr>
          <w:trHeight w:val="20"/>
        </w:trPr>
        <w:tc>
          <w:tcPr>
            <w:tcW w:w="300" w:type="dxa"/>
            <w:noWrap/>
            <w:hideMark/>
          </w:tcPr>
          <w:p w14:paraId="2C4DC57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E9DB03D"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427EE29C" w14:textId="20D46A09"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6AEE9139" w14:textId="77777777" w:rsidTr="00465739">
        <w:trPr>
          <w:trHeight w:val="20"/>
        </w:trPr>
        <w:tc>
          <w:tcPr>
            <w:tcW w:w="300" w:type="dxa"/>
            <w:noWrap/>
            <w:hideMark/>
          </w:tcPr>
          <w:p w14:paraId="59648B7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14842C9"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4C36BC9C" w14:textId="751AE676"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480FE538" w14:textId="77777777" w:rsidTr="00465739">
        <w:trPr>
          <w:trHeight w:val="20"/>
        </w:trPr>
        <w:tc>
          <w:tcPr>
            <w:tcW w:w="300" w:type="dxa"/>
            <w:noWrap/>
            <w:hideMark/>
          </w:tcPr>
          <w:p w14:paraId="5D463A3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A34D374"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7A10A2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7E831B71" w14:textId="77777777" w:rsidTr="00465739">
        <w:trPr>
          <w:trHeight w:val="20"/>
        </w:trPr>
        <w:tc>
          <w:tcPr>
            <w:tcW w:w="300" w:type="dxa"/>
            <w:noWrap/>
            <w:hideMark/>
          </w:tcPr>
          <w:p w14:paraId="24D967C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6E9C8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0578989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1085EDE1" w14:textId="77777777" w:rsidTr="00465739">
        <w:trPr>
          <w:trHeight w:val="20"/>
        </w:trPr>
        <w:tc>
          <w:tcPr>
            <w:tcW w:w="300" w:type="dxa"/>
            <w:noWrap/>
          </w:tcPr>
          <w:p w14:paraId="06C0B38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B487C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C9C48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7E371F9A" w14:textId="77777777" w:rsidTr="00465739">
        <w:trPr>
          <w:trHeight w:val="20"/>
        </w:trPr>
        <w:tc>
          <w:tcPr>
            <w:tcW w:w="300" w:type="dxa"/>
            <w:noWrap/>
          </w:tcPr>
          <w:p w14:paraId="7D037AF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9273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68169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41AB962C" w14:textId="77777777" w:rsidTr="00465739">
        <w:trPr>
          <w:trHeight w:val="20"/>
        </w:trPr>
        <w:tc>
          <w:tcPr>
            <w:tcW w:w="300" w:type="dxa"/>
            <w:noWrap/>
          </w:tcPr>
          <w:p w14:paraId="23C4501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41EAB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D605D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74462ED9" w14:textId="77777777" w:rsidTr="00465739">
        <w:trPr>
          <w:trHeight w:val="20"/>
        </w:trPr>
        <w:tc>
          <w:tcPr>
            <w:tcW w:w="300" w:type="dxa"/>
            <w:noWrap/>
          </w:tcPr>
          <w:p w14:paraId="6EACFA3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08D15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541F6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112BF54E" w14:textId="77777777" w:rsidTr="00465739">
        <w:trPr>
          <w:trHeight w:val="20"/>
        </w:trPr>
        <w:tc>
          <w:tcPr>
            <w:tcW w:w="300" w:type="dxa"/>
            <w:noWrap/>
          </w:tcPr>
          <w:p w14:paraId="4380390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17FD6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6260E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00858F39" w14:textId="77777777" w:rsidTr="00465739">
        <w:trPr>
          <w:trHeight w:val="20"/>
        </w:trPr>
        <w:tc>
          <w:tcPr>
            <w:tcW w:w="300" w:type="dxa"/>
            <w:noWrap/>
          </w:tcPr>
          <w:p w14:paraId="5E6E691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C229D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CCD7F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1A515F33" w14:textId="77777777" w:rsidTr="00465739">
        <w:trPr>
          <w:trHeight w:val="20"/>
        </w:trPr>
        <w:tc>
          <w:tcPr>
            <w:tcW w:w="300" w:type="dxa"/>
            <w:noWrap/>
          </w:tcPr>
          <w:p w14:paraId="1ED4408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BCEF3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32B4D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7C93E2F3" w14:textId="77777777" w:rsidTr="00465739">
        <w:trPr>
          <w:trHeight w:val="20"/>
        </w:trPr>
        <w:tc>
          <w:tcPr>
            <w:tcW w:w="300" w:type="dxa"/>
            <w:noWrap/>
          </w:tcPr>
          <w:p w14:paraId="3EBDE3F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E0778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55E08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5D37EC4D" w14:textId="77777777" w:rsidTr="00465739">
        <w:trPr>
          <w:trHeight w:val="20"/>
        </w:trPr>
        <w:tc>
          <w:tcPr>
            <w:tcW w:w="300" w:type="dxa"/>
            <w:noWrap/>
          </w:tcPr>
          <w:p w14:paraId="507675C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91CDC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902DB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07610A77" w14:textId="77777777" w:rsidTr="00465739">
        <w:trPr>
          <w:trHeight w:val="20"/>
        </w:trPr>
        <w:tc>
          <w:tcPr>
            <w:tcW w:w="300" w:type="dxa"/>
            <w:noWrap/>
          </w:tcPr>
          <w:p w14:paraId="45711FB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DB605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0CAD4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61F94C8B" w14:textId="77777777" w:rsidTr="00465739">
        <w:trPr>
          <w:trHeight w:val="20"/>
        </w:trPr>
        <w:tc>
          <w:tcPr>
            <w:tcW w:w="300" w:type="dxa"/>
            <w:noWrap/>
          </w:tcPr>
          <w:p w14:paraId="30DB202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6CE5A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B3636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7DF64B18" w14:textId="77777777" w:rsidTr="00465739">
        <w:trPr>
          <w:trHeight w:val="20"/>
        </w:trPr>
        <w:tc>
          <w:tcPr>
            <w:tcW w:w="300" w:type="dxa"/>
            <w:noWrap/>
          </w:tcPr>
          <w:p w14:paraId="33FA607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5290C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5886E2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2708C86E" w14:textId="77777777" w:rsidTr="00465739">
        <w:trPr>
          <w:trHeight w:val="20"/>
        </w:trPr>
        <w:tc>
          <w:tcPr>
            <w:tcW w:w="300" w:type="dxa"/>
            <w:noWrap/>
          </w:tcPr>
          <w:p w14:paraId="6CABC6C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F5082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47580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2734CB97" w14:textId="77777777" w:rsidTr="00465739">
        <w:trPr>
          <w:trHeight w:val="20"/>
        </w:trPr>
        <w:tc>
          <w:tcPr>
            <w:tcW w:w="300" w:type="dxa"/>
            <w:noWrap/>
          </w:tcPr>
          <w:p w14:paraId="16FDED2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804FD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84581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42004D5E" w14:textId="77777777" w:rsidTr="00465739">
        <w:trPr>
          <w:trHeight w:val="20"/>
        </w:trPr>
        <w:tc>
          <w:tcPr>
            <w:tcW w:w="300" w:type="dxa"/>
            <w:noWrap/>
          </w:tcPr>
          <w:p w14:paraId="2F733A2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8A728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59BEF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7130BBEA" w14:textId="77777777" w:rsidTr="00465739">
        <w:trPr>
          <w:trHeight w:val="20"/>
        </w:trPr>
        <w:tc>
          <w:tcPr>
            <w:tcW w:w="300" w:type="dxa"/>
            <w:noWrap/>
          </w:tcPr>
          <w:p w14:paraId="20A4F31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0F121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371BC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60B14181" w14:textId="77777777" w:rsidTr="00465739">
        <w:trPr>
          <w:trHeight w:val="20"/>
        </w:trPr>
        <w:tc>
          <w:tcPr>
            <w:tcW w:w="300" w:type="dxa"/>
            <w:noWrap/>
          </w:tcPr>
          <w:p w14:paraId="75A5E30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04BBB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A36D9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1FDB355" w14:textId="77777777" w:rsidTr="00465739">
        <w:trPr>
          <w:trHeight w:val="20"/>
        </w:trPr>
        <w:tc>
          <w:tcPr>
            <w:tcW w:w="300" w:type="dxa"/>
            <w:noWrap/>
          </w:tcPr>
          <w:p w14:paraId="0B2ADC6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6568D3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749ED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09F9F0E6" w14:textId="77777777" w:rsidTr="00465739">
        <w:trPr>
          <w:trHeight w:val="20"/>
        </w:trPr>
        <w:tc>
          <w:tcPr>
            <w:tcW w:w="300" w:type="dxa"/>
            <w:noWrap/>
          </w:tcPr>
          <w:p w14:paraId="6CD5A3E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FF02C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1A8F5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259D3907" w14:textId="77777777" w:rsidTr="00465739">
        <w:trPr>
          <w:trHeight w:val="20"/>
        </w:trPr>
        <w:tc>
          <w:tcPr>
            <w:tcW w:w="300" w:type="dxa"/>
            <w:noWrap/>
          </w:tcPr>
          <w:p w14:paraId="549B576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7619C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C8136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74D5B0C0" w14:textId="77777777" w:rsidTr="00465739">
        <w:trPr>
          <w:trHeight w:val="20"/>
        </w:trPr>
        <w:tc>
          <w:tcPr>
            <w:tcW w:w="300" w:type="dxa"/>
            <w:noWrap/>
          </w:tcPr>
          <w:p w14:paraId="1BA1768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4C8FE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39649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0C4B3E52" w14:textId="77777777" w:rsidTr="00465739">
        <w:trPr>
          <w:trHeight w:val="20"/>
        </w:trPr>
        <w:tc>
          <w:tcPr>
            <w:tcW w:w="300" w:type="dxa"/>
            <w:noWrap/>
          </w:tcPr>
          <w:p w14:paraId="44EAAE2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2830D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E668B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0A9BE584" w14:textId="77777777" w:rsidTr="00465739">
        <w:trPr>
          <w:trHeight w:val="20"/>
        </w:trPr>
        <w:tc>
          <w:tcPr>
            <w:tcW w:w="300" w:type="dxa"/>
            <w:noWrap/>
          </w:tcPr>
          <w:p w14:paraId="3DA2988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C2F4A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304A3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5A2AC425" w14:textId="77777777" w:rsidTr="00465739">
        <w:trPr>
          <w:trHeight w:val="20"/>
        </w:trPr>
        <w:tc>
          <w:tcPr>
            <w:tcW w:w="300" w:type="dxa"/>
            <w:noWrap/>
          </w:tcPr>
          <w:p w14:paraId="19C0C20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DFA46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B245C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3296CE49" w14:textId="77777777" w:rsidTr="00465739">
        <w:trPr>
          <w:trHeight w:val="20"/>
        </w:trPr>
        <w:tc>
          <w:tcPr>
            <w:tcW w:w="300" w:type="dxa"/>
            <w:noWrap/>
          </w:tcPr>
          <w:p w14:paraId="35B3A0C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2BA3E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3B6B7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2C1884A0" w14:textId="77777777" w:rsidTr="00465739">
        <w:trPr>
          <w:trHeight w:val="20"/>
        </w:trPr>
        <w:tc>
          <w:tcPr>
            <w:tcW w:w="300" w:type="dxa"/>
            <w:noWrap/>
          </w:tcPr>
          <w:p w14:paraId="5E748B6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813DF4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6A8FB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67D8967B" w14:textId="77777777" w:rsidTr="00465739">
        <w:trPr>
          <w:trHeight w:val="20"/>
        </w:trPr>
        <w:tc>
          <w:tcPr>
            <w:tcW w:w="300" w:type="dxa"/>
            <w:noWrap/>
          </w:tcPr>
          <w:p w14:paraId="43A4AE7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C6CC6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9B45F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698CDC4E" w14:textId="77777777" w:rsidTr="00465739">
        <w:trPr>
          <w:trHeight w:val="20"/>
        </w:trPr>
        <w:tc>
          <w:tcPr>
            <w:tcW w:w="300" w:type="dxa"/>
            <w:noWrap/>
            <w:hideMark/>
          </w:tcPr>
          <w:p w14:paraId="70726F2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11F18EF"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510C8D1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0329CDAB" w14:textId="77777777" w:rsidTr="00465739">
        <w:trPr>
          <w:trHeight w:val="20"/>
        </w:trPr>
        <w:tc>
          <w:tcPr>
            <w:tcW w:w="0" w:type="auto"/>
            <w:noWrap/>
            <w:hideMark/>
          </w:tcPr>
          <w:p w14:paraId="49984AE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27EBD1C" w14:textId="2BE5D305"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Norvège</w:t>
            </w:r>
          </w:p>
        </w:tc>
      </w:tr>
      <w:tr w:rsidR="00160BA5" w:rsidRPr="00CE031F" w14:paraId="6F3F6BC9" w14:textId="77777777" w:rsidTr="00465739">
        <w:trPr>
          <w:trHeight w:val="20"/>
        </w:trPr>
        <w:tc>
          <w:tcPr>
            <w:tcW w:w="300" w:type="dxa"/>
            <w:noWrap/>
            <w:hideMark/>
          </w:tcPr>
          <w:p w14:paraId="75C3BB3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0F1F942"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DF44673" w14:textId="449DD16F"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581AAD38" w14:textId="77777777" w:rsidTr="00465739">
        <w:trPr>
          <w:trHeight w:val="20"/>
        </w:trPr>
        <w:tc>
          <w:tcPr>
            <w:tcW w:w="300" w:type="dxa"/>
            <w:noWrap/>
            <w:hideMark/>
          </w:tcPr>
          <w:p w14:paraId="6F16FF3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04900B2"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BAC9D47" w14:textId="51C1731E"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6B914A64" w14:textId="77777777" w:rsidTr="00465739">
        <w:trPr>
          <w:trHeight w:val="20"/>
        </w:trPr>
        <w:tc>
          <w:tcPr>
            <w:tcW w:w="300" w:type="dxa"/>
            <w:noWrap/>
            <w:hideMark/>
          </w:tcPr>
          <w:p w14:paraId="1274241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C98A181"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567898F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2BEC2DED" w14:textId="77777777" w:rsidTr="00465739">
        <w:trPr>
          <w:trHeight w:val="20"/>
        </w:trPr>
        <w:tc>
          <w:tcPr>
            <w:tcW w:w="300" w:type="dxa"/>
            <w:noWrap/>
            <w:hideMark/>
          </w:tcPr>
          <w:p w14:paraId="3FDFD88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82E3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D5E764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42746D12" w14:textId="77777777" w:rsidTr="00465739">
        <w:trPr>
          <w:trHeight w:val="20"/>
        </w:trPr>
        <w:tc>
          <w:tcPr>
            <w:tcW w:w="300" w:type="dxa"/>
            <w:noWrap/>
          </w:tcPr>
          <w:p w14:paraId="1EAAB67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27A7A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A56E3F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3207318E" w14:textId="77777777" w:rsidTr="00465739">
        <w:trPr>
          <w:trHeight w:val="20"/>
        </w:trPr>
        <w:tc>
          <w:tcPr>
            <w:tcW w:w="300" w:type="dxa"/>
            <w:noWrap/>
          </w:tcPr>
          <w:p w14:paraId="07892C6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79FFC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5564C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13FAAC23" w14:textId="77777777" w:rsidTr="00465739">
        <w:trPr>
          <w:trHeight w:val="20"/>
        </w:trPr>
        <w:tc>
          <w:tcPr>
            <w:tcW w:w="300" w:type="dxa"/>
            <w:noWrap/>
          </w:tcPr>
          <w:p w14:paraId="5904EE9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415D0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9A0D3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6E8AB931" w14:textId="77777777" w:rsidTr="00465739">
        <w:trPr>
          <w:trHeight w:val="20"/>
        </w:trPr>
        <w:tc>
          <w:tcPr>
            <w:tcW w:w="300" w:type="dxa"/>
            <w:noWrap/>
          </w:tcPr>
          <w:p w14:paraId="12AA7F6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E741B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D1613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49C81CA1" w14:textId="77777777" w:rsidTr="00465739">
        <w:trPr>
          <w:trHeight w:val="20"/>
        </w:trPr>
        <w:tc>
          <w:tcPr>
            <w:tcW w:w="300" w:type="dxa"/>
            <w:noWrap/>
          </w:tcPr>
          <w:p w14:paraId="5AEF7A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3E10E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1C1E6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3F9EA28F" w14:textId="77777777" w:rsidTr="00465739">
        <w:trPr>
          <w:trHeight w:val="20"/>
        </w:trPr>
        <w:tc>
          <w:tcPr>
            <w:tcW w:w="300" w:type="dxa"/>
            <w:noWrap/>
          </w:tcPr>
          <w:p w14:paraId="1CFF2EF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4B8C75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C33A4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4DBCEC74" w14:textId="77777777" w:rsidTr="00465739">
        <w:trPr>
          <w:trHeight w:val="20"/>
        </w:trPr>
        <w:tc>
          <w:tcPr>
            <w:tcW w:w="300" w:type="dxa"/>
            <w:noWrap/>
          </w:tcPr>
          <w:p w14:paraId="43CF24B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CC02F0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D8583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070AF12F" w14:textId="77777777" w:rsidTr="00465739">
        <w:trPr>
          <w:trHeight w:val="20"/>
        </w:trPr>
        <w:tc>
          <w:tcPr>
            <w:tcW w:w="300" w:type="dxa"/>
            <w:noWrap/>
          </w:tcPr>
          <w:p w14:paraId="63C7FA1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D1A63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E324E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2514E3D8" w14:textId="77777777" w:rsidTr="00465739">
        <w:trPr>
          <w:trHeight w:val="20"/>
        </w:trPr>
        <w:tc>
          <w:tcPr>
            <w:tcW w:w="300" w:type="dxa"/>
            <w:noWrap/>
          </w:tcPr>
          <w:p w14:paraId="49D34DF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622DC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82341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5A0B8083" w14:textId="77777777" w:rsidTr="00465739">
        <w:trPr>
          <w:trHeight w:val="20"/>
        </w:trPr>
        <w:tc>
          <w:tcPr>
            <w:tcW w:w="300" w:type="dxa"/>
            <w:noWrap/>
          </w:tcPr>
          <w:p w14:paraId="2D75A39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12CF8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B0FDF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76A38FF4" w14:textId="77777777" w:rsidTr="00465739">
        <w:trPr>
          <w:trHeight w:val="20"/>
        </w:trPr>
        <w:tc>
          <w:tcPr>
            <w:tcW w:w="300" w:type="dxa"/>
            <w:noWrap/>
          </w:tcPr>
          <w:p w14:paraId="064DF9A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6E7FB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273ED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1184097" w14:textId="77777777" w:rsidTr="00465739">
        <w:trPr>
          <w:trHeight w:val="20"/>
        </w:trPr>
        <w:tc>
          <w:tcPr>
            <w:tcW w:w="300" w:type="dxa"/>
            <w:noWrap/>
          </w:tcPr>
          <w:p w14:paraId="7BD6848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A6A5F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3A428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2BCCD4B6" w14:textId="77777777" w:rsidTr="00465739">
        <w:trPr>
          <w:trHeight w:val="20"/>
        </w:trPr>
        <w:tc>
          <w:tcPr>
            <w:tcW w:w="300" w:type="dxa"/>
            <w:noWrap/>
          </w:tcPr>
          <w:p w14:paraId="5A72B61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C1B83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C5514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253D1792" w14:textId="77777777" w:rsidTr="00465739">
        <w:trPr>
          <w:trHeight w:val="20"/>
        </w:trPr>
        <w:tc>
          <w:tcPr>
            <w:tcW w:w="300" w:type="dxa"/>
            <w:noWrap/>
          </w:tcPr>
          <w:p w14:paraId="6C09068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4B92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401A4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4D9E87A1" w14:textId="77777777" w:rsidTr="00465739">
        <w:trPr>
          <w:trHeight w:val="20"/>
        </w:trPr>
        <w:tc>
          <w:tcPr>
            <w:tcW w:w="300" w:type="dxa"/>
            <w:noWrap/>
          </w:tcPr>
          <w:p w14:paraId="33BE069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0FC4C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FD75D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A4A9B8C" w14:textId="77777777" w:rsidTr="00465739">
        <w:trPr>
          <w:trHeight w:val="20"/>
        </w:trPr>
        <w:tc>
          <w:tcPr>
            <w:tcW w:w="300" w:type="dxa"/>
            <w:noWrap/>
          </w:tcPr>
          <w:p w14:paraId="55C6131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AD8216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85DBB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1017D327" w14:textId="77777777" w:rsidTr="00465739">
        <w:trPr>
          <w:trHeight w:val="20"/>
        </w:trPr>
        <w:tc>
          <w:tcPr>
            <w:tcW w:w="300" w:type="dxa"/>
            <w:noWrap/>
          </w:tcPr>
          <w:p w14:paraId="4B3E402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30AA8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0BE9D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22D7C69D" w14:textId="77777777" w:rsidTr="00465739">
        <w:trPr>
          <w:trHeight w:val="20"/>
        </w:trPr>
        <w:tc>
          <w:tcPr>
            <w:tcW w:w="300" w:type="dxa"/>
            <w:noWrap/>
          </w:tcPr>
          <w:p w14:paraId="7D0C290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68FC62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B22F9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28074F99" w14:textId="77777777" w:rsidTr="00465739">
        <w:trPr>
          <w:trHeight w:val="20"/>
        </w:trPr>
        <w:tc>
          <w:tcPr>
            <w:tcW w:w="300" w:type="dxa"/>
            <w:noWrap/>
          </w:tcPr>
          <w:p w14:paraId="4AEB2EF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75302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9C4A55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047F048B" w14:textId="77777777" w:rsidTr="00465739">
        <w:trPr>
          <w:trHeight w:val="20"/>
        </w:trPr>
        <w:tc>
          <w:tcPr>
            <w:tcW w:w="300" w:type="dxa"/>
            <w:noWrap/>
          </w:tcPr>
          <w:p w14:paraId="3B85706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35243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BBFA5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24760892" w14:textId="77777777" w:rsidTr="00465739">
        <w:trPr>
          <w:trHeight w:val="20"/>
        </w:trPr>
        <w:tc>
          <w:tcPr>
            <w:tcW w:w="300" w:type="dxa"/>
            <w:noWrap/>
          </w:tcPr>
          <w:p w14:paraId="17DDF96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B6958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93281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3552B872" w14:textId="77777777" w:rsidTr="00465739">
        <w:trPr>
          <w:trHeight w:val="20"/>
        </w:trPr>
        <w:tc>
          <w:tcPr>
            <w:tcW w:w="300" w:type="dxa"/>
            <w:noWrap/>
          </w:tcPr>
          <w:p w14:paraId="5F33996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9233B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D66E4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2038DC8E" w14:textId="77777777" w:rsidTr="00465739">
        <w:trPr>
          <w:trHeight w:val="20"/>
        </w:trPr>
        <w:tc>
          <w:tcPr>
            <w:tcW w:w="300" w:type="dxa"/>
            <w:noWrap/>
          </w:tcPr>
          <w:p w14:paraId="417ACEE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600D1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E32CC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0E3E7AF9" w14:textId="77777777" w:rsidTr="00465739">
        <w:trPr>
          <w:trHeight w:val="20"/>
        </w:trPr>
        <w:tc>
          <w:tcPr>
            <w:tcW w:w="300" w:type="dxa"/>
            <w:noWrap/>
          </w:tcPr>
          <w:p w14:paraId="4071F16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46D0A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BEDD5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5EAA2079" w14:textId="77777777" w:rsidTr="00465739">
        <w:trPr>
          <w:trHeight w:val="20"/>
        </w:trPr>
        <w:tc>
          <w:tcPr>
            <w:tcW w:w="300" w:type="dxa"/>
            <w:noWrap/>
          </w:tcPr>
          <w:p w14:paraId="0E005B8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C519C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7B7E5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5693A43E" w14:textId="77777777" w:rsidTr="00465739">
        <w:trPr>
          <w:trHeight w:val="20"/>
        </w:trPr>
        <w:tc>
          <w:tcPr>
            <w:tcW w:w="300" w:type="dxa"/>
            <w:noWrap/>
          </w:tcPr>
          <w:p w14:paraId="3FACB87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02EA13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ECE82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38F2AEA2" w14:textId="77777777" w:rsidTr="00465739">
        <w:trPr>
          <w:trHeight w:val="20"/>
        </w:trPr>
        <w:tc>
          <w:tcPr>
            <w:tcW w:w="300" w:type="dxa"/>
            <w:noWrap/>
          </w:tcPr>
          <w:p w14:paraId="7910CAA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3AF9E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91E45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3A9EAA28" w14:textId="77777777" w:rsidTr="00465739">
        <w:trPr>
          <w:trHeight w:val="20"/>
        </w:trPr>
        <w:tc>
          <w:tcPr>
            <w:tcW w:w="300" w:type="dxa"/>
            <w:noWrap/>
            <w:hideMark/>
          </w:tcPr>
          <w:p w14:paraId="3726B5E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31CCFEE"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361D11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735910B8" w14:textId="77777777" w:rsidTr="00465739">
        <w:trPr>
          <w:trHeight w:val="20"/>
        </w:trPr>
        <w:tc>
          <w:tcPr>
            <w:tcW w:w="0" w:type="auto"/>
            <w:noWrap/>
            <w:hideMark/>
          </w:tcPr>
          <w:p w14:paraId="7255291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8154731" w14:textId="00B26F8C" w:rsidR="00160BA5" w:rsidRPr="00CE031F" w:rsidRDefault="00160BA5" w:rsidP="00B66AB4">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00880719">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sidR="00465739">
              <w:rPr>
                <w:rFonts w:ascii="Calibri" w:eastAsia="Times New Roman" w:hAnsi="Calibri" w:cs="Calibri"/>
                <w:b/>
                <w:bCs/>
                <w:sz w:val="12"/>
                <w:szCs w:val="12"/>
                <w:lang w:eastAsia="fr-FR"/>
              </w:rPr>
              <w:t>Pays-Bas</w:t>
            </w:r>
          </w:p>
        </w:tc>
      </w:tr>
      <w:tr w:rsidR="00160BA5" w:rsidRPr="00CE031F" w14:paraId="2D0ED743" w14:textId="77777777" w:rsidTr="00465739">
        <w:trPr>
          <w:trHeight w:val="20"/>
        </w:trPr>
        <w:tc>
          <w:tcPr>
            <w:tcW w:w="300" w:type="dxa"/>
            <w:noWrap/>
            <w:hideMark/>
          </w:tcPr>
          <w:p w14:paraId="3AE34E9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D4AD87D"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7B6000E2" w14:textId="5BE6446D"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39E669E5" w14:textId="77777777" w:rsidTr="00465739">
        <w:trPr>
          <w:trHeight w:val="20"/>
        </w:trPr>
        <w:tc>
          <w:tcPr>
            <w:tcW w:w="300" w:type="dxa"/>
            <w:noWrap/>
            <w:hideMark/>
          </w:tcPr>
          <w:p w14:paraId="2D64F43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4FAAC44"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FAF79F4" w14:textId="5961BA81"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6AA04FCF" w14:textId="77777777" w:rsidTr="00465739">
        <w:trPr>
          <w:trHeight w:val="20"/>
        </w:trPr>
        <w:tc>
          <w:tcPr>
            <w:tcW w:w="300" w:type="dxa"/>
            <w:noWrap/>
            <w:hideMark/>
          </w:tcPr>
          <w:p w14:paraId="5779518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43991FD"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FA290F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1FCFB887" w14:textId="77777777" w:rsidTr="00465739">
        <w:trPr>
          <w:trHeight w:val="20"/>
        </w:trPr>
        <w:tc>
          <w:tcPr>
            <w:tcW w:w="300" w:type="dxa"/>
            <w:noWrap/>
            <w:hideMark/>
          </w:tcPr>
          <w:p w14:paraId="2322B09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DE268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59795C1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26D896AC" w14:textId="77777777" w:rsidTr="00465739">
        <w:trPr>
          <w:trHeight w:val="20"/>
        </w:trPr>
        <w:tc>
          <w:tcPr>
            <w:tcW w:w="300" w:type="dxa"/>
            <w:noWrap/>
          </w:tcPr>
          <w:p w14:paraId="7EE6CD6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63221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1FAA6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1AB1036D" w14:textId="77777777" w:rsidTr="00465739">
        <w:trPr>
          <w:trHeight w:val="20"/>
        </w:trPr>
        <w:tc>
          <w:tcPr>
            <w:tcW w:w="300" w:type="dxa"/>
            <w:noWrap/>
          </w:tcPr>
          <w:p w14:paraId="5E18FDE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D07FD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CC4886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54A41BB6" w14:textId="77777777" w:rsidTr="00465739">
        <w:trPr>
          <w:trHeight w:val="20"/>
        </w:trPr>
        <w:tc>
          <w:tcPr>
            <w:tcW w:w="300" w:type="dxa"/>
            <w:noWrap/>
          </w:tcPr>
          <w:p w14:paraId="13DD2EC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57B13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36D55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447A10E5" w14:textId="77777777" w:rsidTr="00465739">
        <w:trPr>
          <w:trHeight w:val="20"/>
        </w:trPr>
        <w:tc>
          <w:tcPr>
            <w:tcW w:w="300" w:type="dxa"/>
            <w:noWrap/>
          </w:tcPr>
          <w:p w14:paraId="36C8078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D5D44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3CB86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6EA9F147" w14:textId="77777777" w:rsidTr="00465739">
        <w:trPr>
          <w:trHeight w:val="20"/>
        </w:trPr>
        <w:tc>
          <w:tcPr>
            <w:tcW w:w="300" w:type="dxa"/>
            <w:noWrap/>
          </w:tcPr>
          <w:p w14:paraId="19E6E8C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7BD32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5FA0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70AFD5B6" w14:textId="77777777" w:rsidTr="00465739">
        <w:trPr>
          <w:trHeight w:val="20"/>
        </w:trPr>
        <w:tc>
          <w:tcPr>
            <w:tcW w:w="300" w:type="dxa"/>
            <w:noWrap/>
          </w:tcPr>
          <w:p w14:paraId="089A323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84765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BBC63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26447240" w14:textId="77777777" w:rsidTr="00465739">
        <w:trPr>
          <w:trHeight w:val="20"/>
        </w:trPr>
        <w:tc>
          <w:tcPr>
            <w:tcW w:w="300" w:type="dxa"/>
            <w:noWrap/>
          </w:tcPr>
          <w:p w14:paraId="24A6ADF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6D9AF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DE468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2FFDA37E" w14:textId="77777777" w:rsidTr="00465739">
        <w:trPr>
          <w:trHeight w:val="20"/>
        </w:trPr>
        <w:tc>
          <w:tcPr>
            <w:tcW w:w="300" w:type="dxa"/>
            <w:noWrap/>
          </w:tcPr>
          <w:p w14:paraId="2ADFC68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D1367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2336E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56A22A5C" w14:textId="77777777" w:rsidTr="00465739">
        <w:trPr>
          <w:trHeight w:val="20"/>
        </w:trPr>
        <w:tc>
          <w:tcPr>
            <w:tcW w:w="300" w:type="dxa"/>
            <w:noWrap/>
          </w:tcPr>
          <w:p w14:paraId="3075EA5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AD10E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6F732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6C3F39BE" w14:textId="77777777" w:rsidTr="00465739">
        <w:trPr>
          <w:trHeight w:val="20"/>
        </w:trPr>
        <w:tc>
          <w:tcPr>
            <w:tcW w:w="300" w:type="dxa"/>
            <w:noWrap/>
          </w:tcPr>
          <w:p w14:paraId="2640014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7E1CA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1DB89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6D4899C7" w14:textId="77777777" w:rsidTr="00465739">
        <w:trPr>
          <w:trHeight w:val="20"/>
        </w:trPr>
        <w:tc>
          <w:tcPr>
            <w:tcW w:w="300" w:type="dxa"/>
            <w:noWrap/>
          </w:tcPr>
          <w:p w14:paraId="50971EE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894C3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3E0B6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EC9FFD4" w14:textId="77777777" w:rsidTr="00465739">
        <w:trPr>
          <w:trHeight w:val="20"/>
        </w:trPr>
        <w:tc>
          <w:tcPr>
            <w:tcW w:w="300" w:type="dxa"/>
            <w:noWrap/>
          </w:tcPr>
          <w:p w14:paraId="154050F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6E0BE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CAD13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43640A47" w14:textId="77777777" w:rsidTr="00465739">
        <w:trPr>
          <w:trHeight w:val="20"/>
        </w:trPr>
        <w:tc>
          <w:tcPr>
            <w:tcW w:w="300" w:type="dxa"/>
            <w:noWrap/>
          </w:tcPr>
          <w:p w14:paraId="36684CB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540D7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95EAF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0133FB18" w14:textId="77777777" w:rsidTr="00465739">
        <w:trPr>
          <w:trHeight w:val="20"/>
        </w:trPr>
        <w:tc>
          <w:tcPr>
            <w:tcW w:w="300" w:type="dxa"/>
            <w:noWrap/>
          </w:tcPr>
          <w:p w14:paraId="6FEB2BF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03A63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0B3D1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05354721" w14:textId="77777777" w:rsidTr="00465739">
        <w:trPr>
          <w:trHeight w:val="20"/>
        </w:trPr>
        <w:tc>
          <w:tcPr>
            <w:tcW w:w="300" w:type="dxa"/>
            <w:noWrap/>
          </w:tcPr>
          <w:p w14:paraId="423489B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94A5B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A77B6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3C41BE47" w14:textId="77777777" w:rsidTr="00465739">
        <w:trPr>
          <w:trHeight w:val="20"/>
        </w:trPr>
        <w:tc>
          <w:tcPr>
            <w:tcW w:w="300" w:type="dxa"/>
            <w:noWrap/>
          </w:tcPr>
          <w:p w14:paraId="67F67F5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815D2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E0058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118B8BDE" w14:textId="77777777" w:rsidTr="00465739">
        <w:trPr>
          <w:trHeight w:val="20"/>
        </w:trPr>
        <w:tc>
          <w:tcPr>
            <w:tcW w:w="300" w:type="dxa"/>
            <w:noWrap/>
          </w:tcPr>
          <w:p w14:paraId="412D6B4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679798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D39129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9B0BFE4" w14:textId="77777777" w:rsidTr="00465739">
        <w:trPr>
          <w:trHeight w:val="20"/>
        </w:trPr>
        <w:tc>
          <w:tcPr>
            <w:tcW w:w="300" w:type="dxa"/>
            <w:noWrap/>
          </w:tcPr>
          <w:p w14:paraId="3181891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75B94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50FAC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6C03F093" w14:textId="77777777" w:rsidTr="00465739">
        <w:trPr>
          <w:trHeight w:val="20"/>
        </w:trPr>
        <w:tc>
          <w:tcPr>
            <w:tcW w:w="300" w:type="dxa"/>
            <w:noWrap/>
          </w:tcPr>
          <w:p w14:paraId="4CBE586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51772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55CF7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3DD7F0F5" w14:textId="77777777" w:rsidTr="00465739">
        <w:trPr>
          <w:trHeight w:val="20"/>
        </w:trPr>
        <w:tc>
          <w:tcPr>
            <w:tcW w:w="300" w:type="dxa"/>
            <w:noWrap/>
          </w:tcPr>
          <w:p w14:paraId="6E311F0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D80317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F6D86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52A8DDC6" w14:textId="77777777" w:rsidTr="00465739">
        <w:trPr>
          <w:trHeight w:val="20"/>
        </w:trPr>
        <w:tc>
          <w:tcPr>
            <w:tcW w:w="300" w:type="dxa"/>
            <w:noWrap/>
          </w:tcPr>
          <w:p w14:paraId="2043BA2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4A1BA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139E3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56DAD92C" w14:textId="77777777" w:rsidTr="00465739">
        <w:trPr>
          <w:trHeight w:val="20"/>
        </w:trPr>
        <w:tc>
          <w:tcPr>
            <w:tcW w:w="300" w:type="dxa"/>
            <w:noWrap/>
          </w:tcPr>
          <w:p w14:paraId="3350C74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F9BA2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67F97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1CC06255" w14:textId="77777777" w:rsidTr="00465739">
        <w:trPr>
          <w:trHeight w:val="20"/>
        </w:trPr>
        <w:tc>
          <w:tcPr>
            <w:tcW w:w="300" w:type="dxa"/>
            <w:noWrap/>
          </w:tcPr>
          <w:p w14:paraId="24CA3FA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F7EAB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F53A0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5FA3189D" w14:textId="77777777" w:rsidTr="00465739">
        <w:trPr>
          <w:trHeight w:val="20"/>
        </w:trPr>
        <w:tc>
          <w:tcPr>
            <w:tcW w:w="300" w:type="dxa"/>
            <w:noWrap/>
          </w:tcPr>
          <w:p w14:paraId="1B89226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F9CD3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42A43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52C99EED" w14:textId="77777777" w:rsidTr="00465739">
        <w:trPr>
          <w:trHeight w:val="20"/>
        </w:trPr>
        <w:tc>
          <w:tcPr>
            <w:tcW w:w="300" w:type="dxa"/>
            <w:noWrap/>
          </w:tcPr>
          <w:p w14:paraId="0EF42D2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876180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838D1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3087B625" w14:textId="77777777" w:rsidTr="00465739">
        <w:trPr>
          <w:trHeight w:val="20"/>
        </w:trPr>
        <w:tc>
          <w:tcPr>
            <w:tcW w:w="300" w:type="dxa"/>
            <w:noWrap/>
          </w:tcPr>
          <w:p w14:paraId="1BE2BAA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1F2FE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7D49D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2A698DA1" w14:textId="77777777" w:rsidTr="00465739">
        <w:trPr>
          <w:trHeight w:val="20"/>
        </w:trPr>
        <w:tc>
          <w:tcPr>
            <w:tcW w:w="300" w:type="dxa"/>
            <w:noWrap/>
          </w:tcPr>
          <w:p w14:paraId="616383E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C731C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CE178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1C632F4C" w14:textId="77777777" w:rsidTr="00465739">
        <w:trPr>
          <w:trHeight w:val="20"/>
        </w:trPr>
        <w:tc>
          <w:tcPr>
            <w:tcW w:w="300" w:type="dxa"/>
            <w:noWrap/>
            <w:hideMark/>
          </w:tcPr>
          <w:p w14:paraId="4354431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129E92A3"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86C436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6D69986D" w14:textId="77777777" w:rsidTr="00465739">
        <w:trPr>
          <w:trHeight w:val="20"/>
        </w:trPr>
        <w:tc>
          <w:tcPr>
            <w:tcW w:w="0" w:type="auto"/>
            <w:noWrap/>
            <w:hideMark/>
          </w:tcPr>
          <w:p w14:paraId="15CBF70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CD04811" w14:textId="4FD07099"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Pologne</w:t>
            </w:r>
          </w:p>
        </w:tc>
      </w:tr>
      <w:tr w:rsidR="00465739" w:rsidRPr="00CE031F" w14:paraId="15C03626" w14:textId="77777777" w:rsidTr="00465739">
        <w:trPr>
          <w:trHeight w:val="20"/>
        </w:trPr>
        <w:tc>
          <w:tcPr>
            <w:tcW w:w="300" w:type="dxa"/>
            <w:noWrap/>
            <w:hideMark/>
          </w:tcPr>
          <w:p w14:paraId="07098F2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4C580E5"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77EE8DBB" w14:textId="5102DA6B"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61764B45" w14:textId="77777777" w:rsidTr="00465739">
        <w:trPr>
          <w:trHeight w:val="20"/>
        </w:trPr>
        <w:tc>
          <w:tcPr>
            <w:tcW w:w="300" w:type="dxa"/>
            <w:noWrap/>
            <w:hideMark/>
          </w:tcPr>
          <w:p w14:paraId="09EA02F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1813358"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049BA0D9" w14:textId="0FF45326"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6787CDFD" w14:textId="77777777" w:rsidTr="00465739">
        <w:trPr>
          <w:trHeight w:val="20"/>
        </w:trPr>
        <w:tc>
          <w:tcPr>
            <w:tcW w:w="300" w:type="dxa"/>
            <w:noWrap/>
            <w:hideMark/>
          </w:tcPr>
          <w:p w14:paraId="123276E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5073CED"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71B929D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4C9A157D" w14:textId="77777777" w:rsidTr="00465739">
        <w:trPr>
          <w:trHeight w:val="20"/>
        </w:trPr>
        <w:tc>
          <w:tcPr>
            <w:tcW w:w="300" w:type="dxa"/>
            <w:noWrap/>
            <w:hideMark/>
          </w:tcPr>
          <w:p w14:paraId="5FF6407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151CF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604AE2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7EF22F4F" w14:textId="77777777" w:rsidTr="00465739">
        <w:trPr>
          <w:trHeight w:val="20"/>
        </w:trPr>
        <w:tc>
          <w:tcPr>
            <w:tcW w:w="300" w:type="dxa"/>
            <w:noWrap/>
          </w:tcPr>
          <w:p w14:paraId="4E3737E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68441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6087EB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0FD4A6DC" w14:textId="77777777" w:rsidTr="00465739">
        <w:trPr>
          <w:trHeight w:val="20"/>
        </w:trPr>
        <w:tc>
          <w:tcPr>
            <w:tcW w:w="300" w:type="dxa"/>
            <w:noWrap/>
          </w:tcPr>
          <w:p w14:paraId="2C0DDB1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A99EE4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56B7C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2509B7AE" w14:textId="77777777" w:rsidTr="00465739">
        <w:trPr>
          <w:trHeight w:val="20"/>
        </w:trPr>
        <w:tc>
          <w:tcPr>
            <w:tcW w:w="300" w:type="dxa"/>
            <w:noWrap/>
          </w:tcPr>
          <w:p w14:paraId="6C11F28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911BA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DD9E2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638A8929" w14:textId="77777777" w:rsidTr="00465739">
        <w:trPr>
          <w:trHeight w:val="20"/>
        </w:trPr>
        <w:tc>
          <w:tcPr>
            <w:tcW w:w="300" w:type="dxa"/>
            <w:noWrap/>
          </w:tcPr>
          <w:p w14:paraId="00D862C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53557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001E3B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3C33E4E6" w14:textId="77777777" w:rsidTr="00465739">
        <w:trPr>
          <w:trHeight w:val="20"/>
        </w:trPr>
        <w:tc>
          <w:tcPr>
            <w:tcW w:w="300" w:type="dxa"/>
            <w:noWrap/>
          </w:tcPr>
          <w:p w14:paraId="54BCD4A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3615A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E8A5F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213765DB" w14:textId="77777777" w:rsidTr="00465739">
        <w:trPr>
          <w:trHeight w:val="20"/>
        </w:trPr>
        <w:tc>
          <w:tcPr>
            <w:tcW w:w="300" w:type="dxa"/>
            <w:noWrap/>
          </w:tcPr>
          <w:p w14:paraId="2DE1222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E8CAE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BDB0E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5F1CAE33" w14:textId="77777777" w:rsidTr="00465739">
        <w:trPr>
          <w:trHeight w:val="20"/>
        </w:trPr>
        <w:tc>
          <w:tcPr>
            <w:tcW w:w="300" w:type="dxa"/>
            <w:noWrap/>
          </w:tcPr>
          <w:p w14:paraId="654B4C5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BD626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74E25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3487AE3B" w14:textId="77777777" w:rsidTr="00465739">
        <w:trPr>
          <w:trHeight w:val="20"/>
        </w:trPr>
        <w:tc>
          <w:tcPr>
            <w:tcW w:w="300" w:type="dxa"/>
            <w:noWrap/>
          </w:tcPr>
          <w:p w14:paraId="6A53BF0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D3797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E74D2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4728E633" w14:textId="77777777" w:rsidTr="00465739">
        <w:trPr>
          <w:trHeight w:val="20"/>
        </w:trPr>
        <w:tc>
          <w:tcPr>
            <w:tcW w:w="300" w:type="dxa"/>
            <w:noWrap/>
          </w:tcPr>
          <w:p w14:paraId="5433D7D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EC14B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E49B5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3F8C3A65" w14:textId="77777777" w:rsidTr="00465739">
        <w:trPr>
          <w:trHeight w:val="20"/>
        </w:trPr>
        <w:tc>
          <w:tcPr>
            <w:tcW w:w="300" w:type="dxa"/>
            <w:noWrap/>
          </w:tcPr>
          <w:p w14:paraId="0713FAF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9061D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05B20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5531886B" w14:textId="77777777" w:rsidTr="00465739">
        <w:trPr>
          <w:trHeight w:val="20"/>
        </w:trPr>
        <w:tc>
          <w:tcPr>
            <w:tcW w:w="300" w:type="dxa"/>
            <w:noWrap/>
          </w:tcPr>
          <w:p w14:paraId="01A90BD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37CDB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DC799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1F830CFE" w14:textId="77777777" w:rsidTr="00465739">
        <w:trPr>
          <w:trHeight w:val="20"/>
        </w:trPr>
        <w:tc>
          <w:tcPr>
            <w:tcW w:w="300" w:type="dxa"/>
            <w:noWrap/>
          </w:tcPr>
          <w:p w14:paraId="684B66B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B1096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C346E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4E122531" w14:textId="77777777" w:rsidTr="00465739">
        <w:trPr>
          <w:trHeight w:val="20"/>
        </w:trPr>
        <w:tc>
          <w:tcPr>
            <w:tcW w:w="300" w:type="dxa"/>
            <w:noWrap/>
          </w:tcPr>
          <w:p w14:paraId="01962B4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07868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BFEDC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19DD7483" w14:textId="77777777" w:rsidTr="00465739">
        <w:trPr>
          <w:trHeight w:val="20"/>
        </w:trPr>
        <w:tc>
          <w:tcPr>
            <w:tcW w:w="300" w:type="dxa"/>
            <w:noWrap/>
          </w:tcPr>
          <w:p w14:paraId="2929953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4EB66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B8493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2D9537A0" w14:textId="77777777" w:rsidTr="00465739">
        <w:trPr>
          <w:trHeight w:val="20"/>
        </w:trPr>
        <w:tc>
          <w:tcPr>
            <w:tcW w:w="300" w:type="dxa"/>
            <w:noWrap/>
          </w:tcPr>
          <w:p w14:paraId="5FCB7B8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4F2E9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BACE9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6E82A543" w14:textId="77777777" w:rsidTr="00465739">
        <w:trPr>
          <w:trHeight w:val="20"/>
        </w:trPr>
        <w:tc>
          <w:tcPr>
            <w:tcW w:w="300" w:type="dxa"/>
            <w:noWrap/>
          </w:tcPr>
          <w:p w14:paraId="5083BFC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6025A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91700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26B04148" w14:textId="77777777" w:rsidTr="00465739">
        <w:trPr>
          <w:trHeight w:val="20"/>
        </w:trPr>
        <w:tc>
          <w:tcPr>
            <w:tcW w:w="300" w:type="dxa"/>
            <w:noWrap/>
          </w:tcPr>
          <w:p w14:paraId="250ADF7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2AE5A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B98F0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5C0066CB" w14:textId="77777777" w:rsidTr="00465739">
        <w:trPr>
          <w:trHeight w:val="20"/>
        </w:trPr>
        <w:tc>
          <w:tcPr>
            <w:tcW w:w="300" w:type="dxa"/>
            <w:noWrap/>
          </w:tcPr>
          <w:p w14:paraId="52C51CC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EEE6C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180EE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485BA034" w14:textId="77777777" w:rsidTr="00465739">
        <w:trPr>
          <w:trHeight w:val="20"/>
        </w:trPr>
        <w:tc>
          <w:tcPr>
            <w:tcW w:w="300" w:type="dxa"/>
            <w:noWrap/>
          </w:tcPr>
          <w:p w14:paraId="1674606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A2FD0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D2A6F3"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0BC1B46F" w14:textId="77777777" w:rsidTr="00465739">
        <w:trPr>
          <w:trHeight w:val="20"/>
        </w:trPr>
        <w:tc>
          <w:tcPr>
            <w:tcW w:w="300" w:type="dxa"/>
            <w:noWrap/>
          </w:tcPr>
          <w:p w14:paraId="7E1DC24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6B22FD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E36C62"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4DF7FE30" w14:textId="77777777" w:rsidTr="00465739">
        <w:trPr>
          <w:trHeight w:val="20"/>
        </w:trPr>
        <w:tc>
          <w:tcPr>
            <w:tcW w:w="300" w:type="dxa"/>
            <w:noWrap/>
          </w:tcPr>
          <w:p w14:paraId="2133CF1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9C1A6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AE40C8"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0A688463" w14:textId="77777777" w:rsidTr="00465739">
        <w:trPr>
          <w:trHeight w:val="20"/>
        </w:trPr>
        <w:tc>
          <w:tcPr>
            <w:tcW w:w="300" w:type="dxa"/>
            <w:noWrap/>
          </w:tcPr>
          <w:p w14:paraId="3DDF66D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79BD3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5CE921"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4B794B15" w14:textId="77777777" w:rsidTr="00465739">
        <w:trPr>
          <w:trHeight w:val="20"/>
        </w:trPr>
        <w:tc>
          <w:tcPr>
            <w:tcW w:w="300" w:type="dxa"/>
            <w:noWrap/>
          </w:tcPr>
          <w:p w14:paraId="66AB84E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179CC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E6D4A9"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5556E2FC" w14:textId="77777777" w:rsidTr="00465739">
        <w:trPr>
          <w:trHeight w:val="20"/>
        </w:trPr>
        <w:tc>
          <w:tcPr>
            <w:tcW w:w="300" w:type="dxa"/>
            <w:noWrap/>
          </w:tcPr>
          <w:p w14:paraId="07424FD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FE354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4E27BA"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5DDB16DF" w14:textId="77777777" w:rsidTr="00465739">
        <w:trPr>
          <w:trHeight w:val="20"/>
        </w:trPr>
        <w:tc>
          <w:tcPr>
            <w:tcW w:w="300" w:type="dxa"/>
            <w:noWrap/>
          </w:tcPr>
          <w:p w14:paraId="014EC44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CC8C6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32C5CC"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3125ABC2" w14:textId="77777777" w:rsidTr="00465739">
        <w:trPr>
          <w:trHeight w:val="20"/>
        </w:trPr>
        <w:tc>
          <w:tcPr>
            <w:tcW w:w="300" w:type="dxa"/>
            <w:noWrap/>
          </w:tcPr>
          <w:p w14:paraId="39095B3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FCACD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7F6A82"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053A774D" w14:textId="77777777" w:rsidTr="00465739">
        <w:trPr>
          <w:trHeight w:val="20"/>
        </w:trPr>
        <w:tc>
          <w:tcPr>
            <w:tcW w:w="300" w:type="dxa"/>
            <w:noWrap/>
          </w:tcPr>
          <w:p w14:paraId="0D3B039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05E16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A5A1BB"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2C619E4E" w14:textId="77777777" w:rsidTr="00465739">
        <w:trPr>
          <w:trHeight w:val="20"/>
        </w:trPr>
        <w:tc>
          <w:tcPr>
            <w:tcW w:w="300" w:type="dxa"/>
            <w:noWrap/>
            <w:hideMark/>
          </w:tcPr>
          <w:p w14:paraId="09229C9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FDCF12B"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2A1CC29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077ED0CE" w14:textId="77777777" w:rsidTr="00465739">
        <w:trPr>
          <w:trHeight w:val="20"/>
        </w:trPr>
        <w:tc>
          <w:tcPr>
            <w:tcW w:w="0" w:type="auto"/>
            <w:noWrap/>
            <w:hideMark/>
          </w:tcPr>
          <w:p w14:paraId="7080F6E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E8C4D51" w14:textId="41149C5F"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Portugal</w:t>
            </w:r>
          </w:p>
        </w:tc>
      </w:tr>
      <w:tr w:rsidR="00465739" w:rsidRPr="00CE031F" w14:paraId="2C6C13B8" w14:textId="77777777" w:rsidTr="00465739">
        <w:trPr>
          <w:trHeight w:val="20"/>
        </w:trPr>
        <w:tc>
          <w:tcPr>
            <w:tcW w:w="300" w:type="dxa"/>
            <w:noWrap/>
            <w:hideMark/>
          </w:tcPr>
          <w:p w14:paraId="271D210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3894AEF"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650C858B" w14:textId="720432E6"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08E03247" w14:textId="77777777" w:rsidTr="00465739">
        <w:trPr>
          <w:trHeight w:val="20"/>
        </w:trPr>
        <w:tc>
          <w:tcPr>
            <w:tcW w:w="300" w:type="dxa"/>
            <w:noWrap/>
            <w:hideMark/>
          </w:tcPr>
          <w:p w14:paraId="493D34B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4C1D07A8"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10BB9F6F" w14:textId="3DD5A1C6"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0F011286" w14:textId="77777777" w:rsidTr="00465739">
        <w:trPr>
          <w:trHeight w:val="20"/>
        </w:trPr>
        <w:tc>
          <w:tcPr>
            <w:tcW w:w="300" w:type="dxa"/>
            <w:noWrap/>
            <w:hideMark/>
          </w:tcPr>
          <w:p w14:paraId="1BF5962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78F01A8"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043F648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658D889C" w14:textId="77777777" w:rsidTr="00465739">
        <w:trPr>
          <w:trHeight w:val="20"/>
        </w:trPr>
        <w:tc>
          <w:tcPr>
            <w:tcW w:w="300" w:type="dxa"/>
            <w:noWrap/>
            <w:hideMark/>
          </w:tcPr>
          <w:p w14:paraId="373052F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EC38C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284B231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7FEDC7D5" w14:textId="77777777" w:rsidTr="00465739">
        <w:trPr>
          <w:trHeight w:val="20"/>
        </w:trPr>
        <w:tc>
          <w:tcPr>
            <w:tcW w:w="300" w:type="dxa"/>
            <w:noWrap/>
          </w:tcPr>
          <w:p w14:paraId="01BEBA6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02440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F7CFD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315D53F4" w14:textId="77777777" w:rsidTr="00465739">
        <w:trPr>
          <w:trHeight w:val="20"/>
        </w:trPr>
        <w:tc>
          <w:tcPr>
            <w:tcW w:w="300" w:type="dxa"/>
            <w:noWrap/>
          </w:tcPr>
          <w:p w14:paraId="60182BA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A5086A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4AA9B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30663A65" w14:textId="77777777" w:rsidTr="00465739">
        <w:trPr>
          <w:trHeight w:val="20"/>
        </w:trPr>
        <w:tc>
          <w:tcPr>
            <w:tcW w:w="300" w:type="dxa"/>
            <w:noWrap/>
          </w:tcPr>
          <w:p w14:paraId="646A914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534DB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DA57C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47550729" w14:textId="77777777" w:rsidTr="00465739">
        <w:trPr>
          <w:trHeight w:val="20"/>
        </w:trPr>
        <w:tc>
          <w:tcPr>
            <w:tcW w:w="300" w:type="dxa"/>
            <w:noWrap/>
          </w:tcPr>
          <w:p w14:paraId="5CDB0B0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42462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8A651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6F660698" w14:textId="77777777" w:rsidTr="00465739">
        <w:trPr>
          <w:trHeight w:val="20"/>
        </w:trPr>
        <w:tc>
          <w:tcPr>
            <w:tcW w:w="300" w:type="dxa"/>
            <w:noWrap/>
          </w:tcPr>
          <w:p w14:paraId="240087A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60469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80E88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2B0BFDE0" w14:textId="77777777" w:rsidTr="00465739">
        <w:trPr>
          <w:trHeight w:val="20"/>
        </w:trPr>
        <w:tc>
          <w:tcPr>
            <w:tcW w:w="300" w:type="dxa"/>
            <w:noWrap/>
          </w:tcPr>
          <w:p w14:paraId="3817D6D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9A36C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33172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34BCCACB" w14:textId="77777777" w:rsidTr="00465739">
        <w:trPr>
          <w:trHeight w:val="20"/>
        </w:trPr>
        <w:tc>
          <w:tcPr>
            <w:tcW w:w="300" w:type="dxa"/>
            <w:noWrap/>
          </w:tcPr>
          <w:p w14:paraId="0617318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D3AF8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01C3A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35FD4F86" w14:textId="77777777" w:rsidTr="00465739">
        <w:trPr>
          <w:trHeight w:val="20"/>
        </w:trPr>
        <w:tc>
          <w:tcPr>
            <w:tcW w:w="300" w:type="dxa"/>
            <w:noWrap/>
          </w:tcPr>
          <w:p w14:paraId="49BCACC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3C4E3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926A1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2A5AD268" w14:textId="77777777" w:rsidTr="00465739">
        <w:trPr>
          <w:trHeight w:val="20"/>
        </w:trPr>
        <w:tc>
          <w:tcPr>
            <w:tcW w:w="300" w:type="dxa"/>
            <w:noWrap/>
          </w:tcPr>
          <w:p w14:paraId="51E0869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994B6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EF108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33064920" w14:textId="77777777" w:rsidTr="00465739">
        <w:trPr>
          <w:trHeight w:val="20"/>
        </w:trPr>
        <w:tc>
          <w:tcPr>
            <w:tcW w:w="300" w:type="dxa"/>
            <w:noWrap/>
          </w:tcPr>
          <w:p w14:paraId="7946A9E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F0359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44D0A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53A99E99" w14:textId="77777777" w:rsidTr="00465739">
        <w:trPr>
          <w:trHeight w:val="20"/>
        </w:trPr>
        <w:tc>
          <w:tcPr>
            <w:tcW w:w="300" w:type="dxa"/>
            <w:noWrap/>
          </w:tcPr>
          <w:p w14:paraId="1330270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55AED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21B85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17AD4FB5" w14:textId="77777777" w:rsidTr="00465739">
        <w:trPr>
          <w:trHeight w:val="20"/>
        </w:trPr>
        <w:tc>
          <w:tcPr>
            <w:tcW w:w="300" w:type="dxa"/>
            <w:noWrap/>
          </w:tcPr>
          <w:p w14:paraId="2D3627E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A4A37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2056C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1D7C9F1B" w14:textId="77777777" w:rsidTr="00465739">
        <w:trPr>
          <w:trHeight w:val="20"/>
        </w:trPr>
        <w:tc>
          <w:tcPr>
            <w:tcW w:w="300" w:type="dxa"/>
            <w:noWrap/>
          </w:tcPr>
          <w:p w14:paraId="6ED796B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BDBAA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AE804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16CF8625" w14:textId="77777777" w:rsidTr="00465739">
        <w:trPr>
          <w:trHeight w:val="20"/>
        </w:trPr>
        <w:tc>
          <w:tcPr>
            <w:tcW w:w="300" w:type="dxa"/>
            <w:noWrap/>
          </w:tcPr>
          <w:p w14:paraId="50F08AD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0AAD7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ACE4B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785A65A0" w14:textId="77777777" w:rsidTr="00465739">
        <w:trPr>
          <w:trHeight w:val="20"/>
        </w:trPr>
        <w:tc>
          <w:tcPr>
            <w:tcW w:w="300" w:type="dxa"/>
            <w:noWrap/>
          </w:tcPr>
          <w:p w14:paraId="3259F35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D9F9E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55A2F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7977A2F5" w14:textId="77777777" w:rsidTr="00465739">
        <w:trPr>
          <w:trHeight w:val="20"/>
        </w:trPr>
        <w:tc>
          <w:tcPr>
            <w:tcW w:w="300" w:type="dxa"/>
            <w:noWrap/>
          </w:tcPr>
          <w:p w14:paraId="3EF9A14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AD589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2C885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3BBA177C" w14:textId="77777777" w:rsidTr="00465739">
        <w:trPr>
          <w:trHeight w:val="20"/>
        </w:trPr>
        <w:tc>
          <w:tcPr>
            <w:tcW w:w="300" w:type="dxa"/>
            <w:noWrap/>
          </w:tcPr>
          <w:p w14:paraId="7DB38F0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8313D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9C717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72B68582" w14:textId="77777777" w:rsidTr="00465739">
        <w:trPr>
          <w:trHeight w:val="20"/>
        </w:trPr>
        <w:tc>
          <w:tcPr>
            <w:tcW w:w="300" w:type="dxa"/>
            <w:noWrap/>
          </w:tcPr>
          <w:p w14:paraId="6D23B28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84037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86995F"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29A4F9B9" w14:textId="77777777" w:rsidTr="00465739">
        <w:trPr>
          <w:trHeight w:val="20"/>
        </w:trPr>
        <w:tc>
          <w:tcPr>
            <w:tcW w:w="300" w:type="dxa"/>
            <w:noWrap/>
          </w:tcPr>
          <w:p w14:paraId="5F2CCEA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01A5D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438DD5"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179DE848" w14:textId="77777777" w:rsidTr="00465739">
        <w:trPr>
          <w:trHeight w:val="20"/>
        </w:trPr>
        <w:tc>
          <w:tcPr>
            <w:tcW w:w="300" w:type="dxa"/>
            <w:noWrap/>
          </w:tcPr>
          <w:p w14:paraId="390D03C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56AD6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472686"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4C4C59FA" w14:textId="77777777" w:rsidTr="00465739">
        <w:trPr>
          <w:trHeight w:val="20"/>
        </w:trPr>
        <w:tc>
          <w:tcPr>
            <w:tcW w:w="300" w:type="dxa"/>
            <w:noWrap/>
          </w:tcPr>
          <w:p w14:paraId="1FE4C08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BB3252"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9863282"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638772EC" w14:textId="77777777" w:rsidTr="00465739">
        <w:trPr>
          <w:trHeight w:val="20"/>
        </w:trPr>
        <w:tc>
          <w:tcPr>
            <w:tcW w:w="300" w:type="dxa"/>
            <w:noWrap/>
          </w:tcPr>
          <w:p w14:paraId="2824A0D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03C1E5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64EA9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15A5B032" w14:textId="77777777" w:rsidTr="00465739">
        <w:trPr>
          <w:trHeight w:val="20"/>
        </w:trPr>
        <w:tc>
          <w:tcPr>
            <w:tcW w:w="300" w:type="dxa"/>
            <w:noWrap/>
          </w:tcPr>
          <w:p w14:paraId="5E50B50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3EB47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9D7BDD"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08D56B7A" w14:textId="77777777" w:rsidTr="00465739">
        <w:trPr>
          <w:trHeight w:val="20"/>
        </w:trPr>
        <w:tc>
          <w:tcPr>
            <w:tcW w:w="300" w:type="dxa"/>
            <w:noWrap/>
          </w:tcPr>
          <w:p w14:paraId="106518A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6F71C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6C67C2"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4E4A3CD4" w14:textId="77777777" w:rsidTr="00465739">
        <w:trPr>
          <w:trHeight w:val="20"/>
        </w:trPr>
        <w:tc>
          <w:tcPr>
            <w:tcW w:w="300" w:type="dxa"/>
            <w:noWrap/>
          </w:tcPr>
          <w:p w14:paraId="7E88CD4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392D0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827EE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527603CB" w14:textId="77777777" w:rsidTr="00465739">
        <w:trPr>
          <w:trHeight w:val="20"/>
        </w:trPr>
        <w:tc>
          <w:tcPr>
            <w:tcW w:w="300" w:type="dxa"/>
            <w:noWrap/>
          </w:tcPr>
          <w:p w14:paraId="110C689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15E91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9CB91A"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5030E315" w14:textId="77777777" w:rsidTr="00465739">
        <w:trPr>
          <w:trHeight w:val="20"/>
        </w:trPr>
        <w:tc>
          <w:tcPr>
            <w:tcW w:w="300" w:type="dxa"/>
            <w:noWrap/>
          </w:tcPr>
          <w:p w14:paraId="147C6B9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4379E4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C0B6C7"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14D42D71" w14:textId="77777777" w:rsidTr="00465739">
        <w:trPr>
          <w:trHeight w:val="20"/>
        </w:trPr>
        <w:tc>
          <w:tcPr>
            <w:tcW w:w="300" w:type="dxa"/>
            <w:noWrap/>
            <w:hideMark/>
          </w:tcPr>
          <w:p w14:paraId="7DA5EA1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11304DE"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31AEAA9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75A8141E" w14:textId="77777777" w:rsidTr="00465739">
        <w:trPr>
          <w:trHeight w:val="20"/>
        </w:trPr>
        <w:tc>
          <w:tcPr>
            <w:tcW w:w="0" w:type="auto"/>
            <w:noWrap/>
            <w:hideMark/>
          </w:tcPr>
          <w:p w14:paraId="5364518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A994991" w14:textId="05B9CA91"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République tchèque</w:t>
            </w:r>
          </w:p>
        </w:tc>
      </w:tr>
      <w:tr w:rsidR="00465739" w:rsidRPr="00CE031F" w14:paraId="22A580D4" w14:textId="77777777" w:rsidTr="00465739">
        <w:trPr>
          <w:trHeight w:val="20"/>
        </w:trPr>
        <w:tc>
          <w:tcPr>
            <w:tcW w:w="300" w:type="dxa"/>
            <w:noWrap/>
            <w:hideMark/>
          </w:tcPr>
          <w:p w14:paraId="4C18B7F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B554189"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40C00C52" w14:textId="107AF060"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4678BE0B" w14:textId="77777777" w:rsidTr="00465739">
        <w:trPr>
          <w:trHeight w:val="20"/>
        </w:trPr>
        <w:tc>
          <w:tcPr>
            <w:tcW w:w="300" w:type="dxa"/>
            <w:noWrap/>
            <w:hideMark/>
          </w:tcPr>
          <w:p w14:paraId="424C131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B853D88"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419684FD" w14:textId="31E0EA30"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3F973D72" w14:textId="77777777" w:rsidTr="00465739">
        <w:trPr>
          <w:trHeight w:val="20"/>
        </w:trPr>
        <w:tc>
          <w:tcPr>
            <w:tcW w:w="300" w:type="dxa"/>
            <w:noWrap/>
            <w:hideMark/>
          </w:tcPr>
          <w:p w14:paraId="211F879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1A05170"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0E61236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3B3BBB31" w14:textId="77777777" w:rsidTr="00465739">
        <w:trPr>
          <w:trHeight w:val="20"/>
        </w:trPr>
        <w:tc>
          <w:tcPr>
            <w:tcW w:w="300" w:type="dxa"/>
            <w:noWrap/>
            <w:hideMark/>
          </w:tcPr>
          <w:p w14:paraId="281D05E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7806F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23B03DB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52519B73" w14:textId="77777777" w:rsidTr="00465739">
        <w:trPr>
          <w:trHeight w:val="20"/>
        </w:trPr>
        <w:tc>
          <w:tcPr>
            <w:tcW w:w="300" w:type="dxa"/>
            <w:noWrap/>
          </w:tcPr>
          <w:p w14:paraId="7D89255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6B1D1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4850D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4E8447FF" w14:textId="77777777" w:rsidTr="00465739">
        <w:trPr>
          <w:trHeight w:val="20"/>
        </w:trPr>
        <w:tc>
          <w:tcPr>
            <w:tcW w:w="300" w:type="dxa"/>
            <w:noWrap/>
          </w:tcPr>
          <w:p w14:paraId="1FC55AB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36642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AC995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4EB9DDE3" w14:textId="77777777" w:rsidTr="00465739">
        <w:trPr>
          <w:trHeight w:val="20"/>
        </w:trPr>
        <w:tc>
          <w:tcPr>
            <w:tcW w:w="300" w:type="dxa"/>
            <w:noWrap/>
          </w:tcPr>
          <w:p w14:paraId="43CAD8D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EE0D8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89777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072A301C" w14:textId="77777777" w:rsidTr="00465739">
        <w:trPr>
          <w:trHeight w:val="20"/>
        </w:trPr>
        <w:tc>
          <w:tcPr>
            <w:tcW w:w="300" w:type="dxa"/>
            <w:noWrap/>
          </w:tcPr>
          <w:p w14:paraId="4B82216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479739"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8151C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30EAFBC0" w14:textId="77777777" w:rsidTr="00465739">
        <w:trPr>
          <w:trHeight w:val="20"/>
        </w:trPr>
        <w:tc>
          <w:tcPr>
            <w:tcW w:w="300" w:type="dxa"/>
            <w:noWrap/>
          </w:tcPr>
          <w:p w14:paraId="7884513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2CFA9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96F2B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7802D677" w14:textId="77777777" w:rsidTr="00465739">
        <w:trPr>
          <w:trHeight w:val="20"/>
        </w:trPr>
        <w:tc>
          <w:tcPr>
            <w:tcW w:w="300" w:type="dxa"/>
            <w:noWrap/>
          </w:tcPr>
          <w:p w14:paraId="41C8CC5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540C6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6CD3B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5419DEFE" w14:textId="77777777" w:rsidTr="00465739">
        <w:trPr>
          <w:trHeight w:val="20"/>
        </w:trPr>
        <w:tc>
          <w:tcPr>
            <w:tcW w:w="300" w:type="dxa"/>
            <w:noWrap/>
          </w:tcPr>
          <w:p w14:paraId="1FEA7BE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A043A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C51403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433CBC3E" w14:textId="77777777" w:rsidTr="00465739">
        <w:trPr>
          <w:trHeight w:val="20"/>
        </w:trPr>
        <w:tc>
          <w:tcPr>
            <w:tcW w:w="300" w:type="dxa"/>
            <w:noWrap/>
          </w:tcPr>
          <w:p w14:paraId="7F8C874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2E497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C54D8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4B373DDC" w14:textId="77777777" w:rsidTr="00465739">
        <w:trPr>
          <w:trHeight w:val="20"/>
        </w:trPr>
        <w:tc>
          <w:tcPr>
            <w:tcW w:w="300" w:type="dxa"/>
            <w:noWrap/>
          </w:tcPr>
          <w:p w14:paraId="0C0E5BD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E5D4E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2518D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0885031C" w14:textId="77777777" w:rsidTr="00465739">
        <w:trPr>
          <w:trHeight w:val="20"/>
        </w:trPr>
        <w:tc>
          <w:tcPr>
            <w:tcW w:w="300" w:type="dxa"/>
            <w:noWrap/>
          </w:tcPr>
          <w:p w14:paraId="214CF28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000AAB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A2E70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32669EDD" w14:textId="77777777" w:rsidTr="00465739">
        <w:trPr>
          <w:trHeight w:val="20"/>
        </w:trPr>
        <w:tc>
          <w:tcPr>
            <w:tcW w:w="300" w:type="dxa"/>
            <w:noWrap/>
          </w:tcPr>
          <w:p w14:paraId="71D4F24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608FD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7A644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5CECE9A2" w14:textId="77777777" w:rsidTr="00465739">
        <w:trPr>
          <w:trHeight w:val="20"/>
        </w:trPr>
        <w:tc>
          <w:tcPr>
            <w:tcW w:w="300" w:type="dxa"/>
            <w:noWrap/>
          </w:tcPr>
          <w:p w14:paraId="25E9434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C7B19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F4FF2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239A3FA2" w14:textId="77777777" w:rsidTr="00465739">
        <w:trPr>
          <w:trHeight w:val="20"/>
        </w:trPr>
        <w:tc>
          <w:tcPr>
            <w:tcW w:w="300" w:type="dxa"/>
            <w:noWrap/>
          </w:tcPr>
          <w:p w14:paraId="07CBE43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FF445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EC703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0A27262C" w14:textId="77777777" w:rsidTr="00465739">
        <w:trPr>
          <w:trHeight w:val="20"/>
        </w:trPr>
        <w:tc>
          <w:tcPr>
            <w:tcW w:w="300" w:type="dxa"/>
            <w:noWrap/>
          </w:tcPr>
          <w:p w14:paraId="6F87E62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95E1E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0926E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249BF63A" w14:textId="77777777" w:rsidTr="00465739">
        <w:trPr>
          <w:trHeight w:val="20"/>
        </w:trPr>
        <w:tc>
          <w:tcPr>
            <w:tcW w:w="300" w:type="dxa"/>
            <w:noWrap/>
          </w:tcPr>
          <w:p w14:paraId="1AF011D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6E862B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2077A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603EC7ED" w14:textId="77777777" w:rsidTr="00465739">
        <w:trPr>
          <w:trHeight w:val="20"/>
        </w:trPr>
        <w:tc>
          <w:tcPr>
            <w:tcW w:w="300" w:type="dxa"/>
            <w:noWrap/>
          </w:tcPr>
          <w:p w14:paraId="0E41C26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CB86C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9FED50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6C3EFD0B" w14:textId="77777777" w:rsidTr="00465739">
        <w:trPr>
          <w:trHeight w:val="20"/>
        </w:trPr>
        <w:tc>
          <w:tcPr>
            <w:tcW w:w="300" w:type="dxa"/>
            <w:noWrap/>
          </w:tcPr>
          <w:p w14:paraId="6388C84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775AC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E3479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1626DCD8" w14:textId="77777777" w:rsidTr="00465739">
        <w:trPr>
          <w:trHeight w:val="20"/>
        </w:trPr>
        <w:tc>
          <w:tcPr>
            <w:tcW w:w="300" w:type="dxa"/>
            <w:noWrap/>
          </w:tcPr>
          <w:p w14:paraId="477E72E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09DA2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03281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2FF4F4AF" w14:textId="77777777" w:rsidTr="00465739">
        <w:trPr>
          <w:trHeight w:val="20"/>
        </w:trPr>
        <w:tc>
          <w:tcPr>
            <w:tcW w:w="300" w:type="dxa"/>
            <w:noWrap/>
          </w:tcPr>
          <w:p w14:paraId="6BF30B0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FC07F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C9FCD3"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045A28B6" w14:textId="77777777" w:rsidTr="00465739">
        <w:trPr>
          <w:trHeight w:val="20"/>
        </w:trPr>
        <w:tc>
          <w:tcPr>
            <w:tcW w:w="300" w:type="dxa"/>
            <w:noWrap/>
          </w:tcPr>
          <w:p w14:paraId="635BA2B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7ED2E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6CA748"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10298054" w14:textId="77777777" w:rsidTr="00465739">
        <w:trPr>
          <w:trHeight w:val="20"/>
        </w:trPr>
        <w:tc>
          <w:tcPr>
            <w:tcW w:w="300" w:type="dxa"/>
            <w:noWrap/>
          </w:tcPr>
          <w:p w14:paraId="11D8806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C277F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80E6F7"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13B5E81C" w14:textId="77777777" w:rsidTr="00465739">
        <w:trPr>
          <w:trHeight w:val="20"/>
        </w:trPr>
        <w:tc>
          <w:tcPr>
            <w:tcW w:w="300" w:type="dxa"/>
            <w:noWrap/>
          </w:tcPr>
          <w:p w14:paraId="232CCDE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E36039"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EF2D9F"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7B21413D" w14:textId="77777777" w:rsidTr="00465739">
        <w:trPr>
          <w:trHeight w:val="20"/>
        </w:trPr>
        <w:tc>
          <w:tcPr>
            <w:tcW w:w="300" w:type="dxa"/>
            <w:noWrap/>
          </w:tcPr>
          <w:p w14:paraId="4496284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93144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7E2A15"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0D35ED9B" w14:textId="77777777" w:rsidTr="00465739">
        <w:trPr>
          <w:trHeight w:val="20"/>
        </w:trPr>
        <w:tc>
          <w:tcPr>
            <w:tcW w:w="300" w:type="dxa"/>
            <w:noWrap/>
          </w:tcPr>
          <w:p w14:paraId="45D0CAA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FB4E7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FF3235"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7729EE64" w14:textId="77777777" w:rsidTr="00465739">
        <w:trPr>
          <w:trHeight w:val="20"/>
        </w:trPr>
        <w:tc>
          <w:tcPr>
            <w:tcW w:w="300" w:type="dxa"/>
            <w:noWrap/>
          </w:tcPr>
          <w:p w14:paraId="68E8F85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8B57A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AE70CC"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39613884" w14:textId="77777777" w:rsidTr="00465739">
        <w:trPr>
          <w:trHeight w:val="20"/>
        </w:trPr>
        <w:tc>
          <w:tcPr>
            <w:tcW w:w="300" w:type="dxa"/>
            <w:noWrap/>
          </w:tcPr>
          <w:p w14:paraId="1EAB599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98684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E5E3CF"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251E1BA1" w14:textId="77777777" w:rsidTr="00465739">
        <w:trPr>
          <w:trHeight w:val="20"/>
        </w:trPr>
        <w:tc>
          <w:tcPr>
            <w:tcW w:w="300" w:type="dxa"/>
            <w:noWrap/>
          </w:tcPr>
          <w:p w14:paraId="61C2024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DD83C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1649E8"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261E3F24" w14:textId="77777777" w:rsidTr="00465739">
        <w:trPr>
          <w:trHeight w:val="20"/>
        </w:trPr>
        <w:tc>
          <w:tcPr>
            <w:tcW w:w="300" w:type="dxa"/>
            <w:noWrap/>
            <w:hideMark/>
          </w:tcPr>
          <w:p w14:paraId="522D1A0F"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74D96D4"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66A013A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333AAAC4" w14:textId="77777777" w:rsidTr="00465739">
        <w:trPr>
          <w:trHeight w:val="20"/>
        </w:trPr>
        <w:tc>
          <w:tcPr>
            <w:tcW w:w="0" w:type="auto"/>
            <w:noWrap/>
            <w:hideMark/>
          </w:tcPr>
          <w:p w14:paraId="7C7B45C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2031D810" w14:textId="59E064E6"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Roumanie</w:t>
            </w:r>
          </w:p>
        </w:tc>
      </w:tr>
      <w:tr w:rsidR="00465739" w:rsidRPr="00CE031F" w14:paraId="0F7A9B72" w14:textId="77777777" w:rsidTr="00465739">
        <w:trPr>
          <w:trHeight w:val="20"/>
        </w:trPr>
        <w:tc>
          <w:tcPr>
            <w:tcW w:w="300" w:type="dxa"/>
            <w:noWrap/>
            <w:hideMark/>
          </w:tcPr>
          <w:p w14:paraId="6CB5E99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9CEE4CE"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312C6710" w14:textId="36AD103A"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2CFDC9E0" w14:textId="77777777" w:rsidTr="00465739">
        <w:trPr>
          <w:trHeight w:val="20"/>
        </w:trPr>
        <w:tc>
          <w:tcPr>
            <w:tcW w:w="300" w:type="dxa"/>
            <w:noWrap/>
            <w:hideMark/>
          </w:tcPr>
          <w:p w14:paraId="6DAA149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0E4DD31"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57066FD9" w14:textId="5A8B18EE"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765E4C4D" w14:textId="77777777" w:rsidTr="00465739">
        <w:trPr>
          <w:trHeight w:val="20"/>
        </w:trPr>
        <w:tc>
          <w:tcPr>
            <w:tcW w:w="300" w:type="dxa"/>
            <w:noWrap/>
            <w:hideMark/>
          </w:tcPr>
          <w:p w14:paraId="1F365B6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35CA39C"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13FD457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0BC8FC30" w14:textId="77777777" w:rsidTr="00465739">
        <w:trPr>
          <w:trHeight w:val="20"/>
        </w:trPr>
        <w:tc>
          <w:tcPr>
            <w:tcW w:w="300" w:type="dxa"/>
            <w:noWrap/>
            <w:hideMark/>
          </w:tcPr>
          <w:p w14:paraId="1AA22C0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7F940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B5DE28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3BACF275" w14:textId="77777777" w:rsidTr="00465739">
        <w:trPr>
          <w:trHeight w:val="20"/>
        </w:trPr>
        <w:tc>
          <w:tcPr>
            <w:tcW w:w="300" w:type="dxa"/>
            <w:noWrap/>
          </w:tcPr>
          <w:p w14:paraId="387F837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E4729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0D8B7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7671EB45" w14:textId="77777777" w:rsidTr="00465739">
        <w:trPr>
          <w:trHeight w:val="20"/>
        </w:trPr>
        <w:tc>
          <w:tcPr>
            <w:tcW w:w="300" w:type="dxa"/>
            <w:noWrap/>
          </w:tcPr>
          <w:p w14:paraId="74DE473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60267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9AF558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5CA4998E" w14:textId="77777777" w:rsidTr="00465739">
        <w:trPr>
          <w:trHeight w:val="20"/>
        </w:trPr>
        <w:tc>
          <w:tcPr>
            <w:tcW w:w="300" w:type="dxa"/>
            <w:noWrap/>
          </w:tcPr>
          <w:p w14:paraId="0B5BA93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6781D5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0980F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3BA2A39A" w14:textId="77777777" w:rsidTr="00465739">
        <w:trPr>
          <w:trHeight w:val="20"/>
        </w:trPr>
        <w:tc>
          <w:tcPr>
            <w:tcW w:w="300" w:type="dxa"/>
            <w:noWrap/>
          </w:tcPr>
          <w:p w14:paraId="31A3CE0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23BC8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048D0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79738E1F" w14:textId="77777777" w:rsidTr="00465739">
        <w:trPr>
          <w:trHeight w:val="20"/>
        </w:trPr>
        <w:tc>
          <w:tcPr>
            <w:tcW w:w="300" w:type="dxa"/>
            <w:noWrap/>
          </w:tcPr>
          <w:p w14:paraId="696B19E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CE377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31D98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7E401AD2" w14:textId="77777777" w:rsidTr="00465739">
        <w:trPr>
          <w:trHeight w:val="20"/>
        </w:trPr>
        <w:tc>
          <w:tcPr>
            <w:tcW w:w="300" w:type="dxa"/>
            <w:noWrap/>
          </w:tcPr>
          <w:p w14:paraId="6120394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42B9C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DED93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03D490A8" w14:textId="77777777" w:rsidTr="00465739">
        <w:trPr>
          <w:trHeight w:val="20"/>
        </w:trPr>
        <w:tc>
          <w:tcPr>
            <w:tcW w:w="300" w:type="dxa"/>
            <w:noWrap/>
          </w:tcPr>
          <w:p w14:paraId="7C51F68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6C809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8F484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44E826A3" w14:textId="77777777" w:rsidTr="00465739">
        <w:trPr>
          <w:trHeight w:val="20"/>
        </w:trPr>
        <w:tc>
          <w:tcPr>
            <w:tcW w:w="300" w:type="dxa"/>
            <w:noWrap/>
          </w:tcPr>
          <w:p w14:paraId="0CBE2DB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ED61A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C94EF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503E47EA" w14:textId="77777777" w:rsidTr="00465739">
        <w:trPr>
          <w:trHeight w:val="20"/>
        </w:trPr>
        <w:tc>
          <w:tcPr>
            <w:tcW w:w="300" w:type="dxa"/>
            <w:noWrap/>
          </w:tcPr>
          <w:p w14:paraId="191F162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8A2A9D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599F3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2F33B9F9" w14:textId="77777777" w:rsidTr="00465739">
        <w:trPr>
          <w:trHeight w:val="20"/>
        </w:trPr>
        <w:tc>
          <w:tcPr>
            <w:tcW w:w="300" w:type="dxa"/>
            <w:noWrap/>
          </w:tcPr>
          <w:p w14:paraId="0059BFB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1D867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BB22D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49CE7DFB" w14:textId="77777777" w:rsidTr="00465739">
        <w:trPr>
          <w:trHeight w:val="20"/>
        </w:trPr>
        <w:tc>
          <w:tcPr>
            <w:tcW w:w="300" w:type="dxa"/>
            <w:noWrap/>
          </w:tcPr>
          <w:p w14:paraId="6E724FC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6BB30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C0DC4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1D73E277" w14:textId="77777777" w:rsidTr="00465739">
        <w:trPr>
          <w:trHeight w:val="20"/>
        </w:trPr>
        <w:tc>
          <w:tcPr>
            <w:tcW w:w="300" w:type="dxa"/>
            <w:noWrap/>
          </w:tcPr>
          <w:p w14:paraId="11C3F44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7E34E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C18E1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6B44808B" w14:textId="77777777" w:rsidTr="00465739">
        <w:trPr>
          <w:trHeight w:val="20"/>
        </w:trPr>
        <w:tc>
          <w:tcPr>
            <w:tcW w:w="300" w:type="dxa"/>
            <w:noWrap/>
          </w:tcPr>
          <w:p w14:paraId="01C3C36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2B130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86465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5BD3FDCA" w14:textId="77777777" w:rsidTr="00465739">
        <w:trPr>
          <w:trHeight w:val="20"/>
        </w:trPr>
        <w:tc>
          <w:tcPr>
            <w:tcW w:w="300" w:type="dxa"/>
            <w:noWrap/>
          </w:tcPr>
          <w:p w14:paraId="3E043CA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97725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0B2D4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2272E8F4" w14:textId="77777777" w:rsidTr="00465739">
        <w:trPr>
          <w:trHeight w:val="20"/>
        </w:trPr>
        <w:tc>
          <w:tcPr>
            <w:tcW w:w="300" w:type="dxa"/>
            <w:noWrap/>
          </w:tcPr>
          <w:p w14:paraId="6EBC0CC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439C7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D7520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5E88E84C" w14:textId="77777777" w:rsidTr="00465739">
        <w:trPr>
          <w:trHeight w:val="20"/>
        </w:trPr>
        <w:tc>
          <w:tcPr>
            <w:tcW w:w="300" w:type="dxa"/>
            <w:noWrap/>
          </w:tcPr>
          <w:p w14:paraId="2D5FAFA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E1AF4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0DC69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670A1B7E" w14:textId="77777777" w:rsidTr="00465739">
        <w:trPr>
          <w:trHeight w:val="20"/>
        </w:trPr>
        <w:tc>
          <w:tcPr>
            <w:tcW w:w="300" w:type="dxa"/>
            <w:noWrap/>
          </w:tcPr>
          <w:p w14:paraId="45448A1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72966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01E06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06AA5572" w14:textId="77777777" w:rsidTr="00465739">
        <w:trPr>
          <w:trHeight w:val="20"/>
        </w:trPr>
        <w:tc>
          <w:tcPr>
            <w:tcW w:w="300" w:type="dxa"/>
            <w:noWrap/>
          </w:tcPr>
          <w:p w14:paraId="09CD8F5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00929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035A4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01EE8D72" w14:textId="77777777" w:rsidTr="00465739">
        <w:trPr>
          <w:trHeight w:val="20"/>
        </w:trPr>
        <w:tc>
          <w:tcPr>
            <w:tcW w:w="300" w:type="dxa"/>
            <w:noWrap/>
          </w:tcPr>
          <w:p w14:paraId="4F9CA41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510B7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316B5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1FF2EE54" w14:textId="77777777" w:rsidTr="00465739">
        <w:trPr>
          <w:trHeight w:val="20"/>
        </w:trPr>
        <w:tc>
          <w:tcPr>
            <w:tcW w:w="300" w:type="dxa"/>
            <w:noWrap/>
          </w:tcPr>
          <w:p w14:paraId="37B4F66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5E8D4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5F2A9F"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33A29427" w14:textId="77777777" w:rsidTr="00465739">
        <w:trPr>
          <w:trHeight w:val="20"/>
        </w:trPr>
        <w:tc>
          <w:tcPr>
            <w:tcW w:w="300" w:type="dxa"/>
            <w:noWrap/>
          </w:tcPr>
          <w:p w14:paraId="45ADDAD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B056A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F8E629"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545C21B6" w14:textId="77777777" w:rsidTr="00465739">
        <w:trPr>
          <w:trHeight w:val="20"/>
        </w:trPr>
        <w:tc>
          <w:tcPr>
            <w:tcW w:w="300" w:type="dxa"/>
            <w:noWrap/>
          </w:tcPr>
          <w:p w14:paraId="7F1A6D2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DACBA9"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C3DF58"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31EB24CB" w14:textId="77777777" w:rsidTr="00465739">
        <w:trPr>
          <w:trHeight w:val="20"/>
        </w:trPr>
        <w:tc>
          <w:tcPr>
            <w:tcW w:w="300" w:type="dxa"/>
            <w:noWrap/>
          </w:tcPr>
          <w:p w14:paraId="6D862EF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C395A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507026"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5FDECBDC" w14:textId="77777777" w:rsidTr="00465739">
        <w:trPr>
          <w:trHeight w:val="20"/>
        </w:trPr>
        <w:tc>
          <w:tcPr>
            <w:tcW w:w="300" w:type="dxa"/>
            <w:noWrap/>
          </w:tcPr>
          <w:p w14:paraId="24EF420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C609C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71BFFC"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7DFDC25A" w14:textId="77777777" w:rsidTr="00465739">
        <w:trPr>
          <w:trHeight w:val="20"/>
        </w:trPr>
        <w:tc>
          <w:tcPr>
            <w:tcW w:w="300" w:type="dxa"/>
            <w:noWrap/>
          </w:tcPr>
          <w:p w14:paraId="013FA24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41FC4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76F765"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6DC73B2E" w14:textId="77777777" w:rsidTr="00465739">
        <w:trPr>
          <w:trHeight w:val="20"/>
        </w:trPr>
        <w:tc>
          <w:tcPr>
            <w:tcW w:w="300" w:type="dxa"/>
            <w:noWrap/>
          </w:tcPr>
          <w:p w14:paraId="0B15F46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4ECBA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E74ECF"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1C129E1F" w14:textId="77777777" w:rsidTr="00465739">
        <w:trPr>
          <w:trHeight w:val="20"/>
        </w:trPr>
        <w:tc>
          <w:tcPr>
            <w:tcW w:w="300" w:type="dxa"/>
            <w:noWrap/>
          </w:tcPr>
          <w:p w14:paraId="0F3647B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697EC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30C56C"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4DF547DF" w14:textId="77777777" w:rsidTr="00465739">
        <w:trPr>
          <w:trHeight w:val="20"/>
        </w:trPr>
        <w:tc>
          <w:tcPr>
            <w:tcW w:w="300" w:type="dxa"/>
            <w:noWrap/>
            <w:hideMark/>
          </w:tcPr>
          <w:p w14:paraId="5536A99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D15EC51"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3D179D2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4670ECA9" w14:textId="77777777" w:rsidTr="00465739">
        <w:trPr>
          <w:trHeight w:val="20"/>
        </w:trPr>
        <w:tc>
          <w:tcPr>
            <w:tcW w:w="0" w:type="auto"/>
            <w:noWrap/>
            <w:hideMark/>
          </w:tcPr>
          <w:p w14:paraId="6358D9AF"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62A3F167" w14:textId="39EFF4ED"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Slovaquie</w:t>
            </w:r>
          </w:p>
        </w:tc>
      </w:tr>
      <w:tr w:rsidR="00465739" w:rsidRPr="00CE031F" w14:paraId="5FC353E9" w14:textId="77777777" w:rsidTr="00465739">
        <w:trPr>
          <w:trHeight w:val="20"/>
        </w:trPr>
        <w:tc>
          <w:tcPr>
            <w:tcW w:w="300" w:type="dxa"/>
            <w:noWrap/>
            <w:hideMark/>
          </w:tcPr>
          <w:p w14:paraId="7533ECF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4172E00"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684CA784" w14:textId="308208AB"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5F3B997B" w14:textId="77777777" w:rsidTr="00465739">
        <w:trPr>
          <w:trHeight w:val="20"/>
        </w:trPr>
        <w:tc>
          <w:tcPr>
            <w:tcW w:w="300" w:type="dxa"/>
            <w:noWrap/>
            <w:hideMark/>
          </w:tcPr>
          <w:p w14:paraId="6376ED2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47402DF"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519F16D4" w14:textId="269F891C"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42B59EE3" w14:textId="77777777" w:rsidTr="00465739">
        <w:trPr>
          <w:trHeight w:val="20"/>
        </w:trPr>
        <w:tc>
          <w:tcPr>
            <w:tcW w:w="300" w:type="dxa"/>
            <w:noWrap/>
            <w:hideMark/>
          </w:tcPr>
          <w:p w14:paraId="0C7BF50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A74C6BF"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3CF94AC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63AFCD40" w14:textId="77777777" w:rsidTr="00465739">
        <w:trPr>
          <w:trHeight w:val="20"/>
        </w:trPr>
        <w:tc>
          <w:tcPr>
            <w:tcW w:w="300" w:type="dxa"/>
            <w:noWrap/>
            <w:hideMark/>
          </w:tcPr>
          <w:p w14:paraId="4C9D3CF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3882A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5DFA3AD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13EAA758" w14:textId="77777777" w:rsidTr="00465739">
        <w:trPr>
          <w:trHeight w:val="20"/>
        </w:trPr>
        <w:tc>
          <w:tcPr>
            <w:tcW w:w="300" w:type="dxa"/>
            <w:noWrap/>
          </w:tcPr>
          <w:p w14:paraId="6A62023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FBDC62"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4284B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76059BEF" w14:textId="77777777" w:rsidTr="00465739">
        <w:trPr>
          <w:trHeight w:val="20"/>
        </w:trPr>
        <w:tc>
          <w:tcPr>
            <w:tcW w:w="300" w:type="dxa"/>
            <w:noWrap/>
          </w:tcPr>
          <w:p w14:paraId="2C22917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3277E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2F1A0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46747992" w14:textId="77777777" w:rsidTr="00465739">
        <w:trPr>
          <w:trHeight w:val="20"/>
        </w:trPr>
        <w:tc>
          <w:tcPr>
            <w:tcW w:w="300" w:type="dxa"/>
            <w:noWrap/>
          </w:tcPr>
          <w:p w14:paraId="503C1E8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6C00E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6A776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3D1F148B" w14:textId="77777777" w:rsidTr="00465739">
        <w:trPr>
          <w:trHeight w:val="20"/>
        </w:trPr>
        <w:tc>
          <w:tcPr>
            <w:tcW w:w="300" w:type="dxa"/>
            <w:noWrap/>
          </w:tcPr>
          <w:p w14:paraId="7D68C23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F05CB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2218D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09B3CAEF" w14:textId="77777777" w:rsidTr="00465739">
        <w:trPr>
          <w:trHeight w:val="20"/>
        </w:trPr>
        <w:tc>
          <w:tcPr>
            <w:tcW w:w="300" w:type="dxa"/>
            <w:noWrap/>
          </w:tcPr>
          <w:p w14:paraId="6C63F3A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885C9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54C26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549E617B" w14:textId="77777777" w:rsidTr="00465739">
        <w:trPr>
          <w:trHeight w:val="20"/>
        </w:trPr>
        <w:tc>
          <w:tcPr>
            <w:tcW w:w="300" w:type="dxa"/>
            <w:noWrap/>
          </w:tcPr>
          <w:p w14:paraId="517CE5B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84EAA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2BE93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37436D57" w14:textId="77777777" w:rsidTr="00465739">
        <w:trPr>
          <w:trHeight w:val="20"/>
        </w:trPr>
        <w:tc>
          <w:tcPr>
            <w:tcW w:w="300" w:type="dxa"/>
            <w:noWrap/>
          </w:tcPr>
          <w:p w14:paraId="5B0E939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419F09"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7F148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25D878F2" w14:textId="77777777" w:rsidTr="00465739">
        <w:trPr>
          <w:trHeight w:val="20"/>
        </w:trPr>
        <w:tc>
          <w:tcPr>
            <w:tcW w:w="300" w:type="dxa"/>
            <w:noWrap/>
          </w:tcPr>
          <w:p w14:paraId="30C6647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091C7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960F5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420D291B" w14:textId="77777777" w:rsidTr="00465739">
        <w:trPr>
          <w:trHeight w:val="20"/>
        </w:trPr>
        <w:tc>
          <w:tcPr>
            <w:tcW w:w="300" w:type="dxa"/>
            <w:noWrap/>
          </w:tcPr>
          <w:p w14:paraId="7CA48FB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29407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9B9E1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4EBB061D" w14:textId="77777777" w:rsidTr="00465739">
        <w:trPr>
          <w:trHeight w:val="20"/>
        </w:trPr>
        <w:tc>
          <w:tcPr>
            <w:tcW w:w="300" w:type="dxa"/>
            <w:noWrap/>
          </w:tcPr>
          <w:p w14:paraId="0DEECC9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2BD09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EEF85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37A79706" w14:textId="77777777" w:rsidTr="00465739">
        <w:trPr>
          <w:trHeight w:val="20"/>
        </w:trPr>
        <w:tc>
          <w:tcPr>
            <w:tcW w:w="300" w:type="dxa"/>
            <w:noWrap/>
          </w:tcPr>
          <w:p w14:paraId="77E669D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76444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25367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494AD197" w14:textId="77777777" w:rsidTr="00465739">
        <w:trPr>
          <w:trHeight w:val="20"/>
        </w:trPr>
        <w:tc>
          <w:tcPr>
            <w:tcW w:w="300" w:type="dxa"/>
            <w:noWrap/>
          </w:tcPr>
          <w:p w14:paraId="33599D9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FE9C1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B7051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7EB56746" w14:textId="77777777" w:rsidTr="00465739">
        <w:trPr>
          <w:trHeight w:val="20"/>
        </w:trPr>
        <w:tc>
          <w:tcPr>
            <w:tcW w:w="300" w:type="dxa"/>
            <w:noWrap/>
          </w:tcPr>
          <w:p w14:paraId="56577B5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23077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E1C0F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78544202" w14:textId="77777777" w:rsidTr="00465739">
        <w:trPr>
          <w:trHeight w:val="20"/>
        </w:trPr>
        <w:tc>
          <w:tcPr>
            <w:tcW w:w="300" w:type="dxa"/>
            <w:noWrap/>
          </w:tcPr>
          <w:p w14:paraId="1047DF9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58905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A5810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1F610550" w14:textId="77777777" w:rsidTr="00465739">
        <w:trPr>
          <w:trHeight w:val="20"/>
        </w:trPr>
        <w:tc>
          <w:tcPr>
            <w:tcW w:w="300" w:type="dxa"/>
            <w:noWrap/>
          </w:tcPr>
          <w:p w14:paraId="53753DB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CD5A0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04133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67EA5B63" w14:textId="77777777" w:rsidTr="00465739">
        <w:trPr>
          <w:trHeight w:val="20"/>
        </w:trPr>
        <w:tc>
          <w:tcPr>
            <w:tcW w:w="300" w:type="dxa"/>
            <w:noWrap/>
          </w:tcPr>
          <w:p w14:paraId="68157E9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A741D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96027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79965BED" w14:textId="77777777" w:rsidTr="00465739">
        <w:trPr>
          <w:trHeight w:val="20"/>
        </w:trPr>
        <w:tc>
          <w:tcPr>
            <w:tcW w:w="300" w:type="dxa"/>
            <w:noWrap/>
          </w:tcPr>
          <w:p w14:paraId="24C0C70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A0E849"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FBF29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6CA41DBC" w14:textId="77777777" w:rsidTr="00465739">
        <w:trPr>
          <w:trHeight w:val="20"/>
        </w:trPr>
        <w:tc>
          <w:tcPr>
            <w:tcW w:w="300" w:type="dxa"/>
            <w:noWrap/>
          </w:tcPr>
          <w:p w14:paraId="1851817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E0A18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9A07B3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0FA7B5D5" w14:textId="77777777" w:rsidTr="00465739">
        <w:trPr>
          <w:trHeight w:val="20"/>
        </w:trPr>
        <w:tc>
          <w:tcPr>
            <w:tcW w:w="300" w:type="dxa"/>
            <w:noWrap/>
          </w:tcPr>
          <w:p w14:paraId="6F15A1F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F2831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9B58BB"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214F0732" w14:textId="77777777" w:rsidTr="00465739">
        <w:trPr>
          <w:trHeight w:val="20"/>
        </w:trPr>
        <w:tc>
          <w:tcPr>
            <w:tcW w:w="300" w:type="dxa"/>
            <w:noWrap/>
          </w:tcPr>
          <w:p w14:paraId="2FF7733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0AC4D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2F369E"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461BE588" w14:textId="77777777" w:rsidTr="00465739">
        <w:trPr>
          <w:trHeight w:val="20"/>
        </w:trPr>
        <w:tc>
          <w:tcPr>
            <w:tcW w:w="300" w:type="dxa"/>
            <w:noWrap/>
          </w:tcPr>
          <w:p w14:paraId="6FD3BAB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ADF49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8DFC7C"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53EDB2DB" w14:textId="77777777" w:rsidTr="00465739">
        <w:trPr>
          <w:trHeight w:val="20"/>
        </w:trPr>
        <w:tc>
          <w:tcPr>
            <w:tcW w:w="300" w:type="dxa"/>
            <w:noWrap/>
          </w:tcPr>
          <w:p w14:paraId="37416CF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FF3D4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DE303F"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37D240E1" w14:textId="77777777" w:rsidTr="00465739">
        <w:trPr>
          <w:trHeight w:val="20"/>
        </w:trPr>
        <w:tc>
          <w:tcPr>
            <w:tcW w:w="300" w:type="dxa"/>
            <w:noWrap/>
          </w:tcPr>
          <w:p w14:paraId="60F370D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3C0C6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B44BF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48970A33" w14:textId="77777777" w:rsidTr="00465739">
        <w:trPr>
          <w:trHeight w:val="20"/>
        </w:trPr>
        <w:tc>
          <w:tcPr>
            <w:tcW w:w="300" w:type="dxa"/>
            <w:noWrap/>
          </w:tcPr>
          <w:p w14:paraId="180FD9F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29DDF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34B1D4"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09C4B203" w14:textId="77777777" w:rsidTr="00465739">
        <w:trPr>
          <w:trHeight w:val="20"/>
        </w:trPr>
        <w:tc>
          <w:tcPr>
            <w:tcW w:w="300" w:type="dxa"/>
            <w:noWrap/>
          </w:tcPr>
          <w:p w14:paraId="656F2DD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3EF08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A9ED10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01B144A6" w14:textId="77777777" w:rsidTr="00465739">
        <w:trPr>
          <w:trHeight w:val="20"/>
        </w:trPr>
        <w:tc>
          <w:tcPr>
            <w:tcW w:w="300" w:type="dxa"/>
            <w:noWrap/>
          </w:tcPr>
          <w:p w14:paraId="59EDDBB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13691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B2FD6F"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52E0CA34" w14:textId="77777777" w:rsidTr="00465739">
        <w:trPr>
          <w:trHeight w:val="20"/>
        </w:trPr>
        <w:tc>
          <w:tcPr>
            <w:tcW w:w="300" w:type="dxa"/>
            <w:noWrap/>
          </w:tcPr>
          <w:p w14:paraId="08A3461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C3784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EB246A"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28B4992E" w14:textId="77777777" w:rsidTr="00465739">
        <w:trPr>
          <w:trHeight w:val="20"/>
        </w:trPr>
        <w:tc>
          <w:tcPr>
            <w:tcW w:w="300" w:type="dxa"/>
            <w:noWrap/>
            <w:hideMark/>
          </w:tcPr>
          <w:p w14:paraId="353AC52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AAA0425"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576DC1E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0C602C81" w14:textId="77777777" w:rsidTr="00465739">
        <w:trPr>
          <w:trHeight w:val="20"/>
        </w:trPr>
        <w:tc>
          <w:tcPr>
            <w:tcW w:w="0" w:type="auto"/>
            <w:noWrap/>
            <w:hideMark/>
          </w:tcPr>
          <w:p w14:paraId="409EA0F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20919725" w14:textId="0A4FECE4"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Slovénie</w:t>
            </w:r>
          </w:p>
        </w:tc>
      </w:tr>
      <w:tr w:rsidR="00465739" w:rsidRPr="00CE031F" w14:paraId="0BE7A811" w14:textId="77777777" w:rsidTr="00465739">
        <w:trPr>
          <w:trHeight w:val="20"/>
        </w:trPr>
        <w:tc>
          <w:tcPr>
            <w:tcW w:w="300" w:type="dxa"/>
            <w:noWrap/>
            <w:hideMark/>
          </w:tcPr>
          <w:p w14:paraId="6097FDF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41F6FA45"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3AEC077A" w14:textId="698012CD"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5E0AF714" w14:textId="77777777" w:rsidTr="00465739">
        <w:trPr>
          <w:trHeight w:val="20"/>
        </w:trPr>
        <w:tc>
          <w:tcPr>
            <w:tcW w:w="300" w:type="dxa"/>
            <w:noWrap/>
            <w:hideMark/>
          </w:tcPr>
          <w:p w14:paraId="5127585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D75A67F"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5581579D" w14:textId="4586DED1"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166D38F6" w14:textId="77777777" w:rsidTr="00465739">
        <w:trPr>
          <w:trHeight w:val="20"/>
        </w:trPr>
        <w:tc>
          <w:tcPr>
            <w:tcW w:w="300" w:type="dxa"/>
            <w:noWrap/>
            <w:hideMark/>
          </w:tcPr>
          <w:p w14:paraId="65B59A5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2EE36C0"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07B71A0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23067A82" w14:textId="77777777" w:rsidTr="00465739">
        <w:trPr>
          <w:trHeight w:val="20"/>
        </w:trPr>
        <w:tc>
          <w:tcPr>
            <w:tcW w:w="300" w:type="dxa"/>
            <w:noWrap/>
            <w:hideMark/>
          </w:tcPr>
          <w:p w14:paraId="772F005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2DB38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314E46FF"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72780FBD" w14:textId="77777777" w:rsidTr="00465739">
        <w:trPr>
          <w:trHeight w:val="20"/>
        </w:trPr>
        <w:tc>
          <w:tcPr>
            <w:tcW w:w="300" w:type="dxa"/>
            <w:noWrap/>
          </w:tcPr>
          <w:p w14:paraId="4A9686D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C0007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DE693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114C2CC3" w14:textId="77777777" w:rsidTr="00465739">
        <w:trPr>
          <w:trHeight w:val="20"/>
        </w:trPr>
        <w:tc>
          <w:tcPr>
            <w:tcW w:w="300" w:type="dxa"/>
            <w:noWrap/>
          </w:tcPr>
          <w:p w14:paraId="0300C9E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4EBA0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44465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736DBC39" w14:textId="77777777" w:rsidTr="00465739">
        <w:trPr>
          <w:trHeight w:val="20"/>
        </w:trPr>
        <w:tc>
          <w:tcPr>
            <w:tcW w:w="300" w:type="dxa"/>
            <w:noWrap/>
          </w:tcPr>
          <w:p w14:paraId="325DF9B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411F1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52B81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0C505B1B" w14:textId="77777777" w:rsidTr="00465739">
        <w:trPr>
          <w:trHeight w:val="20"/>
        </w:trPr>
        <w:tc>
          <w:tcPr>
            <w:tcW w:w="300" w:type="dxa"/>
            <w:noWrap/>
          </w:tcPr>
          <w:p w14:paraId="53DABD6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A2265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A68BD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52F8E2D2" w14:textId="77777777" w:rsidTr="00465739">
        <w:trPr>
          <w:trHeight w:val="20"/>
        </w:trPr>
        <w:tc>
          <w:tcPr>
            <w:tcW w:w="300" w:type="dxa"/>
            <w:noWrap/>
          </w:tcPr>
          <w:p w14:paraId="01C3C8A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F601E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B3636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36733D72" w14:textId="77777777" w:rsidTr="00465739">
        <w:trPr>
          <w:trHeight w:val="20"/>
        </w:trPr>
        <w:tc>
          <w:tcPr>
            <w:tcW w:w="300" w:type="dxa"/>
            <w:noWrap/>
          </w:tcPr>
          <w:p w14:paraId="312276E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38ED0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EA600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13783FC9" w14:textId="77777777" w:rsidTr="00465739">
        <w:trPr>
          <w:trHeight w:val="20"/>
        </w:trPr>
        <w:tc>
          <w:tcPr>
            <w:tcW w:w="300" w:type="dxa"/>
            <w:noWrap/>
          </w:tcPr>
          <w:p w14:paraId="7E0901C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95EE1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DB7DD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23191A9F" w14:textId="77777777" w:rsidTr="00465739">
        <w:trPr>
          <w:trHeight w:val="20"/>
        </w:trPr>
        <w:tc>
          <w:tcPr>
            <w:tcW w:w="300" w:type="dxa"/>
            <w:noWrap/>
          </w:tcPr>
          <w:p w14:paraId="0733B3D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875DA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20B6FF"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09576585" w14:textId="77777777" w:rsidTr="00465739">
        <w:trPr>
          <w:trHeight w:val="20"/>
        </w:trPr>
        <w:tc>
          <w:tcPr>
            <w:tcW w:w="300" w:type="dxa"/>
            <w:noWrap/>
          </w:tcPr>
          <w:p w14:paraId="151F124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0C7FA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896E4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76580EB9" w14:textId="77777777" w:rsidTr="00465739">
        <w:trPr>
          <w:trHeight w:val="20"/>
        </w:trPr>
        <w:tc>
          <w:tcPr>
            <w:tcW w:w="300" w:type="dxa"/>
            <w:noWrap/>
          </w:tcPr>
          <w:p w14:paraId="78DE51B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3F2C93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1EA2C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1BA49207" w14:textId="77777777" w:rsidTr="00465739">
        <w:trPr>
          <w:trHeight w:val="20"/>
        </w:trPr>
        <w:tc>
          <w:tcPr>
            <w:tcW w:w="300" w:type="dxa"/>
            <w:noWrap/>
          </w:tcPr>
          <w:p w14:paraId="2B39CC4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5E0652"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256BC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6CB1F967" w14:textId="77777777" w:rsidTr="00465739">
        <w:trPr>
          <w:trHeight w:val="20"/>
        </w:trPr>
        <w:tc>
          <w:tcPr>
            <w:tcW w:w="300" w:type="dxa"/>
            <w:noWrap/>
          </w:tcPr>
          <w:p w14:paraId="1382DD2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69F28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8955E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40AC74FE" w14:textId="77777777" w:rsidTr="00465739">
        <w:trPr>
          <w:trHeight w:val="20"/>
        </w:trPr>
        <w:tc>
          <w:tcPr>
            <w:tcW w:w="300" w:type="dxa"/>
            <w:noWrap/>
          </w:tcPr>
          <w:p w14:paraId="02B9C6E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0F4CE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06F9D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38F99B91" w14:textId="77777777" w:rsidTr="00465739">
        <w:trPr>
          <w:trHeight w:val="20"/>
        </w:trPr>
        <w:tc>
          <w:tcPr>
            <w:tcW w:w="300" w:type="dxa"/>
            <w:noWrap/>
          </w:tcPr>
          <w:p w14:paraId="331108B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88498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79428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64C8A652" w14:textId="77777777" w:rsidTr="00465739">
        <w:trPr>
          <w:trHeight w:val="20"/>
        </w:trPr>
        <w:tc>
          <w:tcPr>
            <w:tcW w:w="300" w:type="dxa"/>
            <w:noWrap/>
          </w:tcPr>
          <w:p w14:paraId="5AD1ECC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76809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72FEDF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53F56129" w14:textId="77777777" w:rsidTr="00465739">
        <w:trPr>
          <w:trHeight w:val="20"/>
        </w:trPr>
        <w:tc>
          <w:tcPr>
            <w:tcW w:w="300" w:type="dxa"/>
            <w:noWrap/>
          </w:tcPr>
          <w:p w14:paraId="00A17B3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00EE9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CE934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50B65C3A" w14:textId="77777777" w:rsidTr="00465739">
        <w:trPr>
          <w:trHeight w:val="20"/>
        </w:trPr>
        <w:tc>
          <w:tcPr>
            <w:tcW w:w="300" w:type="dxa"/>
            <w:noWrap/>
          </w:tcPr>
          <w:p w14:paraId="079D559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E9205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8AF3C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2168022C" w14:textId="77777777" w:rsidTr="00465739">
        <w:trPr>
          <w:trHeight w:val="20"/>
        </w:trPr>
        <w:tc>
          <w:tcPr>
            <w:tcW w:w="300" w:type="dxa"/>
            <w:noWrap/>
          </w:tcPr>
          <w:p w14:paraId="7EFCF57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9627CC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5992F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509EC2E3" w14:textId="77777777" w:rsidTr="00465739">
        <w:trPr>
          <w:trHeight w:val="20"/>
        </w:trPr>
        <w:tc>
          <w:tcPr>
            <w:tcW w:w="300" w:type="dxa"/>
            <w:noWrap/>
          </w:tcPr>
          <w:p w14:paraId="2E280FC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F2FFB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48096E"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1AF9A1A0" w14:textId="77777777" w:rsidTr="00465739">
        <w:trPr>
          <w:trHeight w:val="20"/>
        </w:trPr>
        <w:tc>
          <w:tcPr>
            <w:tcW w:w="300" w:type="dxa"/>
            <w:noWrap/>
          </w:tcPr>
          <w:p w14:paraId="75A7571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C57C1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35DA04"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29BC34DA" w14:textId="77777777" w:rsidTr="00465739">
        <w:trPr>
          <w:trHeight w:val="20"/>
        </w:trPr>
        <w:tc>
          <w:tcPr>
            <w:tcW w:w="300" w:type="dxa"/>
            <w:noWrap/>
          </w:tcPr>
          <w:p w14:paraId="75BA264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5A6F1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65B422"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282E22CC" w14:textId="77777777" w:rsidTr="00465739">
        <w:trPr>
          <w:trHeight w:val="20"/>
        </w:trPr>
        <w:tc>
          <w:tcPr>
            <w:tcW w:w="300" w:type="dxa"/>
            <w:noWrap/>
          </w:tcPr>
          <w:p w14:paraId="34444C8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38632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D4055F2"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343599C1" w14:textId="77777777" w:rsidTr="00465739">
        <w:trPr>
          <w:trHeight w:val="20"/>
        </w:trPr>
        <w:tc>
          <w:tcPr>
            <w:tcW w:w="300" w:type="dxa"/>
            <w:noWrap/>
          </w:tcPr>
          <w:p w14:paraId="0CF9A59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05204D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8FAEE6"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388F988F" w14:textId="77777777" w:rsidTr="00465739">
        <w:trPr>
          <w:trHeight w:val="20"/>
        </w:trPr>
        <w:tc>
          <w:tcPr>
            <w:tcW w:w="300" w:type="dxa"/>
            <w:noWrap/>
          </w:tcPr>
          <w:p w14:paraId="07583FA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8FC36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478A41"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0BFCCF28" w14:textId="77777777" w:rsidTr="00465739">
        <w:trPr>
          <w:trHeight w:val="20"/>
        </w:trPr>
        <w:tc>
          <w:tcPr>
            <w:tcW w:w="300" w:type="dxa"/>
            <w:noWrap/>
          </w:tcPr>
          <w:p w14:paraId="77DC819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6436F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9CF20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13BABAF2" w14:textId="77777777" w:rsidTr="00465739">
        <w:trPr>
          <w:trHeight w:val="20"/>
        </w:trPr>
        <w:tc>
          <w:tcPr>
            <w:tcW w:w="300" w:type="dxa"/>
            <w:noWrap/>
          </w:tcPr>
          <w:p w14:paraId="7CA3ED3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D1812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55556A"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41684242" w14:textId="77777777" w:rsidTr="00465739">
        <w:trPr>
          <w:trHeight w:val="20"/>
        </w:trPr>
        <w:tc>
          <w:tcPr>
            <w:tcW w:w="300" w:type="dxa"/>
            <w:noWrap/>
          </w:tcPr>
          <w:p w14:paraId="7DA29E1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96EF4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676A5D"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55B51F65" w14:textId="77777777" w:rsidTr="00465739">
        <w:trPr>
          <w:trHeight w:val="20"/>
        </w:trPr>
        <w:tc>
          <w:tcPr>
            <w:tcW w:w="300" w:type="dxa"/>
            <w:noWrap/>
            <w:hideMark/>
          </w:tcPr>
          <w:p w14:paraId="2F44CCD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D72978F"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302D522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7FC12D96" w14:textId="77777777" w:rsidTr="00465739">
        <w:trPr>
          <w:trHeight w:val="20"/>
        </w:trPr>
        <w:tc>
          <w:tcPr>
            <w:tcW w:w="0" w:type="auto"/>
            <w:noWrap/>
            <w:hideMark/>
          </w:tcPr>
          <w:p w14:paraId="4CB2B66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F0BB8E5" w14:textId="1D761761"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Suède</w:t>
            </w:r>
          </w:p>
        </w:tc>
      </w:tr>
      <w:tr w:rsidR="00465739" w:rsidRPr="00CE031F" w14:paraId="609093E9" w14:textId="77777777" w:rsidTr="00465739">
        <w:trPr>
          <w:trHeight w:val="20"/>
        </w:trPr>
        <w:tc>
          <w:tcPr>
            <w:tcW w:w="300" w:type="dxa"/>
            <w:noWrap/>
            <w:hideMark/>
          </w:tcPr>
          <w:p w14:paraId="30FED23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AD2A7FF"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3E83C7B1" w14:textId="62845D42"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7B06B6B2" w14:textId="77777777" w:rsidTr="00465739">
        <w:trPr>
          <w:trHeight w:val="20"/>
        </w:trPr>
        <w:tc>
          <w:tcPr>
            <w:tcW w:w="300" w:type="dxa"/>
            <w:noWrap/>
            <w:hideMark/>
          </w:tcPr>
          <w:p w14:paraId="25873DD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05C4609"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7EF79471" w14:textId="315FB3B3"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06053AD6" w14:textId="77777777" w:rsidTr="00465739">
        <w:trPr>
          <w:trHeight w:val="20"/>
        </w:trPr>
        <w:tc>
          <w:tcPr>
            <w:tcW w:w="300" w:type="dxa"/>
            <w:noWrap/>
            <w:hideMark/>
          </w:tcPr>
          <w:p w14:paraId="4B9BD06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3972ED4"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49EC36F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4BEF1015" w14:textId="77777777" w:rsidTr="00465739">
        <w:trPr>
          <w:trHeight w:val="20"/>
        </w:trPr>
        <w:tc>
          <w:tcPr>
            <w:tcW w:w="300" w:type="dxa"/>
            <w:noWrap/>
            <w:hideMark/>
          </w:tcPr>
          <w:p w14:paraId="11AED17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A5FAF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4C9A064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41FB19EC" w14:textId="77777777" w:rsidTr="00465739">
        <w:trPr>
          <w:trHeight w:val="20"/>
        </w:trPr>
        <w:tc>
          <w:tcPr>
            <w:tcW w:w="300" w:type="dxa"/>
            <w:noWrap/>
          </w:tcPr>
          <w:p w14:paraId="2D48C40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94340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9DC0D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2090E104" w14:textId="77777777" w:rsidTr="00465739">
        <w:trPr>
          <w:trHeight w:val="20"/>
        </w:trPr>
        <w:tc>
          <w:tcPr>
            <w:tcW w:w="300" w:type="dxa"/>
            <w:noWrap/>
          </w:tcPr>
          <w:p w14:paraId="591E403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922A69"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71F35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76763E05" w14:textId="77777777" w:rsidTr="00465739">
        <w:trPr>
          <w:trHeight w:val="20"/>
        </w:trPr>
        <w:tc>
          <w:tcPr>
            <w:tcW w:w="300" w:type="dxa"/>
            <w:noWrap/>
          </w:tcPr>
          <w:p w14:paraId="711527D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A5AD8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FF193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67D5A10B" w14:textId="77777777" w:rsidTr="00465739">
        <w:trPr>
          <w:trHeight w:val="20"/>
        </w:trPr>
        <w:tc>
          <w:tcPr>
            <w:tcW w:w="300" w:type="dxa"/>
            <w:noWrap/>
          </w:tcPr>
          <w:p w14:paraId="3136422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93864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93955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31B1673F" w14:textId="77777777" w:rsidTr="00465739">
        <w:trPr>
          <w:trHeight w:val="20"/>
        </w:trPr>
        <w:tc>
          <w:tcPr>
            <w:tcW w:w="300" w:type="dxa"/>
            <w:noWrap/>
          </w:tcPr>
          <w:p w14:paraId="09900CE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4A93B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12938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088439BF" w14:textId="77777777" w:rsidTr="00465739">
        <w:trPr>
          <w:trHeight w:val="20"/>
        </w:trPr>
        <w:tc>
          <w:tcPr>
            <w:tcW w:w="300" w:type="dxa"/>
            <w:noWrap/>
          </w:tcPr>
          <w:p w14:paraId="7DD2BC3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88C86F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238A7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240782F5" w14:textId="77777777" w:rsidTr="00465739">
        <w:trPr>
          <w:trHeight w:val="20"/>
        </w:trPr>
        <w:tc>
          <w:tcPr>
            <w:tcW w:w="300" w:type="dxa"/>
            <w:noWrap/>
          </w:tcPr>
          <w:p w14:paraId="53A81C8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5BD74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55E0C3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582D4BAE" w14:textId="77777777" w:rsidTr="00465739">
        <w:trPr>
          <w:trHeight w:val="20"/>
        </w:trPr>
        <w:tc>
          <w:tcPr>
            <w:tcW w:w="300" w:type="dxa"/>
            <w:noWrap/>
          </w:tcPr>
          <w:p w14:paraId="4F37B6D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6E14A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1BD7A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4BC31EA8" w14:textId="77777777" w:rsidTr="00465739">
        <w:trPr>
          <w:trHeight w:val="20"/>
        </w:trPr>
        <w:tc>
          <w:tcPr>
            <w:tcW w:w="300" w:type="dxa"/>
            <w:noWrap/>
          </w:tcPr>
          <w:p w14:paraId="5CBD318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2196F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A8EE1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59051CDC" w14:textId="77777777" w:rsidTr="00465739">
        <w:trPr>
          <w:trHeight w:val="20"/>
        </w:trPr>
        <w:tc>
          <w:tcPr>
            <w:tcW w:w="300" w:type="dxa"/>
            <w:noWrap/>
          </w:tcPr>
          <w:p w14:paraId="177BEA4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D65D3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C2B0C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688EC863" w14:textId="77777777" w:rsidTr="00465739">
        <w:trPr>
          <w:trHeight w:val="20"/>
        </w:trPr>
        <w:tc>
          <w:tcPr>
            <w:tcW w:w="300" w:type="dxa"/>
            <w:noWrap/>
          </w:tcPr>
          <w:p w14:paraId="3430F7D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A0DDB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67149F"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32EDCE7A" w14:textId="77777777" w:rsidTr="00465739">
        <w:trPr>
          <w:trHeight w:val="20"/>
        </w:trPr>
        <w:tc>
          <w:tcPr>
            <w:tcW w:w="300" w:type="dxa"/>
            <w:noWrap/>
          </w:tcPr>
          <w:p w14:paraId="48AA79B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0D70E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B1F41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18BEF179" w14:textId="77777777" w:rsidTr="00465739">
        <w:trPr>
          <w:trHeight w:val="20"/>
        </w:trPr>
        <w:tc>
          <w:tcPr>
            <w:tcW w:w="300" w:type="dxa"/>
            <w:noWrap/>
          </w:tcPr>
          <w:p w14:paraId="6816FA0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482EB5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8B015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7471F2B7" w14:textId="77777777" w:rsidTr="00465739">
        <w:trPr>
          <w:trHeight w:val="20"/>
        </w:trPr>
        <w:tc>
          <w:tcPr>
            <w:tcW w:w="300" w:type="dxa"/>
            <w:noWrap/>
          </w:tcPr>
          <w:p w14:paraId="70426F6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B8579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06583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7A870A01" w14:textId="77777777" w:rsidTr="00465739">
        <w:trPr>
          <w:trHeight w:val="20"/>
        </w:trPr>
        <w:tc>
          <w:tcPr>
            <w:tcW w:w="300" w:type="dxa"/>
            <w:noWrap/>
          </w:tcPr>
          <w:p w14:paraId="5279490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F420D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9D670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68A0EEB1" w14:textId="77777777" w:rsidTr="00465739">
        <w:trPr>
          <w:trHeight w:val="20"/>
        </w:trPr>
        <w:tc>
          <w:tcPr>
            <w:tcW w:w="300" w:type="dxa"/>
            <w:noWrap/>
          </w:tcPr>
          <w:p w14:paraId="2997AF9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38FF9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B115E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6E8DFCAD" w14:textId="77777777" w:rsidTr="00465739">
        <w:trPr>
          <w:trHeight w:val="20"/>
        </w:trPr>
        <w:tc>
          <w:tcPr>
            <w:tcW w:w="300" w:type="dxa"/>
            <w:noWrap/>
          </w:tcPr>
          <w:p w14:paraId="00F1DE9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F5C62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BF00C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6B2E5004" w14:textId="77777777" w:rsidTr="00465739">
        <w:trPr>
          <w:trHeight w:val="20"/>
        </w:trPr>
        <w:tc>
          <w:tcPr>
            <w:tcW w:w="300" w:type="dxa"/>
            <w:noWrap/>
          </w:tcPr>
          <w:p w14:paraId="58237AF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32761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E9D21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2EF328DF" w14:textId="77777777" w:rsidTr="00465739">
        <w:trPr>
          <w:trHeight w:val="20"/>
        </w:trPr>
        <w:tc>
          <w:tcPr>
            <w:tcW w:w="300" w:type="dxa"/>
            <w:noWrap/>
          </w:tcPr>
          <w:p w14:paraId="6AC08D2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F514E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307B34"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692AB04C" w14:textId="77777777" w:rsidTr="00465739">
        <w:trPr>
          <w:trHeight w:val="20"/>
        </w:trPr>
        <w:tc>
          <w:tcPr>
            <w:tcW w:w="300" w:type="dxa"/>
            <w:noWrap/>
          </w:tcPr>
          <w:p w14:paraId="4173C89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E2C03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F5C245"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1529C0AD" w14:textId="77777777" w:rsidTr="00465739">
        <w:trPr>
          <w:trHeight w:val="20"/>
        </w:trPr>
        <w:tc>
          <w:tcPr>
            <w:tcW w:w="300" w:type="dxa"/>
            <w:noWrap/>
          </w:tcPr>
          <w:p w14:paraId="25BA4EA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67CD2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3660BB"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6EDF81A4" w14:textId="77777777" w:rsidTr="00465739">
        <w:trPr>
          <w:trHeight w:val="20"/>
        </w:trPr>
        <w:tc>
          <w:tcPr>
            <w:tcW w:w="300" w:type="dxa"/>
            <w:noWrap/>
          </w:tcPr>
          <w:p w14:paraId="7DD15F0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38440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966CF9"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77F8E251" w14:textId="77777777" w:rsidTr="00465739">
        <w:trPr>
          <w:trHeight w:val="20"/>
        </w:trPr>
        <w:tc>
          <w:tcPr>
            <w:tcW w:w="300" w:type="dxa"/>
            <w:noWrap/>
          </w:tcPr>
          <w:p w14:paraId="0F7D741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DAF4B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EAD4F8"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22CE9E96" w14:textId="77777777" w:rsidTr="00465739">
        <w:trPr>
          <w:trHeight w:val="20"/>
        </w:trPr>
        <w:tc>
          <w:tcPr>
            <w:tcW w:w="300" w:type="dxa"/>
            <w:noWrap/>
          </w:tcPr>
          <w:p w14:paraId="220F2E6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74956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94D57C"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2BBD8779" w14:textId="77777777" w:rsidTr="00465739">
        <w:trPr>
          <w:trHeight w:val="20"/>
        </w:trPr>
        <w:tc>
          <w:tcPr>
            <w:tcW w:w="300" w:type="dxa"/>
            <w:noWrap/>
          </w:tcPr>
          <w:p w14:paraId="6BA69E3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11480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05F61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26F72FD1" w14:textId="77777777" w:rsidTr="00465739">
        <w:trPr>
          <w:trHeight w:val="20"/>
        </w:trPr>
        <w:tc>
          <w:tcPr>
            <w:tcW w:w="300" w:type="dxa"/>
            <w:noWrap/>
          </w:tcPr>
          <w:p w14:paraId="2103079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C48305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740BD8"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49F7FE2A" w14:textId="77777777" w:rsidTr="00465739">
        <w:trPr>
          <w:trHeight w:val="20"/>
        </w:trPr>
        <w:tc>
          <w:tcPr>
            <w:tcW w:w="300" w:type="dxa"/>
            <w:noWrap/>
          </w:tcPr>
          <w:p w14:paraId="73F2304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33EFD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84B3F1"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7BF44749" w14:textId="77777777" w:rsidTr="00465739">
        <w:trPr>
          <w:trHeight w:val="20"/>
        </w:trPr>
        <w:tc>
          <w:tcPr>
            <w:tcW w:w="300" w:type="dxa"/>
            <w:noWrap/>
            <w:hideMark/>
          </w:tcPr>
          <w:p w14:paraId="698BFEB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AB84970"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4AE6310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B66AB4" w:rsidRPr="00CE031F" w14:paraId="34AF17B1" w14:textId="77777777" w:rsidTr="007B28CF">
        <w:trPr>
          <w:trHeight w:val="20"/>
        </w:trPr>
        <w:tc>
          <w:tcPr>
            <w:tcW w:w="0" w:type="auto"/>
            <w:noWrap/>
            <w:hideMark/>
          </w:tcPr>
          <w:p w14:paraId="6436F045"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2AAC7271" w14:textId="39ACAFB0" w:rsidR="00B66AB4" w:rsidRPr="00CE031F" w:rsidRDefault="00B66AB4" w:rsidP="00B66AB4">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Pr>
                <w:rFonts w:ascii="Calibri" w:eastAsia="Times New Roman" w:hAnsi="Calibri" w:cs="Calibri"/>
                <w:b/>
                <w:bCs/>
                <w:sz w:val="12"/>
                <w:szCs w:val="12"/>
                <w:lang w:eastAsia="fr-FR"/>
              </w:rPr>
              <w:t>hors de l’EEE</w:t>
            </w:r>
          </w:p>
        </w:tc>
      </w:tr>
      <w:tr w:rsidR="00B66AB4" w:rsidRPr="00CE031F" w14:paraId="694533E4" w14:textId="77777777" w:rsidTr="007B28CF">
        <w:trPr>
          <w:trHeight w:val="20"/>
        </w:trPr>
        <w:tc>
          <w:tcPr>
            <w:tcW w:w="300" w:type="dxa"/>
            <w:noWrap/>
            <w:hideMark/>
          </w:tcPr>
          <w:p w14:paraId="3C2CB572"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A39AF95" w14:textId="77777777" w:rsidR="00B66AB4" w:rsidRPr="00CE031F" w:rsidRDefault="00B66AB4" w:rsidP="007B28CF">
            <w:pPr>
              <w:rPr>
                <w:rFonts w:ascii="Calibri" w:eastAsia="Times New Roman" w:hAnsi="Calibri" w:cs="Calibri"/>
                <w:bCs/>
                <w:sz w:val="12"/>
                <w:szCs w:val="12"/>
                <w:lang w:eastAsia="fr-FR"/>
              </w:rPr>
            </w:pPr>
          </w:p>
        </w:tc>
        <w:tc>
          <w:tcPr>
            <w:tcW w:w="4503" w:type="dxa"/>
            <w:gridSpan w:val="2"/>
          </w:tcPr>
          <w:p w14:paraId="3211A073" w14:textId="6A93A993"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B66AB4" w:rsidRPr="00CE031F" w14:paraId="24B44D35" w14:textId="77777777" w:rsidTr="007B28CF">
        <w:trPr>
          <w:trHeight w:val="20"/>
        </w:trPr>
        <w:tc>
          <w:tcPr>
            <w:tcW w:w="300" w:type="dxa"/>
            <w:noWrap/>
            <w:hideMark/>
          </w:tcPr>
          <w:p w14:paraId="1EE4A30C"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444FC871" w14:textId="77777777" w:rsidR="00B66AB4" w:rsidRPr="00CE031F" w:rsidRDefault="00B66AB4" w:rsidP="007B28CF">
            <w:pPr>
              <w:rPr>
                <w:rFonts w:ascii="Calibri" w:eastAsia="Times New Roman" w:hAnsi="Calibri" w:cs="Calibri"/>
                <w:bCs/>
                <w:sz w:val="12"/>
                <w:szCs w:val="12"/>
                <w:lang w:eastAsia="fr-FR"/>
              </w:rPr>
            </w:pPr>
          </w:p>
        </w:tc>
        <w:tc>
          <w:tcPr>
            <w:tcW w:w="4503" w:type="dxa"/>
            <w:gridSpan w:val="2"/>
          </w:tcPr>
          <w:p w14:paraId="43C98306" w14:textId="55318253"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B66AB4" w:rsidRPr="00CE031F" w14:paraId="1D642772" w14:textId="77777777" w:rsidTr="007B28CF">
        <w:trPr>
          <w:trHeight w:val="20"/>
        </w:trPr>
        <w:tc>
          <w:tcPr>
            <w:tcW w:w="300" w:type="dxa"/>
            <w:noWrap/>
            <w:hideMark/>
          </w:tcPr>
          <w:p w14:paraId="34029D6E"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35E611F" w14:textId="77777777" w:rsidR="00B66AB4" w:rsidRPr="00CE031F" w:rsidRDefault="00B66AB4" w:rsidP="007B28CF">
            <w:pPr>
              <w:rPr>
                <w:rFonts w:ascii="Calibri" w:eastAsia="Times New Roman" w:hAnsi="Calibri" w:cs="Calibri"/>
                <w:bCs/>
                <w:sz w:val="12"/>
                <w:szCs w:val="12"/>
                <w:lang w:eastAsia="fr-FR"/>
              </w:rPr>
            </w:pPr>
          </w:p>
        </w:tc>
        <w:tc>
          <w:tcPr>
            <w:tcW w:w="4200" w:type="dxa"/>
          </w:tcPr>
          <w:p w14:paraId="36C0CC23"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B66AB4" w:rsidRPr="00CE031F" w14:paraId="11151F22" w14:textId="77777777" w:rsidTr="007B28CF">
        <w:trPr>
          <w:trHeight w:val="20"/>
        </w:trPr>
        <w:tc>
          <w:tcPr>
            <w:tcW w:w="300" w:type="dxa"/>
            <w:noWrap/>
            <w:hideMark/>
          </w:tcPr>
          <w:p w14:paraId="2649F3E4"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1E437F"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A105EE3"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B66AB4" w:rsidRPr="00CE031F" w14:paraId="4CE84259" w14:textId="77777777" w:rsidTr="007B28CF">
        <w:trPr>
          <w:trHeight w:val="20"/>
        </w:trPr>
        <w:tc>
          <w:tcPr>
            <w:tcW w:w="300" w:type="dxa"/>
            <w:noWrap/>
          </w:tcPr>
          <w:p w14:paraId="725807B5"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2C98F9"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F569C9"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B66AB4" w:rsidRPr="00CE031F" w14:paraId="3351E816" w14:textId="77777777" w:rsidTr="007B28CF">
        <w:trPr>
          <w:trHeight w:val="20"/>
        </w:trPr>
        <w:tc>
          <w:tcPr>
            <w:tcW w:w="300" w:type="dxa"/>
            <w:noWrap/>
          </w:tcPr>
          <w:p w14:paraId="0546339E"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36DB5C"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8A43A5"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B66AB4" w:rsidRPr="00CE031F" w14:paraId="0A0D2AB3" w14:textId="77777777" w:rsidTr="007B28CF">
        <w:trPr>
          <w:trHeight w:val="20"/>
        </w:trPr>
        <w:tc>
          <w:tcPr>
            <w:tcW w:w="300" w:type="dxa"/>
            <w:noWrap/>
          </w:tcPr>
          <w:p w14:paraId="684150FB"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CCA7D8"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4FCA35"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B66AB4" w:rsidRPr="00CE031F" w14:paraId="3D1FDB7C" w14:textId="77777777" w:rsidTr="007B28CF">
        <w:trPr>
          <w:trHeight w:val="20"/>
        </w:trPr>
        <w:tc>
          <w:tcPr>
            <w:tcW w:w="300" w:type="dxa"/>
            <w:noWrap/>
          </w:tcPr>
          <w:p w14:paraId="362BC788"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8927037"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E7D695"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B66AB4" w:rsidRPr="00CE031F" w14:paraId="681BA6FC" w14:textId="77777777" w:rsidTr="007B28CF">
        <w:trPr>
          <w:trHeight w:val="20"/>
        </w:trPr>
        <w:tc>
          <w:tcPr>
            <w:tcW w:w="300" w:type="dxa"/>
            <w:noWrap/>
          </w:tcPr>
          <w:p w14:paraId="0A33F739"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69FEAA7"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F9AAD6"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B66AB4" w:rsidRPr="00CE031F" w14:paraId="6F99EFDE" w14:textId="77777777" w:rsidTr="007B28CF">
        <w:trPr>
          <w:trHeight w:val="20"/>
        </w:trPr>
        <w:tc>
          <w:tcPr>
            <w:tcW w:w="300" w:type="dxa"/>
            <w:noWrap/>
          </w:tcPr>
          <w:p w14:paraId="07E20A2F"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AD717D"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E775AA"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B66AB4" w:rsidRPr="00CE031F" w14:paraId="22565CA7" w14:textId="77777777" w:rsidTr="007B28CF">
        <w:trPr>
          <w:trHeight w:val="20"/>
        </w:trPr>
        <w:tc>
          <w:tcPr>
            <w:tcW w:w="300" w:type="dxa"/>
            <w:noWrap/>
          </w:tcPr>
          <w:p w14:paraId="7F94142D"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D6FE5A"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E8B436"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B66AB4" w:rsidRPr="00CE031F" w14:paraId="42A2E9A4" w14:textId="77777777" w:rsidTr="007B28CF">
        <w:trPr>
          <w:trHeight w:val="20"/>
        </w:trPr>
        <w:tc>
          <w:tcPr>
            <w:tcW w:w="300" w:type="dxa"/>
            <w:noWrap/>
          </w:tcPr>
          <w:p w14:paraId="662D2EC2"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67BC3D"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AD625A"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B66AB4" w:rsidRPr="00CE031F" w14:paraId="61F7478B" w14:textId="77777777" w:rsidTr="007B28CF">
        <w:trPr>
          <w:trHeight w:val="20"/>
        </w:trPr>
        <w:tc>
          <w:tcPr>
            <w:tcW w:w="300" w:type="dxa"/>
            <w:noWrap/>
          </w:tcPr>
          <w:p w14:paraId="7EEA1556"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417F7F"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C523B2"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B66AB4" w:rsidRPr="00CE031F" w14:paraId="190977AA" w14:textId="77777777" w:rsidTr="007B28CF">
        <w:trPr>
          <w:trHeight w:val="20"/>
        </w:trPr>
        <w:tc>
          <w:tcPr>
            <w:tcW w:w="300" w:type="dxa"/>
            <w:noWrap/>
          </w:tcPr>
          <w:p w14:paraId="66807E47"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796160"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999C2E"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B66AB4" w:rsidRPr="00CE031F" w14:paraId="32F64063" w14:textId="77777777" w:rsidTr="007B28CF">
        <w:trPr>
          <w:trHeight w:val="20"/>
        </w:trPr>
        <w:tc>
          <w:tcPr>
            <w:tcW w:w="300" w:type="dxa"/>
            <w:noWrap/>
          </w:tcPr>
          <w:p w14:paraId="1B407E44"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38B173"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FC4BD6"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B66AB4" w:rsidRPr="00CE031F" w14:paraId="6463D5B8" w14:textId="77777777" w:rsidTr="007B28CF">
        <w:trPr>
          <w:trHeight w:val="20"/>
        </w:trPr>
        <w:tc>
          <w:tcPr>
            <w:tcW w:w="300" w:type="dxa"/>
            <w:noWrap/>
          </w:tcPr>
          <w:p w14:paraId="2C10E22B"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C15B0C"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CEA383"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B66AB4" w:rsidRPr="00CE031F" w14:paraId="3FC81BC8" w14:textId="77777777" w:rsidTr="007B28CF">
        <w:trPr>
          <w:trHeight w:val="20"/>
        </w:trPr>
        <w:tc>
          <w:tcPr>
            <w:tcW w:w="300" w:type="dxa"/>
            <w:noWrap/>
          </w:tcPr>
          <w:p w14:paraId="650ADADE"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7B6D7B"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240B08"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B66AB4" w:rsidRPr="00CE031F" w14:paraId="7936A777" w14:textId="77777777" w:rsidTr="007B28CF">
        <w:trPr>
          <w:trHeight w:val="20"/>
        </w:trPr>
        <w:tc>
          <w:tcPr>
            <w:tcW w:w="300" w:type="dxa"/>
            <w:noWrap/>
          </w:tcPr>
          <w:p w14:paraId="7ADE9461"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EF4D71"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7AB9CC"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B66AB4" w:rsidRPr="00CE031F" w14:paraId="1F7F1515" w14:textId="77777777" w:rsidTr="007B28CF">
        <w:trPr>
          <w:trHeight w:val="20"/>
        </w:trPr>
        <w:tc>
          <w:tcPr>
            <w:tcW w:w="300" w:type="dxa"/>
            <w:noWrap/>
          </w:tcPr>
          <w:p w14:paraId="40C370B3"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C74F3B"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3759DC"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B66AB4" w:rsidRPr="00CE031F" w14:paraId="6554DDD0" w14:textId="77777777" w:rsidTr="007B28CF">
        <w:trPr>
          <w:trHeight w:val="20"/>
        </w:trPr>
        <w:tc>
          <w:tcPr>
            <w:tcW w:w="300" w:type="dxa"/>
            <w:noWrap/>
          </w:tcPr>
          <w:p w14:paraId="69587708"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DB54C9"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50658E"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B66AB4" w:rsidRPr="00CE031F" w14:paraId="1B620306" w14:textId="77777777" w:rsidTr="007B28CF">
        <w:trPr>
          <w:trHeight w:val="20"/>
        </w:trPr>
        <w:tc>
          <w:tcPr>
            <w:tcW w:w="300" w:type="dxa"/>
            <w:noWrap/>
          </w:tcPr>
          <w:p w14:paraId="03CE749E"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5C9523"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D21AFB"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B66AB4" w:rsidRPr="00CE031F" w14:paraId="0FC8E3A4" w14:textId="77777777" w:rsidTr="007B28CF">
        <w:trPr>
          <w:trHeight w:val="20"/>
        </w:trPr>
        <w:tc>
          <w:tcPr>
            <w:tcW w:w="300" w:type="dxa"/>
            <w:noWrap/>
          </w:tcPr>
          <w:p w14:paraId="1A1ACFFA"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A978A6"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862F14"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B66AB4" w:rsidRPr="00CE031F" w14:paraId="063CDD0C" w14:textId="77777777" w:rsidTr="007B28CF">
        <w:trPr>
          <w:trHeight w:val="20"/>
        </w:trPr>
        <w:tc>
          <w:tcPr>
            <w:tcW w:w="300" w:type="dxa"/>
            <w:noWrap/>
          </w:tcPr>
          <w:p w14:paraId="28D1C819"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F61F6E"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208938"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B66AB4" w:rsidRPr="00CE031F" w14:paraId="7BFF9A3F" w14:textId="77777777" w:rsidTr="007B28CF">
        <w:trPr>
          <w:trHeight w:val="20"/>
        </w:trPr>
        <w:tc>
          <w:tcPr>
            <w:tcW w:w="300" w:type="dxa"/>
            <w:noWrap/>
          </w:tcPr>
          <w:p w14:paraId="67F8D592"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26356E"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DC8C4F"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B66AB4" w:rsidRPr="00CE031F" w14:paraId="1F01EFC8" w14:textId="77777777" w:rsidTr="007B28CF">
        <w:trPr>
          <w:trHeight w:val="20"/>
        </w:trPr>
        <w:tc>
          <w:tcPr>
            <w:tcW w:w="300" w:type="dxa"/>
            <w:noWrap/>
          </w:tcPr>
          <w:p w14:paraId="17CD6424"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87794B"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44FF47"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B66AB4" w:rsidRPr="00CE031F" w14:paraId="7FCD9C5E" w14:textId="77777777" w:rsidTr="007B28CF">
        <w:trPr>
          <w:trHeight w:val="20"/>
        </w:trPr>
        <w:tc>
          <w:tcPr>
            <w:tcW w:w="300" w:type="dxa"/>
            <w:noWrap/>
          </w:tcPr>
          <w:p w14:paraId="28588CD8"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20155B"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E02A90"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B66AB4" w:rsidRPr="00CE031F" w14:paraId="002F89E9" w14:textId="77777777" w:rsidTr="007B28CF">
        <w:trPr>
          <w:trHeight w:val="20"/>
        </w:trPr>
        <w:tc>
          <w:tcPr>
            <w:tcW w:w="300" w:type="dxa"/>
            <w:noWrap/>
          </w:tcPr>
          <w:p w14:paraId="0DF4BBFC"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DC7384"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482E93"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B66AB4" w:rsidRPr="00CE031F" w14:paraId="645B8911" w14:textId="77777777" w:rsidTr="007B28CF">
        <w:trPr>
          <w:trHeight w:val="20"/>
        </w:trPr>
        <w:tc>
          <w:tcPr>
            <w:tcW w:w="300" w:type="dxa"/>
            <w:noWrap/>
          </w:tcPr>
          <w:p w14:paraId="3ACA59B8"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E0AE29"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866848"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B66AB4" w:rsidRPr="00CE031F" w14:paraId="4A917E0D" w14:textId="77777777" w:rsidTr="007B28CF">
        <w:trPr>
          <w:trHeight w:val="20"/>
        </w:trPr>
        <w:tc>
          <w:tcPr>
            <w:tcW w:w="300" w:type="dxa"/>
            <w:noWrap/>
          </w:tcPr>
          <w:p w14:paraId="26A63522"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5118AA"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2C1E41"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B66AB4" w:rsidRPr="00CE031F" w14:paraId="081C215B" w14:textId="77777777" w:rsidTr="007B28CF">
        <w:trPr>
          <w:trHeight w:val="20"/>
        </w:trPr>
        <w:tc>
          <w:tcPr>
            <w:tcW w:w="300" w:type="dxa"/>
            <w:noWrap/>
          </w:tcPr>
          <w:p w14:paraId="4A9D9BC7"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6E0014"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05D07C"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B66AB4" w:rsidRPr="00CE031F" w14:paraId="019FB8C4" w14:textId="77777777" w:rsidTr="007B28CF">
        <w:trPr>
          <w:trHeight w:val="20"/>
        </w:trPr>
        <w:tc>
          <w:tcPr>
            <w:tcW w:w="300" w:type="dxa"/>
            <w:noWrap/>
          </w:tcPr>
          <w:p w14:paraId="3A3860A6"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E089D0"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13AB4F"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B66AB4" w:rsidRPr="00CE031F" w14:paraId="09455067" w14:textId="77777777" w:rsidTr="007B28CF">
        <w:trPr>
          <w:trHeight w:val="20"/>
        </w:trPr>
        <w:tc>
          <w:tcPr>
            <w:tcW w:w="300" w:type="dxa"/>
            <w:noWrap/>
            <w:hideMark/>
          </w:tcPr>
          <w:p w14:paraId="677FDA1E"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EDFA377" w14:textId="77777777" w:rsidR="00B66AB4" w:rsidRPr="00CE031F" w:rsidRDefault="00B66AB4" w:rsidP="007B28CF">
            <w:pPr>
              <w:rPr>
                <w:rFonts w:ascii="Calibri" w:eastAsia="Times New Roman" w:hAnsi="Calibri" w:cs="Calibri"/>
                <w:bCs/>
                <w:sz w:val="12"/>
                <w:szCs w:val="12"/>
                <w:lang w:eastAsia="fr-FR"/>
              </w:rPr>
            </w:pPr>
          </w:p>
        </w:tc>
        <w:tc>
          <w:tcPr>
            <w:tcW w:w="4200" w:type="dxa"/>
          </w:tcPr>
          <w:p w14:paraId="548EE71E"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bl>
    <w:p w14:paraId="50359B8B" w14:textId="14CE499A" w:rsidR="003952EB" w:rsidRDefault="003952EB" w:rsidP="00D00626">
      <w:pPr>
        <w:pStyle w:val="Titre1"/>
        <w:numPr>
          <w:ilvl w:val="0"/>
          <w:numId w:val="0"/>
        </w:numPr>
        <w:ind w:left="360"/>
      </w:pPr>
    </w:p>
    <w:p w14:paraId="2B59C63E" w14:textId="77777777" w:rsidR="00352030" w:rsidRPr="00352030" w:rsidRDefault="00352030" w:rsidP="00352030"/>
    <w:sectPr w:rsidR="00352030" w:rsidRPr="00352030" w:rsidSect="00586349">
      <w:footerReference w:type="default" r:id="rId34"/>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0DA1A" w14:textId="77777777" w:rsidR="003913C7" w:rsidRDefault="003913C7" w:rsidP="002E5692">
      <w:pPr>
        <w:spacing w:after="0" w:line="240" w:lineRule="auto"/>
      </w:pPr>
      <w:r>
        <w:separator/>
      </w:r>
    </w:p>
  </w:endnote>
  <w:endnote w:type="continuationSeparator" w:id="0">
    <w:p w14:paraId="3809A76F" w14:textId="77777777" w:rsidR="003913C7" w:rsidRDefault="003913C7" w:rsidP="002E5692">
      <w:pPr>
        <w:spacing w:after="0" w:line="240" w:lineRule="auto"/>
      </w:pPr>
      <w:r>
        <w:continuationSeparator/>
      </w:r>
    </w:p>
  </w:endnote>
  <w:endnote w:type="continuationNotice" w:id="1">
    <w:p w14:paraId="0E8BE25F" w14:textId="77777777" w:rsidR="003913C7" w:rsidRDefault="003913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9F39" w14:textId="212A996E" w:rsidR="00913556" w:rsidRDefault="00913556">
    <w:pPr>
      <w:pStyle w:val="Pieddepage"/>
      <w:jc w:val="center"/>
    </w:pPr>
  </w:p>
  <w:p w14:paraId="319E406C" w14:textId="77777777" w:rsidR="00913556" w:rsidRDefault="009135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69748"/>
      <w:docPartObj>
        <w:docPartGallery w:val="Page Numbers (Bottom of Page)"/>
        <w:docPartUnique/>
      </w:docPartObj>
    </w:sdtPr>
    <w:sdtContent>
      <w:p w14:paraId="46D9BBF9" w14:textId="7C3446DC" w:rsidR="00913556" w:rsidRDefault="00913556">
        <w:pPr>
          <w:pStyle w:val="Pieddepage"/>
          <w:jc w:val="center"/>
        </w:pPr>
        <w:r>
          <w:fldChar w:fldCharType="begin"/>
        </w:r>
        <w:r>
          <w:instrText>PAGE   \* MERGEFORMAT</w:instrText>
        </w:r>
        <w:r>
          <w:fldChar w:fldCharType="separate"/>
        </w:r>
        <w:r w:rsidR="009A46C6">
          <w:rPr>
            <w:noProof/>
          </w:rPr>
          <w:t>16</w:t>
        </w:r>
        <w:r>
          <w:fldChar w:fldCharType="end"/>
        </w:r>
      </w:p>
    </w:sdtContent>
  </w:sdt>
  <w:p w14:paraId="72416623" w14:textId="77777777" w:rsidR="00913556" w:rsidRDefault="009135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BDE7E" w14:textId="77777777" w:rsidR="003913C7" w:rsidRDefault="003913C7" w:rsidP="002E5692">
      <w:pPr>
        <w:spacing w:after="0" w:line="240" w:lineRule="auto"/>
      </w:pPr>
      <w:r>
        <w:separator/>
      </w:r>
    </w:p>
  </w:footnote>
  <w:footnote w:type="continuationSeparator" w:id="0">
    <w:p w14:paraId="36C0F765" w14:textId="77777777" w:rsidR="003913C7" w:rsidRDefault="003913C7" w:rsidP="002E5692">
      <w:pPr>
        <w:spacing w:after="0" w:line="240" w:lineRule="auto"/>
      </w:pPr>
      <w:r>
        <w:continuationSeparator/>
      </w:r>
    </w:p>
  </w:footnote>
  <w:footnote w:type="continuationNotice" w:id="1">
    <w:p w14:paraId="5582D141" w14:textId="77777777" w:rsidR="003913C7" w:rsidRDefault="003913C7">
      <w:pPr>
        <w:spacing w:after="0" w:line="240" w:lineRule="auto"/>
      </w:pPr>
    </w:p>
  </w:footnote>
  <w:footnote w:id="2">
    <w:p w14:paraId="3837143F" w14:textId="77777777" w:rsidR="00913556" w:rsidRDefault="00913556">
      <w:pPr>
        <w:pStyle w:val="Notedebasdepage"/>
      </w:pPr>
      <w:r w:rsidRPr="002613EA">
        <w:rPr>
          <w:rStyle w:val="Appelnotedebasdep"/>
          <w:rFonts w:asciiTheme="minorHAnsi" w:hAnsiTheme="minorHAnsi" w:cstheme="minorHAnsi"/>
          <w:sz w:val="16"/>
        </w:rPr>
        <w:footnoteRef/>
      </w:r>
      <w:r w:rsidRPr="002613EA">
        <w:rPr>
          <w:rFonts w:asciiTheme="minorHAnsi" w:hAnsiTheme="minorHAnsi" w:cstheme="minorHAnsi"/>
          <w:sz w:val="20"/>
        </w:rPr>
        <w:t xml:space="preserve"> </w:t>
      </w:r>
      <w:r w:rsidRPr="0035237D">
        <w:rPr>
          <w:rFonts w:asciiTheme="minorHAnsi" w:hAnsiTheme="minorHAnsi" w:cstheme="minorHAnsi"/>
          <w:sz w:val="20"/>
        </w:rPr>
        <w:t xml:space="preserve">Le rapport annuel de l’Observatoire est disponible à l’adresse suivante : </w:t>
      </w:r>
      <w:hyperlink r:id="rId1" w:history="1">
        <w:r w:rsidRPr="0035237D">
          <w:rPr>
            <w:rStyle w:val="Lienhypertexte"/>
            <w:rFonts w:asciiTheme="minorHAnsi" w:hAnsiTheme="minorHAnsi" w:cstheme="minorHAnsi"/>
            <w:sz w:val="20"/>
          </w:rPr>
          <w:t>www.observatoire-paiements.fr</w:t>
        </w:r>
      </w:hyperlink>
      <w:r>
        <w:rPr>
          <w:rStyle w:val="Lienhypertexte"/>
          <w:rFonts w:asciiTheme="minorHAnsi" w:hAnsiTheme="minorHAnsi" w:cstheme="minorHAnsi"/>
          <w:sz w:val="20"/>
        </w:rPr>
        <w:t>.</w:t>
      </w:r>
    </w:p>
  </w:footnote>
  <w:footnote w:id="3">
    <w:p w14:paraId="342D47BA" w14:textId="77777777" w:rsidR="00913556" w:rsidRDefault="00913556" w:rsidP="00B80794">
      <w:pPr>
        <w:pStyle w:val="Notedebasdepage"/>
        <w:ind w:right="0"/>
      </w:pPr>
      <w:r w:rsidRPr="002613EA">
        <w:rPr>
          <w:rStyle w:val="Appelnotedebasdep"/>
          <w:rFonts w:asciiTheme="minorHAnsi" w:hAnsiTheme="minorHAnsi" w:cstheme="minorHAnsi"/>
          <w:sz w:val="16"/>
        </w:rPr>
        <w:footnoteRef/>
      </w:r>
      <w:r>
        <w:t xml:space="preserve"> </w:t>
      </w:r>
      <w:r w:rsidRPr="00A675AF">
        <w:rPr>
          <w:rFonts w:asciiTheme="minorHAnsi" w:eastAsiaTheme="minorHAnsi" w:hAnsiTheme="minorHAnsi"/>
          <w:sz w:val="20"/>
        </w:rPr>
        <w:t>Le territoire français (ci-après désigné « France ») comprend la France métropolitaine, les départements et les régions d’Outre-Mer (Guadeloupe, Guyane, Martinique, Réunion, Saint</w:t>
      </w:r>
      <w:r w:rsidRPr="00A675AF">
        <w:rPr>
          <w:rFonts w:asciiTheme="minorHAnsi" w:eastAsiaTheme="minorHAnsi" w:hAnsiTheme="minorHAnsi"/>
          <w:sz w:val="20"/>
        </w:rPr>
        <w:noBreakHyphen/>
        <w:t>Pierre</w:t>
      </w:r>
      <w:r w:rsidRPr="00A675AF">
        <w:rPr>
          <w:rFonts w:asciiTheme="minorHAnsi" w:eastAsiaTheme="minorHAnsi" w:hAnsiTheme="minorHAnsi"/>
          <w:sz w:val="20"/>
        </w:rPr>
        <w:noBreakHyphen/>
        <w:t>et</w:t>
      </w:r>
      <w:r w:rsidRPr="00A675AF">
        <w:rPr>
          <w:rFonts w:asciiTheme="minorHAnsi" w:eastAsiaTheme="minorHAnsi" w:hAnsiTheme="minorHAnsi"/>
          <w:sz w:val="20"/>
        </w:rPr>
        <w:noBreakHyphen/>
        <w:t>Miquelon, Mayotte, Saint Barthélemy, Saint Martin) ainsi que la Principauté de Monaco. Les établissements situés en Polynésie française, en Nouvelle-Calédonie et à Wallis-et-Futuna ne sont pas concernés par ce questionnaire. Les opérations entre la France et ces collectivités du Pacifique doivent par conséquent être comptabilisées comme des opérations transfrontalières avec le « Reste du monde ».</w:t>
      </w:r>
    </w:p>
  </w:footnote>
  <w:footnote w:id="4">
    <w:p w14:paraId="504D0297" w14:textId="77777777" w:rsidR="00913556" w:rsidRDefault="00913556" w:rsidP="00F81920">
      <w:pPr>
        <w:pStyle w:val="Notedebasdepage"/>
        <w:spacing w:before="0" w:after="0"/>
        <w:ind w:left="0" w:right="0" w:firstLine="0"/>
      </w:pPr>
      <w:r>
        <w:rPr>
          <w:rStyle w:val="Appelnotedebasdep"/>
        </w:rPr>
        <w:footnoteRef/>
      </w:r>
      <w:r>
        <w:t xml:space="preserve"> « </w:t>
      </w:r>
      <w:r w:rsidRPr="00A57AE1">
        <w:rPr>
          <w:rFonts w:asciiTheme="minorHAnsi" w:eastAsiaTheme="minorHAnsi" w:hAnsiTheme="minorHAnsi" w:cstheme="minorHAnsi"/>
          <w:sz w:val="22"/>
          <w:szCs w:val="22"/>
          <w:lang w:eastAsia="en-US"/>
        </w:rPr>
        <w:t>Monnaie électronique »</w:t>
      </w:r>
      <w:r>
        <w:rPr>
          <w:rFonts w:asciiTheme="minorHAnsi" w:eastAsiaTheme="minorHAnsi" w:hAnsiTheme="minorHAnsi" w:cstheme="minorHAnsi"/>
          <w:sz w:val="22"/>
          <w:szCs w:val="22"/>
          <w:lang w:eastAsia="en-US"/>
        </w:rPr>
        <w:t xml:space="preserve"> </w:t>
      </w:r>
      <w:r w:rsidRPr="00A57AE1">
        <w:rPr>
          <w:rFonts w:asciiTheme="minorHAnsi" w:eastAsiaTheme="minorHAnsi" w:hAnsiTheme="minorHAnsi" w:cstheme="minorHAnsi"/>
          <w:sz w:val="22"/>
          <w:szCs w:val="22"/>
          <w:lang w:eastAsia="en-US"/>
        </w:rPr>
        <w:t>: une valeur monétaire qui est stockée sous une forme électronique, y compris magnétique, représentant une créance sur l’émetteur, qui est émise contre la remise de fonds aux fins d’opérations de paiement telles que définies à l’article 4, point 5), de la directive 2007/64/CE et qui est acceptée par une personne physique ou morale autre que l’émetteur de monnaie électronique »</w:t>
      </w:r>
      <w:r>
        <w:rPr>
          <w:rFonts w:asciiTheme="minorHAnsi" w:eastAsiaTheme="minorHAnsi" w:hAnsiTheme="minorHAnsi" w:cstheme="minorHAnsi"/>
          <w:sz w:val="22"/>
          <w:szCs w:val="22"/>
          <w:lang w:eastAsia="en-US"/>
        </w:rPr>
        <w:t>.</w:t>
      </w:r>
    </w:p>
  </w:footnote>
  <w:footnote w:id="5">
    <w:p w14:paraId="1405B42A" w14:textId="77777777" w:rsidR="00913556" w:rsidRPr="007E47AC" w:rsidRDefault="00913556" w:rsidP="00A9664C">
      <w:pPr>
        <w:spacing w:after="0" w:line="240" w:lineRule="auto"/>
        <w:jc w:val="both"/>
        <w:rPr>
          <w:rFonts w:cstheme="minorHAnsi"/>
        </w:rPr>
      </w:pPr>
      <w:r>
        <w:rPr>
          <w:rStyle w:val="Appelnotedebasdep"/>
        </w:rPr>
        <w:footnoteRef/>
      </w:r>
      <w:r>
        <w:t xml:space="preserve"> </w:t>
      </w:r>
      <w:r w:rsidRPr="007E47AC">
        <w:rPr>
          <w:rFonts w:cstheme="minorHAnsi"/>
        </w:rPr>
        <w:t>« </w:t>
      </w:r>
      <w:r w:rsidRPr="007E47AC">
        <w:rPr>
          <w:rFonts w:cstheme="minorHAnsi"/>
          <w:b/>
        </w:rPr>
        <w:t>France</w:t>
      </w:r>
      <w:r w:rsidRPr="007E47AC">
        <w:rPr>
          <w:rFonts w:cstheme="minorHAnsi"/>
        </w:rPr>
        <w:t xml:space="preserve"> », </w:t>
      </w:r>
      <w:r w:rsidRPr="007E47AC">
        <w:rPr>
          <w:rFonts w:cstheme="minorHAnsi"/>
          <w:snapToGrid w:val="0"/>
        </w:rPr>
        <w:t xml:space="preserve">comprend la </w:t>
      </w:r>
      <w:r w:rsidRPr="007E47AC">
        <w:rPr>
          <w:rFonts w:cstheme="minorHAnsi"/>
        </w:rPr>
        <w:t>France métropolitaine, les départements d’Outre-Mer (Guadeloupe, Guyane, Martinique, Mayotte et Réunion), Saint Barthélemy, Saint Martin (partie française), Saint-Pierre-et-Miquelon et la Principauté de Monaco ;</w:t>
      </w:r>
    </w:p>
    <w:p w14:paraId="39DD60A3" w14:textId="77777777" w:rsidR="00913556" w:rsidRDefault="00913556" w:rsidP="00A9664C">
      <w:pPr>
        <w:pStyle w:val="Notedebasdepage"/>
      </w:pPr>
    </w:p>
  </w:footnote>
  <w:footnote w:id="6">
    <w:p w14:paraId="274AE689" w14:textId="5B914F3D" w:rsidR="00913556" w:rsidRDefault="00913556" w:rsidP="007D1E6E">
      <w:pPr>
        <w:pStyle w:val="Notedebasdepage"/>
        <w:spacing w:before="0" w:after="0"/>
        <w:ind w:left="0" w:right="-567" w:firstLine="0"/>
      </w:pPr>
      <w:r>
        <w:rPr>
          <w:rStyle w:val="Appelnotedebasdep"/>
        </w:rPr>
        <w:footnoteRef/>
      </w:r>
      <w:r>
        <w:t xml:space="preserve"> </w:t>
      </w:r>
      <w:r w:rsidRPr="007D1E6E">
        <w:rPr>
          <w:rFonts w:asciiTheme="minorHAnsi" w:eastAsiaTheme="minorHAnsi" w:hAnsiTheme="minorHAnsi" w:cstheme="minorHAnsi"/>
          <w:sz w:val="22"/>
          <w:szCs w:val="22"/>
          <w:lang w:eastAsia="en-US"/>
        </w:rPr>
        <w:t>Par exemple, virement</w:t>
      </w:r>
      <w:r>
        <w:rPr>
          <w:rFonts w:asciiTheme="minorHAnsi" w:eastAsiaTheme="minorHAnsi" w:hAnsiTheme="minorHAnsi" w:cstheme="minorHAnsi"/>
          <w:sz w:val="22"/>
          <w:szCs w:val="22"/>
          <w:lang w:eastAsia="en-US"/>
        </w:rPr>
        <w:t>s</w:t>
      </w:r>
      <w:r w:rsidRPr="007D1E6E">
        <w:rPr>
          <w:rFonts w:asciiTheme="minorHAnsi" w:eastAsiaTheme="minorHAnsi" w:hAnsiTheme="minorHAnsi" w:cstheme="minorHAnsi"/>
          <w:sz w:val="22"/>
          <w:szCs w:val="22"/>
          <w:lang w:eastAsia="en-US"/>
        </w:rPr>
        <w:t xml:space="preserve"> entre deux comptes tenus pas le même établissement (y compris si les deux comptes appartiennent au même client)</w:t>
      </w:r>
      <w:r>
        <w:rPr>
          <w:rFonts w:asciiTheme="minorHAnsi" w:eastAsiaTheme="minorHAnsi" w:hAnsiTheme="minorHAnsi" w:cstheme="minorHAnsi"/>
          <w:sz w:val="22"/>
          <w:szCs w:val="22"/>
          <w:lang w:eastAsia="en-US"/>
        </w:rPr>
        <w:t> ; d</w:t>
      </w:r>
      <w:r w:rsidRPr="007D1E6E">
        <w:rPr>
          <w:rFonts w:asciiTheme="minorHAnsi" w:eastAsiaTheme="minorHAnsi" w:hAnsiTheme="minorHAnsi" w:cstheme="minorHAnsi"/>
          <w:sz w:val="22"/>
          <w:szCs w:val="22"/>
          <w:lang w:eastAsia="en-US"/>
        </w:rPr>
        <w:t xml:space="preserve">ans ce cas, les virements doivent être déclarés </w:t>
      </w:r>
      <w:r>
        <w:rPr>
          <w:rFonts w:asciiTheme="minorHAnsi" w:eastAsiaTheme="minorHAnsi" w:hAnsiTheme="minorHAnsi" w:cstheme="minorHAnsi"/>
          <w:sz w:val="22"/>
          <w:szCs w:val="22"/>
          <w:lang w:eastAsia="en-US"/>
        </w:rPr>
        <w:t xml:space="preserve">à la fois </w:t>
      </w:r>
      <w:r w:rsidRPr="007D1E6E">
        <w:rPr>
          <w:rFonts w:asciiTheme="minorHAnsi" w:eastAsiaTheme="minorHAnsi" w:hAnsiTheme="minorHAnsi" w:cstheme="minorHAnsi"/>
          <w:sz w:val="22"/>
          <w:szCs w:val="22"/>
          <w:lang w:eastAsia="en-US"/>
        </w:rPr>
        <w:t>en émission et en réception</w:t>
      </w:r>
      <w:r>
        <w:rPr>
          <w:rFonts w:asciiTheme="minorHAnsi" w:eastAsiaTheme="minorHAnsi" w:hAnsiTheme="minorHAnsi" w:cstheme="minorHAnsi"/>
          <w:sz w:val="22"/>
          <w:szCs w:val="22"/>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61A5" w14:textId="4B5DD75E" w:rsidR="00496F24" w:rsidRDefault="00496F24">
    <w:pPr>
      <w:pStyle w:val="En-tte"/>
    </w:pPr>
    <w:r>
      <w:rPr>
        <w:noProof/>
      </w:rPr>
      <mc:AlternateContent>
        <mc:Choice Requires="wps">
          <w:drawing>
            <wp:anchor distT="0" distB="0" distL="0" distR="0" simplePos="0" relativeHeight="251659264" behindDoc="0" locked="0" layoutInCell="1" allowOverlap="1" wp14:anchorId="6A1C0A29" wp14:editId="3295208A">
              <wp:simplePos x="635" y="635"/>
              <wp:positionH relativeFrom="page">
                <wp:align>right</wp:align>
              </wp:positionH>
              <wp:positionV relativeFrom="page">
                <wp:align>top</wp:align>
              </wp:positionV>
              <wp:extent cx="1056640" cy="357505"/>
              <wp:effectExtent l="0" t="0" r="0" b="4445"/>
              <wp:wrapNone/>
              <wp:docPr id="1397908848" name="Zone de texte 2" descr="BDF-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56640" cy="357505"/>
                      </a:xfrm>
                      <a:prstGeom prst="rect">
                        <a:avLst/>
                      </a:prstGeom>
                      <a:noFill/>
                      <a:ln>
                        <a:noFill/>
                      </a:ln>
                    </wps:spPr>
                    <wps:txbx>
                      <w:txbxContent>
                        <w:p w14:paraId="178EA850" w14:textId="56DBD130" w:rsidR="00496F24" w:rsidRPr="00496F24" w:rsidRDefault="00496F24" w:rsidP="00496F24">
                          <w:pPr>
                            <w:spacing w:after="0"/>
                            <w:rPr>
                              <w:rFonts w:ascii="Calibri" w:eastAsia="Calibri" w:hAnsi="Calibri" w:cs="Calibri"/>
                              <w:noProof/>
                              <w:color w:val="000000"/>
                              <w:sz w:val="20"/>
                              <w:szCs w:val="20"/>
                            </w:rPr>
                          </w:pPr>
                          <w:r w:rsidRPr="00496F24">
                            <w:rPr>
                              <w:rFonts w:ascii="Calibri" w:eastAsia="Calibri" w:hAnsi="Calibri" w:cs="Calibri"/>
                              <w:noProof/>
                              <w:color w:val="000000"/>
                              <w:sz w:val="20"/>
                              <w:szCs w:val="20"/>
                            </w:rPr>
                            <w:t>BDF-RESTREINT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1C0A29" id="_x0000_t202" coordsize="21600,21600" o:spt="202" path="m,l,21600r21600,l21600,xe">
              <v:stroke joinstyle="miter"/>
              <v:path gradientshapeok="t" o:connecttype="rect"/>
            </v:shapetype>
            <v:shape id="_x0000_s1029" type="#_x0000_t202" alt="BDF-RESTREINT" style="position:absolute;margin-left:32pt;margin-top:0;width:83.2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mK6EQIAACIEAAAOAAAAZHJzL2Uyb0RvYy54bWysU01v2zAMvQ/YfxB0X+xkdbYZcYqsRYYB&#10;QVsgHXpWZCk2IImCpMTOfv0oOU66bqdhF5kUaX6897S47bUiR+F8C6ai00lOiTAc6tbsK/rjef3h&#10;MyU+MFMzBUZU9CQ8vV2+f7fobClm0ICqhSNYxPiysxVtQrBllnneCM38BKwwGJTgNAvoun1WO9Zh&#10;da2yWZ7Psw5cbR1w4T3e3g9Bukz1pRQ8PErpRSCqojhbSKdL5y6e2XLByr1jtmn5eQz2D1No1hps&#10;eil1zwIjB9f+UUq33IEHGSYcdAZStlykHXCbaf5mm23DrEi7IDjeXmDy/68sfzhu7ZMjof8KPRIY&#10;AemsLz1exn166XT84qQE4wjh6QKb6APh8ae8mM9vMMQx9rH4VORFLJNd/7bOh28CNIlGRR3SktBi&#10;x40PQ+qYEpsZWLdKJWqU+e0Ca8ab7DpitEK/60lbvxp/B/UJt3IwEO4tX7fYesN8eGIOGcZpUbXh&#10;EQ+poKsonC1KGnA//3Yf8xF4jFLSoWIqalDSlKjvBgmJ4krG9Ete5Oi55M2Kmzx6uzHJHPQdoBin&#10;+C4sT2ZMDmo0pQP9gqJexW4YYoZjz4qG0bwLg37xUXCxWqUkFJNlYWO2lsfSEbMI6HP/wpw9ox6Q&#10;rwcYNcXKN+APufFPb1eHgBQkZiK+A5pn2FGIidvzo4lKf+2nrOvTXv4CAAD//wMAUEsDBBQABgAI&#10;AAAAIQAOHSo63QAAAAQBAAAPAAAAZHJzL2Rvd25yZXYueG1sTI9BS8NAEIXvgv9hGcGL2I1WQ42Z&#10;FBEK9uCh1Ry8bbLTJJidDbvbNPn3br3oZeDxHu99k68n04uRnO8sI9wtEhDEtdUdNwifH5vbFQgf&#10;FGvVWyaEmTysi8uLXGXannhH4z40IpawzxRCG8KQSenrlozyCzsQR+9gnVEhStdI7dQplpte3idJ&#10;Ko3qOC60aqDXlurv/dEglJO7ed88bd/m6qsb52RbLleHEvH6anp5BhFoCn9hOONHdCgiU2WPrL3o&#10;EeIj4feevTR9AFEhPKZLkEUu/8MXPwAAAP//AwBQSwECLQAUAAYACAAAACEAtoM4kv4AAADhAQAA&#10;EwAAAAAAAAAAAAAAAAAAAAAAW0NvbnRlbnRfVHlwZXNdLnhtbFBLAQItABQABgAIAAAAIQA4/SH/&#10;1gAAAJQBAAALAAAAAAAAAAAAAAAAAC8BAABfcmVscy8ucmVsc1BLAQItABQABgAIAAAAIQBS3mK6&#10;EQIAACIEAAAOAAAAAAAAAAAAAAAAAC4CAABkcnMvZTJvRG9jLnhtbFBLAQItABQABgAIAAAAIQAO&#10;HSo63QAAAAQBAAAPAAAAAAAAAAAAAAAAAGsEAABkcnMvZG93bnJldi54bWxQSwUGAAAAAAQABADz&#10;AAAAdQUAAAAA&#10;" filled="f" stroked="f">
              <v:fill o:detectmouseclick="t"/>
              <v:textbox style="mso-fit-shape-to-text:t" inset="0,15pt,20pt,0">
                <w:txbxContent>
                  <w:p w14:paraId="178EA850" w14:textId="56DBD130" w:rsidR="00496F24" w:rsidRPr="00496F24" w:rsidRDefault="00496F24" w:rsidP="00496F24">
                    <w:pPr>
                      <w:spacing w:after="0"/>
                      <w:rPr>
                        <w:rFonts w:ascii="Calibri" w:eastAsia="Calibri" w:hAnsi="Calibri" w:cs="Calibri"/>
                        <w:noProof/>
                        <w:color w:val="000000"/>
                        <w:sz w:val="20"/>
                        <w:szCs w:val="20"/>
                      </w:rPr>
                    </w:pPr>
                    <w:r w:rsidRPr="00496F24">
                      <w:rPr>
                        <w:rFonts w:ascii="Calibri" w:eastAsia="Calibri" w:hAnsi="Calibri" w:cs="Calibri"/>
                        <w:noProof/>
                        <w:color w:val="000000"/>
                        <w:sz w:val="20"/>
                        <w:szCs w:val="20"/>
                      </w:rPr>
                      <w:t>BDF-RESTREINT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F093" w14:textId="1F4B96B4" w:rsidR="00496F24" w:rsidRDefault="00496F24">
    <w:pPr>
      <w:pStyle w:val="En-tte"/>
    </w:pPr>
    <w:r>
      <w:rPr>
        <w:noProof/>
      </w:rPr>
      <mc:AlternateContent>
        <mc:Choice Requires="wps">
          <w:drawing>
            <wp:anchor distT="0" distB="0" distL="0" distR="0" simplePos="0" relativeHeight="251660288" behindDoc="0" locked="0" layoutInCell="1" allowOverlap="1" wp14:anchorId="31E12878" wp14:editId="4D1379B2">
              <wp:simplePos x="901700" y="450850"/>
              <wp:positionH relativeFrom="page">
                <wp:align>right</wp:align>
              </wp:positionH>
              <wp:positionV relativeFrom="page">
                <wp:align>top</wp:align>
              </wp:positionV>
              <wp:extent cx="1056640" cy="357505"/>
              <wp:effectExtent l="0" t="0" r="0" b="4445"/>
              <wp:wrapNone/>
              <wp:docPr id="1734953275" name="Zone de texte 3" descr="BDF-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56640" cy="357505"/>
                      </a:xfrm>
                      <a:prstGeom prst="rect">
                        <a:avLst/>
                      </a:prstGeom>
                      <a:noFill/>
                      <a:ln>
                        <a:noFill/>
                      </a:ln>
                    </wps:spPr>
                    <wps:txbx>
                      <w:txbxContent>
                        <w:p w14:paraId="0C807B73" w14:textId="380CB422" w:rsidR="00496F24" w:rsidRPr="00496F24" w:rsidRDefault="00496F24" w:rsidP="00496F24">
                          <w:pPr>
                            <w:spacing w:after="0"/>
                            <w:rPr>
                              <w:rFonts w:ascii="Calibri" w:eastAsia="Calibri" w:hAnsi="Calibri" w:cs="Calibri"/>
                              <w:noProof/>
                              <w:color w:val="000000"/>
                              <w:sz w:val="20"/>
                              <w:szCs w:val="20"/>
                            </w:rPr>
                          </w:pPr>
                          <w:r w:rsidRPr="00496F24">
                            <w:rPr>
                              <w:rFonts w:ascii="Calibri" w:eastAsia="Calibri" w:hAnsi="Calibri" w:cs="Calibri"/>
                              <w:noProof/>
                              <w:color w:val="000000"/>
                              <w:sz w:val="20"/>
                              <w:szCs w:val="20"/>
                            </w:rPr>
                            <w:t>BDF-RESTREINT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E12878" id="_x0000_t202" coordsize="21600,21600" o:spt="202" path="m,l,21600r21600,l21600,xe">
              <v:stroke joinstyle="miter"/>
              <v:path gradientshapeok="t" o:connecttype="rect"/>
            </v:shapetype>
            <v:shape id="Zone de texte 3" o:spid="_x0000_s1030" type="#_x0000_t202" alt="BDF-RESTREINT" style="position:absolute;margin-left:32pt;margin-top:0;width:83.2pt;height:28.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JH4EwIAACIEAAAOAAAAZHJzL2Uyb0RvYy54bWysU01v2zAMvQ/YfxB0X+xkddYZcYqsRYYB&#10;QVsgHXpWZCk2IImCpMTOfv0oOU62bqdhF5kUaX6897S467UiR+F8C6ai00lOiTAc6tbsK/r9Zf3h&#10;lhIfmKmZAiMqehKe3i3fv1t0thQzaEDVwhEsYnzZ2Yo2IdgyyzxvhGZ+AlYYDEpwmgV03T6rHeuw&#10;ulbZLM/nWQeutg648B5vH4YgXab6UgoenqT0IhBVUZwtpNOlcxfPbLlg5d4x27T8PAb7hyk0aw02&#10;vZR6YIGRg2v/KKVb7sCDDBMOOgMpWy7SDrjNNH+zzbZhVqRdEBxvLzD5/1eWPx639tmR0H+BHgmM&#10;gHTWlx4v4z69dDp+cVKCcYTwdIFN9IHw+FNezOc3GOIY+1h8KvIilsmuf1vnw1cBmkSjog5pSWix&#10;48aHIXVMic0MrFulEjXK/HaBNeNNdh0xWqHf9aStKzobx99BfcKtHAyEe8vXLbbeMB+emUOGcVpU&#10;bXjCQyroKgpni5IG3I+/3cd8BB6jlHSomIoalDQl6ptBQqK4kjH9nBc5ei55s+Imj95uTDIHfQ8o&#10;xim+C8uTGZODGk3pQL+iqFexG4aY4dizomE078OgX3wUXKxWKQnFZFnYmK3lsXTELAL60r8yZ8+o&#10;B+TrEUZNsfIN+ENu/NPb1SEgBYmZiO+A5hl2FGLi9vxootJ/9VPW9WkvfwIAAP//AwBQSwMEFAAG&#10;AAgAAAAhAA4dKjrdAAAABAEAAA8AAABkcnMvZG93bnJldi54bWxMj0FLw0AQhe+C/2EZwYvYjVZD&#10;jZkUEQr24KHVHLxtstMkmJ0Nu9s0+fduvehl4PEe732TryfTi5Gc7ywj3C0SEMS11R03CJ8fm9sV&#10;CB8Ua9VbJoSZPKyLy4tcZdqeeEfjPjQilrDPFEIbwpBJ6euWjPILOxBH72CdUSFK10jt1CmWm17e&#10;J0kqjeo4LrRqoNeW6u/90SCUk7t53zxt3+bqqxvnZFsuV4cS8fpqenkGEWgKf2E440d0KCJTZY+s&#10;vegR4iPh9569NH0AUSE8pkuQRS7/wxc/AAAA//8DAFBLAQItABQABgAIAAAAIQC2gziS/gAAAOEB&#10;AAATAAAAAAAAAAAAAAAAAAAAAABbQ29udGVudF9UeXBlc10ueG1sUEsBAi0AFAAGAAgAAAAhADj9&#10;If/WAAAAlAEAAAsAAAAAAAAAAAAAAAAALwEAAF9yZWxzLy5yZWxzUEsBAi0AFAAGAAgAAAAhAANI&#10;kfgTAgAAIgQAAA4AAAAAAAAAAAAAAAAALgIAAGRycy9lMm9Eb2MueG1sUEsBAi0AFAAGAAgAAAAh&#10;AA4dKjrdAAAABAEAAA8AAAAAAAAAAAAAAAAAbQQAAGRycy9kb3ducmV2LnhtbFBLBQYAAAAABAAE&#10;APMAAAB3BQAAAAA=&#10;" filled="f" stroked="f">
              <v:fill o:detectmouseclick="t"/>
              <v:textbox style="mso-fit-shape-to-text:t" inset="0,15pt,20pt,0">
                <w:txbxContent>
                  <w:p w14:paraId="0C807B73" w14:textId="380CB422" w:rsidR="00496F24" w:rsidRPr="00496F24" w:rsidRDefault="00496F24" w:rsidP="00496F24">
                    <w:pPr>
                      <w:spacing w:after="0"/>
                      <w:rPr>
                        <w:rFonts w:ascii="Calibri" w:eastAsia="Calibri" w:hAnsi="Calibri" w:cs="Calibri"/>
                        <w:noProof/>
                        <w:color w:val="000000"/>
                        <w:sz w:val="20"/>
                        <w:szCs w:val="20"/>
                      </w:rPr>
                    </w:pPr>
                    <w:r w:rsidRPr="00496F24">
                      <w:rPr>
                        <w:rFonts w:ascii="Calibri" w:eastAsia="Calibri" w:hAnsi="Calibri" w:cs="Calibri"/>
                        <w:noProof/>
                        <w:color w:val="000000"/>
                        <w:sz w:val="20"/>
                        <w:szCs w:val="20"/>
                      </w:rPr>
                      <w:t>BDF-RESTREINT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49DD" w14:textId="19DC8684" w:rsidR="00496F24" w:rsidRDefault="00496F24">
    <w:pPr>
      <w:pStyle w:val="En-tte"/>
    </w:pPr>
    <w:r>
      <w:rPr>
        <w:noProof/>
      </w:rPr>
      <mc:AlternateContent>
        <mc:Choice Requires="wps">
          <w:drawing>
            <wp:anchor distT="0" distB="0" distL="0" distR="0" simplePos="0" relativeHeight="251658240" behindDoc="0" locked="0" layoutInCell="1" allowOverlap="1" wp14:anchorId="3C212A41" wp14:editId="595BF010">
              <wp:simplePos x="635" y="635"/>
              <wp:positionH relativeFrom="page">
                <wp:align>right</wp:align>
              </wp:positionH>
              <wp:positionV relativeFrom="page">
                <wp:align>top</wp:align>
              </wp:positionV>
              <wp:extent cx="1056640" cy="357505"/>
              <wp:effectExtent l="0" t="0" r="0" b="4445"/>
              <wp:wrapNone/>
              <wp:docPr id="680476076" name="Zone de texte 1" descr="BDF-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56640" cy="357505"/>
                      </a:xfrm>
                      <a:prstGeom prst="rect">
                        <a:avLst/>
                      </a:prstGeom>
                      <a:noFill/>
                      <a:ln>
                        <a:noFill/>
                      </a:ln>
                    </wps:spPr>
                    <wps:txbx>
                      <w:txbxContent>
                        <w:p w14:paraId="5D226CFA" w14:textId="0CBBA491" w:rsidR="00496F24" w:rsidRPr="00496F24" w:rsidRDefault="00496F24" w:rsidP="00496F24">
                          <w:pPr>
                            <w:spacing w:after="0"/>
                            <w:rPr>
                              <w:rFonts w:ascii="Calibri" w:eastAsia="Calibri" w:hAnsi="Calibri" w:cs="Calibri"/>
                              <w:noProof/>
                              <w:color w:val="000000"/>
                              <w:sz w:val="20"/>
                              <w:szCs w:val="20"/>
                            </w:rPr>
                          </w:pPr>
                          <w:r w:rsidRPr="00496F24">
                            <w:rPr>
                              <w:rFonts w:ascii="Calibri" w:eastAsia="Calibri" w:hAnsi="Calibri" w:cs="Calibri"/>
                              <w:noProof/>
                              <w:color w:val="000000"/>
                              <w:sz w:val="20"/>
                              <w:szCs w:val="20"/>
                            </w:rPr>
                            <w:t>BDF-RESTREINT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212A41" id="_x0000_t202" coordsize="21600,21600" o:spt="202" path="m,l,21600r21600,l21600,xe">
              <v:stroke joinstyle="miter"/>
              <v:path gradientshapeok="t" o:connecttype="rect"/>
            </v:shapetype>
            <v:shape id="Zone de texte 1" o:spid="_x0000_s1031" type="#_x0000_t202" alt="BDF-RESTREINT" style="position:absolute;margin-left:32pt;margin-top:0;width:83.2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3D7DQIAABsEAAAOAAAAZHJzL2Uyb0RvYy54bWysU1tv2yAUfp+0/4B4X+xkddZZcaqsVaZJ&#10;UVspnfpMMMSWgIOAxM5+/Q7YSbZuT9Ne4Nw4l+98LO56rchRON+Cqeh0klMiDIe6NfuKfn9Zf7il&#10;xAdmaqbAiIqehKd3y/fvFp0txQwaULVwBJMYX3a2ok0ItswyzxuhmZ+AFQadEpxmAVW3z2rHOsyu&#10;VTbL83nWgautAy68R+vD4KTLlF9KwcOTlF4EoiqKvYV0unTu4pktF6zcO2ablo9tsH/oQrPWYNFL&#10;qgcWGDm49o9UuuUOPMgw4aAzkLLlIs2A00zzN9NsG2ZFmgXB8fYCk/9/afnjcWufHQn9F+hxgRGQ&#10;zvrSozHO00un442dEvQjhKcLbKIPhMdHeTGf36CLo+9j8anIi5gmu762zoevAjSJQkUdriWhxY4b&#10;H4bQc0gsZmDdKpVWo8xvBswZLdm1xSiFftePfe+gPuE4DoZNe8vXLdbcMB+emcPVYptI1/CEh1TQ&#10;VRRGiZIG3I+/2WM8Io5eSjqkSkUNcpkS9c3gJiKrkjD9nBc5ai5ps+Imj9ruHGQO+h6QhVP8EJYn&#10;MQYHdRalA/2KbF7FauhihmPNioazeB8G4uJv4GK1SkHIIsvCxmwtj6kjWBHJl/6VOTvCHXBRj3Am&#10;EyvfoD7Expferg4BsU8ricAOaI54IwPTUsffEin+q56irn96+RMAAP//AwBQSwMEFAAGAAgAAAAh&#10;AA4dKjrdAAAABAEAAA8AAABkcnMvZG93bnJldi54bWxMj0FLw0AQhe+C/2EZwYvYjVZDjZkUEQr2&#10;4KHVHLxtstMkmJ0Nu9s0+fduvehl4PEe732TryfTi5Gc7ywj3C0SEMS11R03CJ8fm9sVCB8Ua9Vb&#10;JoSZPKyLy4tcZdqeeEfjPjQilrDPFEIbwpBJ6euWjPILOxBH72CdUSFK10jt1CmWm17eJ0kqjeo4&#10;LrRqoNeW6u/90SCUk7t53zxt3+bqqxvnZFsuV4cS8fpqenkGEWgKf2E440d0KCJTZY+svegR4iPh&#10;9569NH0AUSE8pkuQRS7/wxc/AAAA//8DAFBLAQItABQABgAIAAAAIQC2gziS/gAAAOEBAAATAAAA&#10;AAAAAAAAAAAAAAAAAABbQ29udGVudF9UeXBlc10ueG1sUEsBAi0AFAAGAAgAAAAhADj9If/WAAAA&#10;lAEAAAsAAAAAAAAAAAAAAAAALwEAAF9yZWxzLy5yZWxzUEsBAi0AFAAGAAgAAAAhACifcPsNAgAA&#10;GwQAAA4AAAAAAAAAAAAAAAAALgIAAGRycy9lMm9Eb2MueG1sUEsBAi0AFAAGAAgAAAAhAA4dKjrd&#10;AAAABAEAAA8AAAAAAAAAAAAAAAAAZwQAAGRycy9kb3ducmV2LnhtbFBLBQYAAAAABAAEAPMAAABx&#10;BQAAAAA=&#10;" filled="f" stroked="f">
              <v:fill o:detectmouseclick="t"/>
              <v:textbox style="mso-fit-shape-to-text:t" inset="0,15pt,20pt,0">
                <w:txbxContent>
                  <w:p w14:paraId="5D226CFA" w14:textId="0CBBA491" w:rsidR="00496F24" w:rsidRPr="00496F24" w:rsidRDefault="00496F24" w:rsidP="00496F24">
                    <w:pPr>
                      <w:spacing w:after="0"/>
                      <w:rPr>
                        <w:rFonts w:ascii="Calibri" w:eastAsia="Calibri" w:hAnsi="Calibri" w:cs="Calibri"/>
                        <w:noProof/>
                        <w:color w:val="000000"/>
                        <w:sz w:val="20"/>
                        <w:szCs w:val="20"/>
                      </w:rPr>
                    </w:pPr>
                    <w:r w:rsidRPr="00496F24">
                      <w:rPr>
                        <w:rFonts w:ascii="Calibri" w:eastAsia="Calibri" w:hAnsi="Calibri" w:cs="Calibri"/>
                        <w:noProof/>
                        <w:color w:val="000000"/>
                        <w:sz w:val="20"/>
                        <w:szCs w:val="20"/>
                      </w:rPr>
                      <w:t>BDF-RESTREINT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E7CB1"/>
    <w:multiLevelType w:val="hybridMultilevel"/>
    <w:tmpl w:val="BA70095E"/>
    <w:lvl w:ilvl="0" w:tplc="D71265E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BB0141"/>
    <w:multiLevelType w:val="hybridMultilevel"/>
    <w:tmpl w:val="B6C8916A"/>
    <w:lvl w:ilvl="0" w:tplc="83885AD6">
      <w:start w:val="1"/>
      <w:numFmt w:val="decimal"/>
      <w:pStyle w:val="Titre3"/>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E46FE1"/>
    <w:multiLevelType w:val="multilevel"/>
    <w:tmpl w:val="D0CC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9417C"/>
    <w:multiLevelType w:val="multilevel"/>
    <w:tmpl w:val="E4FE6876"/>
    <w:lvl w:ilvl="0">
      <w:start w:val="4"/>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780" w:hanging="2520"/>
      </w:pPr>
      <w:rPr>
        <w:rFonts w:hint="default"/>
      </w:rPr>
    </w:lvl>
    <w:lvl w:ilvl="8">
      <w:start w:val="1"/>
      <w:numFmt w:val="decimal"/>
      <w:lvlText w:val="%1.%2.%3.%4.%5.%6.%7.%8.%9."/>
      <w:lvlJc w:val="left"/>
      <w:pPr>
        <w:ind w:left="3960" w:hanging="2520"/>
      </w:pPr>
      <w:rPr>
        <w:rFonts w:hint="default"/>
      </w:rPr>
    </w:lvl>
  </w:abstractNum>
  <w:abstractNum w:abstractNumId="4" w15:restartNumberingAfterBreak="0">
    <w:nsid w:val="1BBD6315"/>
    <w:multiLevelType w:val="multilevel"/>
    <w:tmpl w:val="C0A05AB4"/>
    <w:lvl w:ilvl="0">
      <w:start w:val="4"/>
      <w:numFmt w:val="decimal"/>
      <w:lvlText w:val="%1."/>
      <w:lvlJc w:val="left"/>
      <w:pPr>
        <w:ind w:left="1125" w:hanging="1125"/>
      </w:pPr>
      <w:rPr>
        <w:rFonts w:hint="default"/>
      </w:rPr>
    </w:lvl>
    <w:lvl w:ilvl="1">
      <w:start w:val="1"/>
      <w:numFmt w:val="decimal"/>
      <w:lvlText w:val="%1.%2."/>
      <w:lvlJc w:val="left"/>
      <w:pPr>
        <w:ind w:left="1485" w:hanging="1125"/>
      </w:pPr>
      <w:rPr>
        <w:rFonts w:hint="default"/>
      </w:rPr>
    </w:lvl>
    <w:lvl w:ilvl="2">
      <w:start w:val="1"/>
      <w:numFmt w:val="decimal"/>
      <w:lvlText w:val="%1.%2.%3."/>
      <w:lvlJc w:val="left"/>
      <w:pPr>
        <w:ind w:left="1845" w:hanging="1125"/>
      </w:pPr>
      <w:rPr>
        <w:rFonts w:hint="default"/>
      </w:rPr>
    </w:lvl>
    <w:lvl w:ilvl="3">
      <w:start w:val="2"/>
      <w:numFmt w:val="decimal"/>
      <w:pStyle w:val="Titre4"/>
      <w:lvlText w:val="%1.%2.%3.%4."/>
      <w:lvlJc w:val="left"/>
      <w:pPr>
        <w:ind w:left="2542" w:hanging="1125"/>
      </w:pPr>
      <w:rPr>
        <w:rFonts w:hint="default"/>
      </w:rPr>
    </w:lvl>
    <w:lvl w:ilvl="4">
      <w:start w:val="3"/>
      <w:numFmt w:val="decimal"/>
      <w:lvlText w:val="%1.%2.%3.%4.%5."/>
      <w:lvlJc w:val="left"/>
      <w:pPr>
        <w:ind w:left="2565" w:hanging="1125"/>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E624D2E"/>
    <w:multiLevelType w:val="hybridMultilevel"/>
    <w:tmpl w:val="59D008FA"/>
    <w:lvl w:ilvl="0" w:tplc="2A52E06E">
      <w:start w:val="17"/>
      <w:numFmt w:val="bullet"/>
      <w:lvlText w:val="-"/>
      <w:lvlJc w:val="left"/>
      <w:pPr>
        <w:tabs>
          <w:tab w:val="num" w:pos="1776"/>
        </w:tabs>
        <w:ind w:left="1776" w:hanging="360"/>
      </w:pPr>
      <w:rPr>
        <w:rFonts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6" w15:restartNumberingAfterBreak="0">
    <w:nsid w:val="216134B3"/>
    <w:multiLevelType w:val="multilevel"/>
    <w:tmpl w:val="F01A9AC2"/>
    <w:lvl w:ilvl="0">
      <w:start w:val="1"/>
      <w:numFmt w:val="decimal"/>
      <w:pStyle w:val="Titre1"/>
      <w:lvlText w:val="%1."/>
      <w:lvlJc w:val="left"/>
      <w:pPr>
        <w:ind w:left="720" w:hanging="360"/>
      </w:p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328A1EF8"/>
    <w:multiLevelType w:val="hybridMultilevel"/>
    <w:tmpl w:val="64683DFE"/>
    <w:lvl w:ilvl="0" w:tplc="A2E4756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43D47FE"/>
    <w:multiLevelType w:val="hybridMultilevel"/>
    <w:tmpl w:val="754C75E2"/>
    <w:lvl w:ilvl="0" w:tplc="BDFE44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6B0AAC"/>
    <w:multiLevelType w:val="hybridMultilevel"/>
    <w:tmpl w:val="CC380CA4"/>
    <w:lvl w:ilvl="0" w:tplc="3BA0EFA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6CD19F2"/>
    <w:multiLevelType w:val="hybridMultilevel"/>
    <w:tmpl w:val="BC4641DC"/>
    <w:lvl w:ilvl="0" w:tplc="19FE95C4">
      <w:start w:val="1"/>
      <w:numFmt w:val="bullet"/>
      <w:lvlText w:val=""/>
      <w:lvlJc w:val="left"/>
      <w:pPr>
        <w:ind w:left="501" w:hanging="360"/>
      </w:pPr>
      <w:rPr>
        <w:rFonts w:ascii="Wingdings" w:hAnsi="Wingdings"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8A3E40"/>
    <w:multiLevelType w:val="hybridMultilevel"/>
    <w:tmpl w:val="4E4635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AAC09F9"/>
    <w:multiLevelType w:val="hybridMultilevel"/>
    <w:tmpl w:val="3B9E9494"/>
    <w:lvl w:ilvl="0" w:tplc="6B2AC028">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3" w15:restartNumberingAfterBreak="0">
    <w:nsid w:val="3ACB3418"/>
    <w:multiLevelType w:val="hybridMultilevel"/>
    <w:tmpl w:val="850E0498"/>
    <w:lvl w:ilvl="0" w:tplc="E452B1C2">
      <w:numFmt w:val="bullet"/>
      <w:lvlText w:val="-"/>
      <w:lvlJc w:val="left"/>
      <w:pPr>
        <w:tabs>
          <w:tab w:val="num" w:pos="3240"/>
        </w:tabs>
        <w:ind w:left="3240" w:hanging="360"/>
      </w:pPr>
      <w:rPr>
        <w:rFonts w:ascii="Times New Roman" w:eastAsia="Times New Roman" w:hAnsi="Times New Roman" w:cs="Times New Roman" w:hint="default"/>
      </w:rPr>
    </w:lvl>
    <w:lvl w:ilvl="1" w:tplc="040C0003" w:tentative="1">
      <w:start w:val="1"/>
      <w:numFmt w:val="bullet"/>
      <w:lvlText w:val="o"/>
      <w:lvlJc w:val="left"/>
      <w:pPr>
        <w:tabs>
          <w:tab w:val="num" w:pos="3960"/>
        </w:tabs>
        <w:ind w:left="3960" w:hanging="360"/>
      </w:pPr>
      <w:rPr>
        <w:rFonts w:ascii="Courier New" w:hAnsi="Courier New" w:cs="Courier New" w:hint="default"/>
      </w:rPr>
    </w:lvl>
    <w:lvl w:ilvl="2" w:tplc="040C0005" w:tentative="1">
      <w:start w:val="1"/>
      <w:numFmt w:val="bullet"/>
      <w:lvlText w:val=""/>
      <w:lvlJc w:val="left"/>
      <w:pPr>
        <w:tabs>
          <w:tab w:val="num" w:pos="4680"/>
        </w:tabs>
        <w:ind w:left="4680" w:hanging="360"/>
      </w:pPr>
      <w:rPr>
        <w:rFonts w:ascii="Wingdings" w:hAnsi="Wingdings" w:hint="default"/>
      </w:rPr>
    </w:lvl>
    <w:lvl w:ilvl="3" w:tplc="040C0001" w:tentative="1">
      <w:start w:val="1"/>
      <w:numFmt w:val="bullet"/>
      <w:lvlText w:val=""/>
      <w:lvlJc w:val="left"/>
      <w:pPr>
        <w:tabs>
          <w:tab w:val="num" w:pos="5400"/>
        </w:tabs>
        <w:ind w:left="5400" w:hanging="360"/>
      </w:pPr>
      <w:rPr>
        <w:rFonts w:ascii="Symbol" w:hAnsi="Symbol" w:hint="default"/>
      </w:rPr>
    </w:lvl>
    <w:lvl w:ilvl="4" w:tplc="040C0003" w:tentative="1">
      <w:start w:val="1"/>
      <w:numFmt w:val="bullet"/>
      <w:lvlText w:val="o"/>
      <w:lvlJc w:val="left"/>
      <w:pPr>
        <w:tabs>
          <w:tab w:val="num" w:pos="6120"/>
        </w:tabs>
        <w:ind w:left="6120" w:hanging="360"/>
      </w:pPr>
      <w:rPr>
        <w:rFonts w:ascii="Courier New" w:hAnsi="Courier New" w:cs="Courier New" w:hint="default"/>
      </w:rPr>
    </w:lvl>
    <w:lvl w:ilvl="5" w:tplc="040C0005" w:tentative="1">
      <w:start w:val="1"/>
      <w:numFmt w:val="bullet"/>
      <w:lvlText w:val=""/>
      <w:lvlJc w:val="left"/>
      <w:pPr>
        <w:tabs>
          <w:tab w:val="num" w:pos="6840"/>
        </w:tabs>
        <w:ind w:left="6840" w:hanging="360"/>
      </w:pPr>
      <w:rPr>
        <w:rFonts w:ascii="Wingdings" w:hAnsi="Wingdings" w:hint="default"/>
      </w:rPr>
    </w:lvl>
    <w:lvl w:ilvl="6" w:tplc="040C0001" w:tentative="1">
      <w:start w:val="1"/>
      <w:numFmt w:val="bullet"/>
      <w:lvlText w:val=""/>
      <w:lvlJc w:val="left"/>
      <w:pPr>
        <w:tabs>
          <w:tab w:val="num" w:pos="7560"/>
        </w:tabs>
        <w:ind w:left="7560" w:hanging="360"/>
      </w:pPr>
      <w:rPr>
        <w:rFonts w:ascii="Symbol" w:hAnsi="Symbol" w:hint="default"/>
      </w:rPr>
    </w:lvl>
    <w:lvl w:ilvl="7" w:tplc="040C0003" w:tentative="1">
      <w:start w:val="1"/>
      <w:numFmt w:val="bullet"/>
      <w:lvlText w:val="o"/>
      <w:lvlJc w:val="left"/>
      <w:pPr>
        <w:tabs>
          <w:tab w:val="num" w:pos="8280"/>
        </w:tabs>
        <w:ind w:left="8280" w:hanging="360"/>
      </w:pPr>
      <w:rPr>
        <w:rFonts w:ascii="Courier New" w:hAnsi="Courier New" w:cs="Courier New" w:hint="default"/>
      </w:rPr>
    </w:lvl>
    <w:lvl w:ilvl="8" w:tplc="040C0005" w:tentative="1">
      <w:start w:val="1"/>
      <w:numFmt w:val="bullet"/>
      <w:lvlText w:val=""/>
      <w:lvlJc w:val="left"/>
      <w:pPr>
        <w:tabs>
          <w:tab w:val="num" w:pos="9000"/>
        </w:tabs>
        <w:ind w:left="9000" w:hanging="360"/>
      </w:pPr>
      <w:rPr>
        <w:rFonts w:ascii="Wingdings" w:hAnsi="Wingdings" w:hint="default"/>
      </w:rPr>
    </w:lvl>
  </w:abstractNum>
  <w:abstractNum w:abstractNumId="14" w15:restartNumberingAfterBreak="0">
    <w:nsid w:val="3B795356"/>
    <w:multiLevelType w:val="hybridMultilevel"/>
    <w:tmpl w:val="9924A2CE"/>
    <w:lvl w:ilvl="0" w:tplc="FE56C49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6A6054"/>
    <w:multiLevelType w:val="hybridMultilevel"/>
    <w:tmpl w:val="B7F483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832FF1"/>
    <w:multiLevelType w:val="hybridMultilevel"/>
    <w:tmpl w:val="B8CCF568"/>
    <w:lvl w:ilvl="0" w:tplc="EAA8D6E2">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960670"/>
    <w:multiLevelType w:val="hybridMultilevel"/>
    <w:tmpl w:val="6B7E33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B665234"/>
    <w:multiLevelType w:val="hybridMultilevel"/>
    <w:tmpl w:val="CF06C194"/>
    <w:lvl w:ilvl="0" w:tplc="F40611A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6B22F1"/>
    <w:multiLevelType w:val="hybridMultilevel"/>
    <w:tmpl w:val="44EC8B7E"/>
    <w:lvl w:ilvl="0" w:tplc="1DF6F1D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79958EA"/>
    <w:multiLevelType w:val="hybridMultilevel"/>
    <w:tmpl w:val="80FE0A10"/>
    <w:lvl w:ilvl="0" w:tplc="0714E8FE">
      <w:start w:val="1"/>
      <w:numFmt w:val="bullet"/>
      <w:lvlText w:val="-"/>
      <w:lvlJc w:val="left"/>
      <w:pPr>
        <w:tabs>
          <w:tab w:val="num" w:pos="720"/>
        </w:tabs>
        <w:ind w:left="720" w:hanging="360"/>
      </w:pPr>
      <w:rPr>
        <w:rFonts w:ascii="Calibri" w:eastAsiaTheme="minorHAnsi" w:hAnsi="Calibri" w:cs="Calibri" w:hint="default"/>
      </w:rPr>
    </w:lvl>
    <w:lvl w:ilvl="1" w:tplc="B33475AA" w:tentative="1">
      <w:start w:val="1"/>
      <w:numFmt w:val="bullet"/>
      <w:lvlText w:val=""/>
      <w:lvlJc w:val="left"/>
      <w:pPr>
        <w:tabs>
          <w:tab w:val="num" w:pos="1440"/>
        </w:tabs>
        <w:ind w:left="1440" w:hanging="360"/>
      </w:pPr>
      <w:rPr>
        <w:rFonts w:ascii="Wingdings" w:hAnsi="Wingdings" w:hint="default"/>
      </w:rPr>
    </w:lvl>
    <w:lvl w:ilvl="2" w:tplc="886AB03E" w:tentative="1">
      <w:start w:val="1"/>
      <w:numFmt w:val="bullet"/>
      <w:lvlText w:val=""/>
      <w:lvlJc w:val="left"/>
      <w:pPr>
        <w:tabs>
          <w:tab w:val="num" w:pos="2160"/>
        </w:tabs>
        <w:ind w:left="2160" w:hanging="360"/>
      </w:pPr>
      <w:rPr>
        <w:rFonts w:ascii="Wingdings" w:hAnsi="Wingdings" w:hint="default"/>
      </w:rPr>
    </w:lvl>
    <w:lvl w:ilvl="3" w:tplc="DED88682" w:tentative="1">
      <w:start w:val="1"/>
      <w:numFmt w:val="bullet"/>
      <w:lvlText w:val=""/>
      <w:lvlJc w:val="left"/>
      <w:pPr>
        <w:tabs>
          <w:tab w:val="num" w:pos="2880"/>
        </w:tabs>
        <w:ind w:left="2880" w:hanging="360"/>
      </w:pPr>
      <w:rPr>
        <w:rFonts w:ascii="Wingdings" w:hAnsi="Wingdings" w:hint="default"/>
      </w:rPr>
    </w:lvl>
    <w:lvl w:ilvl="4" w:tplc="CD9C7F9A" w:tentative="1">
      <w:start w:val="1"/>
      <w:numFmt w:val="bullet"/>
      <w:lvlText w:val=""/>
      <w:lvlJc w:val="left"/>
      <w:pPr>
        <w:tabs>
          <w:tab w:val="num" w:pos="3600"/>
        </w:tabs>
        <w:ind w:left="3600" w:hanging="360"/>
      </w:pPr>
      <w:rPr>
        <w:rFonts w:ascii="Wingdings" w:hAnsi="Wingdings" w:hint="default"/>
      </w:rPr>
    </w:lvl>
    <w:lvl w:ilvl="5" w:tplc="DC123BB2" w:tentative="1">
      <w:start w:val="1"/>
      <w:numFmt w:val="bullet"/>
      <w:lvlText w:val=""/>
      <w:lvlJc w:val="left"/>
      <w:pPr>
        <w:tabs>
          <w:tab w:val="num" w:pos="4320"/>
        </w:tabs>
        <w:ind w:left="4320" w:hanging="360"/>
      </w:pPr>
      <w:rPr>
        <w:rFonts w:ascii="Wingdings" w:hAnsi="Wingdings" w:hint="default"/>
      </w:rPr>
    </w:lvl>
    <w:lvl w:ilvl="6" w:tplc="72605B32" w:tentative="1">
      <w:start w:val="1"/>
      <w:numFmt w:val="bullet"/>
      <w:lvlText w:val=""/>
      <w:lvlJc w:val="left"/>
      <w:pPr>
        <w:tabs>
          <w:tab w:val="num" w:pos="5040"/>
        </w:tabs>
        <w:ind w:left="5040" w:hanging="360"/>
      </w:pPr>
      <w:rPr>
        <w:rFonts w:ascii="Wingdings" w:hAnsi="Wingdings" w:hint="default"/>
      </w:rPr>
    </w:lvl>
    <w:lvl w:ilvl="7" w:tplc="28D28430" w:tentative="1">
      <w:start w:val="1"/>
      <w:numFmt w:val="bullet"/>
      <w:lvlText w:val=""/>
      <w:lvlJc w:val="left"/>
      <w:pPr>
        <w:tabs>
          <w:tab w:val="num" w:pos="5760"/>
        </w:tabs>
        <w:ind w:left="5760" w:hanging="360"/>
      </w:pPr>
      <w:rPr>
        <w:rFonts w:ascii="Wingdings" w:hAnsi="Wingdings" w:hint="default"/>
      </w:rPr>
    </w:lvl>
    <w:lvl w:ilvl="8" w:tplc="C6E83DA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20120A"/>
    <w:multiLevelType w:val="hybridMultilevel"/>
    <w:tmpl w:val="93FA6628"/>
    <w:lvl w:ilvl="0" w:tplc="ACB2CA2C">
      <w:start w:val="1"/>
      <w:numFmt w:val="bullet"/>
      <w:lvlText w:val=""/>
      <w:lvlJc w:val="left"/>
      <w:pPr>
        <w:tabs>
          <w:tab w:val="num" w:pos="720"/>
        </w:tabs>
        <w:ind w:left="720" w:hanging="360"/>
      </w:pPr>
      <w:rPr>
        <w:rFonts w:ascii="Wingdings" w:hAnsi="Wingdings" w:hint="default"/>
      </w:rPr>
    </w:lvl>
    <w:lvl w:ilvl="1" w:tplc="B33475AA" w:tentative="1">
      <w:start w:val="1"/>
      <w:numFmt w:val="bullet"/>
      <w:lvlText w:val=""/>
      <w:lvlJc w:val="left"/>
      <w:pPr>
        <w:tabs>
          <w:tab w:val="num" w:pos="1440"/>
        </w:tabs>
        <w:ind w:left="1440" w:hanging="360"/>
      </w:pPr>
      <w:rPr>
        <w:rFonts w:ascii="Wingdings" w:hAnsi="Wingdings" w:hint="default"/>
      </w:rPr>
    </w:lvl>
    <w:lvl w:ilvl="2" w:tplc="886AB03E" w:tentative="1">
      <w:start w:val="1"/>
      <w:numFmt w:val="bullet"/>
      <w:lvlText w:val=""/>
      <w:lvlJc w:val="left"/>
      <w:pPr>
        <w:tabs>
          <w:tab w:val="num" w:pos="2160"/>
        </w:tabs>
        <w:ind w:left="2160" w:hanging="360"/>
      </w:pPr>
      <w:rPr>
        <w:rFonts w:ascii="Wingdings" w:hAnsi="Wingdings" w:hint="default"/>
      </w:rPr>
    </w:lvl>
    <w:lvl w:ilvl="3" w:tplc="DED88682" w:tentative="1">
      <w:start w:val="1"/>
      <w:numFmt w:val="bullet"/>
      <w:lvlText w:val=""/>
      <w:lvlJc w:val="left"/>
      <w:pPr>
        <w:tabs>
          <w:tab w:val="num" w:pos="2880"/>
        </w:tabs>
        <w:ind w:left="2880" w:hanging="360"/>
      </w:pPr>
      <w:rPr>
        <w:rFonts w:ascii="Wingdings" w:hAnsi="Wingdings" w:hint="default"/>
      </w:rPr>
    </w:lvl>
    <w:lvl w:ilvl="4" w:tplc="CD9C7F9A" w:tentative="1">
      <w:start w:val="1"/>
      <w:numFmt w:val="bullet"/>
      <w:lvlText w:val=""/>
      <w:lvlJc w:val="left"/>
      <w:pPr>
        <w:tabs>
          <w:tab w:val="num" w:pos="3600"/>
        </w:tabs>
        <w:ind w:left="3600" w:hanging="360"/>
      </w:pPr>
      <w:rPr>
        <w:rFonts w:ascii="Wingdings" w:hAnsi="Wingdings" w:hint="default"/>
      </w:rPr>
    </w:lvl>
    <w:lvl w:ilvl="5" w:tplc="DC123BB2" w:tentative="1">
      <w:start w:val="1"/>
      <w:numFmt w:val="bullet"/>
      <w:lvlText w:val=""/>
      <w:lvlJc w:val="left"/>
      <w:pPr>
        <w:tabs>
          <w:tab w:val="num" w:pos="4320"/>
        </w:tabs>
        <w:ind w:left="4320" w:hanging="360"/>
      </w:pPr>
      <w:rPr>
        <w:rFonts w:ascii="Wingdings" w:hAnsi="Wingdings" w:hint="default"/>
      </w:rPr>
    </w:lvl>
    <w:lvl w:ilvl="6" w:tplc="72605B32" w:tentative="1">
      <w:start w:val="1"/>
      <w:numFmt w:val="bullet"/>
      <w:lvlText w:val=""/>
      <w:lvlJc w:val="left"/>
      <w:pPr>
        <w:tabs>
          <w:tab w:val="num" w:pos="5040"/>
        </w:tabs>
        <w:ind w:left="5040" w:hanging="360"/>
      </w:pPr>
      <w:rPr>
        <w:rFonts w:ascii="Wingdings" w:hAnsi="Wingdings" w:hint="default"/>
      </w:rPr>
    </w:lvl>
    <w:lvl w:ilvl="7" w:tplc="28D28430" w:tentative="1">
      <w:start w:val="1"/>
      <w:numFmt w:val="bullet"/>
      <w:lvlText w:val=""/>
      <w:lvlJc w:val="left"/>
      <w:pPr>
        <w:tabs>
          <w:tab w:val="num" w:pos="5760"/>
        </w:tabs>
        <w:ind w:left="5760" w:hanging="360"/>
      </w:pPr>
      <w:rPr>
        <w:rFonts w:ascii="Wingdings" w:hAnsi="Wingdings" w:hint="default"/>
      </w:rPr>
    </w:lvl>
    <w:lvl w:ilvl="8" w:tplc="C6E83DA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72DA7"/>
    <w:multiLevelType w:val="hybridMultilevel"/>
    <w:tmpl w:val="22883FE4"/>
    <w:lvl w:ilvl="0" w:tplc="59604B84">
      <w:start w:val="1"/>
      <w:numFmt w:val="bullet"/>
      <w:lvlText w:val="-"/>
      <w:lvlJc w:val="left"/>
      <w:pPr>
        <w:tabs>
          <w:tab w:val="num" w:pos="720"/>
        </w:tabs>
        <w:ind w:left="720" w:hanging="360"/>
      </w:pPr>
      <w:rPr>
        <w:rFonts w:ascii="Times New Roman" w:hAnsi="Times New Roman" w:hint="default"/>
      </w:rPr>
    </w:lvl>
    <w:lvl w:ilvl="1" w:tplc="9EFA51AE" w:tentative="1">
      <w:start w:val="1"/>
      <w:numFmt w:val="bullet"/>
      <w:lvlText w:val="-"/>
      <w:lvlJc w:val="left"/>
      <w:pPr>
        <w:tabs>
          <w:tab w:val="num" w:pos="1440"/>
        </w:tabs>
        <w:ind w:left="1440" w:hanging="360"/>
      </w:pPr>
      <w:rPr>
        <w:rFonts w:ascii="Times New Roman" w:hAnsi="Times New Roman" w:hint="default"/>
      </w:rPr>
    </w:lvl>
    <w:lvl w:ilvl="2" w:tplc="FF3E9AAC" w:tentative="1">
      <w:start w:val="1"/>
      <w:numFmt w:val="bullet"/>
      <w:lvlText w:val="-"/>
      <w:lvlJc w:val="left"/>
      <w:pPr>
        <w:tabs>
          <w:tab w:val="num" w:pos="2160"/>
        </w:tabs>
        <w:ind w:left="2160" w:hanging="360"/>
      </w:pPr>
      <w:rPr>
        <w:rFonts w:ascii="Times New Roman" w:hAnsi="Times New Roman" w:hint="default"/>
      </w:rPr>
    </w:lvl>
    <w:lvl w:ilvl="3" w:tplc="332203D4" w:tentative="1">
      <w:start w:val="1"/>
      <w:numFmt w:val="bullet"/>
      <w:lvlText w:val="-"/>
      <w:lvlJc w:val="left"/>
      <w:pPr>
        <w:tabs>
          <w:tab w:val="num" w:pos="2880"/>
        </w:tabs>
        <w:ind w:left="2880" w:hanging="360"/>
      </w:pPr>
      <w:rPr>
        <w:rFonts w:ascii="Times New Roman" w:hAnsi="Times New Roman" w:hint="default"/>
      </w:rPr>
    </w:lvl>
    <w:lvl w:ilvl="4" w:tplc="339EA232" w:tentative="1">
      <w:start w:val="1"/>
      <w:numFmt w:val="bullet"/>
      <w:lvlText w:val="-"/>
      <w:lvlJc w:val="left"/>
      <w:pPr>
        <w:tabs>
          <w:tab w:val="num" w:pos="3600"/>
        </w:tabs>
        <w:ind w:left="3600" w:hanging="360"/>
      </w:pPr>
      <w:rPr>
        <w:rFonts w:ascii="Times New Roman" w:hAnsi="Times New Roman" w:hint="default"/>
      </w:rPr>
    </w:lvl>
    <w:lvl w:ilvl="5" w:tplc="CB061BBE" w:tentative="1">
      <w:start w:val="1"/>
      <w:numFmt w:val="bullet"/>
      <w:lvlText w:val="-"/>
      <w:lvlJc w:val="left"/>
      <w:pPr>
        <w:tabs>
          <w:tab w:val="num" w:pos="4320"/>
        </w:tabs>
        <w:ind w:left="4320" w:hanging="360"/>
      </w:pPr>
      <w:rPr>
        <w:rFonts w:ascii="Times New Roman" w:hAnsi="Times New Roman" w:hint="default"/>
      </w:rPr>
    </w:lvl>
    <w:lvl w:ilvl="6" w:tplc="C8B210DC" w:tentative="1">
      <w:start w:val="1"/>
      <w:numFmt w:val="bullet"/>
      <w:lvlText w:val="-"/>
      <w:lvlJc w:val="left"/>
      <w:pPr>
        <w:tabs>
          <w:tab w:val="num" w:pos="5040"/>
        </w:tabs>
        <w:ind w:left="5040" w:hanging="360"/>
      </w:pPr>
      <w:rPr>
        <w:rFonts w:ascii="Times New Roman" w:hAnsi="Times New Roman" w:hint="default"/>
      </w:rPr>
    </w:lvl>
    <w:lvl w:ilvl="7" w:tplc="2BC0B5BE" w:tentative="1">
      <w:start w:val="1"/>
      <w:numFmt w:val="bullet"/>
      <w:lvlText w:val="-"/>
      <w:lvlJc w:val="left"/>
      <w:pPr>
        <w:tabs>
          <w:tab w:val="num" w:pos="5760"/>
        </w:tabs>
        <w:ind w:left="5760" w:hanging="360"/>
      </w:pPr>
      <w:rPr>
        <w:rFonts w:ascii="Times New Roman" w:hAnsi="Times New Roman" w:hint="default"/>
      </w:rPr>
    </w:lvl>
    <w:lvl w:ilvl="8" w:tplc="C6FC4A1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D83270C"/>
    <w:multiLevelType w:val="hybridMultilevel"/>
    <w:tmpl w:val="A30C93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5C8750C"/>
    <w:multiLevelType w:val="multilevel"/>
    <w:tmpl w:val="4BC66672"/>
    <w:lvl w:ilvl="0">
      <w:start w:val="3"/>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6A174CE5"/>
    <w:multiLevelType w:val="hybridMultilevel"/>
    <w:tmpl w:val="8A404DD0"/>
    <w:lvl w:ilvl="0" w:tplc="2A52E06E">
      <w:start w:val="17"/>
      <w:numFmt w:val="bullet"/>
      <w:lvlText w:val="-"/>
      <w:lvlJc w:val="left"/>
      <w:pPr>
        <w:tabs>
          <w:tab w:val="num" w:pos="1776"/>
        </w:tabs>
        <w:ind w:left="1776" w:hanging="360"/>
      </w:pPr>
      <w:rPr>
        <w:rFonts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26" w15:restartNumberingAfterBreak="0">
    <w:nsid w:val="6D650CC7"/>
    <w:multiLevelType w:val="hybridMultilevel"/>
    <w:tmpl w:val="B1B270CA"/>
    <w:lvl w:ilvl="0" w:tplc="E1EA81FA">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0390B64"/>
    <w:multiLevelType w:val="hybridMultilevel"/>
    <w:tmpl w:val="A3CE952A"/>
    <w:lvl w:ilvl="0" w:tplc="BFE8970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1DC5B1B"/>
    <w:multiLevelType w:val="multilevel"/>
    <w:tmpl w:val="E4FE6876"/>
    <w:lvl w:ilvl="0">
      <w:start w:val="4"/>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780" w:hanging="2520"/>
      </w:pPr>
      <w:rPr>
        <w:rFonts w:hint="default"/>
      </w:rPr>
    </w:lvl>
    <w:lvl w:ilvl="8">
      <w:start w:val="1"/>
      <w:numFmt w:val="decimal"/>
      <w:lvlText w:val="%1.%2.%3.%4.%5.%6.%7.%8.%9."/>
      <w:lvlJc w:val="left"/>
      <w:pPr>
        <w:ind w:left="3960" w:hanging="2520"/>
      </w:pPr>
      <w:rPr>
        <w:rFonts w:hint="default"/>
      </w:rPr>
    </w:lvl>
  </w:abstractNum>
  <w:abstractNum w:abstractNumId="29" w15:restartNumberingAfterBreak="0">
    <w:nsid w:val="73DE6382"/>
    <w:multiLevelType w:val="multilevel"/>
    <w:tmpl w:val="68D0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4418FD"/>
    <w:multiLevelType w:val="hybridMultilevel"/>
    <w:tmpl w:val="C914BEC4"/>
    <w:lvl w:ilvl="0" w:tplc="B05AF9CE">
      <w:start w:val="1"/>
      <w:numFmt w:val="decimal"/>
      <w:pStyle w:val="Titre5"/>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57E3EFB"/>
    <w:multiLevelType w:val="hybridMultilevel"/>
    <w:tmpl w:val="FAE0EF80"/>
    <w:lvl w:ilvl="0" w:tplc="0714E8FE">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A15394"/>
    <w:multiLevelType w:val="multilevel"/>
    <w:tmpl w:val="2DA22DD2"/>
    <w:lvl w:ilvl="0">
      <w:start w:val="4"/>
      <w:numFmt w:val="decimal"/>
      <w:lvlText w:val="%1."/>
      <w:lvlJc w:val="left"/>
      <w:pPr>
        <w:ind w:left="900" w:hanging="900"/>
      </w:pPr>
      <w:rPr>
        <w:rFonts w:hint="default"/>
      </w:rPr>
    </w:lvl>
    <w:lvl w:ilvl="1">
      <w:start w:val="1"/>
      <w:numFmt w:val="decimal"/>
      <w:lvlText w:val="%1.%2."/>
      <w:lvlJc w:val="left"/>
      <w:pPr>
        <w:ind w:left="1080" w:hanging="900"/>
      </w:pPr>
      <w:rPr>
        <w:rFonts w:hint="default"/>
      </w:rPr>
    </w:lvl>
    <w:lvl w:ilvl="2">
      <w:start w:val="2"/>
      <w:numFmt w:val="decimal"/>
      <w:lvlText w:val="%1.%2.%3."/>
      <w:lvlJc w:val="left"/>
      <w:pPr>
        <w:ind w:left="1260" w:hanging="90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15:restartNumberingAfterBreak="0">
    <w:nsid w:val="76F13DB8"/>
    <w:multiLevelType w:val="hybridMultilevel"/>
    <w:tmpl w:val="F5D6C586"/>
    <w:lvl w:ilvl="0" w:tplc="2312D73E">
      <w:start w:val="1"/>
      <w:numFmt w:val="bullet"/>
      <w:lvlText w:val=""/>
      <w:lvlJc w:val="left"/>
      <w:pPr>
        <w:tabs>
          <w:tab w:val="num" w:pos="720"/>
        </w:tabs>
        <w:ind w:left="720" w:hanging="360"/>
      </w:pPr>
      <w:rPr>
        <w:rFonts w:ascii="Wingdings" w:hAnsi="Wingdings" w:hint="default"/>
      </w:rPr>
    </w:lvl>
    <w:lvl w:ilvl="1" w:tplc="1A92AD76" w:tentative="1">
      <w:start w:val="1"/>
      <w:numFmt w:val="bullet"/>
      <w:lvlText w:val=""/>
      <w:lvlJc w:val="left"/>
      <w:pPr>
        <w:tabs>
          <w:tab w:val="num" w:pos="1440"/>
        </w:tabs>
        <w:ind w:left="1440" w:hanging="360"/>
      </w:pPr>
      <w:rPr>
        <w:rFonts w:ascii="Wingdings" w:hAnsi="Wingdings" w:hint="default"/>
      </w:rPr>
    </w:lvl>
    <w:lvl w:ilvl="2" w:tplc="FF086BAA" w:tentative="1">
      <w:start w:val="1"/>
      <w:numFmt w:val="bullet"/>
      <w:lvlText w:val=""/>
      <w:lvlJc w:val="left"/>
      <w:pPr>
        <w:tabs>
          <w:tab w:val="num" w:pos="2160"/>
        </w:tabs>
        <w:ind w:left="2160" w:hanging="360"/>
      </w:pPr>
      <w:rPr>
        <w:rFonts w:ascii="Wingdings" w:hAnsi="Wingdings" w:hint="default"/>
      </w:rPr>
    </w:lvl>
    <w:lvl w:ilvl="3" w:tplc="EE84DD80" w:tentative="1">
      <w:start w:val="1"/>
      <w:numFmt w:val="bullet"/>
      <w:lvlText w:val=""/>
      <w:lvlJc w:val="left"/>
      <w:pPr>
        <w:tabs>
          <w:tab w:val="num" w:pos="2880"/>
        </w:tabs>
        <w:ind w:left="2880" w:hanging="360"/>
      </w:pPr>
      <w:rPr>
        <w:rFonts w:ascii="Wingdings" w:hAnsi="Wingdings" w:hint="default"/>
      </w:rPr>
    </w:lvl>
    <w:lvl w:ilvl="4" w:tplc="2C7E6A30" w:tentative="1">
      <w:start w:val="1"/>
      <w:numFmt w:val="bullet"/>
      <w:lvlText w:val=""/>
      <w:lvlJc w:val="left"/>
      <w:pPr>
        <w:tabs>
          <w:tab w:val="num" w:pos="3600"/>
        </w:tabs>
        <w:ind w:left="3600" w:hanging="360"/>
      </w:pPr>
      <w:rPr>
        <w:rFonts w:ascii="Wingdings" w:hAnsi="Wingdings" w:hint="default"/>
      </w:rPr>
    </w:lvl>
    <w:lvl w:ilvl="5" w:tplc="3A843606" w:tentative="1">
      <w:start w:val="1"/>
      <w:numFmt w:val="bullet"/>
      <w:lvlText w:val=""/>
      <w:lvlJc w:val="left"/>
      <w:pPr>
        <w:tabs>
          <w:tab w:val="num" w:pos="4320"/>
        </w:tabs>
        <w:ind w:left="4320" w:hanging="360"/>
      </w:pPr>
      <w:rPr>
        <w:rFonts w:ascii="Wingdings" w:hAnsi="Wingdings" w:hint="default"/>
      </w:rPr>
    </w:lvl>
    <w:lvl w:ilvl="6" w:tplc="0290C96C" w:tentative="1">
      <w:start w:val="1"/>
      <w:numFmt w:val="bullet"/>
      <w:lvlText w:val=""/>
      <w:lvlJc w:val="left"/>
      <w:pPr>
        <w:tabs>
          <w:tab w:val="num" w:pos="5040"/>
        </w:tabs>
        <w:ind w:left="5040" w:hanging="360"/>
      </w:pPr>
      <w:rPr>
        <w:rFonts w:ascii="Wingdings" w:hAnsi="Wingdings" w:hint="default"/>
      </w:rPr>
    </w:lvl>
    <w:lvl w:ilvl="7" w:tplc="B91AA6CC" w:tentative="1">
      <w:start w:val="1"/>
      <w:numFmt w:val="bullet"/>
      <w:lvlText w:val=""/>
      <w:lvlJc w:val="left"/>
      <w:pPr>
        <w:tabs>
          <w:tab w:val="num" w:pos="5760"/>
        </w:tabs>
        <w:ind w:left="5760" w:hanging="360"/>
      </w:pPr>
      <w:rPr>
        <w:rFonts w:ascii="Wingdings" w:hAnsi="Wingdings" w:hint="default"/>
      </w:rPr>
    </w:lvl>
    <w:lvl w:ilvl="8" w:tplc="5800692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35409E"/>
    <w:multiLevelType w:val="multilevel"/>
    <w:tmpl w:val="86446E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95838595">
    <w:abstractNumId w:val="34"/>
  </w:num>
  <w:num w:numId="2" w16cid:durableId="640422508">
    <w:abstractNumId w:val="15"/>
  </w:num>
  <w:num w:numId="3" w16cid:durableId="407508343">
    <w:abstractNumId w:val="31"/>
  </w:num>
  <w:num w:numId="4" w16cid:durableId="711271912">
    <w:abstractNumId w:val="16"/>
  </w:num>
  <w:num w:numId="5" w16cid:durableId="819423799">
    <w:abstractNumId w:val="13"/>
  </w:num>
  <w:num w:numId="6" w16cid:durableId="516627029">
    <w:abstractNumId w:val="8"/>
  </w:num>
  <w:num w:numId="7" w16cid:durableId="787774185">
    <w:abstractNumId w:val="5"/>
  </w:num>
  <w:num w:numId="8" w16cid:durableId="467405742">
    <w:abstractNumId w:val="25"/>
  </w:num>
  <w:num w:numId="9" w16cid:durableId="846217918">
    <w:abstractNumId w:val="29"/>
  </w:num>
  <w:num w:numId="10" w16cid:durableId="2036036280">
    <w:abstractNumId w:val="10"/>
  </w:num>
  <w:num w:numId="11" w16cid:durableId="1035929818">
    <w:abstractNumId w:val="14"/>
  </w:num>
  <w:num w:numId="12" w16cid:durableId="637104922">
    <w:abstractNumId w:val="0"/>
  </w:num>
  <w:num w:numId="13" w16cid:durableId="1419251390">
    <w:abstractNumId w:val="6"/>
  </w:num>
  <w:num w:numId="14" w16cid:durableId="327101308">
    <w:abstractNumId w:val="26"/>
  </w:num>
  <w:num w:numId="15" w16cid:durableId="351805039">
    <w:abstractNumId w:val="1"/>
  </w:num>
  <w:num w:numId="16" w16cid:durableId="811411277">
    <w:abstractNumId w:val="30"/>
  </w:num>
  <w:num w:numId="17" w16cid:durableId="222176246">
    <w:abstractNumId w:val="4"/>
  </w:num>
  <w:num w:numId="18" w16cid:durableId="1142308947">
    <w:abstractNumId w:val="24"/>
  </w:num>
  <w:num w:numId="19" w16cid:durableId="1293637931">
    <w:abstractNumId w:val="28"/>
  </w:num>
  <w:num w:numId="20" w16cid:durableId="275984650">
    <w:abstractNumId w:val="32"/>
  </w:num>
  <w:num w:numId="21" w16cid:durableId="1260797938">
    <w:abstractNumId w:val="17"/>
  </w:num>
  <w:num w:numId="22" w16cid:durableId="1671592798">
    <w:abstractNumId w:val="6"/>
  </w:num>
  <w:num w:numId="23" w16cid:durableId="568073828">
    <w:abstractNumId w:val="11"/>
  </w:num>
  <w:num w:numId="24" w16cid:durableId="1393770308">
    <w:abstractNumId w:val="6"/>
  </w:num>
  <w:num w:numId="25" w16cid:durableId="2068868507">
    <w:abstractNumId w:val="23"/>
  </w:num>
  <w:num w:numId="26" w16cid:durableId="1885754327">
    <w:abstractNumId w:val="6"/>
  </w:num>
  <w:num w:numId="27" w16cid:durableId="2080328362">
    <w:abstractNumId w:val="2"/>
  </w:num>
  <w:num w:numId="28" w16cid:durableId="1580408020">
    <w:abstractNumId w:val="9"/>
  </w:num>
  <w:num w:numId="29" w16cid:durableId="1305432984">
    <w:abstractNumId w:val="33"/>
  </w:num>
  <w:num w:numId="30" w16cid:durableId="223418144">
    <w:abstractNumId w:val="19"/>
  </w:num>
  <w:num w:numId="31" w16cid:durableId="1708026059">
    <w:abstractNumId w:val="7"/>
  </w:num>
  <w:num w:numId="32" w16cid:durableId="448354570">
    <w:abstractNumId w:val="21"/>
  </w:num>
  <w:num w:numId="33" w16cid:durableId="799883681">
    <w:abstractNumId w:val="20"/>
  </w:num>
  <w:num w:numId="34" w16cid:durableId="1228959873">
    <w:abstractNumId w:val="18"/>
  </w:num>
  <w:num w:numId="35" w16cid:durableId="81688935">
    <w:abstractNumId w:val="22"/>
  </w:num>
  <w:num w:numId="36" w16cid:durableId="1562473235">
    <w:abstractNumId w:val="27"/>
  </w:num>
  <w:num w:numId="37" w16cid:durableId="1244031584">
    <w:abstractNumId w:val="12"/>
  </w:num>
  <w:num w:numId="38" w16cid:durableId="1979720032">
    <w:abstractNumId w:val="3"/>
  </w:num>
  <w:num w:numId="39" w16cid:durableId="1473059594">
    <w:abstractNumId w:val="4"/>
  </w:num>
  <w:num w:numId="40" w16cid:durableId="126904238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proofState w:spelling="clean" w:grammar="clean"/>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877"/>
    <w:rsid w:val="00001F93"/>
    <w:rsid w:val="000027FA"/>
    <w:rsid w:val="00004A12"/>
    <w:rsid w:val="00004ABC"/>
    <w:rsid w:val="00006943"/>
    <w:rsid w:val="00007BC0"/>
    <w:rsid w:val="00007C50"/>
    <w:rsid w:val="000106B6"/>
    <w:rsid w:val="00011453"/>
    <w:rsid w:val="000158AB"/>
    <w:rsid w:val="000163F7"/>
    <w:rsid w:val="0001666E"/>
    <w:rsid w:val="000175EB"/>
    <w:rsid w:val="00017E2C"/>
    <w:rsid w:val="00020CC9"/>
    <w:rsid w:val="0002138A"/>
    <w:rsid w:val="000213AE"/>
    <w:rsid w:val="0002267D"/>
    <w:rsid w:val="00026A5B"/>
    <w:rsid w:val="000272FC"/>
    <w:rsid w:val="0003060D"/>
    <w:rsid w:val="00030F1C"/>
    <w:rsid w:val="000315DC"/>
    <w:rsid w:val="00033475"/>
    <w:rsid w:val="0003355C"/>
    <w:rsid w:val="000361D9"/>
    <w:rsid w:val="00036919"/>
    <w:rsid w:val="00037C6B"/>
    <w:rsid w:val="00040C36"/>
    <w:rsid w:val="00041C40"/>
    <w:rsid w:val="000421DE"/>
    <w:rsid w:val="00042945"/>
    <w:rsid w:val="000459A6"/>
    <w:rsid w:val="00045D76"/>
    <w:rsid w:val="000467E1"/>
    <w:rsid w:val="000479CB"/>
    <w:rsid w:val="00047F61"/>
    <w:rsid w:val="000502C3"/>
    <w:rsid w:val="000531AA"/>
    <w:rsid w:val="00054C3E"/>
    <w:rsid w:val="00056617"/>
    <w:rsid w:val="000569EB"/>
    <w:rsid w:val="00056BDB"/>
    <w:rsid w:val="00061490"/>
    <w:rsid w:val="000621E8"/>
    <w:rsid w:val="0006230A"/>
    <w:rsid w:val="000628A0"/>
    <w:rsid w:val="000715CA"/>
    <w:rsid w:val="000715FA"/>
    <w:rsid w:val="00071992"/>
    <w:rsid w:val="00072143"/>
    <w:rsid w:val="000729FF"/>
    <w:rsid w:val="00076BC0"/>
    <w:rsid w:val="0008380F"/>
    <w:rsid w:val="000841FD"/>
    <w:rsid w:val="000857BE"/>
    <w:rsid w:val="0008683C"/>
    <w:rsid w:val="00086DDB"/>
    <w:rsid w:val="00087E2B"/>
    <w:rsid w:val="00087E2E"/>
    <w:rsid w:val="0009176C"/>
    <w:rsid w:val="000922BD"/>
    <w:rsid w:val="0009235A"/>
    <w:rsid w:val="000933DE"/>
    <w:rsid w:val="000940E7"/>
    <w:rsid w:val="000945DD"/>
    <w:rsid w:val="0009533F"/>
    <w:rsid w:val="00095DC9"/>
    <w:rsid w:val="00097D77"/>
    <w:rsid w:val="000A2742"/>
    <w:rsid w:val="000A298B"/>
    <w:rsid w:val="000A3CCE"/>
    <w:rsid w:val="000A4632"/>
    <w:rsid w:val="000A4B5F"/>
    <w:rsid w:val="000A5500"/>
    <w:rsid w:val="000A5785"/>
    <w:rsid w:val="000A7F2C"/>
    <w:rsid w:val="000A7F9B"/>
    <w:rsid w:val="000B10A3"/>
    <w:rsid w:val="000B3A93"/>
    <w:rsid w:val="000B4131"/>
    <w:rsid w:val="000B47BC"/>
    <w:rsid w:val="000B5BE3"/>
    <w:rsid w:val="000B5FD0"/>
    <w:rsid w:val="000B63CE"/>
    <w:rsid w:val="000B7F46"/>
    <w:rsid w:val="000C073D"/>
    <w:rsid w:val="000C11A4"/>
    <w:rsid w:val="000C1A63"/>
    <w:rsid w:val="000C33C9"/>
    <w:rsid w:val="000C3D1C"/>
    <w:rsid w:val="000C44A5"/>
    <w:rsid w:val="000C46AF"/>
    <w:rsid w:val="000C58E0"/>
    <w:rsid w:val="000C7FBC"/>
    <w:rsid w:val="000D164F"/>
    <w:rsid w:val="000D27AF"/>
    <w:rsid w:val="000D2B2E"/>
    <w:rsid w:val="000D443D"/>
    <w:rsid w:val="000D4BE8"/>
    <w:rsid w:val="000D741D"/>
    <w:rsid w:val="000D7950"/>
    <w:rsid w:val="000D7FC7"/>
    <w:rsid w:val="000E00AC"/>
    <w:rsid w:val="000E0C1E"/>
    <w:rsid w:val="000E0FDD"/>
    <w:rsid w:val="000E2C9C"/>
    <w:rsid w:val="000E476E"/>
    <w:rsid w:val="000E5676"/>
    <w:rsid w:val="000E5A37"/>
    <w:rsid w:val="000E5B3A"/>
    <w:rsid w:val="000E661B"/>
    <w:rsid w:val="000E7766"/>
    <w:rsid w:val="000E78CE"/>
    <w:rsid w:val="000E7E5C"/>
    <w:rsid w:val="000F0A1E"/>
    <w:rsid w:val="000F1446"/>
    <w:rsid w:val="000F175A"/>
    <w:rsid w:val="000F19E0"/>
    <w:rsid w:val="000F1CF3"/>
    <w:rsid w:val="000F295D"/>
    <w:rsid w:val="000F38A4"/>
    <w:rsid w:val="000F52BC"/>
    <w:rsid w:val="00102A2C"/>
    <w:rsid w:val="00102F9F"/>
    <w:rsid w:val="00104B66"/>
    <w:rsid w:val="0010560E"/>
    <w:rsid w:val="00106248"/>
    <w:rsid w:val="001070E0"/>
    <w:rsid w:val="00107135"/>
    <w:rsid w:val="00110993"/>
    <w:rsid w:val="00111DD6"/>
    <w:rsid w:val="00112B43"/>
    <w:rsid w:val="001132A4"/>
    <w:rsid w:val="001133A2"/>
    <w:rsid w:val="00114160"/>
    <w:rsid w:val="00115873"/>
    <w:rsid w:val="00116B65"/>
    <w:rsid w:val="00117E04"/>
    <w:rsid w:val="001209C9"/>
    <w:rsid w:val="00120D32"/>
    <w:rsid w:val="00122934"/>
    <w:rsid w:val="001277FB"/>
    <w:rsid w:val="00132A1E"/>
    <w:rsid w:val="00132C49"/>
    <w:rsid w:val="00132FFA"/>
    <w:rsid w:val="00133048"/>
    <w:rsid w:val="00133BD1"/>
    <w:rsid w:val="001348F1"/>
    <w:rsid w:val="00135994"/>
    <w:rsid w:val="00136422"/>
    <w:rsid w:val="00136834"/>
    <w:rsid w:val="001368BE"/>
    <w:rsid w:val="00137826"/>
    <w:rsid w:val="001408C3"/>
    <w:rsid w:val="00140BD9"/>
    <w:rsid w:val="00140D15"/>
    <w:rsid w:val="00140E75"/>
    <w:rsid w:val="00142593"/>
    <w:rsid w:val="00142745"/>
    <w:rsid w:val="00145BEC"/>
    <w:rsid w:val="00146365"/>
    <w:rsid w:val="00147A9C"/>
    <w:rsid w:val="00152EFC"/>
    <w:rsid w:val="0015418C"/>
    <w:rsid w:val="001549AE"/>
    <w:rsid w:val="00155B05"/>
    <w:rsid w:val="00155B37"/>
    <w:rsid w:val="00155F3E"/>
    <w:rsid w:val="001562A2"/>
    <w:rsid w:val="001567E5"/>
    <w:rsid w:val="00157B64"/>
    <w:rsid w:val="00160BA5"/>
    <w:rsid w:val="0016297D"/>
    <w:rsid w:val="00163B6F"/>
    <w:rsid w:val="00163F4D"/>
    <w:rsid w:val="00164F35"/>
    <w:rsid w:val="00170026"/>
    <w:rsid w:val="00171241"/>
    <w:rsid w:val="001714DA"/>
    <w:rsid w:val="00173B91"/>
    <w:rsid w:val="00173F52"/>
    <w:rsid w:val="00173FCD"/>
    <w:rsid w:val="00180481"/>
    <w:rsid w:val="001826FB"/>
    <w:rsid w:val="001839A2"/>
    <w:rsid w:val="00184907"/>
    <w:rsid w:val="00184D5C"/>
    <w:rsid w:val="001854AF"/>
    <w:rsid w:val="00186CAC"/>
    <w:rsid w:val="00187036"/>
    <w:rsid w:val="00190297"/>
    <w:rsid w:val="001903C6"/>
    <w:rsid w:val="00191B4C"/>
    <w:rsid w:val="00191E82"/>
    <w:rsid w:val="00192D2B"/>
    <w:rsid w:val="00192D94"/>
    <w:rsid w:val="00194ADE"/>
    <w:rsid w:val="0019518E"/>
    <w:rsid w:val="001967F8"/>
    <w:rsid w:val="00196EFB"/>
    <w:rsid w:val="0019790F"/>
    <w:rsid w:val="00197C33"/>
    <w:rsid w:val="001A313B"/>
    <w:rsid w:val="001A3851"/>
    <w:rsid w:val="001A62C6"/>
    <w:rsid w:val="001A6BD4"/>
    <w:rsid w:val="001B0884"/>
    <w:rsid w:val="001B3C74"/>
    <w:rsid w:val="001B4029"/>
    <w:rsid w:val="001B411B"/>
    <w:rsid w:val="001B43E5"/>
    <w:rsid w:val="001B5D07"/>
    <w:rsid w:val="001B69C3"/>
    <w:rsid w:val="001B739A"/>
    <w:rsid w:val="001C0720"/>
    <w:rsid w:val="001C08FB"/>
    <w:rsid w:val="001C3684"/>
    <w:rsid w:val="001C39B8"/>
    <w:rsid w:val="001C52E2"/>
    <w:rsid w:val="001C54F0"/>
    <w:rsid w:val="001C54FC"/>
    <w:rsid w:val="001C5543"/>
    <w:rsid w:val="001C5AC4"/>
    <w:rsid w:val="001C64E7"/>
    <w:rsid w:val="001C7D7F"/>
    <w:rsid w:val="001D11C3"/>
    <w:rsid w:val="001D1A3F"/>
    <w:rsid w:val="001D1CB8"/>
    <w:rsid w:val="001D640C"/>
    <w:rsid w:val="001D656F"/>
    <w:rsid w:val="001D65C9"/>
    <w:rsid w:val="001D77BD"/>
    <w:rsid w:val="001E134A"/>
    <w:rsid w:val="001E29D8"/>
    <w:rsid w:val="001E3A1D"/>
    <w:rsid w:val="001E3E01"/>
    <w:rsid w:val="001E4FC4"/>
    <w:rsid w:val="001E5DAD"/>
    <w:rsid w:val="001E6A53"/>
    <w:rsid w:val="001E6B4A"/>
    <w:rsid w:val="001E723E"/>
    <w:rsid w:val="001E7C8E"/>
    <w:rsid w:val="001F491D"/>
    <w:rsid w:val="001F4E98"/>
    <w:rsid w:val="001F4EE7"/>
    <w:rsid w:val="001F5241"/>
    <w:rsid w:val="001F550B"/>
    <w:rsid w:val="001F72C7"/>
    <w:rsid w:val="002015D5"/>
    <w:rsid w:val="0020384F"/>
    <w:rsid w:val="002039E5"/>
    <w:rsid w:val="00203B4F"/>
    <w:rsid w:val="00204E65"/>
    <w:rsid w:val="00205B00"/>
    <w:rsid w:val="0021028B"/>
    <w:rsid w:val="002117C5"/>
    <w:rsid w:val="002119A6"/>
    <w:rsid w:val="00211ED1"/>
    <w:rsid w:val="00212B0E"/>
    <w:rsid w:val="00212C8D"/>
    <w:rsid w:val="00212F93"/>
    <w:rsid w:val="00213241"/>
    <w:rsid w:val="00213E1C"/>
    <w:rsid w:val="0021561F"/>
    <w:rsid w:val="002158ED"/>
    <w:rsid w:val="00216221"/>
    <w:rsid w:val="00216C5D"/>
    <w:rsid w:val="00217087"/>
    <w:rsid w:val="0021761B"/>
    <w:rsid w:val="00217EF2"/>
    <w:rsid w:val="00217EF3"/>
    <w:rsid w:val="0022004E"/>
    <w:rsid w:val="0022035D"/>
    <w:rsid w:val="002204B2"/>
    <w:rsid w:val="0022186E"/>
    <w:rsid w:val="00222618"/>
    <w:rsid w:val="0022269C"/>
    <w:rsid w:val="00223702"/>
    <w:rsid w:val="002240D2"/>
    <w:rsid w:val="00224A5A"/>
    <w:rsid w:val="00224C9D"/>
    <w:rsid w:val="002259FD"/>
    <w:rsid w:val="002262D6"/>
    <w:rsid w:val="00230451"/>
    <w:rsid w:val="002319FC"/>
    <w:rsid w:val="00234AE7"/>
    <w:rsid w:val="0023525D"/>
    <w:rsid w:val="00235532"/>
    <w:rsid w:val="002356D6"/>
    <w:rsid w:val="00235DC3"/>
    <w:rsid w:val="002414A7"/>
    <w:rsid w:val="00242D1C"/>
    <w:rsid w:val="00246AD0"/>
    <w:rsid w:val="00246B75"/>
    <w:rsid w:val="00246E43"/>
    <w:rsid w:val="00247112"/>
    <w:rsid w:val="0025000C"/>
    <w:rsid w:val="0025116C"/>
    <w:rsid w:val="00252B59"/>
    <w:rsid w:val="00253F80"/>
    <w:rsid w:val="00256E97"/>
    <w:rsid w:val="0025744E"/>
    <w:rsid w:val="0025758D"/>
    <w:rsid w:val="00257B06"/>
    <w:rsid w:val="00257CB4"/>
    <w:rsid w:val="002605D0"/>
    <w:rsid w:val="00260A24"/>
    <w:rsid w:val="00260B84"/>
    <w:rsid w:val="002613EA"/>
    <w:rsid w:val="00261E7B"/>
    <w:rsid w:val="0027012A"/>
    <w:rsid w:val="0027154D"/>
    <w:rsid w:val="00272E1B"/>
    <w:rsid w:val="00272FF4"/>
    <w:rsid w:val="00273E19"/>
    <w:rsid w:val="00274B72"/>
    <w:rsid w:val="00275B9D"/>
    <w:rsid w:val="00276223"/>
    <w:rsid w:val="0027653B"/>
    <w:rsid w:val="002775A9"/>
    <w:rsid w:val="00277CE1"/>
    <w:rsid w:val="00280964"/>
    <w:rsid w:val="00281641"/>
    <w:rsid w:val="00281D17"/>
    <w:rsid w:val="002826BD"/>
    <w:rsid w:val="00283313"/>
    <w:rsid w:val="00283419"/>
    <w:rsid w:val="00283A0C"/>
    <w:rsid w:val="00284AF5"/>
    <w:rsid w:val="00285030"/>
    <w:rsid w:val="00287792"/>
    <w:rsid w:val="002925CC"/>
    <w:rsid w:val="00292A53"/>
    <w:rsid w:val="00292F65"/>
    <w:rsid w:val="00296439"/>
    <w:rsid w:val="00296997"/>
    <w:rsid w:val="002970C0"/>
    <w:rsid w:val="002A03DC"/>
    <w:rsid w:val="002A2825"/>
    <w:rsid w:val="002A39D9"/>
    <w:rsid w:val="002A4524"/>
    <w:rsid w:val="002A5189"/>
    <w:rsid w:val="002B348F"/>
    <w:rsid w:val="002B575F"/>
    <w:rsid w:val="002C0F39"/>
    <w:rsid w:val="002C37B1"/>
    <w:rsid w:val="002C40DB"/>
    <w:rsid w:val="002C5C2B"/>
    <w:rsid w:val="002C6295"/>
    <w:rsid w:val="002C7195"/>
    <w:rsid w:val="002C7C4A"/>
    <w:rsid w:val="002D0E94"/>
    <w:rsid w:val="002D3F94"/>
    <w:rsid w:val="002D51A6"/>
    <w:rsid w:val="002D5660"/>
    <w:rsid w:val="002D6BA7"/>
    <w:rsid w:val="002D793D"/>
    <w:rsid w:val="002D7B8F"/>
    <w:rsid w:val="002E0BE4"/>
    <w:rsid w:val="002E39AE"/>
    <w:rsid w:val="002E3B2B"/>
    <w:rsid w:val="002E4306"/>
    <w:rsid w:val="002E5692"/>
    <w:rsid w:val="002E57D7"/>
    <w:rsid w:val="002E74EC"/>
    <w:rsid w:val="002E756B"/>
    <w:rsid w:val="002E7B53"/>
    <w:rsid w:val="002F20AD"/>
    <w:rsid w:val="002F3273"/>
    <w:rsid w:val="002F4AD9"/>
    <w:rsid w:val="002F4D9F"/>
    <w:rsid w:val="002F590A"/>
    <w:rsid w:val="002F77C9"/>
    <w:rsid w:val="0030008C"/>
    <w:rsid w:val="00300245"/>
    <w:rsid w:val="00300A03"/>
    <w:rsid w:val="0030159F"/>
    <w:rsid w:val="00303D0F"/>
    <w:rsid w:val="00304C11"/>
    <w:rsid w:val="0030598F"/>
    <w:rsid w:val="003064B8"/>
    <w:rsid w:val="00306CBB"/>
    <w:rsid w:val="00310F21"/>
    <w:rsid w:val="00310F81"/>
    <w:rsid w:val="003124CD"/>
    <w:rsid w:val="00312C8E"/>
    <w:rsid w:val="00312E79"/>
    <w:rsid w:val="00314428"/>
    <w:rsid w:val="0031457F"/>
    <w:rsid w:val="00315FB3"/>
    <w:rsid w:val="003163A4"/>
    <w:rsid w:val="003163FC"/>
    <w:rsid w:val="00316AD6"/>
    <w:rsid w:val="00317B8A"/>
    <w:rsid w:val="0032342F"/>
    <w:rsid w:val="00323441"/>
    <w:rsid w:val="00323DB2"/>
    <w:rsid w:val="00323DE9"/>
    <w:rsid w:val="003241E7"/>
    <w:rsid w:val="00325501"/>
    <w:rsid w:val="0032638B"/>
    <w:rsid w:val="00331F77"/>
    <w:rsid w:val="00332342"/>
    <w:rsid w:val="0033599A"/>
    <w:rsid w:val="00335E7C"/>
    <w:rsid w:val="00337C0A"/>
    <w:rsid w:val="003423FB"/>
    <w:rsid w:val="00345CB4"/>
    <w:rsid w:val="00346936"/>
    <w:rsid w:val="003473E2"/>
    <w:rsid w:val="00347569"/>
    <w:rsid w:val="00347AFD"/>
    <w:rsid w:val="003507A2"/>
    <w:rsid w:val="00351288"/>
    <w:rsid w:val="00352030"/>
    <w:rsid w:val="0035258B"/>
    <w:rsid w:val="003538A2"/>
    <w:rsid w:val="00353F0B"/>
    <w:rsid w:val="00354E08"/>
    <w:rsid w:val="0035566E"/>
    <w:rsid w:val="00356017"/>
    <w:rsid w:val="00356582"/>
    <w:rsid w:val="00356C89"/>
    <w:rsid w:val="0035717B"/>
    <w:rsid w:val="00357585"/>
    <w:rsid w:val="003600A3"/>
    <w:rsid w:val="00361FCE"/>
    <w:rsid w:val="00363506"/>
    <w:rsid w:val="0036351F"/>
    <w:rsid w:val="00363A56"/>
    <w:rsid w:val="0036520D"/>
    <w:rsid w:val="0036616B"/>
    <w:rsid w:val="00367DFC"/>
    <w:rsid w:val="0037021D"/>
    <w:rsid w:val="00370C71"/>
    <w:rsid w:val="00370F1F"/>
    <w:rsid w:val="00371396"/>
    <w:rsid w:val="00372118"/>
    <w:rsid w:val="003730FE"/>
    <w:rsid w:val="003735AC"/>
    <w:rsid w:val="00374D97"/>
    <w:rsid w:val="003779D8"/>
    <w:rsid w:val="00377AAC"/>
    <w:rsid w:val="00380BB8"/>
    <w:rsid w:val="003826F6"/>
    <w:rsid w:val="003843D6"/>
    <w:rsid w:val="00386D55"/>
    <w:rsid w:val="00387967"/>
    <w:rsid w:val="00390691"/>
    <w:rsid w:val="003913C7"/>
    <w:rsid w:val="00392602"/>
    <w:rsid w:val="003952EB"/>
    <w:rsid w:val="00395C2E"/>
    <w:rsid w:val="003971EB"/>
    <w:rsid w:val="00397772"/>
    <w:rsid w:val="003A043B"/>
    <w:rsid w:val="003A09C0"/>
    <w:rsid w:val="003A3ED1"/>
    <w:rsid w:val="003A4F90"/>
    <w:rsid w:val="003A73CA"/>
    <w:rsid w:val="003A7833"/>
    <w:rsid w:val="003A7AEE"/>
    <w:rsid w:val="003B0E95"/>
    <w:rsid w:val="003B15E7"/>
    <w:rsid w:val="003B1F12"/>
    <w:rsid w:val="003B40E1"/>
    <w:rsid w:val="003B4895"/>
    <w:rsid w:val="003B48A5"/>
    <w:rsid w:val="003B548F"/>
    <w:rsid w:val="003B594C"/>
    <w:rsid w:val="003B5E0B"/>
    <w:rsid w:val="003B6438"/>
    <w:rsid w:val="003B6613"/>
    <w:rsid w:val="003C024D"/>
    <w:rsid w:val="003C2333"/>
    <w:rsid w:val="003C2E3B"/>
    <w:rsid w:val="003C3734"/>
    <w:rsid w:val="003C3B09"/>
    <w:rsid w:val="003C7610"/>
    <w:rsid w:val="003D06DD"/>
    <w:rsid w:val="003D1564"/>
    <w:rsid w:val="003D1F88"/>
    <w:rsid w:val="003D2021"/>
    <w:rsid w:val="003D401A"/>
    <w:rsid w:val="003D4551"/>
    <w:rsid w:val="003D4591"/>
    <w:rsid w:val="003E1647"/>
    <w:rsid w:val="003E1B19"/>
    <w:rsid w:val="003E38E5"/>
    <w:rsid w:val="003E425A"/>
    <w:rsid w:val="003E4DF1"/>
    <w:rsid w:val="003E523B"/>
    <w:rsid w:val="003E5E4F"/>
    <w:rsid w:val="003F09C4"/>
    <w:rsid w:val="003F298C"/>
    <w:rsid w:val="003F3567"/>
    <w:rsid w:val="003F3CBC"/>
    <w:rsid w:val="003F5F58"/>
    <w:rsid w:val="003F7358"/>
    <w:rsid w:val="004004A6"/>
    <w:rsid w:val="004013BE"/>
    <w:rsid w:val="004039BA"/>
    <w:rsid w:val="004061C1"/>
    <w:rsid w:val="00406E7E"/>
    <w:rsid w:val="00407674"/>
    <w:rsid w:val="004111CE"/>
    <w:rsid w:val="004208AE"/>
    <w:rsid w:val="0042145E"/>
    <w:rsid w:val="00424E70"/>
    <w:rsid w:val="0043047D"/>
    <w:rsid w:val="00430AB4"/>
    <w:rsid w:val="004330E9"/>
    <w:rsid w:val="00433BE2"/>
    <w:rsid w:val="00436075"/>
    <w:rsid w:val="00436969"/>
    <w:rsid w:val="00444230"/>
    <w:rsid w:val="00445A31"/>
    <w:rsid w:val="00446DFD"/>
    <w:rsid w:val="00447436"/>
    <w:rsid w:val="00447E28"/>
    <w:rsid w:val="0045165E"/>
    <w:rsid w:val="004528E6"/>
    <w:rsid w:val="00453877"/>
    <w:rsid w:val="0045469A"/>
    <w:rsid w:val="004549D0"/>
    <w:rsid w:val="004559C1"/>
    <w:rsid w:val="00457025"/>
    <w:rsid w:val="00457882"/>
    <w:rsid w:val="004578E7"/>
    <w:rsid w:val="00462C66"/>
    <w:rsid w:val="0046310B"/>
    <w:rsid w:val="004636CD"/>
    <w:rsid w:val="00463CD8"/>
    <w:rsid w:val="00464372"/>
    <w:rsid w:val="004648BE"/>
    <w:rsid w:val="00464D62"/>
    <w:rsid w:val="00465124"/>
    <w:rsid w:val="00465739"/>
    <w:rsid w:val="00466BF2"/>
    <w:rsid w:val="00467419"/>
    <w:rsid w:val="0047144C"/>
    <w:rsid w:val="00471D5C"/>
    <w:rsid w:val="00472808"/>
    <w:rsid w:val="0047439F"/>
    <w:rsid w:val="004745C4"/>
    <w:rsid w:val="00475C55"/>
    <w:rsid w:val="004763F2"/>
    <w:rsid w:val="00477891"/>
    <w:rsid w:val="00477C55"/>
    <w:rsid w:val="00481F53"/>
    <w:rsid w:val="00484DB8"/>
    <w:rsid w:val="004850A0"/>
    <w:rsid w:val="00486B0D"/>
    <w:rsid w:val="00490FF6"/>
    <w:rsid w:val="0049270E"/>
    <w:rsid w:val="00492C79"/>
    <w:rsid w:val="00496511"/>
    <w:rsid w:val="00496F24"/>
    <w:rsid w:val="0049709E"/>
    <w:rsid w:val="00497EA6"/>
    <w:rsid w:val="004A07E4"/>
    <w:rsid w:val="004A1618"/>
    <w:rsid w:val="004A28A6"/>
    <w:rsid w:val="004A2F22"/>
    <w:rsid w:val="004A3967"/>
    <w:rsid w:val="004A4E44"/>
    <w:rsid w:val="004A64CE"/>
    <w:rsid w:val="004A71A4"/>
    <w:rsid w:val="004A7AB2"/>
    <w:rsid w:val="004B200A"/>
    <w:rsid w:val="004B2051"/>
    <w:rsid w:val="004B2552"/>
    <w:rsid w:val="004B37CE"/>
    <w:rsid w:val="004B5C83"/>
    <w:rsid w:val="004B70C0"/>
    <w:rsid w:val="004B7AF7"/>
    <w:rsid w:val="004C090F"/>
    <w:rsid w:val="004C225E"/>
    <w:rsid w:val="004C23A9"/>
    <w:rsid w:val="004C2B63"/>
    <w:rsid w:val="004C2BE5"/>
    <w:rsid w:val="004C753D"/>
    <w:rsid w:val="004C7579"/>
    <w:rsid w:val="004C7722"/>
    <w:rsid w:val="004C7977"/>
    <w:rsid w:val="004D0340"/>
    <w:rsid w:val="004D06C3"/>
    <w:rsid w:val="004D185F"/>
    <w:rsid w:val="004D52C4"/>
    <w:rsid w:val="004D619A"/>
    <w:rsid w:val="004D6764"/>
    <w:rsid w:val="004E4913"/>
    <w:rsid w:val="004E5200"/>
    <w:rsid w:val="004E58CA"/>
    <w:rsid w:val="004E632B"/>
    <w:rsid w:val="004E64EC"/>
    <w:rsid w:val="004E663A"/>
    <w:rsid w:val="004E68CF"/>
    <w:rsid w:val="004F0E0E"/>
    <w:rsid w:val="004F13FB"/>
    <w:rsid w:val="004F2175"/>
    <w:rsid w:val="004F247C"/>
    <w:rsid w:val="004F2936"/>
    <w:rsid w:val="004F3241"/>
    <w:rsid w:val="004F7A1B"/>
    <w:rsid w:val="004F7C1B"/>
    <w:rsid w:val="004F7E05"/>
    <w:rsid w:val="005007E2"/>
    <w:rsid w:val="005031CC"/>
    <w:rsid w:val="00503214"/>
    <w:rsid w:val="00503DEF"/>
    <w:rsid w:val="00504F73"/>
    <w:rsid w:val="00505507"/>
    <w:rsid w:val="00507F73"/>
    <w:rsid w:val="00511C09"/>
    <w:rsid w:val="00512B7A"/>
    <w:rsid w:val="00512C84"/>
    <w:rsid w:val="00516E6A"/>
    <w:rsid w:val="0051754D"/>
    <w:rsid w:val="00520DB2"/>
    <w:rsid w:val="00526503"/>
    <w:rsid w:val="0052659E"/>
    <w:rsid w:val="005276E6"/>
    <w:rsid w:val="00527991"/>
    <w:rsid w:val="00527CA5"/>
    <w:rsid w:val="005341AA"/>
    <w:rsid w:val="00534235"/>
    <w:rsid w:val="0053463D"/>
    <w:rsid w:val="005349F0"/>
    <w:rsid w:val="00535572"/>
    <w:rsid w:val="00536A48"/>
    <w:rsid w:val="005374DB"/>
    <w:rsid w:val="0054042F"/>
    <w:rsid w:val="00540A10"/>
    <w:rsid w:val="00542039"/>
    <w:rsid w:val="00542109"/>
    <w:rsid w:val="005432BB"/>
    <w:rsid w:val="00543514"/>
    <w:rsid w:val="00543D0F"/>
    <w:rsid w:val="005446E9"/>
    <w:rsid w:val="00546C82"/>
    <w:rsid w:val="0054735D"/>
    <w:rsid w:val="005504FC"/>
    <w:rsid w:val="00550CEA"/>
    <w:rsid w:val="0055230D"/>
    <w:rsid w:val="00552CDD"/>
    <w:rsid w:val="00553151"/>
    <w:rsid w:val="0055426C"/>
    <w:rsid w:val="00554D76"/>
    <w:rsid w:val="00554E7C"/>
    <w:rsid w:val="00554F04"/>
    <w:rsid w:val="00555289"/>
    <w:rsid w:val="005554BF"/>
    <w:rsid w:val="005621DA"/>
    <w:rsid w:val="0056350B"/>
    <w:rsid w:val="00564E26"/>
    <w:rsid w:val="005654FF"/>
    <w:rsid w:val="00566959"/>
    <w:rsid w:val="0056798E"/>
    <w:rsid w:val="00567BFE"/>
    <w:rsid w:val="00572246"/>
    <w:rsid w:val="00572C5F"/>
    <w:rsid w:val="00573189"/>
    <w:rsid w:val="0058062F"/>
    <w:rsid w:val="005807FE"/>
    <w:rsid w:val="0058147B"/>
    <w:rsid w:val="005818B0"/>
    <w:rsid w:val="005833E0"/>
    <w:rsid w:val="00586349"/>
    <w:rsid w:val="00586C32"/>
    <w:rsid w:val="005878EE"/>
    <w:rsid w:val="00590B9F"/>
    <w:rsid w:val="00591DBC"/>
    <w:rsid w:val="005925F1"/>
    <w:rsid w:val="005926B3"/>
    <w:rsid w:val="005942F9"/>
    <w:rsid w:val="00594EA8"/>
    <w:rsid w:val="00594FDC"/>
    <w:rsid w:val="00595156"/>
    <w:rsid w:val="005955E2"/>
    <w:rsid w:val="005971AE"/>
    <w:rsid w:val="00597400"/>
    <w:rsid w:val="00597A56"/>
    <w:rsid w:val="00597D73"/>
    <w:rsid w:val="005A0EE0"/>
    <w:rsid w:val="005A1357"/>
    <w:rsid w:val="005A160E"/>
    <w:rsid w:val="005A1FEA"/>
    <w:rsid w:val="005A2E23"/>
    <w:rsid w:val="005A303D"/>
    <w:rsid w:val="005A6076"/>
    <w:rsid w:val="005A7795"/>
    <w:rsid w:val="005A7AA1"/>
    <w:rsid w:val="005B06B2"/>
    <w:rsid w:val="005B2F5B"/>
    <w:rsid w:val="005B37E4"/>
    <w:rsid w:val="005B401E"/>
    <w:rsid w:val="005B607C"/>
    <w:rsid w:val="005B7F76"/>
    <w:rsid w:val="005C04A1"/>
    <w:rsid w:val="005C3612"/>
    <w:rsid w:val="005C5640"/>
    <w:rsid w:val="005C595E"/>
    <w:rsid w:val="005C6DDB"/>
    <w:rsid w:val="005D0B26"/>
    <w:rsid w:val="005D0D50"/>
    <w:rsid w:val="005D21A4"/>
    <w:rsid w:val="005D3FF2"/>
    <w:rsid w:val="005D42B0"/>
    <w:rsid w:val="005D5605"/>
    <w:rsid w:val="005D7E4E"/>
    <w:rsid w:val="005E2E79"/>
    <w:rsid w:val="005E33FC"/>
    <w:rsid w:val="005E6DD0"/>
    <w:rsid w:val="005E7AF5"/>
    <w:rsid w:val="005F0D60"/>
    <w:rsid w:val="005F14B3"/>
    <w:rsid w:val="005F1D17"/>
    <w:rsid w:val="005F43E0"/>
    <w:rsid w:val="005F5B03"/>
    <w:rsid w:val="005F6B83"/>
    <w:rsid w:val="005F6C7C"/>
    <w:rsid w:val="005F70E0"/>
    <w:rsid w:val="005F73B0"/>
    <w:rsid w:val="005F7618"/>
    <w:rsid w:val="005F7658"/>
    <w:rsid w:val="005F76CB"/>
    <w:rsid w:val="00601665"/>
    <w:rsid w:val="006020A0"/>
    <w:rsid w:val="00602187"/>
    <w:rsid w:val="0060319E"/>
    <w:rsid w:val="006031FB"/>
    <w:rsid w:val="00603E25"/>
    <w:rsid w:val="006042F7"/>
    <w:rsid w:val="00604FCB"/>
    <w:rsid w:val="0060513F"/>
    <w:rsid w:val="006053F8"/>
    <w:rsid w:val="0060607A"/>
    <w:rsid w:val="00606710"/>
    <w:rsid w:val="00610BE0"/>
    <w:rsid w:val="00614C83"/>
    <w:rsid w:val="0061648B"/>
    <w:rsid w:val="00617581"/>
    <w:rsid w:val="00617C01"/>
    <w:rsid w:val="00620230"/>
    <w:rsid w:val="0062047A"/>
    <w:rsid w:val="00621EFD"/>
    <w:rsid w:val="00622137"/>
    <w:rsid w:val="006230CB"/>
    <w:rsid w:val="006254D0"/>
    <w:rsid w:val="0062644E"/>
    <w:rsid w:val="00626CD7"/>
    <w:rsid w:val="006303CA"/>
    <w:rsid w:val="0063063C"/>
    <w:rsid w:val="00631CD5"/>
    <w:rsid w:val="00632AA8"/>
    <w:rsid w:val="00634110"/>
    <w:rsid w:val="006343D8"/>
    <w:rsid w:val="006348A3"/>
    <w:rsid w:val="00636270"/>
    <w:rsid w:val="00636E04"/>
    <w:rsid w:val="006377B4"/>
    <w:rsid w:val="006405FC"/>
    <w:rsid w:val="00640704"/>
    <w:rsid w:val="00641B47"/>
    <w:rsid w:val="00646978"/>
    <w:rsid w:val="006528C2"/>
    <w:rsid w:val="00652DD9"/>
    <w:rsid w:val="00653C22"/>
    <w:rsid w:val="00654FD5"/>
    <w:rsid w:val="00655C46"/>
    <w:rsid w:val="00657382"/>
    <w:rsid w:val="006601E0"/>
    <w:rsid w:val="006606BC"/>
    <w:rsid w:val="00660A12"/>
    <w:rsid w:val="006612E3"/>
    <w:rsid w:val="00663C68"/>
    <w:rsid w:val="006664AD"/>
    <w:rsid w:val="00666FBF"/>
    <w:rsid w:val="0067175B"/>
    <w:rsid w:val="0067393D"/>
    <w:rsid w:val="006743BC"/>
    <w:rsid w:val="00675606"/>
    <w:rsid w:val="00675696"/>
    <w:rsid w:val="00680587"/>
    <w:rsid w:val="006813DE"/>
    <w:rsid w:val="00681B7A"/>
    <w:rsid w:val="006820B5"/>
    <w:rsid w:val="00683499"/>
    <w:rsid w:val="00683CE2"/>
    <w:rsid w:val="0068417B"/>
    <w:rsid w:val="00684DD7"/>
    <w:rsid w:val="00686BF5"/>
    <w:rsid w:val="00690F31"/>
    <w:rsid w:val="0069448C"/>
    <w:rsid w:val="00694814"/>
    <w:rsid w:val="0069651A"/>
    <w:rsid w:val="00697EED"/>
    <w:rsid w:val="006A0188"/>
    <w:rsid w:val="006A038A"/>
    <w:rsid w:val="006A167F"/>
    <w:rsid w:val="006A1B3D"/>
    <w:rsid w:val="006A2C73"/>
    <w:rsid w:val="006A6062"/>
    <w:rsid w:val="006A6A6F"/>
    <w:rsid w:val="006A790A"/>
    <w:rsid w:val="006A7BF4"/>
    <w:rsid w:val="006A7DEB"/>
    <w:rsid w:val="006B0856"/>
    <w:rsid w:val="006B11DE"/>
    <w:rsid w:val="006B2030"/>
    <w:rsid w:val="006B2D2B"/>
    <w:rsid w:val="006B2E28"/>
    <w:rsid w:val="006B335D"/>
    <w:rsid w:val="006B3BD1"/>
    <w:rsid w:val="006B400E"/>
    <w:rsid w:val="006B41DD"/>
    <w:rsid w:val="006B588D"/>
    <w:rsid w:val="006B591B"/>
    <w:rsid w:val="006B6EE5"/>
    <w:rsid w:val="006B7C2C"/>
    <w:rsid w:val="006C097E"/>
    <w:rsid w:val="006C0FF7"/>
    <w:rsid w:val="006C14F1"/>
    <w:rsid w:val="006C281D"/>
    <w:rsid w:val="006C2C61"/>
    <w:rsid w:val="006C2D40"/>
    <w:rsid w:val="006C30A8"/>
    <w:rsid w:val="006C3A8B"/>
    <w:rsid w:val="006C443E"/>
    <w:rsid w:val="006C5CF6"/>
    <w:rsid w:val="006C6294"/>
    <w:rsid w:val="006C6463"/>
    <w:rsid w:val="006D033A"/>
    <w:rsid w:val="006D2167"/>
    <w:rsid w:val="006D2604"/>
    <w:rsid w:val="006D2E5F"/>
    <w:rsid w:val="006D3989"/>
    <w:rsid w:val="006D484B"/>
    <w:rsid w:val="006D4A9B"/>
    <w:rsid w:val="006D63A3"/>
    <w:rsid w:val="006D68DE"/>
    <w:rsid w:val="006D6B81"/>
    <w:rsid w:val="006E1949"/>
    <w:rsid w:val="006E2514"/>
    <w:rsid w:val="006E2AD1"/>
    <w:rsid w:val="006E4090"/>
    <w:rsid w:val="006E4D70"/>
    <w:rsid w:val="006E4F0A"/>
    <w:rsid w:val="006E6FC5"/>
    <w:rsid w:val="006E7031"/>
    <w:rsid w:val="006E7342"/>
    <w:rsid w:val="006F1EC0"/>
    <w:rsid w:val="006F22AF"/>
    <w:rsid w:val="006F2988"/>
    <w:rsid w:val="006F34CE"/>
    <w:rsid w:val="006F5E04"/>
    <w:rsid w:val="006F76BA"/>
    <w:rsid w:val="0070084C"/>
    <w:rsid w:val="00702D45"/>
    <w:rsid w:val="00703F2D"/>
    <w:rsid w:val="007054E2"/>
    <w:rsid w:val="00706679"/>
    <w:rsid w:val="0070750E"/>
    <w:rsid w:val="0070770F"/>
    <w:rsid w:val="0070799F"/>
    <w:rsid w:val="00707CB4"/>
    <w:rsid w:val="00710C51"/>
    <w:rsid w:val="00710FA3"/>
    <w:rsid w:val="007112D8"/>
    <w:rsid w:val="007114E4"/>
    <w:rsid w:val="00711636"/>
    <w:rsid w:val="00715707"/>
    <w:rsid w:val="007167D6"/>
    <w:rsid w:val="007177E9"/>
    <w:rsid w:val="0072000C"/>
    <w:rsid w:val="00721338"/>
    <w:rsid w:val="00721561"/>
    <w:rsid w:val="0072260F"/>
    <w:rsid w:val="00722708"/>
    <w:rsid w:val="0072297A"/>
    <w:rsid w:val="00722A9A"/>
    <w:rsid w:val="00722E21"/>
    <w:rsid w:val="00723338"/>
    <w:rsid w:val="007255F5"/>
    <w:rsid w:val="007267FA"/>
    <w:rsid w:val="00730755"/>
    <w:rsid w:val="0073113D"/>
    <w:rsid w:val="00731B63"/>
    <w:rsid w:val="00732830"/>
    <w:rsid w:val="00733E40"/>
    <w:rsid w:val="007346C5"/>
    <w:rsid w:val="007355FC"/>
    <w:rsid w:val="00735AFB"/>
    <w:rsid w:val="00735B6B"/>
    <w:rsid w:val="00736108"/>
    <w:rsid w:val="00736E20"/>
    <w:rsid w:val="007412ED"/>
    <w:rsid w:val="00741E03"/>
    <w:rsid w:val="007429D5"/>
    <w:rsid w:val="00744F75"/>
    <w:rsid w:val="00747A62"/>
    <w:rsid w:val="00751002"/>
    <w:rsid w:val="007514D6"/>
    <w:rsid w:val="0075162B"/>
    <w:rsid w:val="007521C9"/>
    <w:rsid w:val="0075401F"/>
    <w:rsid w:val="007556D2"/>
    <w:rsid w:val="00756723"/>
    <w:rsid w:val="007578FE"/>
    <w:rsid w:val="00762A44"/>
    <w:rsid w:val="0076363E"/>
    <w:rsid w:val="00764CFD"/>
    <w:rsid w:val="00765FB4"/>
    <w:rsid w:val="00766D3F"/>
    <w:rsid w:val="00767404"/>
    <w:rsid w:val="00770513"/>
    <w:rsid w:val="00770612"/>
    <w:rsid w:val="007717BC"/>
    <w:rsid w:val="007718A3"/>
    <w:rsid w:val="00771FCF"/>
    <w:rsid w:val="00775541"/>
    <w:rsid w:val="00776BF1"/>
    <w:rsid w:val="007771C8"/>
    <w:rsid w:val="0077773E"/>
    <w:rsid w:val="00777E5C"/>
    <w:rsid w:val="00777F80"/>
    <w:rsid w:val="00780AB5"/>
    <w:rsid w:val="007819A3"/>
    <w:rsid w:val="00781C0A"/>
    <w:rsid w:val="00783262"/>
    <w:rsid w:val="00786378"/>
    <w:rsid w:val="00787E93"/>
    <w:rsid w:val="00791FF2"/>
    <w:rsid w:val="00792D27"/>
    <w:rsid w:val="007957E4"/>
    <w:rsid w:val="007967F1"/>
    <w:rsid w:val="007A0477"/>
    <w:rsid w:val="007A153B"/>
    <w:rsid w:val="007A1DA8"/>
    <w:rsid w:val="007A2BEC"/>
    <w:rsid w:val="007A2DF0"/>
    <w:rsid w:val="007A3E10"/>
    <w:rsid w:val="007A4B11"/>
    <w:rsid w:val="007A5E68"/>
    <w:rsid w:val="007A6012"/>
    <w:rsid w:val="007A68C6"/>
    <w:rsid w:val="007A6C3B"/>
    <w:rsid w:val="007A70DC"/>
    <w:rsid w:val="007A738F"/>
    <w:rsid w:val="007B28CF"/>
    <w:rsid w:val="007B392C"/>
    <w:rsid w:val="007B3D6D"/>
    <w:rsid w:val="007B465C"/>
    <w:rsid w:val="007B5874"/>
    <w:rsid w:val="007B6043"/>
    <w:rsid w:val="007B6C59"/>
    <w:rsid w:val="007C01D0"/>
    <w:rsid w:val="007C06E0"/>
    <w:rsid w:val="007C27A1"/>
    <w:rsid w:val="007C284C"/>
    <w:rsid w:val="007C403B"/>
    <w:rsid w:val="007C41AD"/>
    <w:rsid w:val="007C4ED0"/>
    <w:rsid w:val="007C59D6"/>
    <w:rsid w:val="007C75F3"/>
    <w:rsid w:val="007C77D6"/>
    <w:rsid w:val="007C7ED5"/>
    <w:rsid w:val="007C7F18"/>
    <w:rsid w:val="007D05AE"/>
    <w:rsid w:val="007D06A6"/>
    <w:rsid w:val="007D1724"/>
    <w:rsid w:val="007D187B"/>
    <w:rsid w:val="007D1C98"/>
    <w:rsid w:val="007D1E6E"/>
    <w:rsid w:val="007D2309"/>
    <w:rsid w:val="007D353E"/>
    <w:rsid w:val="007D472E"/>
    <w:rsid w:val="007D485E"/>
    <w:rsid w:val="007D52D6"/>
    <w:rsid w:val="007D5D1F"/>
    <w:rsid w:val="007D683D"/>
    <w:rsid w:val="007D761B"/>
    <w:rsid w:val="007E02F7"/>
    <w:rsid w:val="007E0A9E"/>
    <w:rsid w:val="007E1598"/>
    <w:rsid w:val="007E1952"/>
    <w:rsid w:val="007E3186"/>
    <w:rsid w:val="007E4585"/>
    <w:rsid w:val="007E499B"/>
    <w:rsid w:val="007E55EE"/>
    <w:rsid w:val="007E5673"/>
    <w:rsid w:val="007E56D0"/>
    <w:rsid w:val="007E6250"/>
    <w:rsid w:val="007E637A"/>
    <w:rsid w:val="007E7836"/>
    <w:rsid w:val="007F0FD5"/>
    <w:rsid w:val="007F10ED"/>
    <w:rsid w:val="007F1860"/>
    <w:rsid w:val="007F1FC5"/>
    <w:rsid w:val="007F3240"/>
    <w:rsid w:val="007F5030"/>
    <w:rsid w:val="007F681D"/>
    <w:rsid w:val="00801969"/>
    <w:rsid w:val="008022D3"/>
    <w:rsid w:val="00802A8B"/>
    <w:rsid w:val="00804634"/>
    <w:rsid w:val="00804C09"/>
    <w:rsid w:val="00806E7F"/>
    <w:rsid w:val="008073ED"/>
    <w:rsid w:val="00810FDB"/>
    <w:rsid w:val="008153FA"/>
    <w:rsid w:val="0081549B"/>
    <w:rsid w:val="008155AC"/>
    <w:rsid w:val="00816120"/>
    <w:rsid w:val="0081670E"/>
    <w:rsid w:val="00822533"/>
    <w:rsid w:val="00822840"/>
    <w:rsid w:val="008230DB"/>
    <w:rsid w:val="00823312"/>
    <w:rsid w:val="00824654"/>
    <w:rsid w:val="00824AE8"/>
    <w:rsid w:val="00826C1E"/>
    <w:rsid w:val="00830422"/>
    <w:rsid w:val="00831BD5"/>
    <w:rsid w:val="00832E88"/>
    <w:rsid w:val="0083304A"/>
    <w:rsid w:val="0083450E"/>
    <w:rsid w:val="00834F31"/>
    <w:rsid w:val="00835516"/>
    <w:rsid w:val="00836486"/>
    <w:rsid w:val="008371D9"/>
    <w:rsid w:val="00837661"/>
    <w:rsid w:val="00840A48"/>
    <w:rsid w:val="00841F90"/>
    <w:rsid w:val="00842A27"/>
    <w:rsid w:val="008436D6"/>
    <w:rsid w:val="00844883"/>
    <w:rsid w:val="008454C8"/>
    <w:rsid w:val="00845C1B"/>
    <w:rsid w:val="00845F9D"/>
    <w:rsid w:val="00846056"/>
    <w:rsid w:val="008514A0"/>
    <w:rsid w:val="00852B6D"/>
    <w:rsid w:val="008539F6"/>
    <w:rsid w:val="00853D85"/>
    <w:rsid w:val="00854990"/>
    <w:rsid w:val="00854CFC"/>
    <w:rsid w:val="00855100"/>
    <w:rsid w:val="00855462"/>
    <w:rsid w:val="00855DD5"/>
    <w:rsid w:val="00856AB7"/>
    <w:rsid w:val="0086210F"/>
    <w:rsid w:val="0086471D"/>
    <w:rsid w:val="00864838"/>
    <w:rsid w:val="0086508C"/>
    <w:rsid w:val="00865CA9"/>
    <w:rsid w:val="00865F4D"/>
    <w:rsid w:val="00867A1D"/>
    <w:rsid w:val="00871341"/>
    <w:rsid w:val="0087186D"/>
    <w:rsid w:val="008719D1"/>
    <w:rsid w:val="00872E8F"/>
    <w:rsid w:val="00873472"/>
    <w:rsid w:val="00873872"/>
    <w:rsid w:val="00873E8E"/>
    <w:rsid w:val="008745E7"/>
    <w:rsid w:val="008760B5"/>
    <w:rsid w:val="00876BA8"/>
    <w:rsid w:val="008775F5"/>
    <w:rsid w:val="0088041E"/>
    <w:rsid w:val="00880719"/>
    <w:rsid w:val="00880837"/>
    <w:rsid w:val="00880B34"/>
    <w:rsid w:val="00884DF3"/>
    <w:rsid w:val="00890A78"/>
    <w:rsid w:val="0089146B"/>
    <w:rsid w:val="0089181B"/>
    <w:rsid w:val="0089190D"/>
    <w:rsid w:val="00891AA7"/>
    <w:rsid w:val="008936A6"/>
    <w:rsid w:val="00893ADD"/>
    <w:rsid w:val="008943A4"/>
    <w:rsid w:val="008954CE"/>
    <w:rsid w:val="0089572C"/>
    <w:rsid w:val="0089651B"/>
    <w:rsid w:val="008A0C3B"/>
    <w:rsid w:val="008A4245"/>
    <w:rsid w:val="008A45BC"/>
    <w:rsid w:val="008A4BDC"/>
    <w:rsid w:val="008A5316"/>
    <w:rsid w:val="008A621D"/>
    <w:rsid w:val="008A70B0"/>
    <w:rsid w:val="008A7BB8"/>
    <w:rsid w:val="008B074A"/>
    <w:rsid w:val="008B0B8E"/>
    <w:rsid w:val="008B3FC2"/>
    <w:rsid w:val="008B57DB"/>
    <w:rsid w:val="008B63C0"/>
    <w:rsid w:val="008C0888"/>
    <w:rsid w:val="008C25C6"/>
    <w:rsid w:val="008C3C1A"/>
    <w:rsid w:val="008C4B87"/>
    <w:rsid w:val="008C6ED9"/>
    <w:rsid w:val="008C717A"/>
    <w:rsid w:val="008C7973"/>
    <w:rsid w:val="008D03AF"/>
    <w:rsid w:val="008D1A97"/>
    <w:rsid w:val="008D20E7"/>
    <w:rsid w:val="008D22BA"/>
    <w:rsid w:val="008D3247"/>
    <w:rsid w:val="008D4FD1"/>
    <w:rsid w:val="008D4FD2"/>
    <w:rsid w:val="008D5FD2"/>
    <w:rsid w:val="008D7A83"/>
    <w:rsid w:val="008E13A0"/>
    <w:rsid w:val="008E304D"/>
    <w:rsid w:val="008E42D7"/>
    <w:rsid w:val="008E7476"/>
    <w:rsid w:val="008E7DD9"/>
    <w:rsid w:val="008F0AB1"/>
    <w:rsid w:val="008F0BA8"/>
    <w:rsid w:val="008F1C5E"/>
    <w:rsid w:val="008F2675"/>
    <w:rsid w:val="008F52EA"/>
    <w:rsid w:val="008F57D4"/>
    <w:rsid w:val="0090050F"/>
    <w:rsid w:val="00900EDC"/>
    <w:rsid w:val="009029FC"/>
    <w:rsid w:val="0090383E"/>
    <w:rsid w:val="00906D73"/>
    <w:rsid w:val="009071F9"/>
    <w:rsid w:val="009076A2"/>
    <w:rsid w:val="0091136A"/>
    <w:rsid w:val="0091245B"/>
    <w:rsid w:val="009124CD"/>
    <w:rsid w:val="009128B8"/>
    <w:rsid w:val="009131A5"/>
    <w:rsid w:val="00913556"/>
    <w:rsid w:val="00913741"/>
    <w:rsid w:val="00913B52"/>
    <w:rsid w:val="00913F40"/>
    <w:rsid w:val="009147DA"/>
    <w:rsid w:val="00914CBF"/>
    <w:rsid w:val="009154EC"/>
    <w:rsid w:val="00915E8F"/>
    <w:rsid w:val="00916509"/>
    <w:rsid w:val="00916947"/>
    <w:rsid w:val="00917077"/>
    <w:rsid w:val="0092064A"/>
    <w:rsid w:val="0092134F"/>
    <w:rsid w:val="00922AA6"/>
    <w:rsid w:val="00925F7C"/>
    <w:rsid w:val="009265D6"/>
    <w:rsid w:val="00926750"/>
    <w:rsid w:val="00926ED3"/>
    <w:rsid w:val="00927772"/>
    <w:rsid w:val="009303A0"/>
    <w:rsid w:val="0093219D"/>
    <w:rsid w:val="00932CF1"/>
    <w:rsid w:val="00932ECF"/>
    <w:rsid w:val="00933909"/>
    <w:rsid w:val="009341B7"/>
    <w:rsid w:val="009350BC"/>
    <w:rsid w:val="009375FB"/>
    <w:rsid w:val="00937B4B"/>
    <w:rsid w:val="009405CB"/>
    <w:rsid w:val="009427B3"/>
    <w:rsid w:val="009430C9"/>
    <w:rsid w:val="00944180"/>
    <w:rsid w:val="00944486"/>
    <w:rsid w:val="00944B7B"/>
    <w:rsid w:val="00945220"/>
    <w:rsid w:val="00946393"/>
    <w:rsid w:val="0094760A"/>
    <w:rsid w:val="009505F1"/>
    <w:rsid w:val="00950614"/>
    <w:rsid w:val="009520C7"/>
    <w:rsid w:val="00952A1A"/>
    <w:rsid w:val="00953185"/>
    <w:rsid w:val="00954F52"/>
    <w:rsid w:val="00955A61"/>
    <w:rsid w:val="00956176"/>
    <w:rsid w:val="00957229"/>
    <w:rsid w:val="00957FB4"/>
    <w:rsid w:val="0096058A"/>
    <w:rsid w:val="00960C2F"/>
    <w:rsid w:val="009613DD"/>
    <w:rsid w:val="0096268D"/>
    <w:rsid w:val="0096428C"/>
    <w:rsid w:val="009646B5"/>
    <w:rsid w:val="00964711"/>
    <w:rsid w:val="009647F5"/>
    <w:rsid w:val="00966A8F"/>
    <w:rsid w:val="00966CA6"/>
    <w:rsid w:val="00973A94"/>
    <w:rsid w:val="009745FA"/>
    <w:rsid w:val="00974E47"/>
    <w:rsid w:val="00976140"/>
    <w:rsid w:val="00976375"/>
    <w:rsid w:val="00976A81"/>
    <w:rsid w:val="0097704F"/>
    <w:rsid w:val="00977C8B"/>
    <w:rsid w:val="00980318"/>
    <w:rsid w:val="00982629"/>
    <w:rsid w:val="0098268C"/>
    <w:rsid w:val="00982DC5"/>
    <w:rsid w:val="0098375B"/>
    <w:rsid w:val="00985151"/>
    <w:rsid w:val="0098733B"/>
    <w:rsid w:val="0098772F"/>
    <w:rsid w:val="00987C68"/>
    <w:rsid w:val="009906D3"/>
    <w:rsid w:val="009945AF"/>
    <w:rsid w:val="00995469"/>
    <w:rsid w:val="0099566D"/>
    <w:rsid w:val="0099586B"/>
    <w:rsid w:val="00995934"/>
    <w:rsid w:val="00996914"/>
    <w:rsid w:val="00996AF3"/>
    <w:rsid w:val="00996BC1"/>
    <w:rsid w:val="00996F58"/>
    <w:rsid w:val="009A1C0E"/>
    <w:rsid w:val="009A28AD"/>
    <w:rsid w:val="009A33FA"/>
    <w:rsid w:val="009A46C6"/>
    <w:rsid w:val="009A4CBB"/>
    <w:rsid w:val="009A4D62"/>
    <w:rsid w:val="009A5386"/>
    <w:rsid w:val="009A6CC6"/>
    <w:rsid w:val="009B0B25"/>
    <w:rsid w:val="009B18C4"/>
    <w:rsid w:val="009B296F"/>
    <w:rsid w:val="009B2AF0"/>
    <w:rsid w:val="009B3DEE"/>
    <w:rsid w:val="009B5AFF"/>
    <w:rsid w:val="009B66C2"/>
    <w:rsid w:val="009C0097"/>
    <w:rsid w:val="009C03EE"/>
    <w:rsid w:val="009C08FA"/>
    <w:rsid w:val="009C2262"/>
    <w:rsid w:val="009C43E0"/>
    <w:rsid w:val="009C59D8"/>
    <w:rsid w:val="009C7596"/>
    <w:rsid w:val="009C7E07"/>
    <w:rsid w:val="009C7E9C"/>
    <w:rsid w:val="009D01A4"/>
    <w:rsid w:val="009D051F"/>
    <w:rsid w:val="009D1EC1"/>
    <w:rsid w:val="009D2239"/>
    <w:rsid w:val="009D2603"/>
    <w:rsid w:val="009D28E9"/>
    <w:rsid w:val="009D2D86"/>
    <w:rsid w:val="009D384F"/>
    <w:rsid w:val="009D45D7"/>
    <w:rsid w:val="009D6819"/>
    <w:rsid w:val="009D6A97"/>
    <w:rsid w:val="009D7A99"/>
    <w:rsid w:val="009E00CF"/>
    <w:rsid w:val="009E06A9"/>
    <w:rsid w:val="009E096B"/>
    <w:rsid w:val="009E141A"/>
    <w:rsid w:val="009E2778"/>
    <w:rsid w:val="009E34F3"/>
    <w:rsid w:val="009E3B79"/>
    <w:rsid w:val="009E422F"/>
    <w:rsid w:val="009E4511"/>
    <w:rsid w:val="009E5B19"/>
    <w:rsid w:val="009F03C9"/>
    <w:rsid w:val="009F22A3"/>
    <w:rsid w:val="009F25D7"/>
    <w:rsid w:val="009F2873"/>
    <w:rsid w:val="009F2F37"/>
    <w:rsid w:val="009F3234"/>
    <w:rsid w:val="009F4C1A"/>
    <w:rsid w:val="009F4F60"/>
    <w:rsid w:val="009F76B2"/>
    <w:rsid w:val="009F7B42"/>
    <w:rsid w:val="009F7CA6"/>
    <w:rsid w:val="009F7D4C"/>
    <w:rsid w:val="009F7FD9"/>
    <w:rsid w:val="00A01551"/>
    <w:rsid w:val="00A01C5D"/>
    <w:rsid w:val="00A01C82"/>
    <w:rsid w:val="00A0312C"/>
    <w:rsid w:val="00A047DD"/>
    <w:rsid w:val="00A05E4B"/>
    <w:rsid w:val="00A07060"/>
    <w:rsid w:val="00A078A4"/>
    <w:rsid w:val="00A07BCD"/>
    <w:rsid w:val="00A11CE7"/>
    <w:rsid w:val="00A12A73"/>
    <w:rsid w:val="00A1332C"/>
    <w:rsid w:val="00A141BA"/>
    <w:rsid w:val="00A16190"/>
    <w:rsid w:val="00A1668D"/>
    <w:rsid w:val="00A2070F"/>
    <w:rsid w:val="00A2194A"/>
    <w:rsid w:val="00A2253E"/>
    <w:rsid w:val="00A22A70"/>
    <w:rsid w:val="00A22FFB"/>
    <w:rsid w:val="00A23AD7"/>
    <w:rsid w:val="00A27347"/>
    <w:rsid w:val="00A30E62"/>
    <w:rsid w:val="00A31CF6"/>
    <w:rsid w:val="00A328EE"/>
    <w:rsid w:val="00A3333A"/>
    <w:rsid w:val="00A343CC"/>
    <w:rsid w:val="00A35DEF"/>
    <w:rsid w:val="00A35EEA"/>
    <w:rsid w:val="00A378FE"/>
    <w:rsid w:val="00A41143"/>
    <w:rsid w:val="00A41B6F"/>
    <w:rsid w:val="00A43FDE"/>
    <w:rsid w:val="00A4494B"/>
    <w:rsid w:val="00A51F0E"/>
    <w:rsid w:val="00A52DD8"/>
    <w:rsid w:val="00A531D3"/>
    <w:rsid w:val="00A53A9E"/>
    <w:rsid w:val="00A54CBB"/>
    <w:rsid w:val="00A54D30"/>
    <w:rsid w:val="00A54E21"/>
    <w:rsid w:val="00A54E3D"/>
    <w:rsid w:val="00A60E02"/>
    <w:rsid w:val="00A616CB"/>
    <w:rsid w:val="00A62E47"/>
    <w:rsid w:val="00A6482D"/>
    <w:rsid w:val="00A65856"/>
    <w:rsid w:val="00A65ACC"/>
    <w:rsid w:val="00A675AF"/>
    <w:rsid w:val="00A7020C"/>
    <w:rsid w:val="00A707C6"/>
    <w:rsid w:val="00A7082E"/>
    <w:rsid w:val="00A7180B"/>
    <w:rsid w:val="00A72A72"/>
    <w:rsid w:val="00A73F6A"/>
    <w:rsid w:val="00A74EFA"/>
    <w:rsid w:val="00A76282"/>
    <w:rsid w:val="00A77059"/>
    <w:rsid w:val="00A77918"/>
    <w:rsid w:val="00A81CF1"/>
    <w:rsid w:val="00A82945"/>
    <w:rsid w:val="00A82D2D"/>
    <w:rsid w:val="00A868EE"/>
    <w:rsid w:val="00A87A75"/>
    <w:rsid w:val="00A91AB4"/>
    <w:rsid w:val="00A9208E"/>
    <w:rsid w:val="00A9289A"/>
    <w:rsid w:val="00A92D55"/>
    <w:rsid w:val="00A9350C"/>
    <w:rsid w:val="00A93AF2"/>
    <w:rsid w:val="00A952E4"/>
    <w:rsid w:val="00A95351"/>
    <w:rsid w:val="00A95B65"/>
    <w:rsid w:val="00A95F57"/>
    <w:rsid w:val="00A96608"/>
    <w:rsid w:val="00A9664C"/>
    <w:rsid w:val="00A97306"/>
    <w:rsid w:val="00AA00F5"/>
    <w:rsid w:val="00AA0A45"/>
    <w:rsid w:val="00AA21EC"/>
    <w:rsid w:val="00AA4AC8"/>
    <w:rsid w:val="00AA634B"/>
    <w:rsid w:val="00AB04F8"/>
    <w:rsid w:val="00AB07B8"/>
    <w:rsid w:val="00AB1613"/>
    <w:rsid w:val="00AB1B47"/>
    <w:rsid w:val="00AB22A4"/>
    <w:rsid w:val="00AB2ECA"/>
    <w:rsid w:val="00AB3411"/>
    <w:rsid w:val="00AB4902"/>
    <w:rsid w:val="00AB4C99"/>
    <w:rsid w:val="00AB4EDD"/>
    <w:rsid w:val="00AB54B7"/>
    <w:rsid w:val="00AB5993"/>
    <w:rsid w:val="00AB6974"/>
    <w:rsid w:val="00AC1F76"/>
    <w:rsid w:val="00AC2274"/>
    <w:rsid w:val="00AC44F5"/>
    <w:rsid w:val="00AC50C2"/>
    <w:rsid w:val="00AC6006"/>
    <w:rsid w:val="00AC635A"/>
    <w:rsid w:val="00AC69CE"/>
    <w:rsid w:val="00AD03DB"/>
    <w:rsid w:val="00AD04F3"/>
    <w:rsid w:val="00AD087D"/>
    <w:rsid w:val="00AD1AB0"/>
    <w:rsid w:val="00AD61F8"/>
    <w:rsid w:val="00AE262A"/>
    <w:rsid w:val="00AE4A1D"/>
    <w:rsid w:val="00AE5543"/>
    <w:rsid w:val="00AE5AF2"/>
    <w:rsid w:val="00AE5B4E"/>
    <w:rsid w:val="00AE5DC9"/>
    <w:rsid w:val="00AE6191"/>
    <w:rsid w:val="00AF05B3"/>
    <w:rsid w:val="00AF1170"/>
    <w:rsid w:val="00AF18B6"/>
    <w:rsid w:val="00AF1BEB"/>
    <w:rsid w:val="00AF25F2"/>
    <w:rsid w:val="00AF35E9"/>
    <w:rsid w:val="00AF38C2"/>
    <w:rsid w:val="00AF66F3"/>
    <w:rsid w:val="00AF7BFA"/>
    <w:rsid w:val="00B00A68"/>
    <w:rsid w:val="00B0114D"/>
    <w:rsid w:val="00B01713"/>
    <w:rsid w:val="00B01A26"/>
    <w:rsid w:val="00B0322D"/>
    <w:rsid w:val="00B04913"/>
    <w:rsid w:val="00B0579E"/>
    <w:rsid w:val="00B107F2"/>
    <w:rsid w:val="00B11556"/>
    <w:rsid w:val="00B11E50"/>
    <w:rsid w:val="00B13401"/>
    <w:rsid w:val="00B14896"/>
    <w:rsid w:val="00B170C2"/>
    <w:rsid w:val="00B21EB7"/>
    <w:rsid w:val="00B22402"/>
    <w:rsid w:val="00B23F2A"/>
    <w:rsid w:val="00B25A3D"/>
    <w:rsid w:val="00B30A42"/>
    <w:rsid w:val="00B3120D"/>
    <w:rsid w:val="00B3146A"/>
    <w:rsid w:val="00B31962"/>
    <w:rsid w:val="00B3271C"/>
    <w:rsid w:val="00B33F6D"/>
    <w:rsid w:val="00B34D66"/>
    <w:rsid w:val="00B369F7"/>
    <w:rsid w:val="00B36AAB"/>
    <w:rsid w:val="00B37A96"/>
    <w:rsid w:val="00B37BAD"/>
    <w:rsid w:val="00B40379"/>
    <w:rsid w:val="00B40839"/>
    <w:rsid w:val="00B4200A"/>
    <w:rsid w:val="00B432B9"/>
    <w:rsid w:val="00B44608"/>
    <w:rsid w:val="00B46365"/>
    <w:rsid w:val="00B46EB3"/>
    <w:rsid w:val="00B52593"/>
    <w:rsid w:val="00B5532F"/>
    <w:rsid w:val="00B55CE6"/>
    <w:rsid w:val="00B56874"/>
    <w:rsid w:val="00B60704"/>
    <w:rsid w:val="00B60D86"/>
    <w:rsid w:val="00B62942"/>
    <w:rsid w:val="00B63123"/>
    <w:rsid w:val="00B639A3"/>
    <w:rsid w:val="00B647BF"/>
    <w:rsid w:val="00B65364"/>
    <w:rsid w:val="00B6576E"/>
    <w:rsid w:val="00B65D58"/>
    <w:rsid w:val="00B66673"/>
    <w:rsid w:val="00B66AB4"/>
    <w:rsid w:val="00B67F53"/>
    <w:rsid w:val="00B70011"/>
    <w:rsid w:val="00B7021B"/>
    <w:rsid w:val="00B7031E"/>
    <w:rsid w:val="00B72565"/>
    <w:rsid w:val="00B739E8"/>
    <w:rsid w:val="00B75702"/>
    <w:rsid w:val="00B7744E"/>
    <w:rsid w:val="00B77505"/>
    <w:rsid w:val="00B80794"/>
    <w:rsid w:val="00B8101D"/>
    <w:rsid w:val="00B8164B"/>
    <w:rsid w:val="00B819D0"/>
    <w:rsid w:val="00B81F63"/>
    <w:rsid w:val="00B82600"/>
    <w:rsid w:val="00B83DE6"/>
    <w:rsid w:val="00B8426E"/>
    <w:rsid w:val="00B853F2"/>
    <w:rsid w:val="00B87613"/>
    <w:rsid w:val="00B909D5"/>
    <w:rsid w:val="00B90B19"/>
    <w:rsid w:val="00B94818"/>
    <w:rsid w:val="00B967B5"/>
    <w:rsid w:val="00B96CE8"/>
    <w:rsid w:val="00BA065E"/>
    <w:rsid w:val="00BA06DA"/>
    <w:rsid w:val="00BA0E21"/>
    <w:rsid w:val="00BA1745"/>
    <w:rsid w:val="00BA4064"/>
    <w:rsid w:val="00BA5BA6"/>
    <w:rsid w:val="00BA62CC"/>
    <w:rsid w:val="00BA76E7"/>
    <w:rsid w:val="00BB011E"/>
    <w:rsid w:val="00BB0E22"/>
    <w:rsid w:val="00BB1695"/>
    <w:rsid w:val="00BB19BD"/>
    <w:rsid w:val="00BB3C49"/>
    <w:rsid w:val="00BB3CC2"/>
    <w:rsid w:val="00BB3D2D"/>
    <w:rsid w:val="00BB463B"/>
    <w:rsid w:val="00BB573B"/>
    <w:rsid w:val="00BB5767"/>
    <w:rsid w:val="00BB6384"/>
    <w:rsid w:val="00BB7ACB"/>
    <w:rsid w:val="00BC0747"/>
    <w:rsid w:val="00BC0BAC"/>
    <w:rsid w:val="00BC1AB1"/>
    <w:rsid w:val="00BC678B"/>
    <w:rsid w:val="00BC6FA9"/>
    <w:rsid w:val="00BC708F"/>
    <w:rsid w:val="00BC7877"/>
    <w:rsid w:val="00BD00C9"/>
    <w:rsid w:val="00BD3EAA"/>
    <w:rsid w:val="00BD4D3F"/>
    <w:rsid w:val="00BD76F8"/>
    <w:rsid w:val="00BE1236"/>
    <w:rsid w:val="00BE1653"/>
    <w:rsid w:val="00BE38D9"/>
    <w:rsid w:val="00BE66A6"/>
    <w:rsid w:val="00BE7679"/>
    <w:rsid w:val="00BF0340"/>
    <w:rsid w:val="00BF04E8"/>
    <w:rsid w:val="00BF0D73"/>
    <w:rsid w:val="00BF1B43"/>
    <w:rsid w:val="00BF3E5E"/>
    <w:rsid w:val="00BF3F05"/>
    <w:rsid w:val="00BF4E6B"/>
    <w:rsid w:val="00BF5110"/>
    <w:rsid w:val="00BF5F3A"/>
    <w:rsid w:val="00BF5FD3"/>
    <w:rsid w:val="00BF6205"/>
    <w:rsid w:val="00BF677F"/>
    <w:rsid w:val="00BF68F9"/>
    <w:rsid w:val="00C010F1"/>
    <w:rsid w:val="00C017C0"/>
    <w:rsid w:val="00C02FCA"/>
    <w:rsid w:val="00C0310F"/>
    <w:rsid w:val="00C0388F"/>
    <w:rsid w:val="00C04830"/>
    <w:rsid w:val="00C056A4"/>
    <w:rsid w:val="00C05881"/>
    <w:rsid w:val="00C06666"/>
    <w:rsid w:val="00C1016D"/>
    <w:rsid w:val="00C11DFD"/>
    <w:rsid w:val="00C1252F"/>
    <w:rsid w:val="00C13824"/>
    <w:rsid w:val="00C14112"/>
    <w:rsid w:val="00C14B68"/>
    <w:rsid w:val="00C15150"/>
    <w:rsid w:val="00C15AE3"/>
    <w:rsid w:val="00C17031"/>
    <w:rsid w:val="00C17F53"/>
    <w:rsid w:val="00C2026C"/>
    <w:rsid w:val="00C26B5A"/>
    <w:rsid w:val="00C27761"/>
    <w:rsid w:val="00C31856"/>
    <w:rsid w:val="00C31EAD"/>
    <w:rsid w:val="00C32498"/>
    <w:rsid w:val="00C32CAA"/>
    <w:rsid w:val="00C357DC"/>
    <w:rsid w:val="00C362C6"/>
    <w:rsid w:val="00C37E72"/>
    <w:rsid w:val="00C40432"/>
    <w:rsid w:val="00C42C8B"/>
    <w:rsid w:val="00C46D12"/>
    <w:rsid w:val="00C475D1"/>
    <w:rsid w:val="00C47689"/>
    <w:rsid w:val="00C47A8B"/>
    <w:rsid w:val="00C50094"/>
    <w:rsid w:val="00C50721"/>
    <w:rsid w:val="00C5089F"/>
    <w:rsid w:val="00C50A22"/>
    <w:rsid w:val="00C52252"/>
    <w:rsid w:val="00C542FD"/>
    <w:rsid w:val="00C54579"/>
    <w:rsid w:val="00C552EE"/>
    <w:rsid w:val="00C55963"/>
    <w:rsid w:val="00C565C1"/>
    <w:rsid w:val="00C570DA"/>
    <w:rsid w:val="00C615DA"/>
    <w:rsid w:val="00C63E8D"/>
    <w:rsid w:val="00C70574"/>
    <w:rsid w:val="00C70A45"/>
    <w:rsid w:val="00C70B6B"/>
    <w:rsid w:val="00C714BD"/>
    <w:rsid w:val="00C71672"/>
    <w:rsid w:val="00C73B46"/>
    <w:rsid w:val="00C75FE3"/>
    <w:rsid w:val="00C7676F"/>
    <w:rsid w:val="00C76B22"/>
    <w:rsid w:val="00C76CDE"/>
    <w:rsid w:val="00C76D49"/>
    <w:rsid w:val="00C806A1"/>
    <w:rsid w:val="00C811F0"/>
    <w:rsid w:val="00C83148"/>
    <w:rsid w:val="00C8551C"/>
    <w:rsid w:val="00C91E2F"/>
    <w:rsid w:val="00C9387D"/>
    <w:rsid w:val="00C93EDB"/>
    <w:rsid w:val="00C94A75"/>
    <w:rsid w:val="00C95149"/>
    <w:rsid w:val="00C953DD"/>
    <w:rsid w:val="00C95790"/>
    <w:rsid w:val="00C95F84"/>
    <w:rsid w:val="00CA08D5"/>
    <w:rsid w:val="00CA09B9"/>
    <w:rsid w:val="00CA15F4"/>
    <w:rsid w:val="00CA16AD"/>
    <w:rsid w:val="00CA2353"/>
    <w:rsid w:val="00CA3A58"/>
    <w:rsid w:val="00CA3B12"/>
    <w:rsid w:val="00CA7B2E"/>
    <w:rsid w:val="00CB09BE"/>
    <w:rsid w:val="00CB2033"/>
    <w:rsid w:val="00CB386F"/>
    <w:rsid w:val="00CB4727"/>
    <w:rsid w:val="00CB51D1"/>
    <w:rsid w:val="00CB5C37"/>
    <w:rsid w:val="00CB5CE1"/>
    <w:rsid w:val="00CB5D2D"/>
    <w:rsid w:val="00CB6051"/>
    <w:rsid w:val="00CC0A19"/>
    <w:rsid w:val="00CC1B86"/>
    <w:rsid w:val="00CC35F4"/>
    <w:rsid w:val="00CC7114"/>
    <w:rsid w:val="00CC7BAA"/>
    <w:rsid w:val="00CC7D24"/>
    <w:rsid w:val="00CD4692"/>
    <w:rsid w:val="00CD590A"/>
    <w:rsid w:val="00CD5A21"/>
    <w:rsid w:val="00CD6FC4"/>
    <w:rsid w:val="00CD7D35"/>
    <w:rsid w:val="00CE031F"/>
    <w:rsid w:val="00CE5BE4"/>
    <w:rsid w:val="00CE7260"/>
    <w:rsid w:val="00CE79D2"/>
    <w:rsid w:val="00CF3506"/>
    <w:rsid w:val="00CF43FC"/>
    <w:rsid w:val="00CF4975"/>
    <w:rsid w:val="00CF4EBE"/>
    <w:rsid w:val="00CF54A9"/>
    <w:rsid w:val="00D00626"/>
    <w:rsid w:val="00D0071C"/>
    <w:rsid w:val="00D010D2"/>
    <w:rsid w:val="00D0117C"/>
    <w:rsid w:val="00D012A8"/>
    <w:rsid w:val="00D03601"/>
    <w:rsid w:val="00D05E5E"/>
    <w:rsid w:val="00D1159F"/>
    <w:rsid w:val="00D117CC"/>
    <w:rsid w:val="00D1229D"/>
    <w:rsid w:val="00D13EBE"/>
    <w:rsid w:val="00D16531"/>
    <w:rsid w:val="00D167F8"/>
    <w:rsid w:val="00D20340"/>
    <w:rsid w:val="00D20DD1"/>
    <w:rsid w:val="00D22A7D"/>
    <w:rsid w:val="00D22C31"/>
    <w:rsid w:val="00D23366"/>
    <w:rsid w:val="00D23FB8"/>
    <w:rsid w:val="00D247F3"/>
    <w:rsid w:val="00D250BB"/>
    <w:rsid w:val="00D25F6F"/>
    <w:rsid w:val="00D26CB8"/>
    <w:rsid w:val="00D3078F"/>
    <w:rsid w:val="00D31EDA"/>
    <w:rsid w:val="00D33F33"/>
    <w:rsid w:val="00D355C6"/>
    <w:rsid w:val="00D41C5F"/>
    <w:rsid w:val="00D432DB"/>
    <w:rsid w:val="00D43A6B"/>
    <w:rsid w:val="00D43D5F"/>
    <w:rsid w:val="00D44723"/>
    <w:rsid w:val="00D449C0"/>
    <w:rsid w:val="00D44CF1"/>
    <w:rsid w:val="00D451BB"/>
    <w:rsid w:val="00D453D3"/>
    <w:rsid w:val="00D4564E"/>
    <w:rsid w:val="00D45907"/>
    <w:rsid w:val="00D45EB2"/>
    <w:rsid w:val="00D46FDB"/>
    <w:rsid w:val="00D472B8"/>
    <w:rsid w:val="00D50821"/>
    <w:rsid w:val="00D50ACE"/>
    <w:rsid w:val="00D528F3"/>
    <w:rsid w:val="00D538E8"/>
    <w:rsid w:val="00D544E0"/>
    <w:rsid w:val="00D54501"/>
    <w:rsid w:val="00D54D3B"/>
    <w:rsid w:val="00D5587D"/>
    <w:rsid w:val="00D56C5E"/>
    <w:rsid w:val="00D57256"/>
    <w:rsid w:val="00D57B8C"/>
    <w:rsid w:val="00D60574"/>
    <w:rsid w:val="00D6127E"/>
    <w:rsid w:val="00D62382"/>
    <w:rsid w:val="00D6303B"/>
    <w:rsid w:val="00D63756"/>
    <w:rsid w:val="00D65B9B"/>
    <w:rsid w:val="00D65CE2"/>
    <w:rsid w:val="00D668C7"/>
    <w:rsid w:val="00D6747F"/>
    <w:rsid w:val="00D703BF"/>
    <w:rsid w:val="00D7057C"/>
    <w:rsid w:val="00D70F62"/>
    <w:rsid w:val="00D715F9"/>
    <w:rsid w:val="00D72CF0"/>
    <w:rsid w:val="00D734EE"/>
    <w:rsid w:val="00D73F6C"/>
    <w:rsid w:val="00D751AB"/>
    <w:rsid w:val="00D76D4E"/>
    <w:rsid w:val="00D76F61"/>
    <w:rsid w:val="00D801DF"/>
    <w:rsid w:val="00D81FDA"/>
    <w:rsid w:val="00D822C1"/>
    <w:rsid w:val="00D822D3"/>
    <w:rsid w:val="00D823A4"/>
    <w:rsid w:val="00D82B3E"/>
    <w:rsid w:val="00D8310E"/>
    <w:rsid w:val="00D83A89"/>
    <w:rsid w:val="00D90340"/>
    <w:rsid w:val="00D90EA7"/>
    <w:rsid w:val="00D9182E"/>
    <w:rsid w:val="00D928BC"/>
    <w:rsid w:val="00D92BEC"/>
    <w:rsid w:val="00D9326F"/>
    <w:rsid w:val="00D947BB"/>
    <w:rsid w:val="00D95843"/>
    <w:rsid w:val="00D95EF7"/>
    <w:rsid w:val="00D97C13"/>
    <w:rsid w:val="00DA1236"/>
    <w:rsid w:val="00DA1238"/>
    <w:rsid w:val="00DA2715"/>
    <w:rsid w:val="00DA2B33"/>
    <w:rsid w:val="00DA48EB"/>
    <w:rsid w:val="00DA532F"/>
    <w:rsid w:val="00DA686B"/>
    <w:rsid w:val="00DA7901"/>
    <w:rsid w:val="00DB0005"/>
    <w:rsid w:val="00DB2264"/>
    <w:rsid w:val="00DB4333"/>
    <w:rsid w:val="00DB5BC7"/>
    <w:rsid w:val="00DB6403"/>
    <w:rsid w:val="00DC1A1E"/>
    <w:rsid w:val="00DC27EA"/>
    <w:rsid w:val="00DC2B1A"/>
    <w:rsid w:val="00DC341D"/>
    <w:rsid w:val="00DC380E"/>
    <w:rsid w:val="00DC4E80"/>
    <w:rsid w:val="00DC529F"/>
    <w:rsid w:val="00DC5B24"/>
    <w:rsid w:val="00DC6649"/>
    <w:rsid w:val="00DC6CFB"/>
    <w:rsid w:val="00DD043D"/>
    <w:rsid w:val="00DD1775"/>
    <w:rsid w:val="00DD1F84"/>
    <w:rsid w:val="00DD4EBF"/>
    <w:rsid w:val="00DD4F76"/>
    <w:rsid w:val="00DD4FC3"/>
    <w:rsid w:val="00DD54F1"/>
    <w:rsid w:val="00DD5786"/>
    <w:rsid w:val="00DD5AFB"/>
    <w:rsid w:val="00DD6241"/>
    <w:rsid w:val="00DD65B2"/>
    <w:rsid w:val="00DD66E5"/>
    <w:rsid w:val="00DD75A3"/>
    <w:rsid w:val="00DE024B"/>
    <w:rsid w:val="00DE0CD9"/>
    <w:rsid w:val="00DE0E17"/>
    <w:rsid w:val="00DE1664"/>
    <w:rsid w:val="00DE1A4F"/>
    <w:rsid w:val="00DE21E4"/>
    <w:rsid w:val="00DE3881"/>
    <w:rsid w:val="00DE394A"/>
    <w:rsid w:val="00DF1CAB"/>
    <w:rsid w:val="00DF2C8E"/>
    <w:rsid w:val="00DF344D"/>
    <w:rsid w:val="00DF446B"/>
    <w:rsid w:val="00E00401"/>
    <w:rsid w:val="00E00E65"/>
    <w:rsid w:val="00E015C2"/>
    <w:rsid w:val="00E0193F"/>
    <w:rsid w:val="00E022F3"/>
    <w:rsid w:val="00E02A36"/>
    <w:rsid w:val="00E030C6"/>
    <w:rsid w:val="00E04784"/>
    <w:rsid w:val="00E06716"/>
    <w:rsid w:val="00E06F9C"/>
    <w:rsid w:val="00E07B1D"/>
    <w:rsid w:val="00E10FA3"/>
    <w:rsid w:val="00E11998"/>
    <w:rsid w:val="00E12C03"/>
    <w:rsid w:val="00E1409A"/>
    <w:rsid w:val="00E15CE5"/>
    <w:rsid w:val="00E16354"/>
    <w:rsid w:val="00E16A8E"/>
    <w:rsid w:val="00E174E5"/>
    <w:rsid w:val="00E17586"/>
    <w:rsid w:val="00E23A7E"/>
    <w:rsid w:val="00E25185"/>
    <w:rsid w:val="00E2783F"/>
    <w:rsid w:val="00E32537"/>
    <w:rsid w:val="00E329B5"/>
    <w:rsid w:val="00E34F1D"/>
    <w:rsid w:val="00E35CFA"/>
    <w:rsid w:val="00E36CC3"/>
    <w:rsid w:val="00E42DF7"/>
    <w:rsid w:val="00E43808"/>
    <w:rsid w:val="00E43BED"/>
    <w:rsid w:val="00E43C4E"/>
    <w:rsid w:val="00E44072"/>
    <w:rsid w:val="00E44715"/>
    <w:rsid w:val="00E44FE1"/>
    <w:rsid w:val="00E45487"/>
    <w:rsid w:val="00E454BA"/>
    <w:rsid w:val="00E464FE"/>
    <w:rsid w:val="00E46868"/>
    <w:rsid w:val="00E51D25"/>
    <w:rsid w:val="00E550F1"/>
    <w:rsid w:val="00E55633"/>
    <w:rsid w:val="00E556EF"/>
    <w:rsid w:val="00E5611F"/>
    <w:rsid w:val="00E57F83"/>
    <w:rsid w:val="00E618E8"/>
    <w:rsid w:val="00E6214E"/>
    <w:rsid w:val="00E630F9"/>
    <w:rsid w:val="00E63391"/>
    <w:rsid w:val="00E63850"/>
    <w:rsid w:val="00E644AE"/>
    <w:rsid w:val="00E6478C"/>
    <w:rsid w:val="00E65145"/>
    <w:rsid w:val="00E65CBF"/>
    <w:rsid w:val="00E66810"/>
    <w:rsid w:val="00E70404"/>
    <w:rsid w:val="00E704D1"/>
    <w:rsid w:val="00E70D5F"/>
    <w:rsid w:val="00E7107A"/>
    <w:rsid w:val="00E7131E"/>
    <w:rsid w:val="00E71C1E"/>
    <w:rsid w:val="00E7386C"/>
    <w:rsid w:val="00E74130"/>
    <w:rsid w:val="00E74C9F"/>
    <w:rsid w:val="00E74DD9"/>
    <w:rsid w:val="00E755BB"/>
    <w:rsid w:val="00E76A3F"/>
    <w:rsid w:val="00E80670"/>
    <w:rsid w:val="00E806DF"/>
    <w:rsid w:val="00E80F4B"/>
    <w:rsid w:val="00E8178E"/>
    <w:rsid w:val="00E821CA"/>
    <w:rsid w:val="00E8282A"/>
    <w:rsid w:val="00E83660"/>
    <w:rsid w:val="00E8367A"/>
    <w:rsid w:val="00E86B88"/>
    <w:rsid w:val="00E86C27"/>
    <w:rsid w:val="00E878B3"/>
    <w:rsid w:val="00E90F55"/>
    <w:rsid w:val="00E90FAD"/>
    <w:rsid w:val="00E9178C"/>
    <w:rsid w:val="00E9237B"/>
    <w:rsid w:val="00E926F0"/>
    <w:rsid w:val="00E94FD4"/>
    <w:rsid w:val="00E9668C"/>
    <w:rsid w:val="00E96BE2"/>
    <w:rsid w:val="00E97D36"/>
    <w:rsid w:val="00EA17E0"/>
    <w:rsid w:val="00EA20F1"/>
    <w:rsid w:val="00EA3C03"/>
    <w:rsid w:val="00EA4430"/>
    <w:rsid w:val="00EA4466"/>
    <w:rsid w:val="00EA534D"/>
    <w:rsid w:val="00EA7B01"/>
    <w:rsid w:val="00EB0469"/>
    <w:rsid w:val="00EB11D6"/>
    <w:rsid w:val="00EB16EA"/>
    <w:rsid w:val="00EB2F5C"/>
    <w:rsid w:val="00EB44AE"/>
    <w:rsid w:val="00EB617D"/>
    <w:rsid w:val="00EB625D"/>
    <w:rsid w:val="00EB7DB7"/>
    <w:rsid w:val="00EC140D"/>
    <w:rsid w:val="00EC28CC"/>
    <w:rsid w:val="00EC2AF7"/>
    <w:rsid w:val="00EC4051"/>
    <w:rsid w:val="00EC4F18"/>
    <w:rsid w:val="00ED0C5D"/>
    <w:rsid w:val="00ED292F"/>
    <w:rsid w:val="00ED3FF3"/>
    <w:rsid w:val="00ED4439"/>
    <w:rsid w:val="00ED4C1F"/>
    <w:rsid w:val="00ED65BD"/>
    <w:rsid w:val="00EE0D2F"/>
    <w:rsid w:val="00EE2A96"/>
    <w:rsid w:val="00EE3052"/>
    <w:rsid w:val="00EE3627"/>
    <w:rsid w:val="00EE38D2"/>
    <w:rsid w:val="00EE45EB"/>
    <w:rsid w:val="00EE4DE8"/>
    <w:rsid w:val="00EE4E87"/>
    <w:rsid w:val="00EE537C"/>
    <w:rsid w:val="00EE58E7"/>
    <w:rsid w:val="00EE6F7A"/>
    <w:rsid w:val="00EE765A"/>
    <w:rsid w:val="00EF02D3"/>
    <w:rsid w:val="00EF06F2"/>
    <w:rsid w:val="00EF1E21"/>
    <w:rsid w:val="00EF282F"/>
    <w:rsid w:val="00EF31EC"/>
    <w:rsid w:val="00EF4D11"/>
    <w:rsid w:val="00EF59CC"/>
    <w:rsid w:val="00F00E71"/>
    <w:rsid w:val="00F011DD"/>
    <w:rsid w:val="00F02017"/>
    <w:rsid w:val="00F03276"/>
    <w:rsid w:val="00F04D7C"/>
    <w:rsid w:val="00F050FC"/>
    <w:rsid w:val="00F05DF4"/>
    <w:rsid w:val="00F05F59"/>
    <w:rsid w:val="00F06B33"/>
    <w:rsid w:val="00F07245"/>
    <w:rsid w:val="00F106D2"/>
    <w:rsid w:val="00F10AA3"/>
    <w:rsid w:val="00F12806"/>
    <w:rsid w:val="00F14F17"/>
    <w:rsid w:val="00F15349"/>
    <w:rsid w:val="00F16DD5"/>
    <w:rsid w:val="00F172AC"/>
    <w:rsid w:val="00F20083"/>
    <w:rsid w:val="00F20F3C"/>
    <w:rsid w:val="00F229F1"/>
    <w:rsid w:val="00F24472"/>
    <w:rsid w:val="00F245EE"/>
    <w:rsid w:val="00F24DCD"/>
    <w:rsid w:val="00F25057"/>
    <w:rsid w:val="00F252EC"/>
    <w:rsid w:val="00F25A69"/>
    <w:rsid w:val="00F25E9B"/>
    <w:rsid w:val="00F262E9"/>
    <w:rsid w:val="00F26308"/>
    <w:rsid w:val="00F27A02"/>
    <w:rsid w:val="00F27E28"/>
    <w:rsid w:val="00F321FE"/>
    <w:rsid w:val="00F3298A"/>
    <w:rsid w:val="00F34171"/>
    <w:rsid w:val="00F346F0"/>
    <w:rsid w:val="00F34B5B"/>
    <w:rsid w:val="00F3571D"/>
    <w:rsid w:val="00F40794"/>
    <w:rsid w:val="00F438A2"/>
    <w:rsid w:val="00F449CD"/>
    <w:rsid w:val="00F45FBB"/>
    <w:rsid w:val="00F46B3B"/>
    <w:rsid w:val="00F4728E"/>
    <w:rsid w:val="00F50866"/>
    <w:rsid w:val="00F513EC"/>
    <w:rsid w:val="00F527A2"/>
    <w:rsid w:val="00F52D34"/>
    <w:rsid w:val="00F531BF"/>
    <w:rsid w:val="00F55B35"/>
    <w:rsid w:val="00F5600D"/>
    <w:rsid w:val="00F61197"/>
    <w:rsid w:val="00F6127E"/>
    <w:rsid w:val="00F62115"/>
    <w:rsid w:val="00F62E98"/>
    <w:rsid w:val="00F63A8C"/>
    <w:rsid w:val="00F65F02"/>
    <w:rsid w:val="00F667AA"/>
    <w:rsid w:val="00F67208"/>
    <w:rsid w:val="00F71986"/>
    <w:rsid w:val="00F735D7"/>
    <w:rsid w:val="00F750C3"/>
    <w:rsid w:val="00F766B6"/>
    <w:rsid w:val="00F81920"/>
    <w:rsid w:val="00F85ADF"/>
    <w:rsid w:val="00F91016"/>
    <w:rsid w:val="00F9212C"/>
    <w:rsid w:val="00F92290"/>
    <w:rsid w:val="00F92A2E"/>
    <w:rsid w:val="00F92B53"/>
    <w:rsid w:val="00F9312C"/>
    <w:rsid w:val="00F95DC9"/>
    <w:rsid w:val="00F9604C"/>
    <w:rsid w:val="00F961E2"/>
    <w:rsid w:val="00F9644B"/>
    <w:rsid w:val="00F96D3F"/>
    <w:rsid w:val="00F973DE"/>
    <w:rsid w:val="00F97EC8"/>
    <w:rsid w:val="00FA0400"/>
    <w:rsid w:val="00FA12E8"/>
    <w:rsid w:val="00FA2D2C"/>
    <w:rsid w:val="00FA4476"/>
    <w:rsid w:val="00FA4AF6"/>
    <w:rsid w:val="00FA4CAD"/>
    <w:rsid w:val="00FA5557"/>
    <w:rsid w:val="00FA5A85"/>
    <w:rsid w:val="00FA5BFD"/>
    <w:rsid w:val="00FA5C8E"/>
    <w:rsid w:val="00FA5DB2"/>
    <w:rsid w:val="00FA6CA4"/>
    <w:rsid w:val="00FA772E"/>
    <w:rsid w:val="00FB1B54"/>
    <w:rsid w:val="00FB2783"/>
    <w:rsid w:val="00FB505B"/>
    <w:rsid w:val="00FB5AE2"/>
    <w:rsid w:val="00FB5CD2"/>
    <w:rsid w:val="00FB646D"/>
    <w:rsid w:val="00FB6EBC"/>
    <w:rsid w:val="00FB74DA"/>
    <w:rsid w:val="00FB7859"/>
    <w:rsid w:val="00FC0367"/>
    <w:rsid w:val="00FC0812"/>
    <w:rsid w:val="00FC139E"/>
    <w:rsid w:val="00FC23F6"/>
    <w:rsid w:val="00FC4720"/>
    <w:rsid w:val="00FC5BD7"/>
    <w:rsid w:val="00FC625C"/>
    <w:rsid w:val="00FC6447"/>
    <w:rsid w:val="00FC7A59"/>
    <w:rsid w:val="00FD00A0"/>
    <w:rsid w:val="00FD1FD6"/>
    <w:rsid w:val="00FD2BD5"/>
    <w:rsid w:val="00FD327A"/>
    <w:rsid w:val="00FD61B9"/>
    <w:rsid w:val="00FD6338"/>
    <w:rsid w:val="00FD7E12"/>
    <w:rsid w:val="00FE3538"/>
    <w:rsid w:val="00FE3B84"/>
    <w:rsid w:val="00FE5E9A"/>
    <w:rsid w:val="00FE739D"/>
    <w:rsid w:val="00FE77B4"/>
    <w:rsid w:val="00FE7C1A"/>
    <w:rsid w:val="00FE7D42"/>
    <w:rsid w:val="00FF0604"/>
    <w:rsid w:val="00FF292E"/>
    <w:rsid w:val="00FF3EF4"/>
    <w:rsid w:val="00FF44BF"/>
    <w:rsid w:val="00FF4D47"/>
    <w:rsid w:val="00FF520E"/>
    <w:rsid w:val="00FF5429"/>
    <w:rsid w:val="00FF676C"/>
    <w:rsid w:val="00FF6952"/>
    <w:rsid w:val="00FF6A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628E1"/>
  <w15:chartTrackingRefBased/>
  <w15:docId w15:val="{79797001-3786-44DF-8C7F-8FA131E2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3CA"/>
  </w:style>
  <w:style w:type="paragraph" w:styleId="Titre1">
    <w:name w:val="heading 1"/>
    <w:basedOn w:val="Normal"/>
    <w:next w:val="Normal"/>
    <w:link w:val="Titre1Car"/>
    <w:uiPriority w:val="9"/>
    <w:qFormat/>
    <w:rsid w:val="00D00626"/>
    <w:pPr>
      <w:keepNext/>
      <w:keepLines/>
      <w:numPr>
        <w:numId w:val="13"/>
      </w:numPr>
      <w:spacing w:before="240" w:after="0"/>
      <w:ind w:left="357" w:hanging="357"/>
      <w:outlineLvl w:val="0"/>
    </w:pPr>
    <w:rPr>
      <w:rFonts w:eastAsiaTheme="majorEastAsia" w:cstheme="majorBidi"/>
      <w:b/>
      <w:caps/>
      <w:sz w:val="36"/>
      <w:szCs w:val="32"/>
    </w:rPr>
  </w:style>
  <w:style w:type="paragraph" w:styleId="Titre2">
    <w:name w:val="heading 2"/>
    <w:basedOn w:val="Normal"/>
    <w:next w:val="Normal"/>
    <w:link w:val="Titre2Car"/>
    <w:uiPriority w:val="9"/>
    <w:unhideWhenUsed/>
    <w:qFormat/>
    <w:rsid w:val="00D00626"/>
    <w:pPr>
      <w:keepNext/>
      <w:keepLines/>
      <w:spacing w:before="240" w:after="0" w:line="240" w:lineRule="auto"/>
      <w:ind w:left="170"/>
      <w:outlineLvl w:val="1"/>
    </w:pPr>
    <w:rPr>
      <w:rFonts w:eastAsiaTheme="majorEastAsia" w:cstheme="majorBidi"/>
      <w:b/>
      <w:smallCaps/>
      <w:sz w:val="36"/>
      <w:szCs w:val="26"/>
    </w:rPr>
  </w:style>
  <w:style w:type="paragraph" w:styleId="Titre3">
    <w:name w:val="heading 3"/>
    <w:basedOn w:val="Normal"/>
    <w:next w:val="Normal"/>
    <w:link w:val="Titre3Car"/>
    <w:uiPriority w:val="9"/>
    <w:unhideWhenUsed/>
    <w:qFormat/>
    <w:rsid w:val="00B87613"/>
    <w:pPr>
      <w:keepNext/>
      <w:keepLines/>
      <w:numPr>
        <w:numId w:val="15"/>
      </w:numPr>
      <w:spacing w:before="40" w:after="0"/>
      <w:outlineLvl w:val="2"/>
    </w:pPr>
    <w:rPr>
      <w:rFonts w:eastAsiaTheme="majorEastAsia" w:cstheme="majorBidi"/>
      <w:b/>
      <w:smallCaps/>
      <w:sz w:val="28"/>
      <w:szCs w:val="24"/>
    </w:rPr>
  </w:style>
  <w:style w:type="paragraph" w:styleId="Titre4">
    <w:name w:val="heading 4"/>
    <w:basedOn w:val="Normal"/>
    <w:next w:val="Normal"/>
    <w:link w:val="Titre4Car"/>
    <w:uiPriority w:val="9"/>
    <w:unhideWhenUsed/>
    <w:qFormat/>
    <w:rsid w:val="00B87613"/>
    <w:pPr>
      <w:keepNext/>
      <w:keepLines/>
      <w:numPr>
        <w:ilvl w:val="3"/>
        <w:numId w:val="17"/>
      </w:numPr>
      <w:spacing w:before="40" w:after="0"/>
      <w:jc w:val="both"/>
      <w:outlineLvl w:val="3"/>
    </w:pPr>
    <w:rPr>
      <w:rFonts w:eastAsiaTheme="majorEastAsia" w:cstheme="majorBidi"/>
      <w:b/>
      <w:iCs/>
      <w:smallCaps/>
      <w:sz w:val="28"/>
    </w:rPr>
  </w:style>
  <w:style w:type="paragraph" w:styleId="Titre5">
    <w:name w:val="heading 5"/>
    <w:basedOn w:val="Normal"/>
    <w:next w:val="Normal"/>
    <w:link w:val="Titre5Car"/>
    <w:uiPriority w:val="9"/>
    <w:unhideWhenUsed/>
    <w:qFormat/>
    <w:rsid w:val="005F73B0"/>
    <w:pPr>
      <w:keepNext/>
      <w:keepLines/>
      <w:numPr>
        <w:numId w:val="16"/>
      </w:numPr>
      <w:spacing w:before="40" w:after="0"/>
      <w:outlineLvl w:val="4"/>
    </w:pPr>
    <w:rPr>
      <w:rFonts w:eastAsiaTheme="majorEastAsia" w:cstheme="majorBidi"/>
      <w:b/>
      <w:smallCap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EI,Paragraphe de liste1,EC,Colorful List Accent 1,Paragraphe de liste11,Liste couleur - Accent 11,Paragraphe de liste2,List Paragraph,Liste couleur - Accent 111,Policy_Paragraph,List Paragraph1,Issue Action POC,3,Dot pt"/>
    <w:basedOn w:val="Normal"/>
    <w:link w:val="ParagraphedelisteCar"/>
    <w:uiPriority w:val="34"/>
    <w:qFormat/>
    <w:rsid w:val="008A4BDC"/>
    <w:pPr>
      <w:ind w:left="720"/>
      <w:contextualSpacing/>
    </w:pPr>
  </w:style>
  <w:style w:type="character" w:styleId="Lienhypertexte">
    <w:name w:val="Hyperlink"/>
    <w:basedOn w:val="Policepardfaut"/>
    <w:uiPriority w:val="99"/>
    <w:unhideWhenUsed/>
    <w:rsid w:val="00EA20F1"/>
    <w:rPr>
      <w:color w:val="0000FF"/>
      <w:u w:val="single"/>
    </w:rPr>
  </w:style>
  <w:style w:type="character" w:styleId="Appelnotedebasdep">
    <w:name w:val="footnote reference"/>
    <w:aliases w:val="Footnote Reference Number,Footnote Reference_LVL6,Footnote Reference_LVL61,Footnote Reference_LVL62,Footnote Reference_LVL63,Footnote Reference_LVL64,Znak Znak Char,Appel note de bas de page, Znak Znak Char,C26 Footnote Number"/>
    <w:basedOn w:val="Policepardfaut"/>
    <w:uiPriority w:val="99"/>
    <w:qFormat/>
    <w:rsid w:val="002E5692"/>
    <w:rPr>
      <w:rFonts w:ascii="Times New Roman" w:hAnsi="Times New Roman"/>
      <w:position w:val="6"/>
      <w:sz w:val="12"/>
      <w:bdr w:val="none" w:sz="0" w:space="0" w:color="auto"/>
    </w:rPr>
  </w:style>
  <w:style w:type="paragraph" w:styleId="Notedebasdepage">
    <w:name w:val="footnote text"/>
    <w:aliases w:val="fn,footnote text,Footnotes,Footnote ak,Note de bas de page Car1 Car,Note de bas de page Car Car Car,Note de bas de page Car Car Car Car Car,Note de bas de page Car Car1 Car Car,Note de bas de page Car2 Car Car,Fußnote,Footnote,lábléc"/>
    <w:basedOn w:val="Normal"/>
    <w:link w:val="NotedebasdepageCar"/>
    <w:uiPriority w:val="99"/>
    <w:qFormat/>
    <w:rsid w:val="002E5692"/>
    <w:pPr>
      <w:spacing w:before="40" w:after="40" w:line="240" w:lineRule="auto"/>
      <w:ind w:left="170" w:right="851" w:hanging="170"/>
      <w:jc w:val="both"/>
    </w:pPr>
    <w:rPr>
      <w:rFonts w:ascii="Times New Roman" w:eastAsia="Times New Roman" w:hAnsi="Times New Roman" w:cs="Times New Roman"/>
      <w:sz w:val="16"/>
      <w:szCs w:val="20"/>
      <w:lang w:eastAsia="fr-FR"/>
    </w:rPr>
  </w:style>
  <w:style w:type="character" w:customStyle="1" w:styleId="NotedebasdepageCar">
    <w:name w:val="Note de bas de page Car"/>
    <w:aliases w:val="fn Car,footnote text Car,Footnotes Car,Footnote ak Car,Note de bas de page Car1 Car Car,Note de bas de page Car Car Car Car,Note de bas de page Car Car Car Car Car Car,Note de bas de page Car Car1 Car Car Car,Fußnote Car"/>
    <w:basedOn w:val="Policepardfaut"/>
    <w:link w:val="Notedebasdepage"/>
    <w:uiPriority w:val="99"/>
    <w:qFormat/>
    <w:rsid w:val="002E5692"/>
    <w:rPr>
      <w:rFonts w:ascii="Times New Roman" w:eastAsia="Times New Roman" w:hAnsi="Times New Roman" w:cs="Times New Roman"/>
      <w:sz w:val="16"/>
      <w:szCs w:val="20"/>
      <w:lang w:eastAsia="fr-FR"/>
    </w:rPr>
  </w:style>
  <w:style w:type="table" w:styleId="Grilledutableau">
    <w:name w:val="Table Grid"/>
    <w:basedOn w:val="TableauNormal"/>
    <w:rsid w:val="00312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2">
    <w:name w:val="Plain Table 2"/>
    <w:basedOn w:val="TableauNormal"/>
    <w:uiPriority w:val="42"/>
    <w:rsid w:val="00D45E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uiPriority w:val="41"/>
    <w:rsid w:val="006F22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suivivisit">
    <w:name w:val="FollowedHyperlink"/>
    <w:basedOn w:val="Policepardfaut"/>
    <w:uiPriority w:val="99"/>
    <w:semiHidden/>
    <w:unhideWhenUsed/>
    <w:rsid w:val="0090050F"/>
    <w:rPr>
      <w:color w:val="954F72"/>
      <w:u w:val="single"/>
    </w:rPr>
  </w:style>
  <w:style w:type="paragraph" w:customStyle="1" w:styleId="msonormal0">
    <w:name w:val="msonormal"/>
    <w:basedOn w:val="Normal"/>
    <w:rsid w:val="009005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5">
    <w:name w:val="font5"/>
    <w:basedOn w:val="Normal"/>
    <w:rsid w:val="0090050F"/>
    <w:pPr>
      <w:spacing w:before="100" w:beforeAutospacing="1" w:after="100" w:afterAutospacing="1" w:line="240" w:lineRule="auto"/>
    </w:pPr>
    <w:rPr>
      <w:rFonts w:ascii="Tahoma" w:eastAsia="Times New Roman" w:hAnsi="Tahoma" w:cs="Tahoma"/>
      <w:color w:val="000000"/>
      <w:sz w:val="18"/>
      <w:szCs w:val="18"/>
      <w:lang w:eastAsia="fr-FR"/>
    </w:rPr>
  </w:style>
  <w:style w:type="paragraph" w:customStyle="1" w:styleId="font6">
    <w:name w:val="font6"/>
    <w:basedOn w:val="Normal"/>
    <w:rsid w:val="0090050F"/>
    <w:pPr>
      <w:spacing w:before="100" w:beforeAutospacing="1" w:after="100" w:afterAutospacing="1" w:line="240" w:lineRule="auto"/>
    </w:pPr>
    <w:rPr>
      <w:rFonts w:ascii="Tahoma" w:eastAsia="Times New Roman" w:hAnsi="Tahoma" w:cs="Tahoma"/>
      <w:b/>
      <w:bCs/>
      <w:color w:val="000000"/>
      <w:sz w:val="18"/>
      <w:szCs w:val="18"/>
      <w:lang w:eastAsia="fr-FR"/>
    </w:rPr>
  </w:style>
  <w:style w:type="paragraph" w:customStyle="1" w:styleId="xl65">
    <w:name w:val="xl65"/>
    <w:basedOn w:val="Normal"/>
    <w:rsid w:val="0090050F"/>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6">
    <w:name w:val="xl66"/>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548235"/>
      <w:sz w:val="20"/>
      <w:szCs w:val="20"/>
      <w:lang w:eastAsia="fr-FR"/>
    </w:rPr>
  </w:style>
  <w:style w:type="paragraph" w:customStyle="1" w:styleId="xl67">
    <w:name w:val="xl67"/>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color w:val="548235"/>
      <w:sz w:val="20"/>
      <w:szCs w:val="20"/>
      <w:lang w:eastAsia="fr-FR"/>
    </w:rPr>
  </w:style>
  <w:style w:type="paragraph" w:customStyle="1" w:styleId="xl68">
    <w:name w:val="xl68"/>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9">
    <w:name w:val="xl69"/>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fr-FR"/>
    </w:rPr>
  </w:style>
  <w:style w:type="paragraph" w:customStyle="1" w:styleId="xl70">
    <w:name w:val="xl70"/>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color w:val="FFFFFF"/>
      <w:sz w:val="20"/>
      <w:szCs w:val="20"/>
      <w:lang w:eastAsia="fr-FR"/>
    </w:rPr>
  </w:style>
  <w:style w:type="paragraph" w:customStyle="1" w:styleId="xl71">
    <w:name w:val="xl71"/>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72">
    <w:name w:val="xl72"/>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73">
    <w:name w:val="xl73"/>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74">
    <w:name w:val="xl74"/>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548235"/>
      <w:sz w:val="24"/>
      <w:szCs w:val="24"/>
      <w:lang w:eastAsia="fr-FR"/>
    </w:rPr>
  </w:style>
  <w:style w:type="paragraph" w:customStyle="1" w:styleId="xl75">
    <w:name w:val="xl75"/>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color w:val="548235"/>
      <w:sz w:val="24"/>
      <w:szCs w:val="24"/>
      <w:lang w:eastAsia="fr-FR"/>
    </w:rPr>
  </w:style>
  <w:style w:type="paragraph" w:customStyle="1" w:styleId="xl76">
    <w:name w:val="xl76"/>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00B050"/>
      <w:sz w:val="24"/>
      <w:szCs w:val="24"/>
      <w:lang w:eastAsia="fr-FR"/>
    </w:rPr>
  </w:style>
  <w:style w:type="paragraph" w:customStyle="1" w:styleId="xl77">
    <w:name w:val="xl77"/>
    <w:basedOn w:val="Normal"/>
    <w:rsid w:val="0090050F"/>
    <w:pPr>
      <w:pBdr>
        <w:top w:val="single" w:sz="4" w:space="0" w:color="3B7DE9"/>
        <w:left w:val="single" w:sz="4" w:space="0" w:color="3B7DE9"/>
        <w:bottom w:val="single" w:sz="4" w:space="0" w:color="3B7DE9"/>
        <w:right w:val="single" w:sz="4" w:space="0" w:color="3B7DE9"/>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548235"/>
      <w:sz w:val="20"/>
      <w:szCs w:val="20"/>
      <w:lang w:eastAsia="fr-FR"/>
    </w:rPr>
  </w:style>
  <w:style w:type="paragraph" w:customStyle="1" w:styleId="xl78">
    <w:name w:val="xl78"/>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79">
    <w:name w:val="xl79"/>
    <w:basedOn w:val="Normal"/>
    <w:rsid w:val="0090050F"/>
    <w:pPr>
      <w:pBdr>
        <w:top w:val="single" w:sz="4" w:space="0" w:color="3B7DE9"/>
        <w:left w:val="single" w:sz="4" w:space="0" w:color="3B7DE9"/>
        <w:bottom w:val="single" w:sz="4" w:space="0" w:color="3B7DE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80">
    <w:name w:val="xl80"/>
    <w:basedOn w:val="Normal"/>
    <w:rsid w:val="0090050F"/>
    <w:pPr>
      <w:pBdr>
        <w:top w:val="single" w:sz="4" w:space="0" w:color="3B7DE9"/>
        <w:bottom w:val="single" w:sz="4" w:space="0" w:color="3B7DE9"/>
        <w:right w:val="single" w:sz="4" w:space="0" w:color="3B7DE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A0A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0A45"/>
    <w:rPr>
      <w:rFonts w:ascii="Segoe UI" w:hAnsi="Segoe UI" w:cs="Segoe UI"/>
      <w:sz w:val="18"/>
      <w:szCs w:val="18"/>
    </w:rPr>
  </w:style>
  <w:style w:type="character" w:styleId="Marquedecommentaire">
    <w:name w:val="annotation reference"/>
    <w:basedOn w:val="Policepardfaut"/>
    <w:uiPriority w:val="99"/>
    <w:semiHidden/>
    <w:unhideWhenUsed/>
    <w:rsid w:val="00CF4EBE"/>
    <w:rPr>
      <w:sz w:val="16"/>
      <w:szCs w:val="16"/>
    </w:rPr>
  </w:style>
  <w:style w:type="paragraph" w:styleId="Commentaire">
    <w:name w:val="annotation text"/>
    <w:basedOn w:val="Normal"/>
    <w:link w:val="CommentaireCar"/>
    <w:uiPriority w:val="99"/>
    <w:semiHidden/>
    <w:unhideWhenUsed/>
    <w:rsid w:val="00CF4EBE"/>
    <w:pPr>
      <w:spacing w:line="240" w:lineRule="auto"/>
    </w:pPr>
    <w:rPr>
      <w:sz w:val="20"/>
      <w:szCs w:val="20"/>
    </w:rPr>
  </w:style>
  <w:style w:type="character" w:customStyle="1" w:styleId="CommentaireCar">
    <w:name w:val="Commentaire Car"/>
    <w:basedOn w:val="Policepardfaut"/>
    <w:link w:val="Commentaire"/>
    <w:uiPriority w:val="99"/>
    <w:semiHidden/>
    <w:rsid w:val="00CF4EBE"/>
    <w:rPr>
      <w:sz w:val="20"/>
      <w:szCs w:val="20"/>
    </w:rPr>
  </w:style>
  <w:style w:type="paragraph" w:styleId="Objetducommentaire">
    <w:name w:val="annotation subject"/>
    <w:basedOn w:val="Commentaire"/>
    <w:next w:val="Commentaire"/>
    <w:link w:val="ObjetducommentaireCar"/>
    <w:uiPriority w:val="99"/>
    <w:semiHidden/>
    <w:unhideWhenUsed/>
    <w:rsid w:val="00CF4EBE"/>
    <w:rPr>
      <w:b/>
      <w:bCs/>
    </w:rPr>
  </w:style>
  <w:style w:type="character" w:customStyle="1" w:styleId="ObjetducommentaireCar">
    <w:name w:val="Objet du commentaire Car"/>
    <w:basedOn w:val="CommentaireCar"/>
    <w:link w:val="Objetducommentaire"/>
    <w:uiPriority w:val="99"/>
    <w:semiHidden/>
    <w:rsid w:val="00CF4EBE"/>
    <w:rPr>
      <w:b/>
      <w:bCs/>
      <w:sz w:val="20"/>
      <w:szCs w:val="20"/>
    </w:rPr>
  </w:style>
  <w:style w:type="character" w:customStyle="1" w:styleId="ParagraphedelisteCar">
    <w:name w:val="Paragraphe de liste Car"/>
    <w:aliases w:val="Paragraphe EI Car,Paragraphe de liste1 Car,EC Car,Colorful List Accent 1 Car,Paragraphe de liste11 Car,Liste couleur - Accent 11 Car,Paragraphe de liste2 Car,List Paragraph Car,Liste couleur - Accent 111 Car,Policy_Paragraph Car"/>
    <w:basedOn w:val="Policepardfaut"/>
    <w:link w:val="Paragraphedeliste"/>
    <w:uiPriority w:val="34"/>
    <w:qFormat/>
    <w:locked/>
    <w:rsid w:val="006A1B3D"/>
  </w:style>
  <w:style w:type="paragraph" w:customStyle="1" w:styleId="CM1">
    <w:name w:val="CM1"/>
    <w:basedOn w:val="Normal"/>
    <w:next w:val="Normal"/>
    <w:uiPriority w:val="99"/>
    <w:rsid w:val="002C5C2B"/>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2C5C2B"/>
    <w:pPr>
      <w:autoSpaceDE w:val="0"/>
      <w:autoSpaceDN w:val="0"/>
      <w:adjustRightInd w:val="0"/>
      <w:spacing w:after="0" w:line="240" w:lineRule="auto"/>
    </w:pPr>
    <w:rPr>
      <w:rFonts w:ascii="EUAlbertina" w:hAnsi="EUAlbertina"/>
      <w:sz w:val="24"/>
      <w:szCs w:val="24"/>
    </w:rPr>
  </w:style>
  <w:style w:type="paragraph" w:styleId="Rvision">
    <w:name w:val="Revision"/>
    <w:hidden/>
    <w:uiPriority w:val="99"/>
    <w:semiHidden/>
    <w:rsid w:val="00E35CFA"/>
    <w:pPr>
      <w:spacing w:after="0" w:line="240" w:lineRule="auto"/>
    </w:pPr>
  </w:style>
  <w:style w:type="paragraph" w:styleId="En-tte">
    <w:name w:val="header"/>
    <w:basedOn w:val="Normal"/>
    <w:link w:val="En-tteCar"/>
    <w:uiPriority w:val="99"/>
    <w:unhideWhenUsed/>
    <w:rsid w:val="00A675AF"/>
    <w:pPr>
      <w:tabs>
        <w:tab w:val="center" w:pos="4536"/>
        <w:tab w:val="right" w:pos="9072"/>
      </w:tabs>
      <w:spacing w:after="0" w:line="240" w:lineRule="auto"/>
    </w:pPr>
  </w:style>
  <w:style w:type="character" w:customStyle="1" w:styleId="En-tteCar">
    <w:name w:val="En-tête Car"/>
    <w:basedOn w:val="Policepardfaut"/>
    <w:link w:val="En-tte"/>
    <w:uiPriority w:val="99"/>
    <w:rsid w:val="00A675AF"/>
  </w:style>
  <w:style w:type="paragraph" w:styleId="Pieddepage">
    <w:name w:val="footer"/>
    <w:basedOn w:val="Normal"/>
    <w:link w:val="PieddepageCar"/>
    <w:uiPriority w:val="99"/>
    <w:unhideWhenUsed/>
    <w:rsid w:val="00A675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75AF"/>
  </w:style>
  <w:style w:type="character" w:customStyle="1" w:styleId="Titre1Car">
    <w:name w:val="Titre 1 Car"/>
    <w:basedOn w:val="Policepardfaut"/>
    <w:link w:val="Titre1"/>
    <w:uiPriority w:val="9"/>
    <w:rsid w:val="00D00626"/>
    <w:rPr>
      <w:rFonts w:eastAsiaTheme="majorEastAsia" w:cstheme="majorBidi"/>
      <w:b/>
      <w:caps/>
      <w:sz w:val="36"/>
      <w:szCs w:val="32"/>
    </w:rPr>
  </w:style>
  <w:style w:type="paragraph" w:styleId="En-ttedetabledesmatires">
    <w:name w:val="TOC Heading"/>
    <w:basedOn w:val="Titre1"/>
    <w:next w:val="Normal"/>
    <w:uiPriority w:val="39"/>
    <w:unhideWhenUsed/>
    <w:qFormat/>
    <w:rsid w:val="00163F4D"/>
    <w:pPr>
      <w:outlineLvl w:val="9"/>
    </w:pPr>
    <w:rPr>
      <w:lang w:eastAsia="fr-FR"/>
    </w:rPr>
  </w:style>
  <w:style w:type="character" w:customStyle="1" w:styleId="Titre2Car">
    <w:name w:val="Titre 2 Car"/>
    <w:basedOn w:val="Policepardfaut"/>
    <w:link w:val="Titre2"/>
    <w:uiPriority w:val="9"/>
    <w:rsid w:val="00D00626"/>
    <w:rPr>
      <w:rFonts w:eastAsiaTheme="majorEastAsia" w:cstheme="majorBidi"/>
      <w:b/>
      <w:smallCaps/>
      <w:sz w:val="36"/>
      <w:szCs w:val="26"/>
    </w:rPr>
  </w:style>
  <w:style w:type="character" w:customStyle="1" w:styleId="Titre3Car">
    <w:name w:val="Titre 3 Car"/>
    <w:basedOn w:val="Policepardfaut"/>
    <w:link w:val="Titre3"/>
    <w:uiPriority w:val="9"/>
    <w:rsid w:val="00B87613"/>
    <w:rPr>
      <w:rFonts w:eastAsiaTheme="majorEastAsia" w:cstheme="majorBidi"/>
      <w:b/>
      <w:smallCaps/>
      <w:sz w:val="28"/>
      <w:szCs w:val="24"/>
    </w:rPr>
  </w:style>
  <w:style w:type="paragraph" w:styleId="TM1">
    <w:name w:val="toc 1"/>
    <w:basedOn w:val="Normal"/>
    <w:next w:val="Normal"/>
    <w:autoRedefine/>
    <w:uiPriority w:val="39"/>
    <w:unhideWhenUsed/>
    <w:rsid w:val="00300245"/>
    <w:pPr>
      <w:spacing w:after="100"/>
    </w:pPr>
  </w:style>
  <w:style w:type="paragraph" w:styleId="TM2">
    <w:name w:val="toc 2"/>
    <w:basedOn w:val="Normal"/>
    <w:next w:val="Normal"/>
    <w:autoRedefine/>
    <w:uiPriority w:val="39"/>
    <w:unhideWhenUsed/>
    <w:rsid w:val="00300245"/>
    <w:pPr>
      <w:spacing w:after="100"/>
      <w:ind w:left="220"/>
    </w:pPr>
  </w:style>
  <w:style w:type="paragraph" w:styleId="TM3">
    <w:name w:val="toc 3"/>
    <w:basedOn w:val="Normal"/>
    <w:next w:val="Normal"/>
    <w:autoRedefine/>
    <w:uiPriority w:val="39"/>
    <w:unhideWhenUsed/>
    <w:rsid w:val="00300245"/>
    <w:pPr>
      <w:spacing w:after="100"/>
      <w:ind w:left="440"/>
    </w:pPr>
  </w:style>
  <w:style w:type="character" w:customStyle="1" w:styleId="Titre4Car">
    <w:name w:val="Titre 4 Car"/>
    <w:basedOn w:val="Policepardfaut"/>
    <w:link w:val="Titre4"/>
    <w:uiPriority w:val="9"/>
    <w:rsid w:val="00B87613"/>
    <w:rPr>
      <w:rFonts w:eastAsiaTheme="majorEastAsia" w:cstheme="majorBidi"/>
      <w:b/>
      <w:iCs/>
      <w:smallCaps/>
      <w:sz w:val="28"/>
    </w:rPr>
  </w:style>
  <w:style w:type="character" w:customStyle="1" w:styleId="Titre5Car">
    <w:name w:val="Titre 5 Car"/>
    <w:basedOn w:val="Policepardfaut"/>
    <w:link w:val="Titre5"/>
    <w:uiPriority w:val="9"/>
    <w:rsid w:val="005F73B0"/>
    <w:rPr>
      <w:rFonts w:eastAsiaTheme="majorEastAsia" w:cstheme="majorBidi"/>
      <w:b/>
      <w:smallCaps/>
      <w:sz w:val="28"/>
    </w:rPr>
  </w:style>
  <w:style w:type="paragraph" w:styleId="TM4">
    <w:name w:val="toc 4"/>
    <w:basedOn w:val="Normal"/>
    <w:next w:val="Normal"/>
    <w:autoRedefine/>
    <w:uiPriority w:val="39"/>
    <w:unhideWhenUsed/>
    <w:rsid w:val="001E6A53"/>
    <w:pPr>
      <w:spacing w:after="100"/>
      <w:ind w:left="660"/>
    </w:pPr>
  </w:style>
  <w:style w:type="paragraph" w:customStyle="1" w:styleId="DecimalAligned">
    <w:name w:val="Decimal Aligned"/>
    <w:basedOn w:val="Normal"/>
    <w:uiPriority w:val="40"/>
    <w:qFormat/>
    <w:rsid w:val="00DA1238"/>
    <w:pPr>
      <w:tabs>
        <w:tab w:val="decimal" w:pos="360"/>
      </w:tabs>
      <w:spacing w:after="200" w:line="276" w:lineRule="auto"/>
    </w:pPr>
    <w:rPr>
      <w:rFonts w:eastAsiaTheme="minorEastAsia" w:cs="Times New Roman"/>
      <w:lang w:eastAsia="fr-FR"/>
    </w:rPr>
  </w:style>
  <w:style w:type="character" w:styleId="Accentuationlgre">
    <w:name w:val="Subtle Emphasis"/>
    <w:basedOn w:val="Policepardfaut"/>
    <w:uiPriority w:val="19"/>
    <w:qFormat/>
    <w:rsid w:val="00DA1238"/>
    <w:rPr>
      <w:i/>
      <w:iCs/>
    </w:rPr>
  </w:style>
  <w:style w:type="table" w:styleId="Trameclaire-Accent1">
    <w:name w:val="Light Shading Accent 1"/>
    <w:basedOn w:val="TableauNormal"/>
    <w:uiPriority w:val="60"/>
    <w:rsid w:val="00DA1238"/>
    <w:pPr>
      <w:spacing w:after="0" w:line="240" w:lineRule="auto"/>
    </w:pPr>
    <w:rPr>
      <w:rFonts w:eastAsiaTheme="minorEastAsia"/>
      <w:color w:val="2E74B5" w:themeColor="accent1" w:themeShade="BF"/>
      <w:lang w:eastAsia="fr-F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Sansinterligne">
    <w:name w:val="No Spacing"/>
    <w:uiPriority w:val="1"/>
    <w:qFormat/>
    <w:rsid w:val="007F18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7116">
      <w:bodyDiv w:val="1"/>
      <w:marLeft w:val="0"/>
      <w:marRight w:val="0"/>
      <w:marTop w:val="0"/>
      <w:marBottom w:val="0"/>
      <w:divBdr>
        <w:top w:val="none" w:sz="0" w:space="0" w:color="auto"/>
        <w:left w:val="none" w:sz="0" w:space="0" w:color="auto"/>
        <w:bottom w:val="none" w:sz="0" w:space="0" w:color="auto"/>
        <w:right w:val="none" w:sz="0" w:space="0" w:color="auto"/>
      </w:divBdr>
    </w:div>
    <w:div w:id="25524860">
      <w:bodyDiv w:val="1"/>
      <w:marLeft w:val="0"/>
      <w:marRight w:val="0"/>
      <w:marTop w:val="0"/>
      <w:marBottom w:val="0"/>
      <w:divBdr>
        <w:top w:val="none" w:sz="0" w:space="0" w:color="auto"/>
        <w:left w:val="none" w:sz="0" w:space="0" w:color="auto"/>
        <w:bottom w:val="none" w:sz="0" w:space="0" w:color="auto"/>
        <w:right w:val="none" w:sz="0" w:space="0" w:color="auto"/>
      </w:divBdr>
    </w:div>
    <w:div w:id="28384471">
      <w:bodyDiv w:val="1"/>
      <w:marLeft w:val="0"/>
      <w:marRight w:val="0"/>
      <w:marTop w:val="0"/>
      <w:marBottom w:val="0"/>
      <w:divBdr>
        <w:top w:val="none" w:sz="0" w:space="0" w:color="auto"/>
        <w:left w:val="none" w:sz="0" w:space="0" w:color="auto"/>
        <w:bottom w:val="none" w:sz="0" w:space="0" w:color="auto"/>
        <w:right w:val="none" w:sz="0" w:space="0" w:color="auto"/>
      </w:divBdr>
    </w:div>
    <w:div w:id="30611553">
      <w:bodyDiv w:val="1"/>
      <w:marLeft w:val="0"/>
      <w:marRight w:val="0"/>
      <w:marTop w:val="0"/>
      <w:marBottom w:val="0"/>
      <w:divBdr>
        <w:top w:val="none" w:sz="0" w:space="0" w:color="auto"/>
        <w:left w:val="none" w:sz="0" w:space="0" w:color="auto"/>
        <w:bottom w:val="none" w:sz="0" w:space="0" w:color="auto"/>
        <w:right w:val="none" w:sz="0" w:space="0" w:color="auto"/>
      </w:divBdr>
    </w:div>
    <w:div w:id="50616366">
      <w:bodyDiv w:val="1"/>
      <w:marLeft w:val="0"/>
      <w:marRight w:val="0"/>
      <w:marTop w:val="0"/>
      <w:marBottom w:val="0"/>
      <w:divBdr>
        <w:top w:val="none" w:sz="0" w:space="0" w:color="auto"/>
        <w:left w:val="none" w:sz="0" w:space="0" w:color="auto"/>
        <w:bottom w:val="none" w:sz="0" w:space="0" w:color="auto"/>
        <w:right w:val="none" w:sz="0" w:space="0" w:color="auto"/>
      </w:divBdr>
    </w:div>
    <w:div w:id="53938230">
      <w:bodyDiv w:val="1"/>
      <w:marLeft w:val="0"/>
      <w:marRight w:val="0"/>
      <w:marTop w:val="0"/>
      <w:marBottom w:val="0"/>
      <w:divBdr>
        <w:top w:val="none" w:sz="0" w:space="0" w:color="auto"/>
        <w:left w:val="none" w:sz="0" w:space="0" w:color="auto"/>
        <w:bottom w:val="none" w:sz="0" w:space="0" w:color="auto"/>
        <w:right w:val="none" w:sz="0" w:space="0" w:color="auto"/>
      </w:divBdr>
    </w:div>
    <w:div w:id="123933350">
      <w:bodyDiv w:val="1"/>
      <w:marLeft w:val="0"/>
      <w:marRight w:val="0"/>
      <w:marTop w:val="0"/>
      <w:marBottom w:val="0"/>
      <w:divBdr>
        <w:top w:val="none" w:sz="0" w:space="0" w:color="auto"/>
        <w:left w:val="none" w:sz="0" w:space="0" w:color="auto"/>
        <w:bottom w:val="none" w:sz="0" w:space="0" w:color="auto"/>
        <w:right w:val="none" w:sz="0" w:space="0" w:color="auto"/>
      </w:divBdr>
    </w:div>
    <w:div w:id="126901865">
      <w:bodyDiv w:val="1"/>
      <w:marLeft w:val="0"/>
      <w:marRight w:val="0"/>
      <w:marTop w:val="0"/>
      <w:marBottom w:val="0"/>
      <w:divBdr>
        <w:top w:val="none" w:sz="0" w:space="0" w:color="auto"/>
        <w:left w:val="none" w:sz="0" w:space="0" w:color="auto"/>
        <w:bottom w:val="none" w:sz="0" w:space="0" w:color="auto"/>
        <w:right w:val="none" w:sz="0" w:space="0" w:color="auto"/>
      </w:divBdr>
    </w:div>
    <w:div w:id="139152400">
      <w:bodyDiv w:val="1"/>
      <w:marLeft w:val="0"/>
      <w:marRight w:val="0"/>
      <w:marTop w:val="0"/>
      <w:marBottom w:val="0"/>
      <w:divBdr>
        <w:top w:val="none" w:sz="0" w:space="0" w:color="auto"/>
        <w:left w:val="none" w:sz="0" w:space="0" w:color="auto"/>
        <w:bottom w:val="none" w:sz="0" w:space="0" w:color="auto"/>
        <w:right w:val="none" w:sz="0" w:space="0" w:color="auto"/>
      </w:divBdr>
    </w:div>
    <w:div w:id="141433988">
      <w:bodyDiv w:val="1"/>
      <w:marLeft w:val="0"/>
      <w:marRight w:val="0"/>
      <w:marTop w:val="0"/>
      <w:marBottom w:val="0"/>
      <w:divBdr>
        <w:top w:val="none" w:sz="0" w:space="0" w:color="auto"/>
        <w:left w:val="none" w:sz="0" w:space="0" w:color="auto"/>
        <w:bottom w:val="none" w:sz="0" w:space="0" w:color="auto"/>
        <w:right w:val="none" w:sz="0" w:space="0" w:color="auto"/>
      </w:divBdr>
    </w:div>
    <w:div w:id="152768900">
      <w:bodyDiv w:val="1"/>
      <w:marLeft w:val="0"/>
      <w:marRight w:val="0"/>
      <w:marTop w:val="0"/>
      <w:marBottom w:val="0"/>
      <w:divBdr>
        <w:top w:val="none" w:sz="0" w:space="0" w:color="auto"/>
        <w:left w:val="none" w:sz="0" w:space="0" w:color="auto"/>
        <w:bottom w:val="none" w:sz="0" w:space="0" w:color="auto"/>
        <w:right w:val="none" w:sz="0" w:space="0" w:color="auto"/>
      </w:divBdr>
    </w:div>
    <w:div w:id="157312938">
      <w:bodyDiv w:val="1"/>
      <w:marLeft w:val="0"/>
      <w:marRight w:val="0"/>
      <w:marTop w:val="0"/>
      <w:marBottom w:val="0"/>
      <w:divBdr>
        <w:top w:val="none" w:sz="0" w:space="0" w:color="auto"/>
        <w:left w:val="none" w:sz="0" w:space="0" w:color="auto"/>
        <w:bottom w:val="none" w:sz="0" w:space="0" w:color="auto"/>
        <w:right w:val="none" w:sz="0" w:space="0" w:color="auto"/>
      </w:divBdr>
    </w:div>
    <w:div w:id="162093676">
      <w:bodyDiv w:val="1"/>
      <w:marLeft w:val="0"/>
      <w:marRight w:val="0"/>
      <w:marTop w:val="0"/>
      <w:marBottom w:val="0"/>
      <w:divBdr>
        <w:top w:val="none" w:sz="0" w:space="0" w:color="auto"/>
        <w:left w:val="none" w:sz="0" w:space="0" w:color="auto"/>
        <w:bottom w:val="none" w:sz="0" w:space="0" w:color="auto"/>
        <w:right w:val="none" w:sz="0" w:space="0" w:color="auto"/>
      </w:divBdr>
    </w:div>
    <w:div w:id="200093878">
      <w:bodyDiv w:val="1"/>
      <w:marLeft w:val="0"/>
      <w:marRight w:val="0"/>
      <w:marTop w:val="0"/>
      <w:marBottom w:val="0"/>
      <w:divBdr>
        <w:top w:val="none" w:sz="0" w:space="0" w:color="auto"/>
        <w:left w:val="none" w:sz="0" w:space="0" w:color="auto"/>
        <w:bottom w:val="none" w:sz="0" w:space="0" w:color="auto"/>
        <w:right w:val="none" w:sz="0" w:space="0" w:color="auto"/>
      </w:divBdr>
    </w:div>
    <w:div w:id="210927171">
      <w:bodyDiv w:val="1"/>
      <w:marLeft w:val="0"/>
      <w:marRight w:val="0"/>
      <w:marTop w:val="0"/>
      <w:marBottom w:val="0"/>
      <w:divBdr>
        <w:top w:val="none" w:sz="0" w:space="0" w:color="auto"/>
        <w:left w:val="none" w:sz="0" w:space="0" w:color="auto"/>
        <w:bottom w:val="none" w:sz="0" w:space="0" w:color="auto"/>
        <w:right w:val="none" w:sz="0" w:space="0" w:color="auto"/>
      </w:divBdr>
    </w:div>
    <w:div w:id="258099979">
      <w:bodyDiv w:val="1"/>
      <w:marLeft w:val="0"/>
      <w:marRight w:val="0"/>
      <w:marTop w:val="0"/>
      <w:marBottom w:val="0"/>
      <w:divBdr>
        <w:top w:val="none" w:sz="0" w:space="0" w:color="auto"/>
        <w:left w:val="none" w:sz="0" w:space="0" w:color="auto"/>
        <w:bottom w:val="none" w:sz="0" w:space="0" w:color="auto"/>
        <w:right w:val="none" w:sz="0" w:space="0" w:color="auto"/>
      </w:divBdr>
    </w:div>
    <w:div w:id="297689288">
      <w:bodyDiv w:val="1"/>
      <w:marLeft w:val="0"/>
      <w:marRight w:val="0"/>
      <w:marTop w:val="0"/>
      <w:marBottom w:val="0"/>
      <w:divBdr>
        <w:top w:val="none" w:sz="0" w:space="0" w:color="auto"/>
        <w:left w:val="none" w:sz="0" w:space="0" w:color="auto"/>
        <w:bottom w:val="none" w:sz="0" w:space="0" w:color="auto"/>
        <w:right w:val="none" w:sz="0" w:space="0" w:color="auto"/>
      </w:divBdr>
    </w:div>
    <w:div w:id="300116313">
      <w:bodyDiv w:val="1"/>
      <w:marLeft w:val="0"/>
      <w:marRight w:val="0"/>
      <w:marTop w:val="0"/>
      <w:marBottom w:val="0"/>
      <w:divBdr>
        <w:top w:val="none" w:sz="0" w:space="0" w:color="auto"/>
        <w:left w:val="none" w:sz="0" w:space="0" w:color="auto"/>
        <w:bottom w:val="none" w:sz="0" w:space="0" w:color="auto"/>
        <w:right w:val="none" w:sz="0" w:space="0" w:color="auto"/>
      </w:divBdr>
    </w:div>
    <w:div w:id="329063145">
      <w:bodyDiv w:val="1"/>
      <w:marLeft w:val="0"/>
      <w:marRight w:val="0"/>
      <w:marTop w:val="0"/>
      <w:marBottom w:val="0"/>
      <w:divBdr>
        <w:top w:val="none" w:sz="0" w:space="0" w:color="auto"/>
        <w:left w:val="none" w:sz="0" w:space="0" w:color="auto"/>
        <w:bottom w:val="none" w:sz="0" w:space="0" w:color="auto"/>
        <w:right w:val="none" w:sz="0" w:space="0" w:color="auto"/>
      </w:divBdr>
    </w:div>
    <w:div w:id="388847413">
      <w:bodyDiv w:val="1"/>
      <w:marLeft w:val="0"/>
      <w:marRight w:val="0"/>
      <w:marTop w:val="0"/>
      <w:marBottom w:val="0"/>
      <w:divBdr>
        <w:top w:val="none" w:sz="0" w:space="0" w:color="auto"/>
        <w:left w:val="none" w:sz="0" w:space="0" w:color="auto"/>
        <w:bottom w:val="none" w:sz="0" w:space="0" w:color="auto"/>
        <w:right w:val="none" w:sz="0" w:space="0" w:color="auto"/>
      </w:divBdr>
    </w:div>
    <w:div w:id="392780232">
      <w:bodyDiv w:val="1"/>
      <w:marLeft w:val="0"/>
      <w:marRight w:val="0"/>
      <w:marTop w:val="0"/>
      <w:marBottom w:val="0"/>
      <w:divBdr>
        <w:top w:val="none" w:sz="0" w:space="0" w:color="auto"/>
        <w:left w:val="none" w:sz="0" w:space="0" w:color="auto"/>
        <w:bottom w:val="none" w:sz="0" w:space="0" w:color="auto"/>
        <w:right w:val="none" w:sz="0" w:space="0" w:color="auto"/>
      </w:divBdr>
    </w:div>
    <w:div w:id="409431948">
      <w:bodyDiv w:val="1"/>
      <w:marLeft w:val="0"/>
      <w:marRight w:val="0"/>
      <w:marTop w:val="0"/>
      <w:marBottom w:val="0"/>
      <w:divBdr>
        <w:top w:val="none" w:sz="0" w:space="0" w:color="auto"/>
        <w:left w:val="none" w:sz="0" w:space="0" w:color="auto"/>
        <w:bottom w:val="none" w:sz="0" w:space="0" w:color="auto"/>
        <w:right w:val="none" w:sz="0" w:space="0" w:color="auto"/>
      </w:divBdr>
    </w:div>
    <w:div w:id="414011276">
      <w:bodyDiv w:val="1"/>
      <w:marLeft w:val="0"/>
      <w:marRight w:val="0"/>
      <w:marTop w:val="0"/>
      <w:marBottom w:val="0"/>
      <w:divBdr>
        <w:top w:val="none" w:sz="0" w:space="0" w:color="auto"/>
        <w:left w:val="none" w:sz="0" w:space="0" w:color="auto"/>
        <w:bottom w:val="none" w:sz="0" w:space="0" w:color="auto"/>
        <w:right w:val="none" w:sz="0" w:space="0" w:color="auto"/>
      </w:divBdr>
    </w:div>
    <w:div w:id="434596268">
      <w:bodyDiv w:val="1"/>
      <w:marLeft w:val="0"/>
      <w:marRight w:val="0"/>
      <w:marTop w:val="0"/>
      <w:marBottom w:val="0"/>
      <w:divBdr>
        <w:top w:val="none" w:sz="0" w:space="0" w:color="auto"/>
        <w:left w:val="none" w:sz="0" w:space="0" w:color="auto"/>
        <w:bottom w:val="none" w:sz="0" w:space="0" w:color="auto"/>
        <w:right w:val="none" w:sz="0" w:space="0" w:color="auto"/>
      </w:divBdr>
    </w:div>
    <w:div w:id="449321051">
      <w:bodyDiv w:val="1"/>
      <w:marLeft w:val="0"/>
      <w:marRight w:val="0"/>
      <w:marTop w:val="0"/>
      <w:marBottom w:val="0"/>
      <w:divBdr>
        <w:top w:val="none" w:sz="0" w:space="0" w:color="auto"/>
        <w:left w:val="none" w:sz="0" w:space="0" w:color="auto"/>
        <w:bottom w:val="none" w:sz="0" w:space="0" w:color="auto"/>
        <w:right w:val="none" w:sz="0" w:space="0" w:color="auto"/>
      </w:divBdr>
    </w:div>
    <w:div w:id="471291860">
      <w:bodyDiv w:val="1"/>
      <w:marLeft w:val="0"/>
      <w:marRight w:val="0"/>
      <w:marTop w:val="0"/>
      <w:marBottom w:val="0"/>
      <w:divBdr>
        <w:top w:val="none" w:sz="0" w:space="0" w:color="auto"/>
        <w:left w:val="none" w:sz="0" w:space="0" w:color="auto"/>
        <w:bottom w:val="none" w:sz="0" w:space="0" w:color="auto"/>
        <w:right w:val="none" w:sz="0" w:space="0" w:color="auto"/>
      </w:divBdr>
    </w:div>
    <w:div w:id="512189228">
      <w:bodyDiv w:val="1"/>
      <w:marLeft w:val="0"/>
      <w:marRight w:val="0"/>
      <w:marTop w:val="0"/>
      <w:marBottom w:val="0"/>
      <w:divBdr>
        <w:top w:val="none" w:sz="0" w:space="0" w:color="auto"/>
        <w:left w:val="none" w:sz="0" w:space="0" w:color="auto"/>
        <w:bottom w:val="none" w:sz="0" w:space="0" w:color="auto"/>
        <w:right w:val="none" w:sz="0" w:space="0" w:color="auto"/>
      </w:divBdr>
    </w:div>
    <w:div w:id="542867428">
      <w:bodyDiv w:val="1"/>
      <w:marLeft w:val="0"/>
      <w:marRight w:val="0"/>
      <w:marTop w:val="0"/>
      <w:marBottom w:val="0"/>
      <w:divBdr>
        <w:top w:val="none" w:sz="0" w:space="0" w:color="auto"/>
        <w:left w:val="none" w:sz="0" w:space="0" w:color="auto"/>
        <w:bottom w:val="none" w:sz="0" w:space="0" w:color="auto"/>
        <w:right w:val="none" w:sz="0" w:space="0" w:color="auto"/>
      </w:divBdr>
    </w:div>
    <w:div w:id="552155771">
      <w:bodyDiv w:val="1"/>
      <w:marLeft w:val="0"/>
      <w:marRight w:val="0"/>
      <w:marTop w:val="0"/>
      <w:marBottom w:val="0"/>
      <w:divBdr>
        <w:top w:val="none" w:sz="0" w:space="0" w:color="auto"/>
        <w:left w:val="none" w:sz="0" w:space="0" w:color="auto"/>
        <w:bottom w:val="none" w:sz="0" w:space="0" w:color="auto"/>
        <w:right w:val="none" w:sz="0" w:space="0" w:color="auto"/>
      </w:divBdr>
    </w:div>
    <w:div w:id="557472023">
      <w:bodyDiv w:val="1"/>
      <w:marLeft w:val="0"/>
      <w:marRight w:val="0"/>
      <w:marTop w:val="0"/>
      <w:marBottom w:val="0"/>
      <w:divBdr>
        <w:top w:val="none" w:sz="0" w:space="0" w:color="auto"/>
        <w:left w:val="none" w:sz="0" w:space="0" w:color="auto"/>
        <w:bottom w:val="none" w:sz="0" w:space="0" w:color="auto"/>
        <w:right w:val="none" w:sz="0" w:space="0" w:color="auto"/>
      </w:divBdr>
    </w:div>
    <w:div w:id="576592799">
      <w:bodyDiv w:val="1"/>
      <w:marLeft w:val="0"/>
      <w:marRight w:val="0"/>
      <w:marTop w:val="0"/>
      <w:marBottom w:val="0"/>
      <w:divBdr>
        <w:top w:val="none" w:sz="0" w:space="0" w:color="auto"/>
        <w:left w:val="none" w:sz="0" w:space="0" w:color="auto"/>
        <w:bottom w:val="none" w:sz="0" w:space="0" w:color="auto"/>
        <w:right w:val="none" w:sz="0" w:space="0" w:color="auto"/>
      </w:divBdr>
    </w:div>
    <w:div w:id="598099644">
      <w:bodyDiv w:val="1"/>
      <w:marLeft w:val="0"/>
      <w:marRight w:val="0"/>
      <w:marTop w:val="0"/>
      <w:marBottom w:val="0"/>
      <w:divBdr>
        <w:top w:val="none" w:sz="0" w:space="0" w:color="auto"/>
        <w:left w:val="none" w:sz="0" w:space="0" w:color="auto"/>
        <w:bottom w:val="none" w:sz="0" w:space="0" w:color="auto"/>
        <w:right w:val="none" w:sz="0" w:space="0" w:color="auto"/>
      </w:divBdr>
    </w:div>
    <w:div w:id="644818061">
      <w:bodyDiv w:val="1"/>
      <w:marLeft w:val="0"/>
      <w:marRight w:val="0"/>
      <w:marTop w:val="0"/>
      <w:marBottom w:val="0"/>
      <w:divBdr>
        <w:top w:val="none" w:sz="0" w:space="0" w:color="auto"/>
        <w:left w:val="none" w:sz="0" w:space="0" w:color="auto"/>
        <w:bottom w:val="none" w:sz="0" w:space="0" w:color="auto"/>
        <w:right w:val="none" w:sz="0" w:space="0" w:color="auto"/>
      </w:divBdr>
      <w:divsChild>
        <w:div w:id="769815909">
          <w:marLeft w:val="1166"/>
          <w:marRight w:val="0"/>
          <w:marTop w:val="0"/>
          <w:marBottom w:val="0"/>
          <w:divBdr>
            <w:top w:val="none" w:sz="0" w:space="0" w:color="auto"/>
            <w:left w:val="none" w:sz="0" w:space="0" w:color="auto"/>
            <w:bottom w:val="none" w:sz="0" w:space="0" w:color="auto"/>
            <w:right w:val="none" w:sz="0" w:space="0" w:color="auto"/>
          </w:divBdr>
        </w:div>
        <w:div w:id="307443605">
          <w:marLeft w:val="1166"/>
          <w:marRight w:val="0"/>
          <w:marTop w:val="0"/>
          <w:marBottom w:val="0"/>
          <w:divBdr>
            <w:top w:val="none" w:sz="0" w:space="0" w:color="auto"/>
            <w:left w:val="none" w:sz="0" w:space="0" w:color="auto"/>
            <w:bottom w:val="none" w:sz="0" w:space="0" w:color="auto"/>
            <w:right w:val="none" w:sz="0" w:space="0" w:color="auto"/>
          </w:divBdr>
        </w:div>
        <w:div w:id="1757705601">
          <w:marLeft w:val="1166"/>
          <w:marRight w:val="0"/>
          <w:marTop w:val="0"/>
          <w:marBottom w:val="0"/>
          <w:divBdr>
            <w:top w:val="none" w:sz="0" w:space="0" w:color="auto"/>
            <w:left w:val="none" w:sz="0" w:space="0" w:color="auto"/>
            <w:bottom w:val="none" w:sz="0" w:space="0" w:color="auto"/>
            <w:right w:val="none" w:sz="0" w:space="0" w:color="auto"/>
          </w:divBdr>
        </w:div>
        <w:div w:id="148254153">
          <w:marLeft w:val="1166"/>
          <w:marRight w:val="0"/>
          <w:marTop w:val="0"/>
          <w:marBottom w:val="0"/>
          <w:divBdr>
            <w:top w:val="none" w:sz="0" w:space="0" w:color="auto"/>
            <w:left w:val="none" w:sz="0" w:space="0" w:color="auto"/>
            <w:bottom w:val="none" w:sz="0" w:space="0" w:color="auto"/>
            <w:right w:val="none" w:sz="0" w:space="0" w:color="auto"/>
          </w:divBdr>
        </w:div>
        <w:div w:id="1072893794">
          <w:marLeft w:val="1166"/>
          <w:marRight w:val="0"/>
          <w:marTop w:val="0"/>
          <w:marBottom w:val="0"/>
          <w:divBdr>
            <w:top w:val="none" w:sz="0" w:space="0" w:color="auto"/>
            <w:left w:val="none" w:sz="0" w:space="0" w:color="auto"/>
            <w:bottom w:val="none" w:sz="0" w:space="0" w:color="auto"/>
            <w:right w:val="none" w:sz="0" w:space="0" w:color="auto"/>
          </w:divBdr>
        </w:div>
      </w:divsChild>
    </w:div>
    <w:div w:id="666396468">
      <w:bodyDiv w:val="1"/>
      <w:marLeft w:val="0"/>
      <w:marRight w:val="0"/>
      <w:marTop w:val="0"/>
      <w:marBottom w:val="0"/>
      <w:divBdr>
        <w:top w:val="none" w:sz="0" w:space="0" w:color="auto"/>
        <w:left w:val="none" w:sz="0" w:space="0" w:color="auto"/>
        <w:bottom w:val="none" w:sz="0" w:space="0" w:color="auto"/>
        <w:right w:val="none" w:sz="0" w:space="0" w:color="auto"/>
      </w:divBdr>
    </w:div>
    <w:div w:id="675771878">
      <w:bodyDiv w:val="1"/>
      <w:marLeft w:val="0"/>
      <w:marRight w:val="0"/>
      <w:marTop w:val="0"/>
      <w:marBottom w:val="0"/>
      <w:divBdr>
        <w:top w:val="none" w:sz="0" w:space="0" w:color="auto"/>
        <w:left w:val="none" w:sz="0" w:space="0" w:color="auto"/>
        <w:bottom w:val="none" w:sz="0" w:space="0" w:color="auto"/>
        <w:right w:val="none" w:sz="0" w:space="0" w:color="auto"/>
      </w:divBdr>
    </w:div>
    <w:div w:id="683441215">
      <w:bodyDiv w:val="1"/>
      <w:marLeft w:val="0"/>
      <w:marRight w:val="0"/>
      <w:marTop w:val="0"/>
      <w:marBottom w:val="0"/>
      <w:divBdr>
        <w:top w:val="none" w:sz="0" w:space="0" w:color="auto"/>
        <w:left w:val="none" w:sz="0" w:space="0" w:color="auto"/>
        <w:bottom w:val="none" w:sz="0" w:space="0" w:color="auto"/>
        <w:right w:val="none" w:sz="0" w:space="0" w:color="auto"/>
      </w:divBdr>
    </w:div>
    <w:div w:id="688407029">
      <w:bodyDiv w:val="1"/>
      <w:marLeft w:val="0"/>
      <w:marRight w:val="0"/>
      <w:marTop w:val="0"/>
      <w:marBottom w:val="0"/>
      <w:divBdr>
        <w:top w:val="none" w:sz="0" w:space="0" w:color="auto"/>
        <w:left w:val="none" w:sz="0" w:space="0" w:color="auto"/>
        <w:bottom w:val="none" w:sz="0" w:space="0" w:color="auto"/>
        <w:right w:val="none" w:sz="0" w:space="0" w:color="auto"/>
      </w:divBdr>
    </w:div>
    <w:div w:id="739980843">
      <w:bodyDiv w:val="1"/>
      <w:marLeft w:val="0"/>
      <w:marRight w:val="0"/>
      <w:marTop w:val="0"/>
      <w:marBottom w:val="0"/>
      <w:divBdr>
        <w:top w:val="none" w:sz="0" w:space="0" w:color="auto"/>
        <w:left w:val="none" w:sz="0" w:space="0" w:color="auto"/>
        <w:bottom w:val="none" w:sz="0" w:space="0" w:color="auto"/>
        <w:right w:val="none" w:sz="0" w:space="0" w:color="auto"/>
      </w:divBdr>
    </w:div>
    <w:div w:id="765078178">
      <w:bodyDiv w:val="1"/>
      <w:marLeft w:val="0"/>
      <w:marRight w:val="0"/>
      <w:marTop w:val="0"/>
      <w:marBottom w:val="0"/>
      <w:divBdr>
        <w:top w:val="none" w:sz="0" w:space="0" w:color="auto"/>
        <w:left w:val="none" w:sz="0" w:space="0" w:color="auto"/>
        <w:bottom w:val="none" w:sz="0" w:space="0" w:color="auto"/>
        <w:right w:val="none" w:sz="0" w:space="0" w:color="auto"/>
      </w:divBdr>
    </w:div>
    <w:div w:id="768937541">
      <w:bodyDiv w:val="1"/>
      <w:marLeft w:val="0"/>
      <w:marRight w:val="0"/>
      <w:marTop w:val="0"/>
      <w:marBottom w:val="0"/>
      <w:divBdr>
        <w:top w:val="none" w:sz="0" w:space="0" w:color="auto"/>
        <w:left w:val="none" w:sz="0" w:space="0" w:color="auto"/>
        <w:bottom w:val="none" w:sz="0" w:space="0" w:color="auto"/>
        <w:right w:val="none" w:sz="0" w:space="0" w:color="auto"/>
      </w:divBdr>
    </w:div>
    <w:div w:id="834149289">
      <w:bodyDiv w:val="1"/>
      <w:marLeft w:val="0"/>
      <w:marRight w:val="0"/>
      <w:marTop w:val="0"/>
      <w:marBottom w:val="0"/>
      <w:divBdr>
        <w:top w:val="none" w:sz="0" w:space="0" w:color="auto"/>
        <w:left w:val="none" w:sz="0" w:space="0" w:color="auto"/>
        <w:bottom w:val="none" w:sz="0" w:space="0" w:color="auto"/>
        <w:right w:val="none" w:sz="0" w:space="0" w:color="auto"/>
      </w:divBdr>
    </w:div>
    <w:div w:id="862783404">
      <w:bodyDiv w:val="1"/>
      <w:marLeft w:val="0"/>
      <w:marRight w:val="0"/>
      <w:marTop w:val="0"/>
      <w:marBottom w:val="0"/>
      <w:divBdr>
        <w:top w:val="none" w:sz="0" w:space="0" w:color="auto"/>
        <w:left w:val="none" w:sz="0" w:space="0" w:color="auto"/>
        <w:bottom w:val="none" w:sz="0" w:space="0" w:color="auto"/>
        <w:right w:val="none" w:sz="0" w:space="0" w:color="auto"/>
      </w:divBdr>
    </w:div>
    <w:div w:id="893463913">
      <w:bodyDiv w:val="1"/>
      <w:marLeft w:val="0"/>
      <w:marRight w:val="0"/>
      <w:marTop w:val="0"/>
      <w:marBottom w:val="0"/>
      <w:divBdr>
        <w:top w:val="none" w:sz="0" w:space="0" w:color="auto"/>
        <w:left w:val="none" w:sz="0" w:space="0" w:color="auto"/>
        <w:bottom w:val="none" w:sz="0" w:space="0" w:color="auto"/>
        <w:right w:val="none" w:sz="0" w:space="0" w:color="auto"/>
      </w:divBdr>
    </w:div>
    <w:div w:id="895551529">
      <w:bodyDiv w:val="1"/>
      <w:marLeft w:val="0"/>
      <w:marRight w:val="0"/>
      <w:marTop w:val="0"/>
      <w:marBottom w:val="0"/>
      <w:divBdr>
        <w:top w:val="none" w:sz="0" w:space="0" w:color="auto"/>
        <w:left w:val="none" w:sz="0" w:space="0" w:color="auto"/>
        <w:bottom w:val="none" w:sz="0" w:space="0" w:color="auto"/>
        <w:right w:val="none" w:sz="0" w:space="0" w:color="auto"/>
      </w:divBdr>
    </w:div>
    <w:div w:id="904142248">
      <w:bodyDiv w:val="1"/>
      <w:marLeft w:val="0"/>
      <w:marRight w:val="0"/>
      <w:marTop w:val="0"/>
      <w:marBottom w:val="0"/>
      <w:divBdr>
        <w:top w:val="none" w:sz="0" w:space="0" w:color="auto"/>
        <w:left w:val="none" w:sz="0" w:space="0" w:color="auto"/>
        <w:bottom w:val="none" w:sz="0" w:space="0" w:color="auto"/>
        <w:right w:val="none" w:sz="0" w:space="0" w:color="auto"/>
      </w:divBdr>
    </w:div>
    <w:div w:id="905410697">
      <w:bodyDiv w:val="1"/>
      <w:marLeft w:val="0"/>
      <w:marRight w:val="0"/>
      <w:marTop w:val="0"/>
      <w:marBottom w:val="0"/>
      <w:divBdr>
        <w:top w:val="none" w:sz="0" w:space="0" w:color="auto"/>
        <w:left w:val="none" w:sz="0" w:space="0" w:color="auto"/>
        <w:bottom w:val="none" w:sz="0" w:space="0" w:color="auto"/>
        <w:right w:val="none" w:sz="0" w:space="0" w:color="auto"/>
      </w:divBdr>
    </w:div>
    <w:div w:id="923877332">
      <w:bodyDiv w:val="1"/>
      <w:marLeft w:val="0"/>
      <w:marRight w:val="0"/>
      <w:marTop w:val="0"/>
      <w:marBottom w:val="0"/>
      <w:divBdr>
        <w:top w:val="none" w:sz="0" w:space="0" w:color="auto"/>
        <w:left w:val="none" w:sz="0" w:space="0" w:color="auto"/>
        <w:bottom w:val="none" w:sz="0" w:space="0" w:color="auto"/>
        <w:right w:val="none" w:sz="0" w:space="0" w:color="auto"/>
      </w:divBdr>
    </w:div>
    <w:div w:id="925727956">
      <w:bodyDiv w:val="1"/>
      <w:marLeft w:val="0"/>
      <w:marRight w:val="0"/>
      <w:marTop w:val="0"/>
      <w:marBottom w:val="0"/>
      <w:divBdr>
        <w:top w:val="none" w:sz="0" w:space="0" w:color="auto"/>
        <w:left w:val="none" w:sz="0" w:space="0" w:color="auto"/>
        <w:bottom w:val="none" w:sz="0" w:space="0" w:color="auto"/>
        <w:right w:val="none" w:sz="0" w:space="0" w:color="auto"/>
      </w:divBdr>
    </w:div>
    <w:div w:id="983781392">
      <w:bodyDiv w:val="1"/>
      <w:marLeft w:val="0"/>
      <w:marRight w:val="0"/>
      <w:marTop w:val="0"/>
      <w:marBottom w:val="0"/>
      <w:divBdr>
        <w:top w:val="none" w:sz="0" w:space="0" w:color="auto"/>
        <w:left w:val="none" w:sz="0" w:space="0" w:color="auto"/>
        <w:bottom w:val="none" w:sz="0" w:space="0" w:color="auto"/>
        <w:right w:val="none" w:sz="0" w:space="0" w:color="auto"/>
      </w:divBdr>
    </w:div>
    <w:div w:id="985666360">
      <w:bodyDiv w:val="1"/>
      <w:marLeft w:val="0"/>
      <w:marRight w:val="0"/>
      <w:marTop w:val="0"/>
      <w:marBottom w:val="0"/>
      <w:divBdr>
        <w:top w:val="none" w:sz="0" w:space="0" w:color="auto"/>
        <w:left w:val="none" w:sz="0" w:space="0" w:color="auto"/>
        <w:bottom w:val="none" w:sz="0" w:space="0" w:color="auto"/>
        <w:right w:val="none" w:sz="0" w:space="0" w:color="auto"/>
      </w:divBdr>
    </w:div>
    <w:div w:id="986325134">
      <w:bodyDiv w:val="1"/>
      <w:marLeft w:val="0"/>
      <w:marRight w:val="0"/>
      <w:marTop w:val="0"/>
      <w:marBottom w:val="0"/>
      <w:divBdr>
        <w:top w:val="none" w:sz="0" w:space="0" w:color="auto"/>
        <w:left w:val="none" w:sz="0" w:space="0" w:color="auto"/>
        <w:bottom w:val="none" w:sz="0" w:space="0" w:color="auto"/>
        <w:right w:val="none" w:sz="0" w:space="0" w:color="auto"/>
      </w:divBdr>
      <w:divsChild>
        <w:div w:id="1484658646">
          <w:marLeft w:val="446"/>
          <w:marRight w:val="0"/>
          <w:marTop w:val="120"/>
          <w:marBottom w:val="0"/>
          <w:divBdr>
            <w:top w:val="none" w:sz="0" w:space="0" w:color="auto"/>
            <w:left w:val="none" w:sz="0" w:space="0" w:color="auto"/>
            <w:bottom w:val="none" w:sz="0" w:space="0" w:color="auto"/>
            <w:right w:val="none" w:sz="0" w:space="0" w:color="auto"/>
          </w:divBdr>
        </w:div>
        <w:div w:id="91895701">
          <w:marLeft w:val="446"/>
          <w:marRight w:val="0"/>
          <w:marTop w:val="120"/>
          <w:marBottom w:val="0"/>
          <w:divBdr>
            <w:top w:val="none" w:sz="0" w:space="0" w:color="auto"/>
            <w:left w:val="none" w:sz="0" w:space="0" w:color="auto"/>
            <w:bottom w:val="none" w:sz="0" w:space="0" w:color="auto"/>
            <w:right w:val="none" w:sz="0" w:space="0" w:color="auto"/>
          </w:divBdr>
        </w:div>
        <w:div w:id="135025896">
          <w:marLeft w:val="446"/>
          <w:marRight w:val="0"/>
          <w:marTop w:val="120"/>
          <w:marBottom w:val="0"/>
          <w:divBdr>
            <w:top w:val="none" w:sz="0" w:space="0" w:color="auto"/>
            <w:left w:val="none" w:sz="0" w:space="0" w:color="auto"/>
            <w:bottom w:val="none" w:sz="0" w:space="0" w:color="auto"/>
            <w:right w:val="none" w:sz="0" w:space="0" w:color="auto"/>
          </w:divBdr>
        </w:div>
        <w:div w:id="697004507">
          <w:marLeft w:val="446"/>
          <w:marRight w:val="0"/>
          <w:marTop w:val="120"/>
          <w:marBottom w:val="0"/>
          <w:divBdr>
            <w:top w:val="none" w:sz="0" w:space="0" w:color="auto"/>
            <w:left w:val="none" w:sz="0" w:space="0" w:color="auto"/>
            <w:bottom w:val="none" w:sz="0" w:space="0" w:color="auto"/>
            <w:right w:val="none" w:sz="0" w:space="0" w:color="auto"/>
          </w:divBdr>
        </w:div>
        <w:div w:id="1572233114">
          <w:marLeft w:val="446"/>
          <w:marRight w:val="0"/>
          <w:marTop w:val="120"/>
          <w:marBottom w:val="0"/>
          <w:divBdr>
            <w:top w:val="none" w:sz="0" w:space="0" w:color="auto"/>
            <w:left w:val="none" w:sz="0" w:space="0" w:color="auto"/>
            <w:bottom w:val="none" w:sz="0" w:space="0" w:color="auto"/>
            <w:right w:val="none" w:sz="0" w:space="0" w:color="auto"/>
          </w:divBdr>
        </w:div>
      </w:divsChild>
    </w:div>
    <w:div w:id="989556607">
      <w:bodyDiv w:val="1"/>
      <w:marLeft w:val="0"/>
      <w:marRight w:val="0"/>
      <w:marTop w:val="0"/>
      <w:marBottom w:val="0"/>
      <w:divBdr>
        <w:top w:val="none" w:sz="0" w:space="0" w:color="auto"/>
        <w:left w:val="none" w:sz="0" w:space="0" w:color="auto"/>
        <w:bottom w:val="none" w:sz="0" w:space="0" w:color="auto"/>
        <w:right w:val="none" w:sz="0" w:space="0" w:color="auto"/>
      </w:divBdr>
    </w:div>
    <w:div w:id="990524443">
      <w:bodyDiv w:val="1"/>
      <w:marLeft w:val="0"/>
      <w:marRight w:val="0"/>
      <w:marTop w:val="0"/>
      <w:marBottom w:val="0"/>
      <w:divBdr>
        <w:top w:val="none" w:sz="0" w:space="0" w:color="auto"/>
        <w:left w:val="none" w:sz="0" w:space="0" w:color="auto"/>
        <w:bottom w:val="none" w:sz="0" w:space="0" w:color="auto"/>
        <w:right w:val="none" w:sz="0" w:space="0" w:color="auto"/>
      </w:divBdr>
    </w:div>
    <w:div w:id="992946912">
      <w:bodyDiv w:val="1"/>
      <w:marLeft w:val="0"/>
      <w:marRight w:val="0"/>
      <w:marTop w:val="0"/>
      <w:marBottom w:val="0"/>
      <w:divBdr>
        <w:top w:val="none" w:sz="0" w:space="0" w:color="auto"/>
        <w:left w:val="none" w:sz="0" w:space="0" w:color="auto"/>
        <w:bottom w:val="none" w:sz="0" w:space="0" w:color="auto"/>
        <w:right w:val="none" w:sz="0" w:space="0" w:color="auto"/>
      </w:divBdr>
    </w:div>
    <w:div w:id="999583681">
      <w:bodyDiv w:val="1"/>
      <w:marLeft w:val="0"/>
      <w:marRight w:val="0"/>
      <w:marTop w:val="0"/>
      <w:marBottom w:val="0"/>
      <w:divBdr>
        <w:top w:val="none" w:sz="0" w:space="0" w:color="auto"/>
        <w:left w:val="none" w:sz="0" w:space="0" w:color="auto"/>
        <w:bottom w:val="none" w:sz="0" w:space="0" w:color="auto"/>
        <w:right w:val="none" w:sz="0" w:space="0" w:color="auto"/>
      </w:divBdr>
    </w:div>
    <w:div w:id="1035891128">
      <w:bodyDiv w:val="1"/>
      <w:marLeft w:val="0"/>
      <w:marRight w:val="0"/>
      <w:marTop w:val="0"/>
      <w:marBottom w:val="0"/>
      <w:divBdr>
        <w:top w:val="none" w:sz="0" w:space="0" w:color="auto"/>
        <w:left w:val="none" w:sz="0" w:space="0" w:color="auto"/>
        <w:bottom w:val="none" w:sz="0" w:space="0" w:color="auto"/>
        <w:right w:val="none" w:sz="0" w:space="0" w:color="auto"/>
      </w:divBdr>
      <w:divsChild>
        <w:div w:id="891577673">
          <w:marLeft w:val="547"/>
          <w:marRight w:val="0"/>
          <w:marTop w:val="0"/>
          <w:marBottom w:val="0"/>
          <w:divBdr>
            <w:top w:val="none" w:sz="0" w:space="0" w:color="auto"/>
            <w:left w:val="none" w:sz="0" w:space="0" w:color="auto"/>
            <w:bottom w:val="none" w:sz="0" w:space="0" w:color="auto"/>
            <w:right w:val="none" w:sz="0" w:space="0" w:color="auto"/>
          </w:divBdr>
        </w:div>
      </w:divsChild>
    </w:div>
    <w:div w:id="1043670865">
      <w:bodyDiv w:val="1"/>
      <w:marLeft w:val="0"/>
      <w:marRight w:val="0"/>
      <w:marTop w:val="0"/>
      <w:marBottom w:val="0"/>
      <w:divBdr>
        <w:top w:val="none" w:sz="0" w:space="0" w:color="auto"/>
        <w:left w:val="none" w:sz="0" w:space="0" w:color="auto"/>
        <w:bottom w:val="none" w:sz="0" w:space="0" w:color="auto"/>
        <w:right w:val="none" w:sz="0" w:space="0" w:color="auto"/>
      </w:divBdr>
    </w:div>
    <w:div w:id="1090270003">
      <w:bodyDiv w:val="1"/>
      <w:marLeft w:val="0"/>
      <w:marRight w:val="0"/>
      <w:marTop w:val="0"/>
      <w:marBottom w:val="0"/>
      <w:divBdr>
        <w:top w:val="none" w:sz="0" w:space="0" w:color="auto"/>
        <w:left w:val="none" w:sz="0" w:space="0" w:color="auto"/>
        <w:bottom w:val="none" w:sz="0" w:space="0" w:color="auto"/>
        <w:right w:val="none" w:sz="0" w:space="0" w:color="auto"/>
      </w:divBdr>
    </w:div>
    <w:div w:id="1102459452">
      <w:bodyDiv w:val="1"/>
      <w:marLeft w:val="0"/>
      <w:marRight w:val="0"/>
      <w:marTop w:val="0"/>
      <w:marBottom w:val="0"/>
      <w:divBdr>
        <w:top w:val="none" w:sz="0" w:space="0" w:color="auto"/>
        <w:left w:val="none" w:sz="0" w:space="0" w:color="auto"/>
        <w:bottom w:val="none" w:sz="0" w:space="0" w:color="auto"/>
        <w:right w:val="none" w:sz="0" w:space="0" w:color="auto"/>
      </w:divBdr>
    </w:div>
    <w:div w:id="1106267455">
      <w:bodyDiv w:val="1"/>
      <w:marLeft w:val="0"/>
      <w:marRight w:val="0"/>
      <w:marTop w:val="0"/>
      <w:marBottom w:val="0"/>
      <w:divBdr>
        <w:top w:val="none" w:sz="0" w:space="0" w:color="auto"/>
        <w:left w:val="none" w:sz="0" w:space="0" w:color="auto"/>
        <w:bottom w:val="none" w:sz="0" w:space="0" w:color="auto"/>
        <w:right w:val="none" w:sz="0" w:space="0" w:color="auto"/>
      </w:divBdr>
    </w:div>
    <w:div w:id="1123419868">
      <w:bodyDiv w:val="1"/>
      <w:marLeft w:val="0"/>
      <w:marRight w:val="0"/>
      <w:marTop w:val="0"/>
      <w:marBottom w:val="0"/>
      <w:divBdr>
        <w:top w:val="none" w:sz="0" w:space="0" w:color="auto"/>
        <w:left w:val="none" w:sz="0" w:space="0" w:color="auto"/>
        <w:bottom w:val="none" w:sz="0" w:space="0" w:color="auto"/>
        <w:right w:val="none" w:sz="0" w:space="0" w:color="auto"/>
      </w:divBdr>
    </w:div>
    <w:div w:id="1154376831">
      <w:bodyDiv w:val="1"/>
      <w:marLeft w:val="0"/>
      <w:marRight w:val="0"/>
      <w:marTop w:val="0"/>
      <w:marBottom w:val="0"/>
      <w:divBdr>
        <w:top w:val="none" w:sz="0" w:space="0" w:color="auto"/>
        <w:left w:val="none" w:sz="0" w:space="0" w:color="auto"/>
        <w:bottom w:val="none" w:sz="0" w:space="0" w:color="auto"/>
        <w:right w:val="none" w:sz="0" w:space="0" w:color="auto"/>
      </w:divBdr>
    </w:div>
    <w:div w:id="1163163109">
      <w:bodyDiv w:val="1"/>
      <w:marLeft w:val="0"/>
      <w:marRight w:val="0"/>
      <w:marTop w:val="0"/>
      <w:marBottom w:val="0"/>
      <w:divBdr>
        <w:top w:val="none" w:sz="0" w:space="0" w:color="auto"/>
        <w:left w:val="none" w:sz="0" w:space="0" w:color="auto"/>
        <w:bottom w:val="none" w:sz="0" w:space="0" w:color="auto"/>
        <w:right w:val="none" w:sz="0" w:space="0" w:color="auto"/>
      </w:divBdr>
    </w:div>
    <w:div w:id="1201480584">
      <w:bodyDiv w:val="1"/>
      <w:marLeft w:val="0"/>
      <w:marRight w:val="0"/>
      <w:marTop w:val="0"/>
      <w:marBottom w:val="0"/>
      <w:divBdr>
        <w:top w:val="none" w:sz="0" w:space="0" w:color="auto"/>
        <w:left w:val="none" w:sz="0" w:space="0" w:color="auto"/>
        <w:bottom w:val="none" w:sz="0" w:space="0" w:color="auto"/>
        <w:right w:val="none" w:sz="0" w:space="0" w:color="auto"/>
      </w:divBdr>
    </w:div>
    <w:div w:id="1212495754">
      <w:bodyDiv w:val="1"/>
      <w:marLeft w:val="0"/>
      <w:marRight w:val="0"/>
      <w:marTop w:val="0"/>
      <w:marBottom w:val="0"/>
      <w:divBdr>
        <w:top w:val="none" w:sz="0" w:space="0" w:color="auto"/>
        <w:left w:val="none" w:sz="0" w:space="0" w:color="auto"/>
        <w:bottom w:val="none" w:sz="0" w:space="0" w:color="auto"/>
        <w:right w:val="none" w:sz="0" w:space="0" w:color="auto"/>
      </w:divBdr>
    </w:div>
    <w:div w:id="1227912468">
      <w:bodyDiv w:val="1"/>
      <w:marLeft w:val="0"/>
      <w:marRight w:val="0"/>
      <w:marTop w:val="0"/>
      <w:marBottom w:val="0"/>
      <w:divBdr>
        <w:top w:val="none" w:sz="0" w:space="0" w:color="auto"/>
        <w:left w:val="none" w:sz="0" w:space="0" w:color="auto"/>
        <w:bottom w:val="none" w:sz="0" w:space="0" w:color="auto"/>
        <w:right w:val="none" w:sz="0" w:space="0" w:color="auto"/>
      </w:divBdr>
    </w:div>
    <w:div w:id="1267275113">
      <w:bodyDiv w:val="1"/>
      <w:marLeft w:val="0"/>
      <w:marRight w:val="0"/>
      <w:marTop w:val="0"/>
      <w:marBottom w:val="0"/>
      <w:divBdr>
        <w:top w:val="none" w:sz="0" w:space="0" w:color="auto"/>
        <w:left w:val="none" w:sz="0" w:space="0" w:color="auto"/>
        <w:bottom w:val="none" w:sz="0" w:space="0" w:color="auto"/>
        <w:right w:val="none" w:sz="0" w:space="0" w:color="auto"/>
      </w:divBdr>
    </w:div>
    <w:div w:id="1276979594">
      <w:bodyDiv w:val="1"/>
      <w:marLeft w:val="0"/>
      <w:marRight w:val="0"/>
      <w:marTop w:val="0"/>
      <w:marBottom w:val="0"/>
      <w:divBdr>
        <w:top w:val="none" w:sz="0" w:space="0" w:color="auto"/>
        <w:left w:val="none" w:sz="0" w:space="0" w:color="auto"/>
        <w:bottom w:val="none" w:sz="0" w:space="0" w:color="auto"/>
        <w:right w:val="none" w:sz="0" w:space="0" w:color="auto"/>
      </w:divBdr>
    </w:div>
    <w:div w:id="1299452206">
      <w:bodyDiv w:val="1"/>
      <w:marLeft w:val="0"/>
      <w:marRight w:val="0"/>
      <w:marTop w:val="0"/>
      <w:marBottom w:val="0"/>
      <w:divBdr>
        <w:top w:val="none" w:sz="0" w:space="0" w:color="auto"/>
        <w:left w:val="none" w:sz="0" w:space="0" w:color="auto"/>
        <w:bottom w:val="none" w:sz="0" w:space="0" w:color="auto"/>
        <w:right w:val="none" w:sz="0" w:space="0" w:color="auto"/>
      </w:divBdr>
    </w:div>
    <w:div w:id="1324118134">
      <w:bodyDiv w:val="1"/>
      <w:marLeft w:val="0"/>
      <w:marRight w:val="0"/>
      <w:marTop w:val="0"/>
      <w:marBottom w:val="0"/>
      <w:divBdr>
        <w:top w:val="none" w:sz="0" w:space="0" w:color="auto"/>
        <w:left w:val="none" w:sz="0" w:space="0" w:color="auto"/>
        <w:bottom w:val="none" w:sz="0" w:space="0" w:color="auto"/>
        <w:right w:val="none" w:sz="0" w:space="0" w:color="auto"/>
      </w:divBdr>
    </w:div>
    <w:div w:id="1358386525">
      <w:bodyDiv w:val="1"/>
      <w:marLeft w:val="0"/>
      <w:marRight w:val="0"/>
      <w:marTop w:val="0"/>
      <w:marBottom w:val="0"/>
      <w:divBdr>
        <w:top w:val="none" w:sz="0" w:space="0" w:color="auto"/>
        <w:left w:val="none" w:sz="0" w:space="0" w:color="auto"/>
        <w:bottom w:val="none" w:sz="0" w:space="0" w:color="auto"/>
        <w:right w:val="none" w:sz="0" w:space="0" w:color="auto"/>
      </w:divBdr>
    </w:div>
    <w:div w:id="1391227508">
      <w:bodyDiv w:val="1"/>
      <w:marLeft w:val="0"/>
      <w:marRight w:val="0"/>
      <w:marTop w:val="0"/>
      <w:marBottom w:val="0"/>
      <w:divBdr>
        <w:top w:val="none" w:sz="0" w:space="0" w:color="auto"/>
        <w:left w:val="none" w:sz="0" w:space="0" w:color="auto"/>
        <w:bottom w:val="none" w:sz="0" w:space="0" w:color="auto"/>
        <w:right w:val="none" w:sz="0" w:space="0" w:color="auto"/>
      </w:divBdr>
    </w:div>
    <w:div w:id="1404719357">
      <w:bodyDiv w:val="1"/>
      <w:marLeft w:val="0"/>
      <w:marRight w:val="0"/>
      <w:marTop w:val="0"/>
      <w:marBottom w:val="0"/>
      <w:divBdr>
        <w:top w:val="none" w:sz="0" w:space="0" w:color="auto"/>
        <w:left w:val="none" w:sz="0" w:space="0" w:color="auto"/>
        <w:bottom w:val="none" w:sz="0" w:space="0" w:color="auto"/>
        <w:right w:val="none" w:sz="0" w:space="0" w:color="auto"/>
      </w:divBdr>
    </w:div>
    <w:div w:id="1412384344">
      <w:bodyDiv w:val="1"/>
      <w:marLeft w:val="0"/>
      <w:marRight w:val="0"/>
      <w:marTop w:val="0"/>
      <w:marBottom w:val="0"/>
      <w:divBdr>
        <w:top w:val="none" w:sz="0" w:space="0" w:color="auto"/>
        <w:left w:val="none" w:sz="0" w:space="0" w:color="auto"/>
        <w:bottom w:val="none" w:sz="0" w:space="0" w:color="auto"/>
        <w:right w:val="none" w:sz="0" w:space="0" w:color="auto"/>
      </w:divBdr>
      <w:divsChild>
        <w:div w:id="487131810">
          <w:marLeft w:val="446"/>
          <w:marRight w:val="0"/>
          <w:marTop w:val="0"/>
          <w:marBottom w:val="0"/>
          <w:divBdr>
            <w:top w:val="none" w:sz="0" w:space="0" w:color="auto"/>
            <w:left w:val="none" w:sz="0" w:space="0" w:color="auto"/>
            <w:bottom w:val="none" w:sz="0" w:space="0" w:color="auto"/>
            <w:right w:val="none" w:sz="0" w:space="0" w:color="auto"/>
          </w:divBdr>
        </w:div>
        <w:div w:id="871267486">
          <w:marLeft w:val="446"/>
          <w:marRight w:val="0"/>
          <w:marTop w:val="0"/>
          <w:marBottom w:val="0"/>
          <w:divBdr>
            <w:top w:val="none" w:sz="0" w:space="0" w:color="auto"/>
            <w:left w:val="none" w:sz="0" w:space="0" w:color="auto"/>
            <w:bottom w:val="none" w:sz="0" w:space="0" w:color="auto"/>
            <w:right w:val="none" w:sz="0" w:space="0" w:color="auto"/>
          </w:divBdr>
        </w:div>
        <w:div w:id="2090886578">
          <w:marLeft w:val="446"/>
          <w:marRight w:val="0"/>
          <w:marTop w:val="0"/>
          <w:marBottom w:val="0"/>
          <w:divBdr>
            <w:top w:val="none" w:sz="0" w:space="0" w:color="auto"/>
            <w:left w:val="none" w:sz="0" w:space="0" w:color="auto"/>
            <w:bottom w:val="none" w:sz="0" w:space="0" w:color="auto"/>
            <w:right w:val="none" w:sz="0" w:space="0" w:color="auto"/>
          </w:divBdr>
        </w:div>
        <w:div w:id="1827820632">
          <w:marLeft w:val="446"/>
          <w:marRight w:val="0"/>
          <w:marTop w:val="0"/>
          <w:marBottom w:val="0"/>
          <w:divBdr>
            <w:top w:val="none" w:sz="0" w:space="0" w:color="auto"/>
            <w:left w:val="none" w:sz="0" w:space="0" w:color="auto"/>
            <w:bottom w:val="none" w:sz="0" w:space="0" w:color="auto"/>
            <w:right w:val="none" w:sz="0" w:space="0" w:color="auto"/>
          </w:divBdr>
        </w:div>
      </w:divsChild>
    </w:div>
    <w:div w:id="1430657136">
      <w:bodyDiv w:val="1"/>
      <w:marLeft w:val="0"/>
      <w:marRight w:val="0"/>
      <w:marTop w:val="0"/>
      <w:marBottom w:val="0"/>
      <w:divBdr>
        <w:top w:val="none" w:sz="0" w:space="0" w:color="auto"/>
        <w:left w:val="none" w:sz="0" w:space="0" w:color="auto"/>
        <w:bottom w:val="none" w:sz="0" w:space="0" w:color="auto"/>
        <w:right w:val="none" w:sz="0" w:space="0" w:color="auto"/>
      </w:divBdr>
    </w:div>
    <w:div w:id="1469737743">
      <w:bodyDiv w:val="1"/>
      <w:marLeft w:val="0"/>
      <w:marRight w:val="0"/>
      <w:marTop w:val="0"/>
      <w:marBottom w:val="0"/>
      <w:divBdr>
        <w:top w:val="none" w:sz="0" w:space="0" w:color="auto"/>
        <w:left w:val="none" w:sz="0" w:space="0" w:color="auto"/>
        <w:bottom w:val="none" w:sz="0" w:space="0" w:color="auto"/>
        <w:right w:val="none" w:sz="0" w:space="0" w:color="auto"/>
      </w:divBdr>
    </w:div>
    <w:div w:id="1475294214">
      <w:bodyDiv w:val="1"/>
      <w:marLeft w:val="0"/>
      <w:marRight w:val="0"/>
      <w:marTop w:val="0"/>
      <w:marBottom w:val="0"/>
      <w:divBdr>
        <w:top w:val="none" w:sz="0" w:space="0" w:color="auto"/>
        <w:left w:val="none" w:sz="0" w:space="0" w:color="auto"/>
        <w:bottom w:val="none" w:sz="0" w:space="0" w:color="auto"/>
        <w:right w:val="none" w:sz="0" w:space="0" w:color="auto"/>
      </w:divBdr>
      <w:divsChild>
        <w:div w:id="1305771589">
          <w:marLeft w:val="446"/>
          <w:marRight w:val="0"/>
          <w:marTop w:val="0"/>
          <w:marBottom w:val="0"/>
          <w:divBdr>
            <w:top w:val="none" w:sz="0" w:space="0" w:color="auto"/>
            <w:left w:val="none" w:sz="0" w:space="0" w:color="auto"/>
            <w:bottom w:val="none" w:sz="0" w:space="0" w:color="auto"/>
            <w:right w:val="none" w:sz="0" w:space="0" w:color="auto"/>
          </w:divBdr>
        </w:div>
      </w:divsChild>
    </w:div>
    <w:div w:id="1553035613">
      <w:bodyDiv w:val="1"/>
      <w:marLeft w:val="0"/>
      <w:marRight w:val="0"/>
      <w:marTop w:val="0"/>
      <w:marBottom w:val="0"/>
      <w:divBdr>
        <w:top w:val="none" w:sz="0" w:space="0" w:color="auto"/>
        <w:left w:val="none" w:sz="0" w:space="0" w:color="auto"/>
        <w:bottom w:val="none" w:sz="0" w:space="0" w:color="auto"/>
        <w:right w:val="none" w:sz="0" w:space="0" w:color="auto"/>
      </w:divBdr>
    </w:div>
    <w:div w:id="1555388735">
      <w:bodyDiv w:val="1"/>
      <w:marLeft w:val="0"/>
      <w:marRight w:val="0"/>
      <w:marTop w:val="0"/>
      <w:marBottom w:val="0"/>
      <w:divBdr>
        <w:top w:val="none" w:sz="0" w:space="0" w:color="auto"/>
        <w:left w:val="none" w:sz="0" w:space="0" w:color="auto"/>
        <w:bottom w:val="none" w:sz="0" w:space="0" w:color="auto"/>
        <w:right w:val="none" w:sz="0" w:space="0" w:color="auto"/>
      </w:divBdr>
    </w:div>
    <w:div w:id="1608808996">
      <w:bodyDiv w:val="1"/>
      <w:marLeft w:val="0"/>
      <w:marRight w:val="0"/>
      <w:marTop w:val="0"/>
      <w:marBottom w:val="0"/>
      <w:divBdr>
        <w:top w:val="none" w:sz="0" w:space="0" w:color="auto"/>
        <w:left w:val="none" w:sz="0" w:space="0" w:color="auto"/>
        <w:bottom w:val="none" w:sz="0" w:space="0" w:color="auto"/>
        <w:right w:val="none" w:sz="0" w:space="0" w:color="auto"/>
      </w:divBdr>
    </w:div>
    <w:div w:id="1627812496">
      <w:bodyDiv w:val="1"/>
      <w:marLeft w:val="0"/>
      <w:marRight w:val="0"/>
      <w:marTop w:val="0"/>
      <w:marBottom w:val="0"/>
      <w:divBdr>
        <w:top w:val="none" w:sz="0" w:space="0" w:color="auto"/>
        <w:left w:val="none" w:sz="0" w:space="0" w:color="auto"/>
        <w:bottom w:val="none" w:sz="0" w:space="0" w:color="auto"/>
        <w:right w:val="none" w:sz="0" w:space="0" w:color="auto"/>
      </w:divBdr>
    </w:div>
    <w:div w:id="1672565504">
      <w:bodyDiv w:val="1"/>
      <w:marLeft w:val="0"/>
      <w:marRight w:val="0"/>
      <w:marTop w:val="0"/>
      <w:marBottom w:val="0"/>
      <w:divBdr>
        <w:top w:val="none" w:sz="0" w:space="0" w:color="auto"/>
        <w:left w:val="none" w:sz="0" w:space="0" w:color="auto"/>
        <w:bottom w:val="none" w:sz="0" w:space="0" w:color="auto"/>
        <w:right w:val="none" w:sz="0" w:space="0" w:color="auto"/>
      </w:divBdr>
    </w:div>
    <w:div w:id="1686250723">
      <w:bodyDiv w:val="1"/>
      <w:marLeft w:val="0"/>
      <w:marRight w:val="0"/>
      <w:marTop w:val="0"/>
      <w:marBottom w:val="0"/>
      <w:divBdr>
        <w:top w:val="none" w:sz="0" w:space="0" w:color="auto"/>
        <w:left w:val="none" w:sz="0" w:space="0" w:color="auto"/>
        <w:bottom w:val="none" w:sz="0" w:space="0" w:color="auto"/>
        <w:right w:val="none" w:sz="0" w:space="0" w:color="auto"/>
      </w:divBdr>
    </w:div>
    <w:div w:id="1710715919">
      <w:bodyDiv w:val="1"/>
      <w:marLeft w:val="0"/>
      <w:marRight w:val="0"/>
      <w:marTop w:val="0"/>
      <w:marBottom w:val="0"/>
      <w:divBdr>
        <w:top w:val="none" w:sz="0" w:space="0" w:color="auto"/>
        <w:left w:val="none" w:sz="0" w:space="0" w:color="auto"/>
        <w:bottom w:val="none" w:sz="0" w:space="0" w:color="auto"/>
        <w:right w:val="none" w:sz="0" w:space="0" w:color="auto"/>
      </w:divBdr>
    </w:div>
    <w:div w:id="1721396015">
      <w:bodyDiv w:val="1"/>
      <w:marLeft w:val="0"/>
      <w:marRight w:val="0"/>
      <w:marTop w:val="0"/>
      <w:marBottom w:val="0"/>
      <w:divBdr>
        <w:top w:val="none" w:sz="0" w:space="0" w:color="auto"/>
        <w:left w:val="none" w:sz="0" w:space="0" w:color="auto"/>
        <w:bottom w:val="none" w:sz="0" w:space="0" w:color="auto"/>
        <w:right w:val="none" w:sz="0" w:space="0" w:color="auto"/>
      </w:divBdr>
    </w:div>
    <w:div w:id="1726755458">
      <w:bodyDiv w:val="1"/>
      <w:marLeft w:val="0"/>
      <w:marRight w:val="0"/>
      <w:marTop w:val="0"/>
      <w:marBottom w:val="0"/>
      <w:divBdr>
        <w:top w:val="none" w:sz="0" w:space="0" w:color="auto"/>
        <w:left w:val="none" w:sz="0" w:space="0" w:color="auto"/>
        <w:bottom w:val="none" w:sz="0" w:space="0" w:color="auto"/>
        <w:right w:val="none" w:sz="0" w:space="0" w:color="auto"/>
      </w:divBdr>
      <w:divsChild>
        <w:div w:id="1412696661">
          <w:marLeft w:val="547"/>
          <w:marRight w:val="0"/>
          <w:marTop w:val="0"/>
          <w:marBottom w:val="0"/>
          <w:divBdr>
            <w:top w:val="none" w:sz="0" w:space="0" w:color="auto"/>
            <w:left w:val="none" w:sz="0" w:space="0" w:color="auto"/>
            <w:bottom w:val="none" w:sz="0" w:space="0" w:color="auto"/>
            <w:right w:val="none" w:sz="0" w:space="0" w:color="auto"/>
          </w:divBdr>
        </w:div>
      </w:divsChild>
    </w:div>
    <w:div w:id="1744450612">
      <w:bodyDiv w:val="1"/>
      <w:marLeft w:val="0"/>
      <w:marRight w:val="0"/>
      <w:marTop w:val="0"/>
      <w:marBottom w:val="0"/>
      <w:divBdr>
        <w:top w:val="none" w:sz="0" w:space="0" w:color="auto"/>
        <w:left w:val="none" w:sz="0" w:space="0" w:color="auto"/>
        <w:bottom w:val="none" w:sz="0" w:space="0" w:color="auto"/>
        <w:right w:val="none" w:sz="0" w:space="0" w:color="auto"/>
      </w:divBdr>
    </w:div>
    <w:div w:id="1804810977">
      <w:bodyDiv w:val="1"/>
      <w:marLeft w:val="0"/>
      <w:marRight w:val="0"/>
      <w:marTop w:val="0"/>
      <w:marBottom w:val="0"/>
      <w:divBdr>
        <w:top w:val="none" w:sz="0" w:space="0" w:color="auto"/>
        <w:left w:val="none" w:sz="0" w:space="0" w:color="auto"/>
        <w:bottom w:val="none" w:sz="0" w:space="0" w:color="auto"/>
        <w:right w:val="none" w:sz="0" w:space="0" w:color="auto"/>
      </w:divBdr>
    </w:div>
    <w:div w:id="1811943457">
      <w:bodyDiv w:val="1"/>
      <w:marLeft w:val="0"/>
      <w:marRight w:val="0"/>
      <w:marTop w:val="0"/>
      <w:marBottom w:val="0"/>
      <w:divBdr>
        <w:top w:val="none" w:sz="0" w:space="0" w:color="auto"/>
        <w:left w:val="none" w:sz="0" w:space="0" w:color="auto"/>
        <w:bottom w:val="none" w:sz="0" w:space="0" w:color="auto"/>
        <w:right w:val="none" w:sz="0" w:space="0" w:color="auto"/>
      </w:divBdr>
    </w:div>
    <w:div w:id="1826973781">
      <w:bodyDiv w:val="1"/>
      <w:marLeft w:val="0"/>
      <w:marRight w:val="0"/>
      <w:marTop w:val="0"/>
      <w:marBottom w:val="0"/>
      <w:divBdr>
        <w:top w:val="none" w:sz="0" w:space="0" w:color="auto"/>
        <w:left w:val="none" w:sz="0" w:space="0" w:color="auto"/>
        <w:bottom w:val="none" w:sz="0" w:space="0" w:color="auto"/>
        <w:right w:val="none" w:sz="0" w:space="0" w:color="auto"/>
      </w:divBdr>
    </w:div>
    <w:div w:id="1832988371">
      <w:bodyDiv w:val="1"/>
      <w:marLeft w:val="0"/>
      <w:marRight w:val="0"/>
      <w:marTop w:val="0"/>
      <w:marBottom w:val="0"/>
      <w:divBdr>
        <w:top w:val="none" w:sz="0" w:space="0" w:color="auto"/>
        <w:left w:val="none" w:sz="0" w:space="0" w:color="auto"/>
        <w:bottom w:val="none" w:sz="0" w:space="0" w:color="auto"/>
        <w:right w:val="none" w:sz="0" w:space="0" w:color="auto"/>
      </w:divBdr>
    </w:div>
    <w:div w:id="1850606460">
      <w:bodyDiv w:val="1"/>
      <w:marLeft w:val="0"/>
      <w:marRight w:val="0"/>
      <w:marTop w:val="0"/>
      <w:marBottom w:val="0"/>
      <w:divBdr>
        <w:top w:val="none" w:sz="0" w:space="0" w:color="auto"/>
        <w:left w:val="none" w:sz="0" w:space="0" w:color="auto"/>
        <w:bottom w:val="none" w:sz="0" w:space="0" w:color="auto"/>
        <w:right w:val="none" w:sz="0" w:space="0" w:color="auto"/>
      </w:divBdr>
    </w:div>
    <w:div w:id="1854689169">
      <w:bodyDiv w:val="1"/>
      <w:marLeft w:val="0"/>
      <w:marRight w:val="0"/>
      <w:marTop w:val="0"/>
      <w:marBottom w:val="0"/>
      <w:divBdr>
        <w:top w:val="none" w:sz="0" w:space="0" w:color="auto"/>
        <w:left w:val="none" w:sz="0" w:space="0" w:color="auto"/>
        <w:bottom w:val="none" w:sz="0" w:space="0" w:color="auto"/>
        <w:right w:val="none" w:sz="0" w:space="0" w:color="auto"/>
      </w:divBdr>
    </w:div>
    <w:div w:id="1864198332">
      <w:bodyDiv w:val="1"/>
      <w:marLeft w:val="0"/>
      <w:marRight w:val="0"/>
      <w:marTop w:val="0"/>
      <w:marBottom w:val="0"/>
      <w:divBdr>
        <w:top w:val="none" w:sz="0" w:space="0" w:color="auto"/>
        <w:left w:val="none" w:sz="0" w:space="0" w:color="auto"/>
        <w:bottom w:val="none" w:sz="0" w:space="0" w:color="auto"/>
        <w:right w:val="none" w:sz="0" w:space="0" w:color="auto"/>
      </w:divBdr>
    </w:div>
    <w:div w:id="1881430988">
      <w:bodyDiv w:val="1"/>
      <w:marLeft w:val="0"/>
      <w:marRight w:val="0"/>
      <w:marTop w:val="0"/>
      <w:marBottom w:val="0"/>
      <w:divBdr>
        <w:top w:val="none" w:sz="0" w:space="0" w:color="auto"/>
        <w:left w:val="none" w:sz="0" w:space="0" w:color="auto"/>
        <w:bottom w:val="none" w:sz="0" w:space="0" w:color="auto"/>
        <w:right w:val="none" w:sz="0" w:space="0" w:color="auto"/>
      </w:divBdr>
    </w:div>
    <w:div w:id="1913732183">
      <w:bodyDiv w:val="1"/>
      <w:marLeft w:val="0"/>
      <w:marRight w:val="0"/>
      <w:marTop w:val="0"/>
      <w:marBottom w:val="0"/>
      <w:divBdr>
        <w:top w:val="none" w:sz="0" w:space="0" w:color="auto"/>
        <w:left w:val="none" w:sz="0" w:space="0" w:color="auto"/>
        <w:bottom w:val="none" w:sz="0" w:space="0" w:color="auto"/>
        <w:right w:val="none" w:sz="0" w:space="0" w:color="auto"/>
      </w:divBdr>
      <w:divsChild>
        <w:div w:id="912666300">
          <w:marLeft w:val="547"/>
          <w:marRight w:val="0"/>
          <w:marTop w:val="0"/>
          <w:marBottom w:val="0"/>
          <w:divBdr>
            <w:top w:val="none" w:sz="0" w:space="0" w:color="auto"/>
            <w:left w:val="none" w:sz="0" w:space="0" w:color="auto"/>
            <w:bottom w:val="none" w:sz="0" w:space="0" w:color="auto"/>
            <w:right w:val="none" w:sz="0" w:space="0" w:color="auto"/>
          </w:divBdr>
        </w:div>
      </w:divsChild>
    </w:div>
    <w:div w:id="1941181753">
      <w:bodyDiv w:val="1"/>
      <w:marLeft w:val="0"/>
      <w:marRight w:val="0"/>
      <w:marTop w:val="0"/>
      <w:marBottom w:val="0"/>
      <w:divBdr>
        <w:top w:val="none" w:sz="0" w:space="0" w:color="auto"/>
        <w:left w:val="none" w:sz="0" w:space="0" w:color="auto"/>
        <w:bottom w:val="none" w:sz="0" w:space="0" w:color="auto"/>
        <w:right w:val="none" w:sz="0" w:space="0" w:color="auto"/>
      </w:divBdr>
    </w:div>
    <w:div w:id="1945458085">
      <w:bodyDiv w:val="1"/>
      <w:marLeft w:val="0"/>
      <w:marRight w:val="0"/>
      <w:marTop w:val="0"/>
      <w:marBottom w:val="0"/>
      <w:divBdr>
        <w:top w:val="none" w:sz="0" w:space="0" w:color="auto"/>
        <w:left w:val="none" w:sz="0" w:space="0" w:color="auto"/>
        <w:bottom w:val="none" w:sz="0" w:space="0" w:color="auto"/>
        <w:right w:val="none" w:sz="0" w:space="0" w:color="auto"/>
      </w:divBdr>
    </w:div>
    <w:div w:id="2013725983">
      <w:bodyDiv w:val="1"/>
      <w:marLeft w:val="0"/>
      <w:marRight w:val="0"/>
      <w:marTop w:val="0"/>
      <w:marBottom w:val="0"/>
      <w:divBdr>
        <w:top w:val="none" w:sz="0" w:space="0" w:color="auto"/>
        <w:left w:val="none" w:sz="0" w:space="0" w:color="auto"/>
        <w:bottom w:val="none" w:sz="0" w:space="0" w:color="auto"/>
        <w:right w:val="none" w:sz="0" w:space="0" w:color="auto"/>
      </w:divBdr>
    </w:div>
    <w:div w:id="2013869859">
      <w:bodyDiv w:val="1"/>
      <w:marLeft w:val="0"/>
      <w:marRight w:val="0"/>
      <w:marTop w:val="0"/>
      <w:marBottom w:val="0"/>
      <w:divBdr>
        <w:top w:val="none" w:sz="0" w:space="0" w:color="auto"/>
        <w:left w:val="none" w:sz="0" w:space="0" w:color="auto"/>
        <w:bottom w:val="none" w:sz="0" w:space="0" w:color="auto"/>
        <w:right w:val="none" w:sz="0" w:space="0" w:color="auto"/>
      </w:divBdr>
    </w:div>
    <w:div w:id="2069838880">
      <w:bodyDiv w:val="1"/>
      <w:marLeft w:val="0"/>
      <w:marRight w:val="0"/>
      <w:marTop w:val="0"/>
      <w:marBottom w:val="0"/>
      <w:divBdr>
        <w:top w:val="none" w:sz="0" w:space="0" w:color="auto"/>
        <w:left w:val="none" w:sz="0" w:space="0" w:color="auto"/>
        <w:bottom w:val="none" w:sz="0" w:space="0" w:color="auto"/>
        <w:right w:val="none" w:sz="0" w:space="0" w:color="auto"/>
      </w:divBdr>
    </w:div>
    <w:div w:id="2087992699">
      <w:bodyDiv w:val="1"/>
      <w:marLeft w:val="0"/>
      <w:marRight w:val="0"/>
      <w:marTop w:val="0"/>
      <w:marBottom w:val="0"/>
      <w:divBdr>
        <w:top w:val="none" w:sz="0" w:space="0" w:color="auto"/>
        <w:left w:val="none" w:sz="0" w:space="0" w:color="auto"/>
        <w:bottom w:val="none" w:sz="0" w:space="0" w:color="auto"/>
        <w:right w:val="none" w:sz="0" w:space="0" w:color="auto"/>
      </w:divBdr>
    </w:div>
    <w:div w:id="2090613807">
      <w:bodyDiv w:val="1"/>
      <w:marLeft w:val="0"/>
      <w:marRight w:val="0"/>
      <w:marTop w:val="0"/>
      <w:marBottom w:val="0"/>
      <w:divBdr>
        <w:top w:val="none" w:sz="0" w:space="0" w:color="auto"/>
        <w:left w:val="none" w:sz="0" w:space="0" w:color="auto"/>
        <w:bottom w:val="none" w:sz="0" w:space="0" w:color="auto"/>
        <w:right w:val="none" w:sz="0" w:space="0" w:color="auto"/>
      </w:divBdr>
    </w:div>
    <w:div w:id="212372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nque-france.fr/stabilite-financiere/securite-des-moyens-de-paiement-scripturaux/collectes-statistiques-reglementaires-espace-declarants/collecte-declaration-trimestrielle-des-operations-impliquant-des-non-ifm" TargetMode="External"/><Relationship Id="rId18" Type="http://schemas.openxmlformats.org/officeDocument/2006/relationships/hyperlink" Target="http://fr.wikipedia.org/wiki/Effet_de_commerce" TargetMode="External"/><Relationship Id="rId26"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hyperlink" Target="http://www.ecb.int"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fr.wikipedia.org/wiki/Ch%C3%A8que" TargetMode="External"/><Relationship Id="rId25" Type="http://schemas.openxmlformats.org/officeDocument/2006/relationships/diagramLayout" Target="diagrams/layout1.xml"/><Relationship Id="rId33"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hyperlink" Target="http://fr.wikipedia.org/wiki/Virement_bancaire" TargetMode="External"/><Relationship Id="rId20" Type="http://schemas.openxmlformats.org/officeDocument/2006/relationships/hyperlink" Target="http://www.banque-france.fr" TargetMode="External"/><Relationship Id="rId29"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diagramData" Target="diagrams/data1.xml"/><Relationship Id="rId32" Type="http://schemas.openxmlformats.org/officeDocument/2006/relationships/diagramColors" Target="diagrams/colors2.xml"/><Relationship Id="rId5" Type="http://schemas.openxmlformats.org/officeDocument/2006/relationships/webSettings" Target="webSettings.xml"/><Relationship Id="rId15" Type="http://schemas.openxmlformats.org/officeDocument/2006/relationships/hyperlink" Target="https://www.legifrance.gouv.fr/affichCodeArticle.do?cidTexte=LEGITEXT000006072026&amp;idArticle=LEGIARTI000006656969&amp;dateTexte=&amp;categorieLien=cid" TargetMode="External"/><Relationship Id="rId23" Type="http://schemas.openxmlformats.org/officeDocument/2006/relationships/hyperlink" Target="file:///Y:\09_Echanges_OSCAMPS\collectes-BCE-paiements-2022@banque-france.fr" TargetMode="External"/><Relationship Id="rId28" Type="http://schemas.microsoft.com/office/2007/relationships/diagramDrawing" Target="diagrams/drawing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fr.wikipedia.org/wiki/Porte-monnaie_%C3%A9lectronique" TargetMode="External"/><Relationship Id="rId31"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cb.europa.eu/stats/payment_statistics/payment_services/html/index.en.html" TargetMode="External"/><Relationship Id="rId22" Type="http://schemas.openxmlformats.org/officeDocument/2006/relationships/hyperlink" Target="mailto:Support-ONEGATE@banque-france.fr" TargetMode="External"/><Relationship Id="rId27" Type="http://schemas.openxmlformats.org/officeDocument/2006/relationships/diagramColors" Target="diagrams/colors1.xml"/><Relationship Id="rId30" Type="http://schemas.openxmlformats.org/officeDocument/2006/relationships/diagramLayout" Target="diagrams/layout2.xml"/><Relationship Id="rId35" Type="http://schemas.openxmlformats.org/officeDocument/2006/relationships/fontTable" Target="fontTable.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observatoire-paiements.f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B38DDF-170E-4E9B-9948-7B75ED25B9C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AFA0247-B016-4C65-90F3-BB73E5FE9CBF}">
      <dgm:prSet phldrT="[Text]"/>
      <dgm:spPr/>
      <dgm:t>
        <a:bodyPr/>
        <a:lstStyle/>
        <a:p>
          <a:pPr algn="ctr"/>
          <a:r>
            <a:rPr lang="en-GB"/>
            <a:t>Cartes émises par l'établissement</a:t>
          </a:r>
        </a:p>
      </dgm:t>
    </dgm:pt>
    <dgm:pt modelId="{1750A790-6293-4D28-8A34-4D8AF670D669}" type="parTrans" cxnId="{610A9558-F477-436E-97AF-789A6A23532A}">
      <dgm:prSet/>
      <dgm:spPr/>
      <dgm:t>
        <a:bodyPr/>
        <a:lstStyle/>
        <a:p>
          <a:pPr algn="ctr"/>
          <a:endParaRPr lang="en-GB"/>
        </a:p>
      </dgm:t>
    </dgm:pt>
    <dgm:pt modelId="{86B51DD4-4730-4D77-920A-5FD473BF78EA}" type="sibTrans" cxnId="{610A9558-F477-436E-97AF-789A6A23532A}">
      <dgm:prSet/>
      <dgm:spPr/>
      <dgm:t>
        <a:bodyPr/>
        <a:lstStyle/>
        <a:p>
          <a:pPr algn="ctr"/>
          <a:endParaRPr lang="en-GB"/>
        </a:p>
      </dgm:t>
    </dgm:pt>
    <dgm:pt modelId="{E60B31FE-6E42-4944-B40A-03A923AA49C5}">
      <dgm:prSet phldrT="[Text]"/>
      <dgm:spPr>
        <a:solidFill>
          <a:schemeClr val="accent6">
            <a:lumMod val="50000"/>
          </a:schemeClr>
        </a:solidFill>
        <a:ln>
          <a:solidFill>
            <a:schemeClr val="accent6">
              <a:lumMod val="50000"/>
            </a:schemeClr>
          </a:solidFill>
        </a:ln>
      </dgm:spPr>
      <dgm:t>
        <a:bodyPr/>
        <a:lstStyle/>
        <a:p>
          <a:pPr algn="ctr"/>
          <a:r>
            <a:rPr lang="en-GB"/>
            <a:t>avec une fonction de paiement</a:t>
          </a:r>
        </a:p>
      </dgm:t>
    </dgm:pt>
    <dgm:pt modelId="{7089A0BC-5A4B-4B33-B76D-BE2D2A74400D}" type="parTrans" cxnId="{C88EF50A-7FA0-4C69-BAC6-E681F4E89E20}">
      <dgm:prSet/>
      <dgm:spPr/>
      <dgm:t>
        <a:bodyPr/>
        <a:lstStyle/>
        <a:p>
          <a:pPr algn="ctr"/>
          <a:endParaRPr lang="en-GB"/>
        </a:p>
      </dgm:t>
    </dgm:pt>
    <dgm:pt modelId="{57315D86-7FFE-44C0-A11F-32AF52F69FE5}" type="sibTrans" cxnId="{C88EF50A-7FA0-4C69-BAC6-E681F4E89E20}">
      <dgm:prSet/>
      <dgm:spPr/>
      <dgm:t>
        <a:bodyPr/>
        <a:lstStyle/>
        <a:p>
          <a:pPr algn="ctr"/>
          <a:endParaRPr lang="en-GB"/>
        </a:p>
      </dgm:t>
    </dgm:pt>
    <dgm:pt modelId="{039D1D0B-F5F0-4A4B-8A3D-D98E50792B6C}">
      <dgm:prSet phldrT="[Text]"/>
      <dgm:spPr>
        <a:solidFill>
          <a:schemeClr val="accent6">
            <a:lumMod val="75000"/>
          </a:schemeClr>
        </a:solidFill>
        <a:ln>
          <a:solidFill>
            <a:schemeClr val="accent6">
              <a:lumMod val="75000"/>
            </a:schemeClr>
          </a:solidFill>
        </a:ln>
      </dgm:spPr>
      <dgm:t>
        <a:bodyPr/>
        <a:lstStyle/>
        <a:p>
          <a:pPr algn="ctr"/>
          <a:r>
            <a:rPr lang="en-GB"/>
            <a:t>avec une fonction de débit</a:t>
          </a:r>
        </a:p>
      </dgm:t>
    </dgm:pt>
    <dgm:pt modelId="{253FAF02-DAF8-4DA1-93F4-F3A1E5072BE0}" type="parTrans" cxnId="{A09F894A-1AB9-45ED-889B-D6CDEE035D97}">
      <dgm:prSet/>
      <dgm:spPr>
        <a:ln>
          <a:solidFill>
            <a:schemeClr val="accent6">
              <a:lumMod val="75000"/>
            </a:schemeClr>
          </a:solidFill>
        </a:ln>
      </dgm:spPr>
      <dgm:t>
        <a:bodyPr/>
        <a:lstStyle/>
        <a:p>
          <a:pPr algn="ctr"/>
          <a:endParaRPr lang="en-GB"/>
        </a:p>
      </dgm:t>
    </dgm:pt>
    <dgm:pt modelId="{9A034D15-35CC-437B-B14C-149606C1277A}" type="sibTrans" cxnId="{A09F894A-1AB9-45ED-889B-D6CDEE035D97}">
      <dgm:prSet/>
      <dgm:spPr/>
      <dgm:t>
        <a:bodyPr/>
        <a:lstStyle/>
        <a:p>
          <a:pPr algn="ctr"/>
          <a:endParaRPr lang="en-GB"/>
        </a:p>
      </dgm:t>
    </dgm:pt>
    <dgm:pt modelId="{E488F0B1-7A29-40AD-8A36-0409A7DE33A2}">
      <dgm:prSet phldrT="[Text]"/>
      <dgm:spPr>
        <a:solidFill>
          <a:schemeClr val="accent4">
            <a:lumMod val="50000"/>
          </a:schemeClr>
        </a:solidFill>
        <a:ln>
          <a:solidFill>
            <a:schemeClr val="accent4">
              <a:lumMod val="50000"/>
            </a:schemeClr>
          </a:solidFill>
        </a:ln>
      </dgm:spPr>
      <dgm:t>
        <a:bodyPr/>
        <a:lstStyle/>
        <a:p>
          <a:pPr algn="ctr"/>
          <a:r>
            <a:rPr lang="en-GB"/>
            <a:t>avec une fonction monnaie électronique</a:t>
          </a:r>
        </a:p>
      </dgm:t>
    </dgm:pt>
    <dgm:pt modelId="{C185D7C2-01D7-4A38-8EE2-C364D363957C}" type="parTrans" cxnId="{DCB511AB-CFDA-4ED1-BA39-785929A4BC8A}">
      <dgm:prSet/>
      <dgm:spPr/>
      <dgm:t>
        <a:bodyPr/>
        <a:lstStyle/>
        <a:p>
          <a:pPr algn="ctr"/>
          <a:endParaRPr lang="en-GB"/>
        </a:p>
      </dgm:t>
    </dgm:pt>
    <dgm:pt modelId="{4E8B9638-DAB2-410E-825D-F93F348402D2}" type="sibTrans" cxnId="{DCB511AB-CFDA-4ED1-BA39-785929A4BC8A}">
      <dgm:prSet/>
      <dgm:spPr/>
      <dgm:t>
        <a:bodyPr/>
        <a:lstStyle/>
        <a:p>
          <a:pPr algn="ctr"/>
          <a:endParaRPr lang="en-GB"/>
        </a:p>
      </dgm:t>
    </dgm:pt>
    <dgm:pt modelId="{CB441383-0C6D-45A5-BD2D-464677AD9E4E}">
      <dgm:prSet phldrT="[Text]"/>
      <dgm:spPr>
        <a:solidFill>
          <a:schemeClr val="accent6">
            <a:lumMod val="75000"/>
          </a:schemeClr>
        </a:solidFill>
        <a:ln>
          <a:solidFill>
            <a:schemeClr val="accent6">
              <a:lumMod val="75000"/>
            </a:schemeClr>
          </a:solidFill>
        </a:ln>
      </dgm:spPr>
      <dgm:t>
        <a:bodyPr/>
        <a:lstStyle/>
        <a:p>
          <a:pPr algn="ctr"/>
          <a:r>
            <a:rPr lang="en-GB"/>
            <a:t>avec une fonction de débit différé</a:t>
          </a:r>
        </a:p>
      </dgm:t>
    </dgm:pt>
    <dgm:pt modelId="{1709D2DE-AEBB-488A-9066-56112AFC4DE2}" type="parTrans" cxnId="{A09AFF6C-D673-4E29-9454-ABE7BD810FA7}">
      <dgm:prSet/>
      <dgm:spPr>
        <a:ln>
          <a:solidFill>
            <a:schemeClr val="accent6">
              <a:lumMod val="75000"/>
            </a:schemeClr>
          </a:solidFill>
        </a:ln>
      </dgm:spPr>
      <dgm:t>
        <a:bodyPr/>
        <a:lstStyle/>
        <a:p>
          <a:pPr algn="ctr"/>
          <a:endParaRPr lang="en-GB"/>
        </a:p>
      </dgm:t>
    </dgm:pt>
    <dgm:pt modelId="{DBA3F336-9A35-4933-A7DD-8D446191002C}" type="sibTrans" cxnId="{A09AFF6C-D673-4E29-9454-ABE7BD810FA7}">
      <dgm:prSet/>
      <dgm:spPr/>
      <dgm:t>
        <a:bodyPr/>
        <a:lstStyle/>
        <a:p>
          <a:pPr algn="ctr"/>
          <a:endParaRPr lang="en-GB"/>
        </a:p>
      </dgm:t>
    </dgm:pt>
    <dgm:pt modelId="{D1DBFCE0-9962-44F4-8648-37A4880FBF85}">
      <dgm:prSet phldrT="[Text]"/>
      <dgm:spPr>
        <a:solidFill>
          <a:schemeClr val="accent6">
            <a:lumMod val="75000"/>
          </a:schemeClr>
        </a:solidFill>
        <a:ln>
          <a:solidFill>
            <a:schemeClr val="accent6">
              <a:lumMod val="75000"/>
            </a:schemeClr>
          </a:solidFill>
        </a:ln>
      </dgm:spPr>
      <dgm:t>
        <a:bodyPr/>
        <a:lstStyle/>
        <a:p>
          <a:pPr algn="ctr"/>
          <a:r>
            <a:rPr lang="en-GB"/>
            <a:t>avec une fonction de crédit</a:t>
          </a:r>
        </a:p>
      </dgm:t>
    </dgm:pt>
    <dgm:pt modelId="{605AB15E-2427-46D0-ADC7-74D7D6CF3BCF}" type="parTrans" cxnId="{2CF39B2F-E739-48D9-9085-43BE83BDE100}">
      <dgm:prSet/>
      <dgm:spPr>
        <a:ln>
          <a:solidFill>
            <a:schemeClr val="accent6">
              <a:lumMod val="75000"/>
            </a:schemeClr>
          </a:solidFill>
        </a:ln>
      </dgm:spPr>
      <dgm:t>
        <a:bodyPr/>
        <a:lstStyle/>
        <a:p>
          <a:pPr algn="ctr"/>
          <a:endParaRPr lang="en-GB"/>
        </a:p>
      </dgm:t>
    </dgm:pt>
    <dgm:pt modelId="{6AF53363-8E0F-409B-A42C-10E4FB2EB3BE}" type="sibTrans" cxnId="{2CF39B2F-E739-48D9-9085-43BE83BDE100}">
      <dgm:prSet/>
      <dgm:spPr/>
      <dgm:t>
        <a:bodyPr/>
        <a:lstStyle/>
        <a:p>
          <a:pPr algn="ctr"/>
          <a:endParaRPr lang="en-GB"/>
        </a:p>
      </dgm:t>
    </dgm:pt>
    <dgm:pt modelId="{321618AA-1F20-45A4-B328-91DD8EAAF58F}">
      <dgm:prSet phldrT="[Text]"/>
      <dgm:spPr>
        <a:solidFill>
          <a:schemeClr val="accent6">
            <a:lumMod val="60000"/>
            <a:lumOff val="40000"/>
          </a:schemeClr>
        </a:solidFill>
        <a:ln>
          <a:solidFill>
            <a:schemeClr val="accent6">
              <a:lumMod val="60000"/>
              <a:lumOff val="40000"/>
            </a:schemeClr>
          </a:solidFill>
        </a:ln>
      </dgm:spPr>
      <dgm:t>
        <a:bodyPr/>
        <a:lstStyle/>
        <a:p>
          <a:pPr algn="ctr"/>
          <a:r>
            <a:rPr lang="en-GB"/>
            <a:t>CB</a:t>
          </a:r>
        </a:p>
      </dgm:t>
    </dgm:pt>
    <dgm:pt modelId="{3CA0CCB2-EF06-4AC5-8B68-C8CBA935ED17}" type="parTrans" cxnId="{B163E9FA-8E40-422B-9C1D-FBCEEEE46B30}">
      <dgm:prSet/>
      <dgm:spPr>
        <a:solidFill>
          <a:schemeClr val="accent6">
            <a:lumMod val="75000"/>
          </a:schemeClr>
        </a:solidFill>
        <a:ln>
          <a:solidFill>
            <a:schemeClr val="accent6">
              <a:lumMod val="75000"/>
            </a:schemeClr>
          </a:solidFill>
        </a:ln>
      </dgm:spPr>
      <dgm:t>
        <a:bodyPr/>
        <a:lstStyle/>
        <a:p>
          <a:pPr algn="ctr"/>
          <a:endParaRPr lang="en-GB"/>
        </a:p>
      </dgm:t>
    </dgm:pt>
    <dgm:pt modelId="{8BBE3116-7705-4358-ABD3-01CD34451CF8}" type="sibTrans" cxnId="{B163E9FA-8E40-422B-9C1D-FBCEEEE46B30}">
      <dgm:prSet/>
      <dgm:spPr/>
      <dgm:t>
        <a:bodyPr/>
        <a:lstStyle/>
        <a:p>
          <a:pPr algn="ctr"/>
          <a:endParaRPr lang="en-GB"/>
        </a:p>
      </dgm:t>
    </dgm:pt>
    <dgm:pt modelId="{B877FCF5-06E5-4289-8161-AB16512EE513}">
      <dgm:prSet phldrT="[Text]"/>
      <dgm:spPr>
        <a:solidFill>
          <a:schemeClr val="accent6">
            <a:lumMod val="60000"/>
            <a:lumOff val="40000"/>
          </a:schemeClr>
        </a:solidFill>
        <a:ln>
          <a:solidFill>
            <a:schemeClr val="accent6">
              <a:lumMod val="60000"/>
              <a:lumOff val="40000"/>
            </a:schemeClr>
          </a:solidFill>
        </a:ln>
      </dgm:spPr>
      <dgm:t>
        <a:bodyPr/>
        <a:lstStyle/>
        <a:p>
          <a:pPr algn="ctr"/>
          <a:r>
            <a:rPr lang="en-GB"/>
            <a:t>VISA</a:t>
          </a:r>
        </a:p>
      </dgm:t>
    </dgm:pt>
    <dgm:pt modelId="{AABA5FAE-9778-4D60-96EC-37920CB330F8}" type="parTrans" cxnId="{96C467DA-94E6-4A57-9A58-E59C603037D4}">
      <dgm:prSet/>
      <dgm:spPr>
        <a:solidFill>
          <a:schemeClr val="accent6">
            <a:lumMod val="75000"/>
          </a:schemeClr>
        </a:solidFill>
        <a:ln>
          <a:solidFill>
            <a:schemeClr val="accent6">
              <a:lumMod val="75000"/>
            </a:schemeClr>
          </a:solidFill>
        </a:ln>
      </dgm:spPr>
      <dgm:t>
        <a:bodyPr/>
        <a:lstStyle/>
        <a:p>
          <a:pPr algn="ctr"/>
          <a:endParaRPr lang="en-GB"/>
        </a:p>
      </dgm:t>
    </dgm:pt>
    <dgm:pt modelId="{5DF3F1E6-696E-4818-B89F-71C6D58B9830}" type="sibTrans" cxnId="{96C467DA-94E6-4A57-9A58-E59C603037D4}">
      <dgm:prSet/>
      <dgm:spPr/>
      <dgm:t>
        <a:bodyPr/>
        <a:lstStyle/>
        <a:p>
          <a:pPr algn="ctr"/>
          <a:endParaRPr lang="en-GB"/>
        </a:p>
      </dgm:t>
    </dgm:pt>
    <dgm:pt modelId="{F8D636A4-87AB-432B-B199-3F482AFE1346}">
      <dgm:prSet phldrT="[Text]"/>
      <dgm:spPr>
        <a:solidFill>
          <a:schemeClr val="accent6">
            <a:lumMod val="60000"/>
            <a:lumOff val="40000"/>
          </a:schemeClr>
        </a:solidFill>
        <a:ln>
          <a:solidFill>
            <a:schemeClr val="accent6">
              <a:lumMod val="60000"/>
              <a:lumOff val="40000"/>
            </a:schemeClr>
          </a:solidFill>
        </a:ln>
      </dgm:spPr>
      <dgm:t>
        <a:bodyPr/>
        <a:lstStyle/>
        <a:p>
          <a:pPr algn="ctr"/>
          <a:r>
            <a:rPr lang="en-GB"/>
            <a:t>Autres schémas...</a:t>
          </a:r>
        </a:p>
      </dgm:t>
    </dgm:pt>
    <dgm:pt modelId="{6F705239-C58D-4973-9AAB-D883AE301216}" type="parTrans" cxnId="{544A39A2-2B85-4FA0-A8FE-ADF9FC60B08B}">
      <dgm:prSet/>
      <dgm:spPr>
        <a:solidFill>
          <a:schemeClr val="accent6">
            <a:lumMod val="75000"/>
          </a:schemeClr>
        </a:solidFill>
        <a:ln>
          <a:solidFill>
            <a:schemeClr val="accent6">
              <a:lumMod val="75000"/>
            </a:schemeClr>
          </a:solidFill>
        </a:ln>
      </dgm:spPr>
      <dgm:t>
        <a:bodyPr/>
        <a:lstStyle/>
        <a:p>
          <a:pPr algn="ctr"/>
          <a:endParaRPr lang="en-GB"/>
        </a:p>
      </dgm:t>
    </dgm:pt>
    <dgm:pt modelId="{318B8650-DB82-4001-8090-46BAE395DC94}" type="sibTrans" cxnId="{544A39A2-2B85-4FA0-A8FE-ADF9FC60B08B}">
      <dgm:prSet/>
      <dgm:spPr/>
      <dgm:t>
        <a:bodyPr/>
        <a:lstStyle/>
        <a:p>
          <a:pPr algn="ctr"/>
          <a:endParaRPr lang="en-GB"/>
        </a:p>
      </dgm:t>
    </dgm:pt>
    <dgm:pt modelId="{3916B704-76BB-4B1B-99AD-D2681FB473C1}">
      <dgm:prSet phldrT="[Text]"/>
      <dgm:spPr>
        <a:solidFill>
          <a:schemeClr val="accent6">
            <a:lumMod val="60000"/>
            <a:lumOff val="40000"/>
          </a:schemeClr>
        </a:solidFill>
        <a:ln>
          <a:solidFill>
            <a:schemeClr val="accent6">
              <a:lumMod val="60000"/>
              <a:lumOff val="40000"/>
            </a:schemeClr>
          </a:solidFill>
        </a:ln>
      </dgm:spPr>
      <dgm:t>
        <a:bodyPr/>
        <a:lstStyle/>
        <a:p>
          <a:pPr algn="ctr"/>
          <a:r>
            <a:rPr lang="en-GB"/>
            <a:t>CB</a:t>
          </a:r>
        </a:p>
      </dgm:t>
    </dgm:pt>
    <dgm:pt modelId="{27200DD6-CB97-4146-81D7-7DDEDC02CCEF}" type="parTrans" cxnId="{B833911F-F554-4C53-980E-CB60AB132584}">
      <dgm:prSet/>
      <dgm:spPr>
        <a:solidFill>
          <a:schemeClr val="accent6">
            <a:lumMod val="75000"/>
          </a:schemeClr>
        </a:solidFill>
        <a:ln>
          <a:solidFill>
            <a:schemeClr val="accent6">
              <a:lumMod val="75000"/>
            </a:schemeClr>
          </a:solidFill>
        </a:ln>
      </dgm:spPr>
      <dgm:t>
        <a:bodyPr/>
        <a:lstStyle/>
        <a:p>
          <a:pPr algn="ctr"/>
          <a:endParaRPr lang="en-GB"/>
        </a:p>
      </dgm:t>
    </dgm:pt>
    <dgm:pt modelId="{44A15132-42B0-49DA-A581-A2A2361C5EDD}" type="sibTrans" cxnId="{B833911F-F554-4C53-980E-CB60AB132584}">
      <dgm:prSet/>
      <dgm:spPr/>
      <dgm:t>
        <a:bodyPr/>
        <a:lstStyle/>
        <a:p>
          <a:pPr algn="ctr"/>
          <a:endParaRPr lang="en-GB"/>
        </a:p>
      </dgm:t>
    </dgm:pt>
    <dgm:pt modelId="{1FED840C-5C7E-402F-B99F-9FABBA82CDCE}">
      <dgm:prSet phldrT="[Text]"/>
      <dgm:spPr>
        <a:solidFill>
          <a:schemeClr val="accent4">
            <a:lumMod val="75000"/>
          </a:schemeClr>
        </a:solidFill>
        <a:ln>
          <a:solidFill>
            <a:schemeClr val="accent4">
              <a:lumMod val="75000"/>
            </a:schemeClr>
          </a:solidFill>
        </a:ln>
      </dgm:spPr>
      <dgm:t>
        <a:bodyPr/>
        <a:lstStyle/>
        <a:p>
          <a:pPr algn="ctr"/>
          <a:r>
            <a:rPr lang="en-GB"/>
            <a:t>dont permettant le stockage direct de monnaie électronique</a:t>
          </a:r>
        </a:p>
      </dgm:t>
    </dgm:pt>
    <dgm:pt modelId="{6F7F65B9-1023-4D72-A812-8EDB0D26490D}" type="parTrans" cxnId="{76AA1F0A-4DD9-4D49-A290-D79EC47588F1}">
      <dgm:prSet/>
      <dgm:spPr>
        <a:ln>
          <a:solidFill>
            <a:schemeClr val="accent4">
              <a:lumMod val="75000"/>
            </a:schemeClr>
          </a:solidFill>
        </a:ln>
      </dgm:spPr>
      <dgm:t>
        <a:bodyPr/>
        <a:lstStyle/>
        <a:p>
          <a:pPr algn="ctr"/>
          <a:endParaRPr lang="en-GB"/>
        </a:p>
      </dgm:t>
    </dgm:pt>
    <dgm:pt modelId="{458E8493-83CC-44D5-B619-E7AF7F30B6ED}" type="sibTrans" cxnId="{76AA1F0A-4DD9-4D49-A290-D79EC47588F1}">
      <dgm:prSet/>
      <dgm:spPr/>
      <dgm:t>
        <a:bodyPr/>
        <a:lstStyle/>
        <a:p>
          <a:pPr algn="ctr"/>
          <a:endParaRPr lang="en-GB"/>
        </a:p>
      </dgm:t>
    </dgm:pt>
    <dgm:pt modelId="{A122F62E-3055-4211-A0E5-6FB3D7DF4034}">
      <dgm:prSet phldrT="[Text]"/>
      <dgm:spPr>
        <a:solidFill>
          <a:schemeClr val="accent2">
            <a:lumMod val="50000"/>
          </a:schemeClr>
        </a:solidFill>
      </dgm:spPr>
      <dgm:t>
        <a:bodyPr/>
        <a:lstStyle/>
        <a:p>
          <a:pPr algn="ctr"/>
          <a:r>
            <a:rPr lang="en-GB"/>
            <a:t>Nombre total de cartes émises</a:t>
          </a:r>
        </a:p>
      </dgm:t>
    </dgm:pt>
    <dgm:pt modelId="{46E58FAC-C0C5-4423-A9B8-900D4B8F706E}" type="parTrans" cxnId="{DDEEC401-1D7B-4F05-9048-AC0BA2998DD4}">
      <dgm:prSet/>
      <dgm:spPr/>
      <dgm:t>
        <a:bodyPr/>
        <a:lstStyle/>
        <a:p>
          <a:pPr algn="ctr"/>
          <a:endParaRPr lang="en-GB"/>
        </a:p>
      </dgm:t>
    </dgm:pt>
    <dgm:pt modelId="{BBCD3861-F205-4E66-BA95-B00A4203BF8B}" type="sibTrans" cxnId="{DDEEC401-1D7B-4F05-9048-AC0BA2998DD4}">
      <dgm:prSet/>
      <dgm:spPr/>
      <dgm:t>
        <a:bodyPr/>
        <a:lstStyle/>
        <a:p>
          <a:pPr algn="ctr"/>
          <a:endParaRPr lang="en-GB"/>
        </a:p>
      </dgm:t>
    </dgm:pt>
    <dgm:pt modelId="{E30FC7B5-FF36-4DEB-9ADE-C0ABCD900FDF}">
      <dgm:prSet phldrT="[Text]"/>
      <dgm:spPr>
        <a:solidFill>
          <a:schemeClr val="accent5">
            <a:lumMod val="50000"/>
          </a:schemeClr>
        </a:solidFill>
      </dgm:spPr>
      <dgm:t>
        <a:bodyPr/>
        <a:lstStyle/>
        <a:p>
          <a:pPr algn="ctr"/>
          <a:r>
            <a:rPr lang="en-GB"/>
            <a:t>avec une fonction espèces</a:t>
          </a:r>
        </a:p>
      </dgm:t>
    </dgm:pt>
    <dgm:pt modelId="{3ADE7771-7E17-4767-9C6A-91D654DDC99F}" type="parTrans" cxnId="{9B3E9591-1E59-4768-93C4-DD8DEC8F1DEC}">
      <dgm:prSet/>
      <dgm:spPr/>
      <dgm:t>
        <a:bodyPr/>
        <a:lstStyle/>
        <a:p>
          <a:pPr algn="ctr"/>
          <a:endParaRPr lang="en-GB"/>
        </a:p>
      </dgm:t>
    </dgm:pt>
    <dgm:pt modelId="{4D3FE66F-9B54-40D4-8FBB-BB194D113C1F}" type="sibTrans" cxnId="{9B3E9591-1E59-4768-93C4-DD8DEC8F1DEC}">
      <dgm:prSet/>
      <dgm:spPr/>
      <dgm:t>
        <a:bodyPr/>
        <a:lstStyle/>
        <a:p>
          <a:pPr algn="ctr"/>
          <a:endParaRPr lang="en-GB"/>
        </a:p>
      </dgm:t>
    </dgm:pt>
    <dgm:pt modelId="{DAC1DD9A-F857-4AC4-BADE-0D14B20AA2B5}">
      <dgm:prSet phldrT="[Text]"/>
      <dgm:spPr>
        <a:solidFill>
          <a:schemeClr val="accent2">
            <a:lumMod val="75000"/>
          </a:schemeClr>
        </a:solidFill>
      </dgm:spPr>
      <dgm:t>
        <a:bodyPr/>
        <a:lstStyle/>
        <a:p>
          <a:pPr algn="ctr"/>
          <a:r>
            <a:rPr lang="en-GB"/>
            <a:t>avec une fonction combinée</a:t>
          </a:r>
        </a:p>
      </dgm:t>
    </dgm:pt>
    <dgm:pt modelId="{52264221-9C0D-4426-9293-BC063FD6CCD2}" type="parTrans" cxnId="{AEED3E5D-239C-4B7A-885A-E7654BBB5435}">
      <dgm:prSet/>
      <dgm:spPr>
        <a:ln>
          <a:solidFill>
            <a:schemeClr val="accent2">
              <a:lumMod val="75000"/>
            </a:schemeClr>
          </a:solidFill>
        </a:ln>
      </dgm:spPr>
      <dgm:t>
        <a:bodyPr/>
        <a:lstStyle/>
        <a:p>
          <a:pPr algn="ctr"/>
          <a:endParaRPr lang="en-GB"/>
        </a:p>
      </dgm:t>
    </dgm:pt>
    <dgm:pt modelId="{DF3A46B3-BC9C-4123-980C-13F636C0E560}" type="sibTrans" cxnId="{AEED3E5D-239C-4B7A-885A-E7654BBB5435}">
      <dgm:prSet/>
      <dgm:spPr/>
      <dgm:t>
        <a:bodyPr/>
        <a:lstStyle/>
        <a:p>
          <a:pPr algn="ctr"/>
          <a:endParaRPr lang="en-GB"/>
        </a:p>
      </dgm:t>
    </dgm:pt>
    <dgm:pt modelId="{40A67FA1-4BC5-4286-913B-766410C98AB3}">
      <dgm:prSet phldrT="[Text]"/>
      <dgm:spPr>
        <a:solidFill>
          <a:schemeClr val="accent2">
            <a:lumMod val="60000"/>
            <a:lumOff val="40000"/>
          </a:schemeClr>
        </a:solidFill>
      </dgm:spPr>
      <dgm:t>
        <a:bodyPr/>
        <a:lstStyle/>
        <a:p>
          <a:pPr algn="ctr"/>
          <a:r>
            <a:rPr lang="en-GB"/>
            <a:t>avec une fonction sans contact</a:t>
          </a:r>
        </a:p>
      </dgm:t>
    </dgm:pt>
    <dgm:pt modelId="{374EA2A5-5DC3-442D-BC67-0D33911A328D}" type="parTrans" cxnId="{C5858FF8-F0E3-4F94-954C-51B43547E2FD}">
      <dgm:prSet/>
      <dgm:spPr>
        <a:ln>
          <a:solidFill>
            <a:schemeClr val="accent2">
              <a:lumMod val="75000"/>
            </a:schemeClr>
          </a:solidFill>
        </a:ln>
      </dgm:spPr>
      <dgm:t>
        <a:bodyPr/>
        <a:lstStyle/>
        <a:p>
          <a:pPr algn="ctr"/>
          <a:endParaRPr lang="en-GB"/>
        </a:p>
      </dgm:t>
    </dgm:pt>
    <dgm:pt modelId="{86F43D1A-BAE8-496C-891C-56FF0FB08D86}" type="sibTrans" cxnId="{C5858FF8-F0E3-4F94-954C-51B43547E2FD}">
      <dgm:prSet/>
      <dgm:spPr/>
      <dgm:t>
        <a:bodyPr/>
        <a:lstStyle/>
        <a:p>
          <a:pPr algn="ctr"/>
          <a:endParaRPr lang="en-GB"/>
        </a:p>
      </dgm:t>
    </dgm:pt>
    <dgm:pt modelId="{94DA8CE9-A72E-4924-AF7E-27C113DAEDF7}">
      <dgm:prSet phldrT="[Text]"/>
      <dgm:spPr>
        <a:solidFill>
          <a:schemeClr val="accent6">
            <a:lumMod val="60000"/>
            <a:lumOff val="40000"/>
          </a:schemeClr>
        </a:solidFill>
        <a:ln>
          <a:solidFill>
            <a:schemeClr val="accent6">
              <a:lumMod val="60000"/>
              <a:lumOff val="40000"/>
            </a:schemeClr>
          </a:solidFill>
        </a:ln>
      </dgm:spPr>
      <dgm:t>
        <a:bodyPr/>
        <a:lstStyle/>
        <a:p>
          <a:pPr algn="ctr"/>
          <a:r>
            <a:rPr lang="en-GB"/>
            <a:t>CB</a:t>
          </a:r>
        </a:p>
      </dgm:t>
    </dgm:pt>
    <dgm:pt modelId="{73158D81-ABF4-4197-91E8-EACC3F82AD95}" type="sibTrans" cxnId="{7EEA035A-A967-40E9-9EA8-0F3D38C5AF28}">
      <dgm:prSet/>
      <dgm:spPr/>
      <dgm:t>
        <a:bodyPr/>
        <a:lstStyle/>
        <a:p>
          <a:pPr algn="ctr"/>
          <a:endParaRPr lang="en-GB"/>
        </a:p>
      </dgm:t>
    </dgm:pt>
    <dgm:pt modelId="{5E2236B9-051B-4C3F-84C1-9A4804C0B4A3}" type="parTrans" cxnId="{7EEA035A-A967-40E9-9EA8-0F3D38C5AF28}">
      <dgm:prSet/>
      <dgm:spPr>
        <a:solidFill>
          <a:schemeClr val="accent6">
            <a:lumMod val="75000"/>
          </a:schemeClr>
        </a:solidFill>
        <a:ln>
          <a:solidFill>
            <a:schemeClr val="accent6">
              <a:lumMod val="75000"/>
            </a:schemeClr>
          </a:solidFill>
        </a:ln>
      </dgm:spPr>
      <dgm:t>
        <a:bodyPr/>
        <a:lstStyle/>
        <a:p>
          <a:pPr algn="ctr"/>
          <a:endParaRPr lang="en-GB"/>
        </a:p>
      </dgm:t>
    </dgm:pt>
    <dgm:pt modelId="{3101A5D3-ADB8-4DDA-88D7-71744F6B7EDB}">
      <dgm:prSet/>
      <dgm:spPr>
        <a:solidFill>
          <a:schemeClr val="accent2">
            <a:lumMod val="60000"/>
            <a:lumOff val="40000"/>
          </a:schemeClr>
        </a:solidFill>
      </dgm:spPr>
      <dgm:t>
        <a:bodyPr/>
        <a:lstStyle/>
        <a:p>
          <a:r>
            <a:rPr lang="fr-FR"/>
            <a:t>avec piste magnétique</a:t>
          </a:r>
        </a:p>
      </dgm:t>
    </dgm:pt>
    <dgm:pt modelId="{8F36508C-3DB1-4F17-93E5-6B9AB11BE57F}" type="parTrans" cxnId="{47284539-394F-447F-B4A2-971E8D2671A8}">
      <dgm:prSet/>
      <dgm:spPr>
        <a:solidFill>
          <a:schemeClr val="accent2">
            <a:lumMod val="75000"/>
          </a:schemeClr>
        </a:solidFill>
        <a:ln>
          <a:solidFill>
            <a:schemeClr val="accent2">
              <a:lumMod val="75000"/>
            </a:schemeClr>
          </a:solidFill>
        </a:ln>
      </dgm:spPr>
      <dgm:t>
        <a:bodyPr/>
        <a:lstStyle/>
        <a:p>
          <a:endParaRPr lang="fr-FR"/>
        </a:p>
      </dgm:t>
    </dgm:pt>
    <dgm:pt modelId="{05236ECF-6E8F-4349-B3FD-B392B79ECA46}" type="sibTrans" cxnId="{47284539-394F-447F-B4A2-971E8D2671A8}">
      <dgm:prSet/>
      <dgm:spPr/>
      <dgm:t>
        <a:bodyPr/>
        <a:lstStyle/>
        <a:p>
          <a:endParaRPr lang="fr-FR"/>
        </a:p>
      </dgm:t>
    </dgm:pt>
    <dgm:pt modelId="{42131322-8D3E-4394-9F73-EF712E0E5521}">
      <dgm:prSet/>
      <dgm:spPr>
        <a:solidFill>
          <a:schemeClr val="accent4">
            <a:lumMod val="75000"/>
          </a:schemeClr>
        </a:solidFill>
      </dgm:spPr>
      <dgm:t>
        <a:bodyPr/>
        <a:lstStyle/>
        <a:p>
          <a:r>
            <a:rPr lang="fr-FR"/>
            <a:t>dont donnant accès à des comptes de monnaie électronique</a:t>
          </a:r>
        </a:p>
      </dgm:t>
    </dgm:pt>
    <dgm:pt modelId="{3698B59F-5198-487F-91CD-D5629CB2796D}" type="parTrans" cxnId="{04F85E85-913F-4553-8AA9-2E9E12BF7B3B}">
      <dgm:prSet/>
      <dgm:spPr>
        <a:ln>
          <a:solidFill>
            <a:schemeClr val="accent4">
              <a:lumMod val="75000"/>
            </a:schemeClr>
          </a:solidFill>
        </a:ln>
      </dgm:spPr>
      <dgm:t>
        <a:bodyPr/>
        <a:lstStyle/>
        <a:p>
          <a:endParaRPr lang="fr-FR"/>
        </a:p>
      </dgm:t>
    </dgm:pt>
    <dgm:pt modelId="{476E3331-55DE-401D-B9D7-423BEFBD298E}" type="sibTrans" cxnId="{04F85E85-913F-4553-8AA9-2E9E12BF7B3B}">
      <dgm:prSet/>
      <dgm:spPr/>
      <dgm:t>
        <a:bodyPr/>
        <a:lstStyle/>
        <a:p>
          <a:endParaRPr lang="fr-FR"/>
        </a:p>
      </dgm:t>
    </dgm:pt>
    <dgm:pt modelId="{572C00D7-AEA1-4065-B06D-07DEDBE0CCF4}">
      <dgm:prSet/>
      <dgm:spPr>
        <a:solidFill>
          <a:schemeClr val="accent4">
            <a:lumMod val="60000"/>
            <a:lumOff val="40000"/>
          </a:schemeClr>
        </a:solidFill>
      </dgm:spPr>
      <dgm:t>
        <a:bodyPr/>
        <a:lstStyle/>
        <a:p>
          <a:r>
            <a:rPr lang="fr-FR"/>
            <a:t>Qui ont été chargées au moins une fois</a:t>
          </a:r>
        </a:p>
      </dgm:t>
    </dgm:pt>
    <dgm:pt modelId="{4EB2F27E-58A8-48E1-ABEC-D5E38AB11801}" type="parTrans" cxnId="{BF69B9CE-50F1-4033-BD88-64F1BF7449C0}">
      <dgm:prSet/>
      <dgm:spPr>
        <a:ln>
          <a:solidFill>
            <a:schemeClr val="accent4">
              <a:lumMod val="60000"/>
              <a:lumOff val="40000"/>
            </a:schemeClr>
          </a:solidFill>
        </a:ln>
      </dgm:spPr>
      <dgm:t>
        <a:bodyPr/>
        <a:lstStyle/>
        <a:p>
          <a:endParaRPr lang="fr-FR"/>
        </a:p>
      </dgm:t>
    </dgm:pt>
    <dgm:pt modelId="{D468436F-C68C-4D24-82F8-485C675D8C73}" type="sibTrans" cxnId="{BF69B9CE-50F1-4033-BD88-64F1BF7449C0}">
      <dgm:prSet/>
      <dgm:spPr/>
      <dgm:t>
        <a:bodyPr/>
        <a:lstStyle/>
        <a:p>
          <a:endParaRPr lang="fr-FR"/>
        </a:p>
      </dgm:t>
    </dgm:pt>
    <dgm:pt modelId="{E59FB33D-B45E-4C7A-8D76-B0FC670618B5}">
      <dgm:prSet/>
      <dgm:spPr>
        <a:solidFill>
          <a:schemeClr val="accent6">
            <a:lumMod val="60000"/>
            <a:lumOff val="40000"/>
          </a:schemeClr>
        </a:solidFill>
      </dgm:spPr>
      <dgm:t>
        <a:bodyPr/>
        <a:lstStyle/>
        <a:p>
          <a:r>
            <a:rPr lang="fr-FR"/>
            <a:t>VISA</a:t>
          </a:r>
        </a:p>
      </dgm:t>
    </dgm:pt>
    <dgm:pt modelId="{3355EC64-7B8B-4ABC-AC41-3213D3DD0593}" type="parTrans" cxnId="{42D812F5-CD5F-4004-86A1-22D276762128}">
      <dgm:prSet/>
      <dgm:spPr>
        <a:ln>
          <a:solidFill>
            <a:schemeClr val="accent6">
              <a:lumMod val="75000"/>
            </a:schemeClr>
          </a:solidFill>
        </a:ln>
      </dgm:spPr>
      <dgm:t>
        <a:bodyPr/>
        <a:lstStyle/>
        <a:p>
          <a:endParaRPr lang="fr-FR"/>
        </a:p>
      </dgm:t>
    </dgm:pt>
    <dgm:pt modelId="{C5E82DE6-A878-441D-A6C9-B8157F2745F9}" type="sibTrans" cxnId="{42D812F5-CD5F-4004-86A1-22D276762128}">
      <dgm:prSet/>
      <dgm:spPr/>
      <dgm:t>
        <a:bodyPr/>
        <a:lstStyle/>
        <a:p>
          <a:endParaRPr lang="fr-FR"/>
        </a:p>
      </dgm:t>
    </dgm:pt>
    <dgm:pt modelId="{5A580C17-6F43-4A8E-BE1C-E93C6D14F6BE}">
      <dgm:prSet/>
      <dgm:spPr>
        <a:solidFill>
          <a:schemeClr val="accent6">
            <a:lumMod val="60000"/>
            <a:lumOff val="40000"/>
          </a:schemeClr>
        </a:solidFill>
      </dgm:spPr>
      <dgm:t>
        <a:bodyPr/>
        <a:lstStyle/>
        <a:p>
          <a:r>
            <a:rPr lang="fr-FR"/>
            <a:t>Autres schémas</a:t>
          </a:r>
        </a:p>
      </dgm:t>
    </dgm:pt>
    <dgm:pt modelId="{A02768D9-EC85-47DF-8726-AFABE354BB08}" type="parTrans" cxnId="{5736D4C3-0D38-48D5-8A69-BE43282908EF}">
      <dgm:prSet/>
      <dgm:spPr>
        <a:ln>
          <a:solidFill>
            <a:schemeClr val="accent6">
              <a:lumMod val="75000"/>
            </a:schemeClr>
          </a:solidFill>
        </a:ln>
      </dgm:spPr>
      <dgm:t>
        <a:bodyPr/>
        <a:lstStyle/>
        <a:p>
          <a:endParaRPr lang="fr-FR"/>
        </a:p>
      </dgm:t>
    </dgm:pt>
    <dgm:pt modelId="{2756D347-C6B0-4FD1-A07D-2DE0B84E0FFF}" type="sibTrans" cxnId="{5736D4C3-0D38-48D5-8A69-BE43282908EF}">
      <dgm:prSet/>
      <dgm:spPr/>
      <dgm:t>
        <a:bodyPr/>
        <a:lstStyle/>
        <a:p>
          <a:endParaRPr lang="fr-FR"/>
        </a:p>
      </dgm:t>
    </dgm:pt>
    <dgm:pt modelId="{D797EF45-6022-411C-8A18-93B53BE7DF01}">
      <dgm:prSet/>
      <dgm:spPr>
        <a:solidFill>
          <a:schemeClr val="accent6">
            <a:lumMod val="60000"/>
            <a:lumOff val="40000"/>
          </a:schemeClr>
        </a:solidFill>
      </dgm:spPr>
      <dgm:t>
        <a:bodyPr/>
        <a:lstStyle/>
        <a:p>
          <a:r>
            <a:rPr lang="fr-FR"/>
            <a:t>VISA</a:t>
          </a:r>
        </a:p>
      </dgm:t>
    </dgm:pt>
    <dgm:pt modelId="{F47B8080-3F24-46EF-A036-A137BFDEC2A2}" type="parTrans" cxnId="{1CBD1623-F376-4A1D-8BCB-6116965334C0}">
      <dgm:prSet/>
      <dgm:spPr>
        <a:solidFill>
          <a:schemeClr val="accent6">
            <a:lumMod val="75000"/>
          </a:schemeClr>
        </a:solidFill>
        <a:ln>
          <a:solidFill>
            <a:schemeClr val="accent6">
              <a:lumMod val="75000"/>
            </a:schemeClr>
          </a:solidFill>
        </a:ln>
      </dgm:spPr>
      <dgm:t>
        <a:bodyPr/>
        <a:lstStyle/>
        <a:p>
          <a:endParaRPr lang="fr-FR"/>
        </a:p>
      </dgm:t>
    </dgm:pt>
    <dgm:pt modelId="{042EB05D-C6F8-47F2-BF92-071D937D92E1}" type="sibTrans" cxnId="{1CBD1623-F376-4A1D-8BCB-6116965334C0}">
      <dgm:prSet/>
      <dgm:spPr/>
      <dgm:t>
        <a:bodyPr/>
        <a:lstStyle/>
        <a:p>
          <a:endParaRPr lang="fr-FR"/>
        </a:p>
      </dgm:t>
    </dgm:pt>
    <dgm:pt modelId="{9B0FDCBA-81E2-4300-9A0C-9242F09776EF}">
      <dgm:prSet/>
      <dgm:spPr>
        <a:solidFill>
          <a:schemeClr val="accent6">
            <a:lumMod val="60000"/>
            <a:lumOff val="40000"/>
          </a:schemeClr>
        </a:solidFill>
      </dgm:spPr>
      <dgm:t>
        <a:bodyPr/>
        <a:lstStyle/>
        <a:p>
          <a:r>
            <a:rPr lang="fr-FR"/>
            <a:t>Autres schémas</a:t>
          </a:r>
        </a:p>
      </dgm:t>
    </dgm:pt>
    <dgm:pt modelId="{520B37D2-84A8-45F4-B45B-E5A9DBA1F98E}" type="parTrans" cxnId="{5915FA5C-7DAF-42EE-ADA3-15D59F467876}">
      <dgm:prSet/>
      <dgm:spPr>
        <a:ln>
          <a:solidFill>
            <a:schemeClr val="accent6">
              <a:lumMod val="75000"/>
            </a:schemeClr>
          </a:solidFill>
        </a:ln>
      </dgm:spPr>
      <dgm:t>
        <a:bodyPr/>
        <a:lstStyle/>
        <a:p>
          <a:endParaRPr lang="fr-FR"/>
        </a:p>
      </dgm:t>
    </dgm:pt>
    <dgm:pt modelId="{2690308F-E600-45D1-94C6-C1EEB45F55D7}" type="sibTrans" cxnId="{5915FA5C-7DAF-42EE-ADA3-15D59F467876}">
      <dgm:prSet/>
      <dgm:spPr/>
      <dgm:t>
        <a:bodyPr/>
        <a:lstStyle/>
        <a:p>
          <a:endParaRPr lang="fr-FR"/>
        </a:p>
      </dgm:t>
    </dgm:pt>
    <dgm:pt modelId="{C4F394C1-28CB-4820-A056-87C14AA6FF5F}" type="pres">
      <dgm:prSet presAssocID="{D0B38DDF-170E-4E9B-9948-7B75ED25B9C8}" presName="hierChild1" presStyleCnt="0">
        <dgm:presLayoutVars>
          <dgm:orgChart val="1"/>
          <dgm:chPref val="1"/>
          <dgm:dir/>
          <dgm:animOne val="branch"/>
          <dgm:animLvl val="lvl"/>
          <dgm:resizeHandles/>
        </dgm:presLayoutVars>
      </dgm:prSet>
      <dgm:spPr/>
    </dgm:pt>
    <dgm:pt modelId="{6C951D46-2C3A-45AE-86A3-844A98948268}" type="pres">
      <dgm:prSet presAssocID="{EAFA0247-B016-4C65-90F3-BB73E5FE9CBF}" presName="hierRoot1" presStyleCnt="0">
        <dgm:presLayoutVars>
          <dgm:hierBranch val="init"/>
        </dgm:presLayoutVars>
      </dgm:prSet>
      <dgm:spPr/>
    </dgm:pt>
    <dgm:pt modelId="{71CF242B-BC9B-494F-A4DB-52079E699EA9}" type="pres">
      <dgm:prSet presAssocID="{EAFA0247-B016-4C65-90F3-BB73E5FE9CBF}" presName="rootComposite1" presStyleCnt="0"/>
      <dgm:spPr/>
    </dgm:pt>
    <dgm:pt modelId="{41A1CD02-EF48-4382-8452-19AB12612FB6}" type="pres">
      <dgm:prSet presAssocID="{EAFA0247-B016-4C65-90F3-BB73E5FE9CBF}" presName="rootText1" presStyleLbl="node0" presStyleIdx="0" presStyleCnt="1" custScaleX="137327" custScaleY="195839">
        <dgm:presLayoutVars>
          <dgm:chPref val="3"/>
        </dgm:presLayoutVars>
      </dgm:prSet>
      <dgm:spPr/>
    </dgm:pt>
    <dgm:pt modelId="{D8E80CEA-BE04-4805-BBB9-44FFA026A254}" type="pres">
      <dgm:prSet presAssocID="{EAFA0247-B016-4C65-90F3-BB73E5FE9CBF}" presName="rootConnector1" presStyleLbl="node1" presStyleIdx="0" presStyleCnt="0"/>
      <dgm:spPr/>
    </dgm:pt>
    <dgm:pt modelId="{2CD2C1A2-B488-4C00-B362-8FB311ABC909}" type="pres">
      <dgm:prSet presAssocID="{EAFA0247-B016-4C65-90F3-BB73E5FE9CBF}" presName="hierChild2" presStyleCnt="0"/>
      <dgm:spPr/>
    </dgm:pt>
    <dgm:pt modelId="{4DF59F3E-8367-4561-B449-AB7BC096DA60}" type="pres">
      <dgm:prSet presAssocID="{46E58FAC-C0C5-4423-A9B8-900D4B8F706E}" presName="Name37" presStyleLbl="parChTrans1D2" presStyleIdx="0" presStyleCnt="4" custSzX="2129222" custSzY="171356"/>
      <dgm:spPr/>
    </dgm:pt>
    <dgm:pt modelId="{DEE6E067-2FA9-47AB-973A-C4688A314069}" type="pres">
      <dgm:prSet presAssocID="{A122F62E-3055-4211-A0E5-6FB3D7DF4034}" presName="hierRoot2" presStyleCnt="0">
        <dgm:presLayoutVars>
          <dgm:hierBranch val="init"/>
        </dgm:presLayoutVars>
      </dgm:prSet>
      <dgm:spPr/>
    </dgm:pt>
    <dgm:pt modelId="{4FA9C67F-D641-4DB7-8F9D-1D4CCC8938C7}" type="pres">
      <dgm:prSet presAssocID="{A122F62E-3055-4211-A0E5-6FB3D7DF4034}" presName="rootComposite" presStyleCnt="0"/>
      <dgm:spPr/>
    </dgm:pt>
    <dgm:pt modelId="{BE7D7CC8-41FD-47B9-9BA8-EB8AAEF8182F}" type="pres">
      <dgm:prSet presAssocID="{A122F62E-3055-4211-A0E5-6FB3D7DF4034}" presName="rootText" presStyleLbl="node2" presStyleIdx="0" presStyleCnt="4" custScaleX="137327" custScaleY="195839">
        <dgm:presLayoutVars>
          <dgm:chPref val="3"/>
        </dgm:presLayoutVars>
      </dgm:prSet>
      <dgm:spPr/>
    </dgm:pt>
    <dgm:pt modelId="{6229BF1B-5E51-4ADB-852C-11EBC0872264}" type="pres">
      <dgm:prSet presAssocID="{A122F62E-3055-4211-A0E5-6FB3D7DF4034}" presName="rootConnector" presStyleLbl="node2" presStyleIdx="0" presStyleCnt="4"/>
      <dgm:spPr/>
    </dgm:pt>
    <dgm:pt modelId="{1953D8AC-A999-414B-852C-3409C02D3771}" type="pres">
      <dgm:prSet presAssocID="{A122F62E-3055-4211-A0E5-6FB3D7DF4034}" presName="hierChild4" presStyleCnt="0"/>
      <dgm:spPr/>
    </dgm:pt>
    <dgm:pt modelId="{DB623C69-8C20-4A8C-99E3-CF5CAF0B8B0C}" type="pres">
      <dgm:prSet presAssocID="{52264221-9C0D-4426-9293-BC063FD6CCD2}" presName="Name37" presStyleLbl="parChTrans1D3" presStyleIdx="0" presStyleCnt="8" custSzX="128589" custSzY="476985"/>
      <dgm:spPr/>
    </dgm:pt>
    <dgm:pt modelId="{1F0B7DAB-8304-41E0-B2D3-2C4C0DB6CC80}" type="pres">
      <dgm:prSet presAssocID="{DAC1DD9A-F857-4AC4-BADE-0D14B20AA2B5}" presName="hierRoot2" presStyleCnt="0">
        <dgm:presLayoutVars>
          <dgm:hierBranch val="init"/>
        </dgm:presLayoutVars>
      </dgm:prSet>
      <dgm:spPr/>
    </dgm:pt>
    <dgm:pt modelId="{4C02A9C6-BA64-4EA4-8B0C-46201097AE16}" type="pres">
      <dgm:prSet presAssocID="{DAC1DD9A-F857-4AC4-BADE-0D14B20AA2B5}" presName="rootComposite" presStyleCnt="0"/>
      <dgm:spPr/>
    </dgm:pt>
    <dgm:pt modelId="{998F1735-0A99-4839-8627-F742B8695E57}" type="pres">
      <dgm:prSet presAssocID="{DAC1DD9A-F857-4AC4-BADE-0D14B20AA2B5}" presName="rootText" presStyleLbl="node3" presStyleIdx="0" presStyleCnt="8" custScaleX="137327" custScaleY="195839">
        <dgm:presLayoutVars>
          <dgm:chPref val="3"/>
        </dgm:presLayoutVars>
      </dgm:prSet>
      <dgm:spPr/>
    </dgm:pt>
    <dgm:pt modelId="{F9AEE125-5341-4F7B-B625-12F876B98EBA}" type="pres">
      <dgm:prSet presAssocID="{DAC1DD9A-F857-4AC4-BADE-0D14B20AA2B5}" presName="rootConnector" presStyleLbl="node3" presStyleIdx="0" presStyleCnt="8"/>
      <dgm:spPr/>
    </dgm:pt>
    <dgm:pt modelId="{EBA58DFA-7106-46FC-BCB6-78F62A53EFDD}" type="pres">
      <dgm:prSet presAssocID="{DAC1DD9A-F857-4AC4-BADE-0D14B20AA2B5}" presName="hierChild4" presStyleCnt="0"/>
      <dgm:spPr/>
    </dgm:pt>
    <dgm:pt modelId="{3DC759E2-313F-4306-B987-365BF3AF99F7}" type="pres">
      <dgm:prSet presAssocID="{DAC1DD9A-F857-4AC4-BADE-0D14B20AA2B5}" presName="hierChild5" presStyleCnt="0"/>
      <dgm:spPr/>
    </dgm:pt>
    <dgm:pt modelId="{24BB72EB-AC1E-484C-A520-3EFEF578A31B}" type="pres">
      <dgm:prSet presAssocID="{374EA2A5-5DC3-442D-BC67-0D33911A328D}" presName="Name37" presStyleLbl="parChTrans1D3" presStyleIdx="1" presStyleCnt="8" custSzX="128589" custSzY="1259600"/>
      <dgm:spPr/>
    </dgm:pt>
    <dgm:pt modelId="{870626B7-6E7C-42E0-B646-7EF9F374AED7}" type="pres">
      <dgm:prSet presAssocID="{40A67FA1-4BC5-4286-913B-766410C98AB3}" presName="hierRoot2" presStyleCnt="0">
        <dgm:presLayoutVars>
          <dgm:hierBranch val="init"/>
        </dgm:presLayoutVars>
      </dgm:prSet>
      <dgm:spPr/>
    </dgm:pt>
    <dgm:pt modelId="{F4B4F453-15ED-406C-9AFF-F18FAE7A0E5B}" type="pres">
      <dgm:prSet presAssocID="{40A67FA1-4BC5-4286-913B-766410C98AB3}" presName="rootComposite" presStyleCnt="0"/>
      <dgm:spPr/>
    </dgm:pt>
    <dgm:pt modelId="{2CDE807B-7025-4091-883A-74748029DFE4}" type="pres">
      <dgm:prSet presAssocID="{40A67FA1-4BC5-4286-913B-766410C98AB3}" presName="rootText" presStyleLbl="node3" presStyleIdx="1" presStyleCnt="8" custScaleX="137327" custScaleY="195839">
        <dgm:presLayoutVars>
          <dgm:chPref val="3"/>
        </dgm:presLayoutVars>
      </dgm:prSet>
      <dgm:spPr/>
    </dgm:pt>
    <dgm:pt modelId="{1DACCC53-F7A8-49EB-91F4-0AAFD2FC68CD}" type="pres">
      <dgm:prSet presAssocID="{40A67FA1-4BC5-4286-913B-766410C98AB3}" presName="rootConnector" presStyleLbl="node3" presStyleIdx="1" presStyleCnt="8"/>
      <dgm:spPr/>
    </dgm:pt>
    <dgm:pt modelId="{3AF0F14C-30A6-4949-9902-08D97FEF3A3C}" type="pres">
      <dgm:prSet presAssocID="{40A67FA1-4BC5-4286-913B-766410C98AB3}" presName="hierChild4" presStyleCnt="0"/>
      <dgm:spPr/>
    </dgm:pt>
    <dgm:pt modelId="{75802418-AD49-4F4F-BE96-36DDD1E4E6C7}" type="pres">
      <dgm:prSet presAssocID="{40A67FA1-4BC5-4286-913B-766410C98AB3}" presName="hierChild5" presStyleCnt="0"/>
      <dgm:spPr/>
    </dgm:pt>
    <dgm:pt modelId="{29ACAE7C-84F5-4988-AE1D-67CA8ED59E5D}" type="pres">
      <dgm:prSet presAssocID="{8F36508C-3DB1-4F17-93E5-6B9AB11BE57F}" presName="Name37" presStyleLbl="parChTrans1D3" presStyleIdx="2" presStyleCnt="8"/>
      <dgm:spPr/>
    </dgm:pt>
    <dgm:pt modelId="{DE632FA5-454F-49EB-94A9-8249A62BD04D}" type="pres">
      <dgm:prSet presAssocID="{3101A5D3-ADB8-4DDA-88D7-71744F6B7EDB}" presName="hierRoot2" presStyleCnt="0">
        <dgm:presLayoutVars>
          <dgm:hierBranch val="init"/>
        </dgm:presLayoutVars>
      </dgm:prSet>
      <dgm:spPr/>
    </dgm:pt>
    <dgm:pt modelId="{A35AB6A9-6EA8-4A3D-95B7-E2833A0CC71A}" type="pres">
      <dgm:prSet presAssocID="{3101A5D3-ADB8-4DDA-88D7-71744F6B7EDB}" presName="rootComposite" presStyleCnt="0"/>
      <dgm:spPr/>
    </dgm:pt>
    <dgm:pt modelId="{4BFE475E-520E-487A-ADEE-4215C0AD9DEE}" type="pres">
      <dgm:prSet presAssocID="{3101A5D3-ADB8-4DDA-88D7-71744F6B7EDB}" presName="rootText" presStyleLbl="node3" presStyleIdx="2" presStyleCnt="8" custScaleX="136127">
        <dgm:presLayoutVars>
          <dgm:chPref val="3"/>
        </dgm:presLayoutVars>
      </dgm:prSet>
      <dgm:spPr/>
    </dgm:pt>
    <dgm:pt modelId="{41783E5A-D177-4CE7-8C83-2F102A08324D}" type="pres">
      <dgm:prSet presAssocID="{3101A5D3-ADB8-4DDA-88D7-71744F6B7EDB}" presName="rootConnector" presStyleLbl="node3" presStyleIdx="2" presStyleCnt="8"/>
      <dgm:spPr/>
    </dgm:pt>
    <dgm:pt modelId="{02AFB96E-880A-411D-B331-8C5D90F5A6A9}" type="pres">
      <dgm:prSet presAssocID="{3101A5D3-ADB8-4DDA-88D7-71744F6B7EDB}" presName="hierChild4" presStyleCnt="0"/>
      <dgm:spPr/>
    </dgm:pt>
    <dgm:pt modelId="{1FAEB5C6-CB2A-4ABC-AEDB-71C0003141CF}" type="pres">
      <dgm:prSet presAssocID="{3101A5D3-ADB8-4DDA-88D7-71744F6B7EDB}" presName="hierChild5" presStyleCnt="0"/>
      <dgm:spPr/>
    </dgm:pt>
    <dgm:pt modelId="{603BB508-03A1-487A-97F6-28E59D8DA803}" type="pres">
      <dgm:prSet presAssocID="{A122F62E-3055-4211-A0E5-6FB3D7DF4034}" presName="hierChild5" presStyleCnt="0"/>
      <dgm:spPr/>
    </dgm:pt>
    <dgm:pt modelId="{16A37471-743F-47E8-89E8-DFA1398B1098}" type="pres">
      <dgm:prSet presAssocID="{3ADE7771-7E17-4767-9C6A-91D654DDC99F}" presName="Name37" presStyleLbl="parChTrans1D2" presStyleIdx="1" presStyleCnt="4" custSzX="1118190" custSzY="171356"/>
      <dgm:spPr/>
    </dgm:pt>
    <dgm:pt modelId="{FCCEC701-B21A-4439-867C-A9A83CED2574}" type="pres">
      <dgm:prSet presAssocID="{E30FC7B5-FF36-4DEB-9ADE-C0ABCD900FDF}" presName="hierRoot2" presStyleCnt="0">
        <dgm:presLayoutVars>
          <dgm:hierBranch val="init"/>
        </dgm:presLayoutVars>
      </dgm:prSet>
      <dgm:spPr/>
    </dgm:pt>
    <dgm:pt modelId="{2C62669A-F168-4061-8AD7-66578CE4AD45}" type="pres">
      <dgm:prSet presAssocID="{E30FC7B5-FF36-4DEB-9ADE-C0ABCD900FDF}" presName="rootComposite" presStyleCnt="0"/>
      <dgm:spPr/>
    </dgm:pt>
    <dgm:pt modelId="{E40995F4-219F-4BA4-B31F-1145FD04EC0A}" type="pres">
      <dgm:prSet presAssocID="{E30FC7B5-FF36-4DEB-9ADE-C0ABCD900FDF}" presName="rootText" presStyleLbl="node2" presStyleIdx="1" presStyleCnt="4" custScaleX="137327" custScaleY="195839">
        <dgm:presLayoutVars>
          <dgm:chPref val="3"/>
        </dgm:presLayoutVars>
      </dgm:prSet>
      <dgm:spPr/>
    </dgm:pt>
    <dgm:pt modelId="{1573E17A-B77B-4E34-B936-50AB76EBE579}" type="pres">
      <dgm:prSet presAssocID="{E30FC7B5-FF36-4DEB-9ADE-C0ABCD900FDF}" presName="rootConnector" presStyleLbl="node2" presStyleIdx="1" presStyleCnt="4"/>
      <dgm:spPr/>
    </dgm:pt>
    <dgm:pt modelId="{0B82675B-6C51-4F48-9BA5-66EBFC42675D}" type="pres">
      <dgm:prSet presAssocID="{E30FC7B5-FF36-4DEB-9ADE-C0ABCD900FDF}" presName="hierChild4" presStyleCnt="0"/>
      <dgm:spPr/>
    </dgm:pt>
    <dgm:pt modelId="{0B9A1842-A09D-411B-82F4-88BA7DEA6424}" type="pres">
      <dgm:prSet presAssocID="{E30FC7B5-FF36-4DEB-9ADE-C0ABCD900FDF}" presName="hierChild5" presStyleCnt="0"/>
      <dgm:spPr/>
    </dgm:pt>
    <dgm:pt modelId="{FC9DC4E2-05BB-43BB-8481-5CAF9C0201C4}" type="pres">
      <dgm:prSet presAssocID="{7089A0BC-5A4B-4B33-B76D-BE2D2A74400D}" presName="Name37" presStyleLbl="parChTrans1D2" presStyleIdx="2" presStyleCnt="4" custSzX="107259" custSzY="171356"/>
      <dgm:spPr/>
    </dgm:pt>
    <dgm:pt modelId="{8D0C47DA-DF5F-459B-B758-6B3E65607CC4}" type="pres">
      <dgm:prSet presAssocID="{E60B31FE-6E42-4944-B40A-03A923AA49C5}" presName="hierRoot2" presStyleCnt="0">
        <dgm:presLayoutVars>
          <dgm:hierBranch val="init"/>
        </dgm:presLayoutVars>
      </dgm:prSet>
      <dgm:spPr/>
    </dgm:pt>
    <dgm:pt modelId="{8EE3BC18-11A5-45F9-B113-5854C11A9B21}" type="pres">
      <dgm:prSet presAssocID="{E60B31FE-6E42-4944-B40A-03A923AA49C5}" presName="rootComposite" presStyleCnt="0"/>
      <dgm:spPr/>
    </dgm:pt>
    <dgm:pt modelId="{D934B4D3-CDD7-4A0B-97B9-019F3178BC69}" type="pres">
      <dgm:prSet presAssocID="{E60B31FE-6E42-4944-B40A-03A923AA49C5}" presName="rootText" presStyleLbl="node2" presStyleIdx="2" presStyleCnt="4" custScaleX="137327" custScaleY="195839">
        <dgm:presLayoutVars>
          <dgm:chPref val="3"/>
        </dgm:presLayoutVars>
      </dgm:prSet>
      <dgm:spPr/>
    </dgm:pt>
    <dgm:pt modelId="{AE9EA528-60A3-46A3-9E67-0F293815D021}" type="pres">
      <dgm:prSet presAssocID="{E60B31FE-6E42-4944-B40A-03A923AA49C5}" presName="rootConnector" presStyleLbl="node2" presStyleIdx="2" presStyleCnt="4"/>
      <dgm:spPr/>
    </dgm:pt>
    <dgm:pt modelId="{9D3F7A34-A70F-4899-8486-C21556E5AACD}" type="pres">
      <dgm:prSet presAssocID="{E60B31FE-6E42-4944-B40A-03A923AA49C5}" presName="hierChild4" presStyleCnt="0"/>
      <dgm:spPr/>
    </dgm:pt>
    <dgm:pt modelId="{E5A47B20-72E9-4450-B171-5E3D5563185F}" type="pres">
      <dgm:prSet presAssocID="{253FAF02-DAF8-4DA1-93F4-F3A1E5072BE0}" presName="Name37" presStyleLbl="parChTrans1D3" presStyleIdx="3" presStyleCnt="8" custSzX="1011032" custSzY="171356"/>
      <dgm:spPr/>
    </dgm:pt>
    <dgm:pt modelId="{16C92880-996F-4DFD-B0E3-FD7265A514A2}" type="pres">
      <dgm:prSet presAssocID="{039D1D0B-F5F0-4A4B-8A3D-D98E50792B6C}" presName="hierRoot2" presStyleCnt="0">
        <dgm:presLayoutVars>
          <dgm:hierBranch val="init"/>
        </dgm:presLayoutVars>
      </dgm:prSet>
      <dgm:spPr/>
    </dgm:pt>
    <dgm:pt modelId="{EF28DF18-DC48-4B2C-B462-DAA91DF56F8B}" type="pres">
      <dgm:prSet presAssocID="{039D1D0B-F5F0-4A4B-8A3D-D98E50792B6C}" presName="rootComposite" presStyleCnt="0"/>
      <dgm:spPr/>
    </dgm:pt>
    <dgm:pt modelId="{456C7493-DF3C-46EF-8370-C102F6FC7125}" type="pres">
      <dgm:prSet presAssocID="{039D1D0B-F5F0-4A4B-8A3D-D98E50792B6C}" presName="rootText" presStyleLbl="node3" presStyleIdx="3" presStyleCnt="8" custScaleX="137327" custScaleY="195839">
        <dgm:presLayoutVars>
          <dgm:chPref val="3"/>
        </dgm:presLayoutVars>
      </dgm:prSet>
      <dgm:spPr/>
    </dgm:pt>
    <dgm:pt modelId="{6DD7D2D8-A68B-4764-A00D-44B2DB067314}" type="pres">
      <dgm:prSet presAssocID="{039D1D0B-F5F0-4A4B-8A3D-D98E50792B6C}" presName="rootConnector" presStyleLbl="node3" presStyleIdx="3" presStyleCnt="8"/>
      <dgm:spPr/>
    </dgm:pt>
    <dgm:pt modelId="{662FCBF5-5E23-4CAA-B658-737A05A7CECD}" type="pres">
      <dgm:prSet presAssocID="{039D1D0B-F5F0-4A4B-8A3D-D98E50792B6C}" presName="hierChild4" presStyleCnt="0"/>
      <dgm:spPr/>
    </dgm:pt>
    <dgm:pt modelId="{745CD4A0-7DFD-406C-93D0-F5B91E9C2612}" type="pres">
      <dgm:prSet presAssocID="{3CA0CCB2-EF06-4AC5-8B68-C8CBA935ED17}" presName="Name37" presStyleLbl="parChTrans1D4" presStyleIdx="0" presStyleCnt="10" custSzX="128589" custSzY="476985"/>
      <dgm:spPr/>
    </dgm:pt>
    <dgm:pt modelId="{5C6B63D1-9919-4DCD-9460-92533E8AAD2A}" type="pres">
      <dgm:prSet presAssocID="{321618AA-1F20-45A4-B328-91DD8EAAF58F}" presName="hierRoot2" presStyleCnt="0">
        <dgm:presLayoutVars>
          <dgm:hierBranch val="init"/>
        </dgm:presLayoutVars>
      </dgm:prSet>
      <dgm:spPr/>
    </dgm:pt>
    <dgm:pt modelId="{0493BDE8-A9CA-4EE2-8700-F4B90BFACADF}" type="pres">
      <dgm:prSet presAssocID="{321618AA-1F20-45A4-B328-91DD8EAAF58F}" presName="rootComposite" presStyleCnt="0"/>
      <dgm:spPr/>
    </dgm:pt>
    <dgm:pt modelId="{1ECC73DE-076A-4F69-B22E-3FFD68A3EFC6}" type="pres">
      <dgm:prSet presAssocID="{321618AA-1F20-45A4-B328-91DD8EAAF58F}" presName="rootText" presStyleLbl="node4" presStyleIdx="0" presStyleCnt="10" custScaleX="100790" custScaleY="90858">
        <dgm:presLayoutVars>
          <dgm:chPref val="3"/>
        </dgm:presLayoutVars>
      </dgm:prSet>
      <dgm:spPr/>
    </dgm:pt>
    <dgm:pt modelId="{07957843-1866-4E00-BD83-84BC5C01313E}" type="pres">
      <dgm:prSet presAssocID="{321618AA-1F20-45A4-B328-91DD8EAAF58F}" presName="rootConnector" presStyleLbl="node4" presStyleIdx="0" presStyleCnt="10"/>
      <dgm:spPr/>
    </dgm:pt>
    <dgm:pt modelId="{C96E3F40-9612-4BE4-833B-2717F3D052C3}" type="pres">
      <dgm:prSet presAssocID="{321618AA-1F20-45A4-B328-91DD8EAAF58F}" presName="hierChild4" presStyleCnt="0"/>
      <dgm:spPr/>
    </dgm:pt>
    <dgm:pt modelId="{BC770F2C-4318-477C-B407-04C7A25EA9E0}" type="pres">
      <dgm:prSet presAssocID="{321618AA-1F20-45A4-B328-91DD8EAAF58F}" presName="hierChild5" presStyleCnt="0"/>
      <dgm:spPr/>
    </dgm:pt>
    <dgm:pt modelId="{42968C60-B27C-4DFC-8B7C-8ED5843BD730}" type="pres">
      <dgm:prSet presAssocID="{AABA5FAE-9778-4D60-96EC-37920CB330F8}" presName="Name37" presStyleLbl="parChTrans1D4" presStyleIdx="1" presStyleCnt="10" custSzX="128589" custSzY="1259600"/>
      <dgm:spPr/>
    </dgm:pt>
    <dgm:pt modelId="{9768F2CF-02FF-483C-884C-F5E56DA84225}" type="pres">
      <dgm:prSet presAssocID="{B877FCF5-06E5-4289-8161-AB16512EE513}" presName="hierRoot2" presStyleCnt="0">
        <dgm:presLayoutVars>
          <dgm:hierBranch val="init"/>
        </dgm:presLayoutVars>
      </dgm:prSet>
      <dgm:spPr/>
    </dgm:pt>
    <dgm:pt modelId="{6EB705F3-8710-4CDC-A84D-5BBE91E14E2C}" type="pres">
      <dgm:prSet presAssocID="{B877FCF5-06E5-4289-8161-AB16512EE513}" presName="rootComposite" presStyleCnt="0"/>
      <dgm:spPr/>
    </dgm:pt>
    <dgm:pt modelId="{84E51ACC-D8C5-4147-A13E-EF84864B10D6}" type="pres">
      <dgm:prSet presAssocID="{B877FCF5-06E5-4289-8161-AB16512EE513}" presName="rootText" presStyleLbl="node4" presStyleIdx="1" presStyleCnt="10" custScaleX="100593" custScaleY="90858">
        <dgm:presLayoutVars>
          <dgm:chPref val="3"/>
        </dgm:presLayoutVars>
      </dgm:prSet>
      <dgm:spPr/>
    </dgm:pt>
    <dgm:pt modelId="{1CEE3072-ED8B-40B8-95A6-72A49E0CEA48}" type="pres">
      <dgm:prSet presAssocID="{B877FCF5-06E5-4289-8161-AB16512EE513}" presName="rootConnector" presStyleLbl="node4" presStyleIdx="1" presStyleCnt="10"/>
      <dgm:spPr/>
    </dgm:pt>
    <dgm:pt modelId="{28586293-F9CC-4729-A42D-50E00CD5D4DB}" type="pres">
      <dgm:prSet presAssocID="{B877FCF5-06E5-4289-8161-AB16512EE513}" presName="hierChild4" presStyleCnt="0"/>
      <dgm:spPr/>
    </dgm:pt>
    <dgm:pt modelId="{EEF288CD-DB96-413C-A21B-CDEF26EE5F37}" type="pres">
      <dgm:prSet presAssocID="{B877FCF5-06E5-4289-8161-AB16512EE513}" presName="hierChild5" presStyleCnt="0"/>
      <dgm:spPr/>
    </dgm:pt>
    <dgm:pt modelId="{10B36DB5-C8FE-4FA0-A865-9615AC4CF929}" type="pres">
      <dgm:prSet presAssocID="{6F705239-C58D-4973-9AAB-D883AE301216}" presName="Name37" presStyleLbl="parChTrans1D4" presStyleIdx="2" presStyleCnt="10" custSzX="128589" custSzY="2042215"/>
      <dgm:spPr/>
    </dgm:pt>
    <dgm:pt modelId="{4D1857BF-7DD2-40FC-AB62-E68D86AA3F3E}" type="pres">
      <dgm:prSet presAssocID="{F8D636A4-87AB-432B-B199-3F482AFE1346}" presName="hierRoot2" presStyleCnt="0">
        <dgm:presLayoutVars>
          <dgm:hierBranch val="init"/>
        </dgm:presLayoutVars>
      </dgm:prSet>
      <dgm:spPr/>
    </dgm:pt>
    <dgm:pt modelId="{86A677FD-71BB-41DA-B30B-8FE7BCAC2A0C}" type="pres">
      <dgm:prSet presAssocID="{F8D636A4-87AB-432B-B199-3F482AFE1346}" presName="rootComposite" presStyleCnt="0"/>
      <dgm:spPr/>
    </dgm:pt>
    <dgm:pt modelId="{07332389-5B29-48BA-9938-82E7CD0E0F7F}" type="pres">
      <dgm:prSet presAssocID="{F8D636A4-87AB-432B-B199-3F482AFE1346}" presName="rootText" presStyleLbl="node4" presStyleIdx="2" presStyleCnt="10" custScaleX="100593" custScaleY="90858">
        <dgm:presLayoutVars>
          <dgm:chPref val="3"/>
        </dgm:presLayoutVars>
      </dgm:prSet>
      <dgm:spPr/>
    </dgm:pt>
    <dgm:pt modelId="{FAF2D9CB-ED57-42EB-B68E-86E0569297E5}" type="pres">
      <dgm:prSet presAssocID="{F8D636A4-87AB-432B-B199-3F482AFE1346}" presName="rootConnector" presStyleLbl="node4" presStyleIdx="2" presStyleCnt="10"/>
      <dgm:spPr/>
    </dgm:pt>
    <dgm:pt modelId="{792CC46E-7D69-458F-822C-FBEB8B33C213}" type="pres">
      <dgm:prSet presAssocID="{F8D636A4-87AB-432B-B199-3F482AFE1346}" presName="hierChild4" presStyleCnt="0"/>
      <dgm:spPr/>
    </dgm:pt>
    <dgm:pt modelId="{DF5F4C1A-5C54-498F-B0F5-9B50DF8E4087}" type="pres">
      <dgm:prSet presAssocID="{F8D636A4-87AB-432B-B199-3F482AFE1346}" presName="hierChild5" presStyleCnt="0"/>
      <dgm:spPr/>
    </dgm:pt>
    <dgm:pt modelId="{D5D05898-9B9E-4F45-A481-A93C580FEF41}" type="pres">
      <dgm:prSet presAssocID="{039D1D0B-F5F0-4A4B-8A3D-D98E50792B6C}" presName="hierChild5" presStyleCnt="0"/>
      <dgm:spPr/>
    </dgm:pt>
    <dgm:pt modelId="{B7A8FA05-9795-4485-93F4-86B3589327F1}" type="pres">
      <dgm:prSet presAssocID="{1709D2DE-AEBB-488A-9066-56112AFC4DE2}" presName="Name37" presStyleLbl="parChTrans1D3" presStyleIdx="4" presStyleCnt="8" custSzX="107259" custSzY="171356"/>
      <dgm:spPr/>
    </dgm:pt>
    <dgm:pt modelId="{57325C99-FFBF-415A-9F23-D57F2244D2E0}" type="pres">
      <dgm:prSet presAssocID="{CB441383-0C6D-45A5-BD2D-464677AD9E4E}" presName="hierRoot2" presStyleCnt="0">
        <dgm:presLayoutVars>
          <dgm:hierBranch val="init"/>
        </dgm:presLayoutVars>
      </dgm:prSet>
      <dgm:spPr/>
    </dgm:pt>
    <dgm:pt modelId="{69B277AE-F0A6-41D6-84D3-451DF733A28C}" type="pres">
      <dgm:prSet presAssocID="{CB441383-0C6D-45A5-BD2D-464677AD9E4E}" presName="rootComposite" presStyleCnt="0"/>
      <dgm:spPr/>
    </dgm:pt>
    <dgm:pt modelId="{F49E4F3D-EBB0-4474-8D34-752A19735940}" type="pres">
      <dgm:prSet presAssocID="{CB441383-0C6D-45A5-BD2D-464677AD9E4E}" presName="rootText" presStyleLbl="node3" presStyleIdx="4" presStyleCnt="8" custScaleX="137327" custScaleY="195839">
        <dgm:presLayoutVars>
          <dgm:chPref val="3"/>
        </dgm:presLayoutVars>
      </dgm:prSet>
      <dgm:spPr/>
    </dgm:pt>
    <dgm:pt modelId="{3387EFCC-E349-430B-B11D-942E1DA2122D}" type="pres">
      <dgm:prSet presAssocID="{CB441383-0C6D-45A5-BD2D-464677AD9E4E}" presName="rootConnector" presStyleLbl="node3" presStyleIdx="4" presStyleCnt="8"/>
      <dgm:spPr/>
    </dgm:pt>
    <dgm:pt modelId="{822936E9-8C85-4E6C-9AA4-BC7A84BF12DD}" type="pres">
      <dgm:prSet presAssocID="{CB441383-0C6D-45A5-BD2D-464677AD9E4E}" presName="hierChild4" presStyleCnt="0"/>
      <dgm:spPr/>
    </dgm:pt>
    <dgm:pt modelId="{F6C78635-944C-4CB0-B4A8-A32432EB2D38}" type="pres">
      <dgm:prSet presAssocID="{5E2236B9-051B-4C3F-84C1-9A4804C0B4A3}" presName="Name37" presStyleLbl="parChTrans1D4" presStyleIdx="3" presStyleCnt="10" custSzX="128589" custSzY="476985"/>
      <dgm:spPr/>
    </dgm:pt>
    <dgm:pt modelId="{BB63C25E-8820-49D8-8127-8B7FA1E1ED2F}" type="pres">
      <dgm:prSet presAssocID="{94DA8CE9-A72E-4924-AF7E-27C113DAEDF7}" presName="hierRoot2" presStyleCnt="0">
        <dgm:presLayoutVars>
          <dgm:hierBranch val="init"/>
        </dgm:presLayoutVars>
      </dgm:prSet>
      <dgm:spPr/>
    </dgm:pt>
    <dgm:pt modelId="{BFA1F19B-0AF9-4C5B-81B0-624277361A9F}" type="pres">
      <dgm:prSet presAssocID="{94DA8CE9-A72E-4924-AF7E-27C113DAEDF7}" presName="rootComposite" presStyleCnt="0"/>
      <dgm:spPr/>
    </dgm:pt>
    <dgm:pt modelId="{E11C3B3D-BEA1-436F-955D-CD763DCE5230}" type="pres">
      <dgm:prSet presAssocID="{94DA8CE9-A72E-4924-AF7E-27C113DAEDF7}" presName="rootText" presStyleLbl="node4" presStyleIdx="3" presStyleCnt="10" custScaleX="100593" custScaleY="90858">
        <dgm:presLayoutVars>
          <dgm:chPref val="3"/>
        </dgm:presLayoutVars>
      </dgm:prSet>
      <dgm:spPr/>
    </dgm:pt>
    <dgm:pt modelId="{B2E77A9E-1B20-4E6C-8359-6425ED0F4C98}" type="pres">
      <dgm:prSet presAssocID="{94DA8CE9-A72E-4924-AF7E-27C113DAEDF7}" presName="rootConnector" presStyleLbl="node4" presStyleIdx="3" presStyleCnt="10"/>
      <dgm:spPr/>
    </dgm:pt>
    <dgm:pt modelId="{0447CBA4-32BF-408E-B6E5-F0297EBE7FBC}" type="pres">
      <dgm:prSet presAssocID="{94DA8CE9-A72E-4924-AF7E-27C113DAEDF7}" presName="hierChild4" presStyleCnt="0"/>
      <dgm:spPr/>
    </dgm:pt>
    <dgm:pt modelId="{A7D766F1-0B56-40E0-B559-DB2A5189510B}" type="pres">
      <dgm:prSet presAssocID="{94DA8CE9-A72E-4924-AF7E-27C113DAEDF7}" presName="hierChild5" presStyleCnt="0"/>
      <dgm:spPr/>
    </dgm:pt>
    <dgm:pt modelId="{A4469488-772C-4ADA-B0AA-76FB15C965BD}" type="pres">
      <dgm:prSet presAssocID="{3355EC64-7B8B-4ABC-AC41-3213D3DD0593}" presName="Name37" presStyleLbl="parChTrans1D4" presStyleIdx="4" presStyleCnt="10"/>
      <dgm:spPr/>
    </dgm:pt>
    <dgm:pt modelId="{5A338D43-56EA-46CD-B1AC-53E9CB1FFDC7}" type="pres">
      <dgm:prSet presAssocID="{E59FB33D-B45E-4C7A-8D76-B0FC670618B5}" presName="hierRoot2" presStyleCnt="0">
        <dgm:presLayoutVars>
          <dgm:hierBranch val="init"/>
        </dgm:presLayoutVars>
      </dgm:prSet>
      <dgm:spPr/>
    </dgm:pt>
    <dgm:pt modelId="{72BA4C40-E4DF-4A33-9148-E0EFEC2DB824}" type="pres">
      <dgm:prSet presAssocID="{E59FB33D-B45E-4C7A-8D76-B0FC670618B5}" presName="rootComposite" presStyleCnt="0"/>
      <dgm:spPr/>
    </dgm:pt>
    <dgm:pt modelId="{62BA02D4-2C0F-4D0B-ABD9-E45367973C5C}" type="pres">
      <dgm:prSet presAssocID="{E59FB33D-B45E-4C7A-8D76-B0FC670618B5}" presName="rootText" presStyleLbl="node4" presStyleIdx="4" presStyleCnt="10" custScaleX="100593" custScaleY="90858">
        <dgm:presLayoutVars>
          <dgm:chPref val="3"/>
        </dgm:presLayoutVars>
      </dgm:prSet>
      <dgm:spPr/>
    </dgm:pt>
    <dgm:pt modelId="{327A0E43-998E-4FE1-B0F1-C77D22F769A5}" type="pres">
      <dgm:prSet presAssocID="{E59FB33D-B45E-4C7A-8D76-B0FC670618B5}" presName="rootConnector" presStyleLbl="node4" presStyleIdx="4" presStyleCnt="10"/>
      <dgm:spPr/>
    </dgm:pt>
    <dgm:pt modelId="{828D9352-A097-4E10-9E23-37BBE2EA36ED}" type="pres">
      <dgm:prSet presAssocID="{E59FB33D-B45E-4C7A-8D76-B0FC670618B5}" presName="hierChild4" presStyleCnt="0"/>
      <dgm:spPr/>
    </dgm:pt>
    <dgm:pt modelId="{88942F78-3A54-4B81-97A7-E15713A191DC}" type="pres">
      <dgm:prSet presAssocID="{E59FB33D-B45E-4C7A-8D76-B0FC670618B5}" presName="hierChild5" presStyleCnt="0"/>
      <dgm:spPr/>
    </dgm:pt>
    <dgm:pt modelId="{A6E1729D-70DD-4483-850B-48A8CFBF271F}" type="pres">
      <dgm:prSet presAssocID="{A02768D9-EC85-47DF-8726-AFABE354BB08}" presName="Name37" presStyleLbl="parChTrans1D4" presStyleIdx="5" presStyleCnt="10"/>
      <dgm:spPr/>
    </dgm:pt>
    <dgm:pt modelId="{5524A377-E5AC-4273-A7F7-B31A9F80AFAF}" type="pres">
      <dgm:prSet presAssocID="{5A580C17-6F43-4A8E-BE1C-E93C6D14F6BE}" presName="hierRoot2" presStyleCnt="0">
        <dgm:presLayoutVars>
          <dgm:hierBranch val="init"/>
        </dgm:presLayoutVars>
      </dgm:prSet>
      <dgm:spPr/>
    </dgm:pt>
    <dgm:pt modelId="{951DEE6B-F543-43DE-A7F2-0A66FAFDC03A}" type="pres">
      <dgm:prSet presAssocID="{5A580C17-6F43-4A8E-BE1C-E93C6D14F6BE}" presName="rootComposite" presStyleCnt="0"/>
      <dgm:spPr/>
    </dgm:pt>
    <dgm:pt modelId="{97709F53-4CA2-40BE-8513-6D6584694F2D}" type="pres">
      <dgm:prSet presAssocID="{5A580C17-6F43-4A8E-BE1C-E93C6D14F6BE}" presName="rootText" presStyleLbl="node4" presStyleIdx="5" presStyleCnt="10" custScaleX="100593" custScaleY="90858">
        <dgm:presLayoutVars>
          <dgm:chPref val="3"/>
        </dgm:presLayoutVars>
      </dgm:prSet>
      <dgm:spPr/>
    </dgm:pt>
    <dgm:pt modelId="{7B791DB8-29E3-4669-824F-CFF0436CEF00}" type="pres">
      <dgm:prSet presAssocID="{5A580C17-6F43-4A8E-BE1C-E93C6D14F6BE}" presName="rootConnector" presStyleLbl="node4" presStyleIdx="5" presStyleCnt="10"/>
      <dgm:spPr/>
    </dgm:pt>
    <dgm:pt modelId="{84928DC8-E4E9-4E7A-BCFE-421BC65D5B91}" type="pres">
      <dgm:prSet presAssocID="{5A580C17-6F43-4A8E-BE1C-E93C6D14F6BE}" presName="hierChild4" presStyleCnt="0"/>
      <dgm:spPr/>
    </dgm:pt>
    <dgm:pt modelId="{DA611C41-ECF8-4D19-8AAB-34BB19E6BE83}" type="pres">
      <dgm:prSet presAssocID="{5A580C17-6F43-4A8E-BE1C-E93C6D14F6BE}" presName="hierChild5" presStyleCnt="0"/>
      <dgm:spPr/>
    </dgm:pt>
    <dgm:pt modelId="{9D31ED1D-9A86-4579-B5DE-34D22669844C}" type="pres">
      <dgm:prSet presAssocID="{CB441383-0C6D-45A5-BD2D-464677AD9E4E}" presName="hierChild5" presStyleCnt="0"/>
      <dgm:spPr/>
    </dgm:pt>
    <dgm:pt modelId="{00BF00DD-4B4C-4C99-9AC8-AA52A2987062}" type="pres">
      <dgm:prSet presAssocID="{605AB15E-2427-46D0-ADC7-74D7D6CF3BCF}" presName="Name37" presStyleLbl="parChTrans1D3" presStyleIdx="5" presStyleCnt="8" custSzX="1011032" custSzY="171356"/>
      <dgm:spPr/>
    </dgm:pt>
    <dgm:pt modelId="{C0005571-EDCA-4A1A-95F4-1C3ADFBAAF9B}" type="pres">
      <dgm:prSet presAssocID="{D1DBFCE0-9962-44F4-8648-37A4880FBF85}" presName="hierRoot2" presStyleCnt="0">
        <dgm:presLayoutVars>
          <dgm:hierBranch val="init"/>
        </dgm:presLayoutVars>
      </dgm:prSet>
      <dgm:spPr/>
    </dgm:pt>
    <dgm:pt modelId="{B82E1E35-C6F9-43DC-B8FA-A85694189D54}" type="pres">
      <dgm:prSet presAssocID="{D1DBFCE0-9962-44F4-8648-37A4880FBF85}" presName="rootComposite" presStyleCnt="0"/>
      <dgm:spPr/>
    </dgm:pt>
    <dgm:pt modelId="{9CE98BB8-AB73-4156-96AE-F75790D78944}" type="pres">
      <dgm:prSet presAssocID="{D1DBFCE0-9962-44F4-8648-37A4880FBF85}" presName="rootText" presStyleLbl="node3" presStyleIdx="5" presStyleCnt="8" custScaleX="137327" custScaleY="195839">
        <dgm:presLayoutVars>
          <dgm:chPref val="3"/>
        </dgm:presLayoutVars>
      </dgm:prSet>
      <dgm:spPr/>
    </dgm:pt>
    <dgm:pt modelId="{95D8F10E-D2ED-44ED-8BC3-E0E979B71917}" type="pres">
      <dgm:prSet presAssocID="{D1DBFCE0-9962-44F4-8648-37A4880FBF85}" presName="rootConnector" presStyleLbl="node3" presStyleIdx="5" presStyleCnt="8"/>
      <dgm:spPr/>
    </dgm:pt>
    <dgm:pt modelId="{C22FBFFD-9965-49DB-9879-EA940D9319B3}" type="pres">
      <dgm:prSet presAssocID="{D1DBFCE0-9962-44F4-8648-37A4880FBF85}" presName="hierChild4" presStyleCnt="0"/>
      <dgm:spPr/>
    </dgm:pt>
    <dgm:pt modelId="{FDB326B2-71E4-4121-8733-F7F1CE5AD249}" type="pres">
      <dgm:prSet presAssocID="{27200DD6-CB97-4146-81D7-7DDEDC02CCEF}" presName="Name37" presStyleLbl="parChTrans1D4" presStyleIdx="6" presStyleCnt="10" custSzX="128589" custSzY="476985"/>
      <dgm:spPr/>
    </dgm:pt>
    <dgm:pt modelId="{FFF7DCEA-7F62-46AA-9F64-7A757AF9CDF4}" type="pres">
      <dgm:prSet presAssocID="{3916B704-76BB-4B1B-99AD-D2681FB473C1}" presName="hierRoot2" presStyleCnt="0">
        <dgm:presLayoutVars>
          <dgm:hierBranch val="init"/>
        </dgm:presLayoutVars>
      </dgm:prSet>
      <dgm:spPr/>
    </dgm:pt>
    <dgm:pt modelId="{69487CFF-5198-4ED7-8582-716349D5B7EB}" type="pres">
      <dgm:prSet presAssocID="{3916B704-76BB-4B1B-99AD-D2681FB473C1}" presName="rootComposite" presStyleCnt="0"/>
      <dgm:spPr/>
    </dgm:pt>
    <dgm:pt modelId="{9887B920-5228-49B0-A302-1CE3C1806EC8}" type="pres">
      <dgm:prSet presAssocID="{3916B704-76BB-4B1B-99AD-D2681FB473C1}" presName="rootText" presStyleLbl="node4" presStyleIdx="6" presStyleCnt="10" custScaleX="93620" custScaleY="84560">
        <dgm:presLayoutVars>
          <dgm:chPref val="3"/>
        </dgm:presLayoutVars>
      </dgm:prSet>
      <dgm:spPr/>
    </dgm:pt>
    <dgm:pt modelId="{48BF1F93-D2BF-487B-8917-F1E0589E50E1}" type="pres">
      <dgm:prSet presAssocID="{3916B704-76BB-4B1B-99AD-D2681FB473C1}" presName="rootConnector" presStyleLbl="node4" presStyleIdx="6" presStyleCnt="10"/>
      <dgm:spPr/>
    </dgm:pt>
    <dgm:pt modelId="{C956A02E-8230-4F3B-BF71-49BB319AB5D7}" type="pres">
      <dgm:prSet presAssocID="{3916B704-76BB-4B1B-99AD-D2681FB473C1}" presName="hierChild4" presStyleCnt="0"/>
      <dgm:spPr/>
    </dgm:pt>
    <dgm:pt modelId="{8B416B51-1718-4ED8-B4F3-C30B1C4BECA8}" type="pres">
      <dgm:prSet presAssocID="{3916B704-76BB-4B1B-99AD-D2681FB473C1}" presName="hierChild5" presStyleCnt="0"/>
      <dgm:spPr/>
    </dgm:pt>
    <dgm:pt modelId="{DA70565F-61E0-4ADE-8281-AC2E182A45B8}" type="pres">
      <dgm:prSet presAssocID="{F47B8080-3F24-46EF-A036-A137BFDEC2A2}" presName="Name37" presStyleLbl="parChTrans1D4" presStyleIdx="7" presStyleCnt="10"/>
      <dgm:spPr/>
    </dgm:pt>
    <dgm:pt modelId="{530D9970-E44F-484D-A390-150BA0657F6F}" type="pres">
      <dgm:prSet presAssocID="{D797EF45-6022-411C-8A18-93B53BE7DF01}" presName="hierRoot2" presStyleCnt="0">
        <dgm:presLayoutVars>
          <dgm:hierBranch val="init"/>
        </dgm:presLayoutVars>
      </dgm:prSet>
      <dgm:spPr/>
    </dgm:pt>
    <dgm:pt modelId="{36D5C198-E8B4-4EDD-96CE-570F3FEE8255}" type="pres">
      <dgm:prSet presAssocID="{D797EF45-6022-411C-8A18-93B53BE7DF01}" presName="rootComposite" presStyleCnt="0"/>
      <dgm:spPr/>
    </dgm:pt>
    <dgm:pt modelId="{6254C4C1-8925-47F8-929E-1CC31573C919}" type="pres">
      <dgm:prSet presAssocID="{D797EF45-6022-411C-8A18-93B53BE7DF01}" presName="rootText" presStyleLbl="node4" presStyleIdx="7" presStyleCnt="10" custScaleX="93620" custScaleY="84560">
        <dgm:presLayoutVars>
          <dgm:chPref val="3"/>
        </dgm:presLayoutVars>
      </dgm:prSet>
      <dgm:spPr/>
    </dgm:pt>
    <dgm:pt modelId="{0590F5DA-F25D-4021-8137-F68C31FB4EEA}" type="pres">
      <dgm:prSet presAssocID="{D797EF45-6022-411C-8A18-93B53BE7DF01}" presName="rootConnector" presStyleLbl="node4" presStyleIdx="7" presStyleCnt="10"/>
      <dgm:spPr/>
    </dgm:pt>
    <dgm:pt modelId="{BA275434-E7A7-4FCF-B3C2-9560463E9EF2}" type="pres">
      <dgm:prSet presAssocID="{D797EF45-6022-411C-8A18-93B53BE7DF01}" presName="hierChild4" presStyleCnt="0"/>
      <dgm:spPr/>
    </dgm:pt>
    <dgm:pt modelId="{7EF67247-974B-4CEC-89BC-08D86AD0D10A}" type="pres">
      <dgm:prSet presAssocID="{D797EF45-6022-411C-8A18-93B53BE7DF01}" presName="hierChild5" presStyleCnt="0"/>
      <dgm:spPr/>
    </dgm:pt>
    <dgm:pt modelId="{1BFE66C5-7954-4BF1-885D-989F76AF3B59}" type="pres">
      <dgm:prSet presAssocID="{520B37D2-84A8-45F4-B45B-E5A9DBA1F98E}" presName="Name37" presStyleLbl="parChTrans1D4" presStyleIdx="8" presStyleCnt="10"/>
      <dgm:spPr/>
    </dgm:pt>
    <dgm:pt modelId="{73B5583B-4B78-4075-A1D8-3DBEC9C71B67}" type="pres">
      <dgm:prSet presAssocID="{9B0FDCBA-81E2-4300-9A0C-9242F09776EF}" presName="hierRoot2" presStyleCnt="0">
        <dgm:presLayoutVars>
          <dgm:hierBranch val="init"/>
        </dgm:presLayoutVars>
      </dgm:prSet>
      <dgm:spPr/>
    </dgm:pt>
    <dgm:pt modelId="{4AE51F17-0696-4AC1-98AB-B061901E022B}" type="pres">
      <dgm:prSet presAssocID="{9B0FDCBA-81E2-4300-9A0C-9242F09776EF}" presName="rootComposite" presStyleCnt="0"/>
      <dgm:spPr/>
    </dgm:pt>
    <dgm:pt modelId="{8203DF14-2258-4F29-9708-61C8ED9CC3C5}" type="pres">
      <dgm:prSet presAssocID="{9B0FDCBA-81E2-4300-9A0C-9242F09776EF}" presName="rootText" presStyleLbl="node4" presStyleIdx="8" presStyleCnt="10" custScaleX="93620" custScaleY="84560">
        <dgm:presLayoutVars>
          <dgm:chPref val="3"/>
        </dgm:presLayoutVars>
      </dgm:prSet>
      <dgm:spPr/>
    </dgm:pt>
    <dgm:pt modelId="{D6951BB5-749F-4C56-B4C1-422BD88DAE3E}" type="pres">
      <dgm:prSet presAssocID="{9B0FDCBA-81E2-4300-9A0C-9242F09776EF}" presName="rootConnector" presStyleLbl="node4" presStyleIdx="8" presStyleCnt="10"/>
      <dgm:spPr/>
    </dgm:pt>
    <dgm:pt modelId="{8E15EF61-8E14-48D3-949A-5FDF23F71FA2}" type="pres">
      <dgm:prSet presAssocID="{9B0FDCBA-81E2-4300-9A0C-9242F09776EF}" presName="hierChild4" presStyleCnt="0"/>
      <dgm:spPr/>
    </dgm:pt>
    <dgm:pt modelId="{21D5916C-5890-4FE1-80DD-C1DC4AE7AB74}" type="pres">
      <dgm:prSet presAssocID="{9B0FDCBA-81E2-4300-9A0C-9242F09776EF}" presName="hierChild5" presStyleCnt="0"/>
      <dgm:spPr/>
    </dgm:pt>
    <dgm:pt modelId="{CEEDBA5B-1717-4C0C-8ED6-206AFB48F950}" type="pres">
      <dgm:prSet presAssocID="{D1DBFCE0-9962-44F4-8648-37A4880FBF85}" presName="hierChild5" presStyleCnt="0"/>
      <dgm:spPr/>
    </dgm:pt>
    <dgm:pt modelId="{4F8D5B33-91D4-41D2-9EA7-D6A0BA9E9A4B}" type="pres">
      <dgm:prSet presAssocID="{E60B31FE-6E42-4944-B40A-03A923AA49C5}" presName="hierChild5" presStyleCnt="0"/>
      <dgm:spPr/>
    </dgm:pt>
    <dgm:pt modelId="{3540DE59-0A7B-4DD3-9C73-AB15BED4E770}" type="pres">
      <dgm:prSet presAssocID="{C185D7C2-01D7-4A38-8EE2-C364D363957C}" presName="Name37" presStyleLbl="parChTrans1D2" presStyleIdx="3" presStyleCnt="4" custSzX="2129222" custSzY="171356"/>
      <dgm:spPr/>
    </dgm:pt>
    <dgm:pt modelId="{8AEBFA00-F2CC-462F-8DB0-EBA407D0D5B9}" type="pres">
      <dgm:prSet presAssocID="{E488F0B1-7A29-40AD-8A36-0409A7DE33A2}" presName="hierRoot2" presStyleCnt="0">
        <dgm:presLayoutVars>
          <dgm:hierBranch val="init"/>
        </dgm:presLayoutVars>
      </dgm:prSet>
      <dgm:spPr/>
    </dgm:pt>
    <dgm:pt modelId="{3538DC10-A786-4773-82C2-5B8D5AE74ECA}" type="pres">
      <dgm:prSet presAssocID="{E488F0B1-7A29-40AD-8A36-0409A7DE33A2}" presName="rootComposite" presStyleCnt="0"/>
      <dgm:spPr/>
    </dgm:pt>
    <dgm:pt modelId="{CD84E35C-0426-4027-8C70-139EE895F476}" type="pres">
      <dgm:prSet presAssocID="{E488F0B1-7A29-40AD-8A36-0409A7DE33A2}" presName="rootText" presStyleLbl="node2" presStyleIdx="3" presStyleCnt="4" custScaleX="137327" custScaleY="195839">
        <dgm:presLayoutVars>
          <dgm:chPref val="3"/>
        </dgm:presLayoutVars>
      </dgm:prSet>
      <dgm:spPr/>
    </dgm:pt>
    <dgm:pt modelId="{BC22251F-AE5C-4A59-B13E-32EEF256ACDC}" type="pres">
      <dgm:prSet presAssocID="{E488F0B1-7A29-40AD-8A36-0409A7DE33A2}" presName="rootConnector" presStyleLbl="node2" presStyleIdx="3" presStyleCnt="4"/>
      <dgm:spPr/>
    </dgm:pt>
    <dgm:pt modelId="{B7272895-EB93-4C2E-8B2B-9F5C187B15F3}" type="pres">
      <dgm:prSet presAssocID="{E488F0B1-7A29-40AD-8A36-0409A7DE33A2}" presName="hierChild4" presStyleCnt="0"/>
      <dgm:spPr/>
    </dgm:pt>
    <dgm:pt modelId="{460E2A72-7B4A-4B91-9031-30DF0F4AA857}" type="pres">
      <dgm:prSet presAssocID="{6F7F65B9-1023-4D72-A812-8EDB0D26490D}" presName="Name37" presStyleLbl="parChTrans1D3" presStyleIdx="6" presStyleCnt="8" custSzX="128589" custSzY="476985"/>
      <dgm:spPr/>
    </dgm:pt>
    <dgm:pt modelId="{3BDFA36B-8A88-45ED-804D-481BB8536B55}" type="pres">
      <dgm:prSet presAssocID="{1FED840C-5C7E-402F-B99F-9FABBA82CDCE}" presName="hierRoot2" presStyleCnt="0">
        <dgm:presLayoutVars>
          <dgm:hierBranch val="init"/>
        </dgm:presLayoutVars>
      </dgm:prSet>
      <dgm:spPr/>
    </dgm:pt>
    <dgm:pt modelId="{04D0C4C0-A370-4B89-BBB2-99F06E2C3C9B}" type="pres">
      <dgm:prSet presAssocID="{1FED840C-5C7E-402F-B99F-9FABBA82CDCE}" presName="rootComposite" presStyleCnt="0"/>
      <dgm:spPr/>
    </dgm:pt>
    <dgm:pt modelId="{420E9331-7746-4047-A918-C0E162B943C2}" type="pres">
      <dgm:prSet presAssocID="{1FED840C-5C7E-402F-B99F-9FABBA82CDCE}" presName="rootText" presStyleLbl="node3" presStyleIdx="6" presStyleCnt="8" custScaleX="137327" custScaleY="195839">
        <dgm:presLayoutVars>
          <dgm:chPref val="3"/>
        </dgm:presLayoutVars>
      </dgm:prSet>
      <dgm:spPr/>
    </dgm:pt>
    <dgm:pt modelId="{B4041B9E-21FB-4B53-9349-15157A48EF11}" type="pres">
      <dgm:prSet presAssocID="{1FED840C-5C7E-402F-B99F-9FABBA82CDCE}" presName="rootConnector" presStyleLbl="node3" presStyleIdx="6" presStyleCnt="8"/>
      <dgm:spPr/>
    </dgm:pt>
    <dgm:pt modelId="{961515F2-DEF1-46F1-BE58-E90183724AD9}" type="pres">
      <dgm:prSet presAssocID="{1FED840C-5C7E-402F-B99F-9FABBA82CDCE}" presName="hierChild4" presStyleCnt="0"/>
      <dgm:spPr/>
    </dgm:pt>
    <dgm:pt modelId="{C5974C09-71FB-4DEA-9A65-A39502F93C37}" type="pres">
      <dgm:prSet presAssocID="{4EB2F27E-58A8-48E1-ABEC-D5E38AB11801}" presName="Name37" presStyleLbl="parChTrans1D4" presStyleIdx="9" presStyleCnt="10"/>
      <dgm:spPr/>
    </dgm:pt>
    <dgm:pt modelId="{9648018B-F538-4156-B1F6-B444FC715D01}" type="pres">
      <dgm:prSet presAssocID="{572C00D7-AEA1-4065-B06D-07DEDBE0CCF4}" presName="hierRoot2" presStyleCnt="0">
        <dgm:presLayoutVars>
          <dgm:hierBranch val="init"/>
        </dgm:presLayoutVars>
      </dgm:prSet>
      <dgm:spPr/>
    </dgm:pt>
    <dgm:pt modelId="{8065DC3D-4230-4805-B248-02688A952184}" type="pres">
      <dgm:prSet presAssocID="{572C00D7-AEA1-4065-B06D-07DEDBE0CCF4}" presName="rootComposite" presStyleCnt="0"/>
      <dgm:spPr/>
    </dgm:pt>
    <dgm:pt modelId="{1DC7A607-67A8-417E-A0F0-1EAD9FC99B4E}" type="pres">
      <dgm:prSet presAssocID="{572C00D7-AEA1-4065-B06D-07DEDBE0CCF4}" presName="rootText" presStyleLbl="node4" presStyleIdx="9" presStyleCnt="10" custScaleY="159618">
        <dgm:presLayoutVars>
          <dgm:chPref val="3"/>
        </dgm:presLayoutVars>
      </dgm:prSet>
      <dgm:spPr/>
    </dgm:pt>
    <dgm:pt modelId="{3CF2708C-6930-45F6-8F00-4163C936EBB3}" type="pres">
      <dgm:prSet presAssocID="{572C00D7-AEA1-4065-B06D-07DEDBE0CCF4}" presName="rootConnector" presStyleLbl="node4" presStyleIdx="9" presStyleCnt="10"/>
      <dgm:spPr/>
    </dgm:pt>
    <dgm:pt modelId="{7A1DBA35-F907-4A94-A237-86BAEE68DC03}" type="pres">
      <dgm:prSet presAssocID="{572C00D7-AEA1-4065-B06D-07DEDBE0CCF4}" presName="hierChild4" presStyleCnt="0"/>
      <dgm:spPr/>
    </dgm:pt>
    <dgm:pt modelId="{CD720062-4576-4392-9D6F-F42D945B264A}" type="pres">
      <dgm:prSet presAssocID="{572C00D7-AEA1-4065-B06D-07DEDBE0CCF4}" presName="hierChild5" presStyleCnt="0"/>
      <dgm:spPr/>
    </dgm:pt>
    <dgm:pt modelId="{2EB10CDD-41C0-4E32-A5BC-297DB36D63EC}" type="pres">
      <dgm:prSet presAssocID="{1FED840C-5C7E-402F-B99F-9FABBA82CDCE}" presName="hierChild5" presStyleCnt="0"/>
      <dgm:spPr/>
    </dgm:pt>
    <dgm:pt modelId="{A773B732-B760-4900-A4E9-03141BC1646F}" type="pres">
      <dgm:prSet presAssocID="{3698B59F-5198-487F-91CD-D5629CB2796D}" presName="Name37" presStyleLbl="parChTrans1D3" presStyleIdx="7" presStyleCnt="8"/>
      <dgm:spPr/>
    </dgm:pt>
    <dgm:pt modelId="{A8197173-5273-404F-A0CB-EE6789A478CD}" type="pres">
      <dgm:prSet presAssocID="{42131322-8D3E-4394-9F73-EF712E0E5521}" presName="hierRoot2" presStyleCnt="0">
        <dgm:presLayoutVars>
          <dgm:hierBranch val="init"/>
        </dgm:presLayoutVars>
      </dgm:prSet>
      <dgm:spPr/>
    </dgm:pt>
    <dgm:pt modelId="{49FD5348-97A0-45FD-B52C-95E111368CCC}" type="pres">
      <dgm:prSet presAssocID="{42131322-8D3E-4394-9F73-EF712E0E5521}" presName="rootComposite" presStyleCnt="0"/>
      <dgm:spPr/>
    </dgm:pt>
    <dgm:pt modelId="{2124F06D-0084-49CE-8235-2E1ED2CDE136}" type="pres">
      <dgm:prSet presAssocID="{42131322-8D3E-4394-9F73-EF712E0E5521}" presName="rootText" presStyleLbl="node3" presStyleIdx="7" presStyleCnt="8" custScaleX="140239" custScaleY="177502">
        <dgm:presLayoutVars>
          <dgm:chPref val="3"/>
        </dgm:presLayoutVars>
      </dgm:prSet>
      <dgm:spPr/>
    </dgm:pt>
    <dgm:pt modelId="{B2BBB1DC-4D49-49C9-AA1C-87BE7CD7F81B}" type="pres">
      <dgm:prSet presAssocID="{42131322-8D3E-4394-9F73-EF712E0E5521}" presName="rootConnector" presStyleLbl="node3" presStyleIdx="7" presStyleCnt="8"/>
      <dgm:spPr/>
    </dgm:pt>
    <dgm:pt modelId="{BE5F5A3E-0F89-41C9-83A6-1C4F0AD41FE1}" type="pres">
      <dgm:prSet presAssocID="{42131322-8D3E-4394-9F73-EF712E0E5521}" presName="hierChild4" presStyleCnt="0"/>
      <dgm:spPr/>
    </dgm:pt>
    <dgm:pt modelId="{97FF4918-276D-4628-AC0A-4F0B428A16B3}" type="pres">
      <dgm:prSet presAssocID="{42131322-8D3E-4394-9F73-EF712E0E5521}" presName="hierChild5" presStyleCnt="0"/>
      <dgm:spPr/>
    </dgm:pt>
    <dgm:pt modelId="{62D34F4C-0562-4457-BD83-CF920752E438}" type="pres">
      <dgm:prSet presAssocID="{E488F0B1-7A29-40AD-8A36-0409A7DE33A2}" presName="hierChild5" presStyleCnt="0"/>
      <dgm:spPr/>
    </dgm:pt>
    <dgm:pt modelId="{7012092F-38D9-4CA7-9AE1-0161ADE31E37}" type="pres">
      <dgm:prSet presAssocID="{EAFA0247-B016-4C65-90F3-BB73E5FE9CBF}" presName="hierChild3" presStyleCnt="0"/>
      <dgm:spPr/>
    </dgm:pt>
  </dgm:ptLst>
  <dgm:cxnLst>
    <dgm:cxn modelId="{DDEEC401-1D7B-4F05-9048-AC0BA2998DD4}" srcId="{EAFA0247-B016-4C65-90F3-BB73E5FE9CBF}" destId="{A122F62E-3055-4211-A0E5-6FB3D7DF4034}" srcOrd="0" destOrd="0" parTransId="{46E58FAC-C0C5-4423-A9B8-900D4B8F706E}" sibTransId="{BBCD3861-F205-4E66-BA95-B00A4203BF8B}"/>
    <dgm:cxn modelId="{48F6FC06-10A6-4AA9-9295-D8CDBF9303D9}" type="presOf" srcId="{6F705239-C58D-4973-9AAB-D883AE301216}" destId="{10B36DB5-C8FE-4FA0-A865-9615AC4CF929}" srcOrd="0" destOrd="0" presId="urn:microsoft.com/office/officeart/2005/8/layout/orgChart1"/>
    <dgm:cxn modelId="{D732C209-BB02-4CAA-9103-FDD3DB99B264}" type="presOf" srcId="{039D1D0B-F5F0-4A4B-8A3D-D98E50792B6C}" destId="{6DD7D2D8-A68B-4764-A00D-44B2DB067314}" srcOrd="1" destOrd="0" presId="urn:microsoft.com/office/officeart/2005/8/layout/orgChart1"/>
    <dgm:cxn modelId="{76AA1F0A-4DD9-4D49-A290-D79EC47588F1}" srcId="{E488F0B1-7A29-40AD-8A36-0409A7DE33A2}" destId="{1FED840C-5C7E-402F-B99F-9FABBA82CDCE}" srcOrd="0" destOrd="0" parTransId="{6F7F65B9-1023-4D72-A812-8EDB0D26490D}" sibTransId="{458E8493-83CC-44D5-B619-E7AF7F30B6ED}"/>
    <dgm:cxn modelId="{C88EF50A-7FA0-4C69-BAC6-E681F4E89E20}" srcId="{EAFA0247-B016-4C65-90F3-BB73E5FE9CBF}" destId="{E60B31FE-6E42-4944-B40A-03A923AA49C5}" srcOrd="2" destOrd="0" parTransId="{7089A0BC-5A4B-4B33-B76D-BE2D2A74400D}" sibTransId="{57315D86-7FFE-44C0-A11F-32AF52F69FE5}"/>
    <dgm:cxn modelId="{02F48A0D-1154-46C6-A6BF-180FFF8CE2B0}" type="presOf" srcId="{9B0FDCBA-81E2-4300-9A0C-9242F09776EF}" destId="{D6951BB5-749F-4C56-B4C1-422BD88DAE3E}" srcOrd="1" destOrd="0" presId="urn:microsoft.com/office/officeart/2005/8/layout/orgChart1"/>
    <dgm:cxn modelId="{8367C20F-3153-45A4-ABFE-991F1B4B472E}" type="presOf" srcId="{A02768D9-EC85-47DF-8726-AFABE354BB08}" destId="{A6E1729D-70DD-4483-850B-48A8CFBF271F}" srcOrd="0" destOrd="0" presId="urn:microsoft.com/office/officeart/2005/8/layout/orgChart1"/>
    <dgm:cxn modelId="{1A713515-A525-4F16-AF05-876E5D921391}" type="presOf" srcId="{374EA2A5-5DC3-442D-BC67-0D33911A328D}" destId="{24BB72EB-AC1E-484C-A520-3EFEF578A31B}" srcOrd="0" destOrd="0" presId="urn:microsoft.com/office/officeart/2005/8/layout/orgChart1"/>
    <dgm:cxn modelId="{730F8615-D1E4-4FC6-8DDE-3BC5200E56FA}" type="presOf" srcId="{D1DBFCE0-9962-44F4-8648-37A4880FBF85}" destId="{9CE98BB8-AB73-4156-96AE-F75790D78944}" srcOrd="0" destOrd="0" presId="urn:microsoft.com/office/officeart/2005/8/layout/orgChart1"/>
    <dgm:cxn modelId="{6FF5D117-458C-47AA-97F3-52E61E8065AA}" type="presOf" srcId="{E30FC7B5-FF36-4DEB-9ADE-C0ABCD900FDF}" destId="{E40995F4-219F-4BA4-B31F-1145FD04EC0A}" srcOrd="0" destOrd="0" presId="urn:microsoft.com/office/officeart/2005/8/layout/orgChart1"/>
    <dgm:cxn modelId="{D1851E18-4421-4003-9FCF-AD95F2C26523}" type="presOf" srcId="{E488F0B1-7A29-40AD-8A36-0409A7DE33A2}" destId="{BC22251F-AE5C-4A59-B13E-32EEF256ACDC}" srcOrd="1" destOrd="0" presId="urn:microsoft.com/office/officeart/2005/8/layout/orgChart1"/>
    <dgm:cxn modelId="{4AFB8318-3C64-4B21-99AC-6AC7445826DE}" type="presOf" srcId="{039D1D0B-F5F0-4A4B-8A3D-D98E50792B6C}" destId="{456C7493-DF3C-46EF-8370-C102F6FC7125}" srcOrd="0" destOrd="0" presId="urn:microsoft.com/office/officeart/2005/8/layout/orgChart1"/>
    <dgm:cxn modelId="{369CE21D-0CB7-4155-8B06-C74F795A2F9B}" type="presOf" srcId="{EAFA0247-B016-4C65-90F3-BB73E5FE9CBF}" destId="{41A1CD02-EF48-4382-8452-19AB12612FB6}" srcOrd="0" destOrd="0" presId="urn:microsoft.com/office/officeart/2005/8/layout/orgChart1"/>
    <dgm:cxn modelId="{B833911F-F554-4C53-980E-CB60AB132584}" srcId="{D1DBFCE0-9962-44F4-8648-37A4880FBF85}" destId="{3916B704-76BB-4B1B-99AD-D2681FB473C1}" srcOrd="0" destOrd="0" parTransId="{27200DD6-CB97-4146-81D7-7DDEDC02CCEF}" sibTransId="{44A15132-42B0-49DA-A581-A2A2361C5EDD}"/>
    <dgm:cxn modelId="{0B758720-480D-46A9-9538-462CE56B6A0E}" type="presOf" srcId="{520B37D2-84A8-45F4-B45B-E5A9DBA1F98E}" destId="{1BFE66C5-7954-4BF1-885D-989F76AF3B59}" srcOrd="0" destOrd="0" presId="urn:microsoft.com/office/officeart/2005/8/layout/orgChart1"/>
    <dgm:cxn modelId="{E0E69F22-4F86-490F-BE62-01F5F53EC3E6}" type="presOf" srcId="{E59FB33D-B45E-4C7A-8D76-B0FC670618B5}" destId="{327A0E43-998E-4FE1-B0F1-C77D22F769A5}" srcOrd="1" destOrd="0" presId="urn:microsoft.com/office/officeart/2005/8/layout/orgChart1"/>
    <dgm:cxn modelId="{1CBD1623-F376-4A1D-8BCB-6116965334C0}" srcId="{D1DBFCE0-9962-44F4-8648-37A4880FBF85}" destId="{D797EF45-6022-411C-8A18-93B53BE7DF01}" srcOrd="1" destOrd="0" parTransId="{F47B8080-3F24-46EF-A036-A137BFDEC2A2}" sibTransId="{042EB05D-C6F8-47F2-BF92-071D937D92E1}"/>
    <dgm:cxn modelId="{32D1B226-D8EB-40F4-AFC1-7BD6BE7368B6}" type="presOf" srcId="{3355EC64-7B8B-4ABC-AC41-3213D3DD0593}" destId="{A4469488-772C-4ADA-B0AA-76FB15C965BD}" srcOrd="0" destOrd="0" presId="urn:microsoft.com/office/officeart/2005/8/layout/orgChart1"/>
    <dgm:cxn modelId="{45DB8228-8330-4B4F-87B6-952BD29BECDC}" type="presOf" srcId="{E60B31FE-6E42-4944-B40A-03A923AA49C5}" destId="{D934B4D3-CDD7-4A0B-97B9-019F3178BC69}" srcOrd="0" destOrd="0" presId="urn:microsoft.com/office/officeart/2005/8/layout/orgChart1"/>
    <dgm:cxn modelId="{65D1FF2D-9E69-4BD4-B44A-7B1D3F45256B}" type="presOf" srcId="{AABA5FAE-9778-4D60-96EC-37920CB330F8}" destId="{42968C60-B27C-4DFC-8B7C-8ED5843BD730}" srcOrd="0" destOrd="0" presId="urn:microsoft.com/office/officeart/2005/8/layout/orgChart1"/>
    <dgm:cxn modelId="{2CF39B2F-E739-48D9-9085-43BE83BDE100}" srcId="{E60B31FE-6E42-4944-B40A-03A923AA49C5}" destId="{D1DBFCE0-9962-44F4-8648-37A4880FBF85}" srcOrd="2" destOrd="0" parTransId="{605AB15E-2427-46D0-ADC7-74D7D6CF3BCF}" sibTransId="{6AF53363-8E0F-409B-A42C-10E4FB2EB3BE}"/>
    <dgm:cxn modelId="{F7732E33-79CF-42CF-9FD5-D37CAB66F227}" type="presOf" srcId="{B877FCF5-06E5-4289-8161-AB16512EE513}" destId="{1CEE3072-ED8B-40B8-95A6-72A49E0CEA48}" srcOrd="1" destOrd="0" presId="urn:microsoft.com/office/officeart/2005/8/layout/orgChart1"/>
    <dgm:cxn modelId="{47284539-394F-447F-B4A2-971E8D2671A8}" srcId="{A122F62E-3055-4211-A0E5-6FB3D7DF4034}" destId="{3101A5D3-ADB8-4DDA-88D7-71744F6B7EDB}" srcOrd="2" destOrd="0" parTransId="{8F36508C-3DB1-4F17-93E5-6B9AB11BE57F}" sibTransId="{05236ECF-6E8F-4349-B3FD-B392B79ECA46}"/>
    <dgm:cxn modelId="{4097B340-3967-4EAB-A9E7-40859B5B31E0}" type="presOf" srcId="{C185D7C2-01D7-4A38-8EE2-C364D363957C}" destId="{3540DE59-0A7B-4DD3-9C73-AB15BED4E770}" srcOrd="0" destOrd="0" presId="urn:microsoft.com/office/officeart/2005/8/layout/orgChart1"/>
    <dgm:cxn modelId="{5915FA5C-7DAF-42EE-ADA3-15D59F467876}" srcId="{D1DBFCE0-9962-44F4-8648-37A4880FBF85}" destId="{9B0FDCBA-81E2-4300-9A0C-9242F09776EF}" srcOrd="2" destOrd="0" parTransId="{520B37D2-84A8-45F4-B45B-E5A9DBA1F98E}" sibTransId="{2690308F-E600-45D1-94C6-C1EEB45F55D7}"/>
    <dgm:cxn modelId="{AEED3E5D-239C-4B7A-885A-E7654BBB5435}" srcId="{A122F62E-3055-4211-A0E5-6FB3D7DF4034}" destId="{DAC1DD9A-F857-4AC4-BADE-0D14B20AA2B5}" srcOrd="0" destOrd="0" parTransId="{52264221-9C0D-4426-9293-BC063FD6CCD2}" sibTransId="{DF3A46B3-BC9C-4123-980C-13F636C0E560}"/>
    <dgm:cxn modelId="{E122635F-8355-4F14-A1DD-4DE3732722F3}" type="presOf" srcId="{5A580C17-6F43-4A8E-BE1C-E93C6D14F6BE}" destId="{7B791DB8-29E3-4669-824F-CFF0436CEF00}" srcOrd="1" destOrd="0" presId="urn:microsoft.com/office/officeart/2005/8/layout/orgChart1"/>
    <dgm:cxn modelId="{0F5BCF5F-A21F-4D39-A4F8-7ED17D211C9B}" type="presOf" srcId="{94DA8CE9-A72E-4924-AF7E-27C113DAEDF7}" destId="{E11C3B3D-BEA1-436F-955D-CD763DCE5230}" srcOrd="0" destOrd="0" presId="urn:microsoft.com/office/officeart/2005/8/layout/orgChart1"/>
    <dgm:cxn modelId="{DC557363-5C86-40D9-8FBD-571A3D6B5768}" type="presOf" srcId="{321618AA-1F20-45A4-B328-91DD8EAAF58F}" destId="{07957843-1866-4E00-BD83-84BC5C01313E}" srcOrd="1" destOrd="0" presId="urn:microsoft.com/office/officeart/2005/8/layout/orgChart1"/>
    <dgm:cxn modelId="{12CEF563-FCD8-48D5-B411-AE6CAA76D255}" type="presOf" srcId="{6F7F65B9-1023-4D72-A812-8EDB0D26490D}" destId="{460E2A72-7B4A-4B91-9031-30DF0F4AA857}" srcOrd="0" destOrd="0" presId="urn:microsoft.com/office/officeart/2005/8/layout/orgChart1"/>
    <dgm:cxn modelId="{54CC9C46-C3A1-493C-8BCA-E4F67146B4E5}" type="presOf" srcId="{F8D636A4-87AB-432B-B199-3F482AFE1346}" destId="{FAF2D9CB-ED57-42EB-B68E-86E0569297E5}" srcOrd="1" destOrd="0" presId="urn:microsoft.com/office/officeart/2005/8/layout/orgChart1"/>
    <dgm:cxn modelId="{17AA0747-C62F-428E-987F-116C5DCBEAB3}" type="presOf" srcId="{3101A5D3-ADB8-4DDA-88D7-71744F6B7EDB}" destId="{4BFE475E-520E-487A-ADEE-4215C0AD9DEE}" srcOrd="0" destOrd="0" presId="urn:microsoft.com/office/officeart/2005/8/layout/orgChart1"/>
    <dgm:cxn modelId="{C86C5947-31A4-44A8-9E9E-EEC428E9EEA8}" type="presOf" srcId="{EAFA0247-B016-4C65-90F3-BB73E5FE9CBF}" destId="{D8E80CEA-BE04-4805-BBB9-44FFA026A254}" srcOrd="1" destOrd="0" presId="urn:microsoft.com/office/officeart/2005/8/layout/orgChart1"/>
    <dgm:cxn modelId="{FCDA7F48-24AC-453C-AF2D-08002213A515}" type="presOf" srcId="{3101A5D3-ADB8-4DDA-88D7-71744F6B7EDB}" destId="{41783E5A-D177-4CE7-8C83-2F102A08324D}" srcOrd="1" destOrd="0" presId="urn:microsoft.com/office/officeart/2005/8/layout/orgChart1"/>
    <dgm:cxn modelId="{8621316A-E813-46CB-B5FC-237F8750D14B}" type="presOf" srcId="{CB441383-0C6D-45A5-BD2D-464677AD9E4E}" destId="{F49E4F3D-EBB0-4474-8D34-752A19735940}" srcOrd="0" destOrd="0" presId="urn:microsoft.com/office/officeart/2005/8/layout/orgChart1"/>
    <dgm:cxn modelId="{A09F894A-1AB9-45ED-889B-D6CDEE035D97}" srcId="{E60B31FE-6E42-4944-B40A-03A923AA49C5}" destId="{039D1D0B-F5F0-4A4B-8A3D-D98E50792B6C}" srcOrd="0" destOrd="0" parTransId="{253FAF02-DAF8-4DA1-93F4-F3A1E5072BE0}" sibTransId="{9A034D15-35CC-437B-B14C-149606C1277A}"/>
    <dgm:cxn modelId="{B7A9DB6B-08EF-451D-BF31-8DB8FED74716}" type="presOf" srcId="{42131322-8D3E-4394-9F73-EF712E0E5521}" destId="{B2BBB1DC-4D49-49C9-AA1C-87BE7CD7F81B}" srcOrd="1" destOrd="0" presId="urn:microsoft.com/office/officeart/2005/8/layout/orgChart1"/>
    <dgm:cxn modelId="{A09AFF6C-D673-4E29-9454-ABE7BD810FA7}" srcId="{E60B31FE-6E42-4944-B40A-03A923AA49C5}" destId="{CB441383-0C6D-45A5-BD2D-464677AD9E4E}" srcOrd="1" destOrd="0" parTransId="{1709D2DE-AEBB-488A-9066-56112AFC4DE2}" sibTransId="{DBA3F336-9A35-4933-A7DD-8D446191002C}"/>
    <dgm:cxn modelId="{91905052-402B-4466-A59A-707E22526FBC}" type="presOf" srcId="{CB441383-0C6D-45A5-BD2D-464677AD9E4E}" destId="{3387EFCC-E349-430B-B11D-942E1DA2122D}" srcOrd="1" destOrd="0" presId="urn:microsoft.com/office/officeart/2005/8/layout/orgChart1"/>
    <dgm:cxn modelId="{BCBB3973-C4FB-4010-91F1-AF0203242697}" type="presOf" srcId="{DAC1DD9A-F857-4AC4-BADE-0D14B20AA2B5}" destId="{F9AEE125-5341-4F7B-B625-12F876B98EBA}" srcOrd="1" destOrd="0" presId="urn:microsoft.com/office/officeart/2005/8/layout/orgChart1"/>
    <dgm:cxn modelId="{3F745C76-EA92-47AB-A47D-A81E99F2EE24}" type="presOf" srcId="{B877FCF5-06E5-4289-8161-AB16512EE513}" destId="{84E51ACC-D8C5-4147-A13E-EF84864B10D6}" srcOrd="0" destOrd="0" presId="urn:microsoft.com/office/officeart/2005/8/layout/orgChart1"/>
    <dgm:cxn modelId="{610A9558-F477-436E-97AF-789A6A23532A}" srcId="{D0B38DDF-170E-4E9B-9948-7B75ED25B9C8}" destId="{EAFA0247-B016-4C65-90F3-BB73E5FE9CBF}" srcOrd="0" destOrd="0" parTransId="{1750A790-6293-4D28-8A34-4D8AF670D669}" sibTransId="{86B51DD4-4730-4D77-920A-5FD473BF78EA}"/>
    <dgm:cxn modelId="{F2D7F159-4D53-49BD-B3D8-169F6DA9C242}" type="presOf" srcId="{8F36508C-3DB1-4F17-93E5-6B9AB11BE57F}" destId="{29ACAE7C-84F5-4988-AE1D-67CA8ED59E5D}" srcOrd="0" destOrd="0" presId="urn:microsoft.com/office/officeart/2005/8/layout/orgChart1"/>
    <dgm:cxn modelId="{7EEA035A-A967-40E9-9EA8-0F3D38C5AF28}" srcId="{CB441383-0C6D-45A5-BD2D-464677AD9E4E}" destId="{94DA8CE9-A72E-4924-AF7E-27C113DAEDF7}" srcOrd="0" destOrd="0" parTransId="{5E2236B9-051B-4C3F-84C1-9A4804C0B4A3}" sibTransId="{73158D81-ABF4-4197-91E8-EACC3F82AD95}"/>
    <dgm:cxn modelId="{B5E89E5A-46BD-48D4-95A6-C9C0018A91A1}" type="presOf" srcId="{321618AA-1F20-45A4-B328-91DD8EAAF58F}" destId="{1ECC73DE-076A-4F69-B22E-3FFD68A3EFC6}" srcOrd="0" destOrd="0" presId="urn:microsoft.com/office/officeart/2005/8/layout/orgChart1"/>
    <dgm:cxn modelId="{3ACD097B-8F14-4829-A23E-38E6FF5F07A6}" type="presOf" srcId="{572C00D7-AEA1-4065-B06D-07DEDBE0CCF4}" destId="{3CF2708C-6930-45F6-8F00-4163C936EBB3}" srcOrd="1" destOrd="0" presId="urn:microsoft.com/office/officeart/2005/8/layout/orgChart1"/>
    <dgm:cxn modelId="{346CF67C-601B-4680-BEAB-09823F992413}" type="presOf" srcId="{253FAF02-DAF8-4DA1-93F4-F3A1E5072BE0}" destId="{E5A47B20-72E9-4450-B171-5E3D5563185F}" srcOrd="0" destOrd="0" presId="urn:microsoft.com/office/officeart/2005/8/layout/orgChart1"/>
    <dgm:cxn modelId="{C3D96080-6CFD-481D-BB32-360315AF94FC}" type="presOf" srcId="{F8D636A4-87AB-432B-B199-3F482AFE1346}" destId="{07332389-5B29-48BA-9938-82E7CD0E0F7F}" srcOrd="0" destOrd="0" presId="urn:microsoft.com/office/officeart/2005/8/layout/orgChart1"/>
    <dgm:cxn modelId="{8EDCDC82-8C6C-4ED1-8BF1-2D307DA3031C}" type="presOf" srcId="{E59FB33D-B45E-4C7A-8D76-B0FC670618B5}" destId="{62BA02D4-2C0F-4D0B-ABD9-E45367973C5C}" srcOrd="0" destOrd="0" presId="urn:microsoft.com/office/officeart/2005/8/layout/orgChart1"/>
    <dgm:cxn modelId="{04F85E85-913F-4553-8AA9-2E9E12BF7B3B}" srcId="{E488F0B1-7A29-40AD-8A36-0409A7DE33A2}" destId="{42131322-8D3E-4394-9F73-EF712E0E5521}" srcOrd="1" destOrd="0" parTransId="{3698B59F-5198-487F-91CD-D5629CB2796D}" sibTransId="{476E3331-55DE-401D-B9D7-423BEFBD298E}"/>
    <dgm:cxn modelId="{9D7BF685-4C77-4B61-8FDE-8B76D99C9342}" type="presOf" srcId="{572C00D7-AEA1-4065-B06D-07DEDBE0CCF4}" destId="{1DC7A607-67A8-417E-A0F0-1EAD9FC99B4E}" srcOrd="0" destOrd="0" presId="urn:microsoft.com/office/officeart/2005/8/layout/orgChart1"/>
    <dgm:cxn modelId="{526E1287-F0C7-43B6-A041-7FD5AC0D4598}" type="presOf" srcId="{1FED840C-5C7E-402F-B99F-9FABBA82CDCE}" destId="{B4041B9E-21FB-4B53-9349-15157A48EF11}" srcOrd="1" destOrd="0" presId="urn:microsoft.com/office/officeart/2005/8/layout/orgChart1"/>
    <dgm:cxn modelId="{B288AE87-BACC-4C31-81DC-A1CDE78AEB9C}" type="presOf" srcId="{605AB15E-2427-46D0-ADC7-74D7D6CF3BCF}" destId="{00BF00DD-4B4C-4C99-9AC8-AA52A2987062}" srcOrd="0" destOrd="0" presId="urn:microsoft.com/office/officeart/2005/8/layout/orgChart1"/>
    <dgm:cxn modelId="{BE133B8C-ADAA-4479-897D-D6FD950D0D39}" type="presOf" srcId="{3ADE7771-7E17-4767-9C6A-91D654DDC99F}" destId="{16A37471-743F-47E8-89E8-DFA1398B1098}" srcOrd="0" destOrd="0" presId="urn:microsoft.com/office/officeart/2005/8/layout/orgChart1"/>
    <dgm:cxn modelId="{AFF0608E-68BE-4BCA-BA78-870149964C1B}" type="presOf" srcId="{D0B38DDF-170E-4E9B-9948-7B75ED25B9C8}" destId="{C4F394C1-28CB-4820-A056-87C14AA6FF5F}" srcOrd="0" destOrd="0" presId="urn:microsoft.com/office/officeart/2005/8/layout/orgChart1"/>
    <dgm:cxn modelId="{5B566390-A5FA-4953-A16E-385267EC8D84}" type="presOf" srcId="{7089A0BC-5A4B-4B33-B76D-BE2D2A74400D}" destId="{FC9DC4E2-05BB-43BB-8481-5CAF9C0201C4}" srcOrd="0" destOrd="0" presId="urn:microsoft.com/office/officeart/2005/8/layout/orgChart1"/>
    <dgm:cxn modelId="{9B3E9591-1E59-4768-93C4-DD8DEC8F1DEC}" srcId="{EAFA0247-B016-4C65-90F3-BB73E5FE9CBF}" destId="{E30FC7B5-FF36-4DEB-9ADE-C0ABCD900FDF}" srcOrd="1" destOrd="0" parTransId="{3ADE7771-7E17-4767-9C6A-91D654DDC99F}" sibTransId="{4D3FE66F-9B54-40D4-8FBB-BB194D113C1F}"/>
    <dgm:cxn modelId="{8E0FAA91-43F9-4F75-B0BE-9E7B170EDD28}" type="presOf" srcId="{3916B704-76BB-4B1B-99AD-D2681FB473C1}" destId="{48BF1F93-D2BF-487B-8917-F1E0589E50E1}" srcOrd="1" destOrd="0" presId="urn:microsoft.com/office/officeart/2005/8/layout/orgChart1"/>
    <dgm:cxn modelId="{15993194-078E-41BF-A85E-6C7F1058B96F}" type="presOf" srcId="{3698B59F-5198-487F-91CD-D5629CB2796D}" destId="{A773B732-B760-4900-A4E9-03141BC1646F}" srcOrd="0" destOrd="0" presId="urn:microsoft.com/office/officeart/2005/8/layout/orgChart1"/>
    <dgm:cxn modelId="{20E74594-EAD0-4BFF-A808-FA3D8A6EC186}" type="presOf" srcId="{1FED840C-5C7E-402F-B99F-9FABBA82CDCE}" destId="{420E9331-7746-4047-A918-C0E162B943C2}" srcOrd="0" destOrd="0" presId="urn:microsoft.com/office/officeart/2005/8/layout/orgChart1"/>
    <dgm:cxn modelId="{372E63A0-43A2-41BD-9A6C-E91B2AB2C443}" type="presOf" srcId="{9B0FDCBA-81E2-4300-9A0C-9242F09776EF}" destId="{8203DF14-2258-4F29-9708-61C8ED9CC3C5}" srcOrd="0" destOrd="0" presId="urn:microsoft.com/office/officeart/2005/8/layout/orgChart1"/>
    <dgm:cxn modelId="{544A39A2-2B85-4FA0-A8FE-ADF9FC60B08B}" srcId="{039D1D0B-F5F0-4A4B-8A3D-D98E50792B6C}" destId="{F8D636A4-87AB-432B-B199-3F482AFE1346}" srcOrd="2" destOrd="0" parTransId="{6F705239-C58D-4973-9AAB-D883AE301216}" sibTransId="{318B8650-DB82-4001-8090-46BAE395DC94}"/>
    <dgm:cxn modelId="{FC641BA9-6674-4179-93C4-BA25187E5AD3}" type="presOf" srcId="{5E2236B9-051B-4C3F-84C1-9A4804C0B4A3}" destId="{F6C78635-944C-4CB0-B4A8-A32432EB2D38}" srcOrd="0" destOrd="0" presId="urn:microsoft.com/office/officeart/2005/8/layout/orgChart1"/>
    <dgm:cxn modelId="{DCB511AB-CFDA-4ED1-BA39-785929A4BC8A}" srcId="{EAFA0247-B016-4C65-90F3-BB73E5FE9CBF}" destId="{E488F0B1-7A29-40AD-8A36-0409A7DE33A2}" srcOrd="3" destOrd="0" parTransId="{C185D7C2-01D7-4A38-8EE2-C364D363957C}" sibTransId="{4E8B9638-DAB2-410E-825D-F93F348402D2}"/>
    <dgm:cxn modelId="{04ABA0AD-04B9-475A-93BE-63AA94FCF457}" type="presOf" srcId="{4EB2F27E-58A8-48E1-ABEC-D5E38AB11801}" destId="{C5974C09-71FB-4DEA-9A65-A39502F93C37}" srcOrd="0" destOrd="0" presId="urn:microsoft.com/office/officeart/2005/8/layout/orgChart1"/>
    <dgm:cxn modelId="{D4D2DAB5-276C-4B67-8FB2-B62920BBF0B3}" type="presOf" srcId="{40A67FA1-4BC5-4286-913B-766410C98AB3}" destId="{1DACCC53-F7A8-49EB-91F4-0AAFD2FC68CD}" srcOrd="1" destOrd="0" presId="urn:microsoft.com/office/officeart/2005/8/layout/orgChart1"/>
    <dgm:cxn modelId="{2C1BE6BA-82A6-4812-8148-CCD1E56884D0}" type="presOf" srcId="{1709D2DE-AEBB-488A-9066-56112AFC4DE2}" destId="{B7A8FA05-9795-4485-93F4-86B3589327F1}" srcOrd="0" destOrd="0" presId="urn:microsoft.com/office/officeart/2005/8/layout/orgChart1"/>
    <dgm:cxn modelId="{AFCCA3C1-3143-4A7A-8FF1-9EA5630E4D5D}" type="presOf" srcId="{E488F0B1-7A29-40AD-8A36-0409A7DE33A2}" destId="{CD84E35C-0426-4027-8C70-139EE895F476}" srcOrd="0" destOrd="0" presId="urn:microsoft.com/office/officeart/2005/8/layout/orgChart1"/>
    <dgm:cxn modelId="{5736D4C3-0D38-48D5-8A69-BE43282908EF}" srcId="{CB441383-0C6D-45A5-BD2D-464677AD9E4E}" destId="{5A580C17-6F43-4A8E-BE1C-E93C6D14F6BE}" srcOrd="2" destOrd="0" parTransId="{A02768D9-EC85-47DF-8726-AFABE354BB08}" sibTransId="{2756D347-C6B0-4FD1-A07D-2DE0B84E0FFF}"/>
    <dgm:cxn modelId="{30F9A8C7-E513-412A-AAC8-A5E3F28F7FCF}" type="presOf" srcId="{52264221-9C0D-4426-9293-BC063FD6CCD2}" destId="{DB623C69-8C20-4A8C-99E3-CF5CAF0B8B0C}" srcOrd="0" destOrd="0" presId="urn:microsoft.com/office/officeart/2005/8/layout/orgChart1"/>
    <dgm:cxn modelId="{C773C2C8-E53D-4E81-BD3D-D862E0850CEE}" type="presOf" srcId="{F47B8080-3F24-46EF-A036-A137BFDEC2A2}" destId="{DA70565F-61E0-4ADE-8281-AC2E182A45B8}" srcOrd="0" destOrd="0" presId="urn:microsoft.com/office/officeart/2005/8/layout/orgChart1"/>
    <dgm:cxn modelId="{BF69B9CE-50F1-4033-BD88-64F1BF7449C0}" srcId="{1FED840C-5C7E-402F-B99F-9FABBA82CDCE}" destId="{572C00D7-AEA1-4065-B06D-07DEDBE0CCF4}" srcOrd="0" destOrd="0" parTransId="{4EB2F27E-58A8-48E1-ABEC-D5E38AB11801}" sibTransId="{D468436F-C68C-4D24-82F8-485C675D8C73}"/>
    <dgm:cxn modelId="{AC7B5ED5-7EE6-43AE-8653-3816C0B41655}" type="presOf" srcId="{D1DBFCE0-9962-44F4-8648-37A4880FBF85}" destId="{95D8F10E-D2ED-44ED-8BC3-E0E979B71917}" srcOrd="1" destOrd="0" presId="urn:microsoft.com/office/officeart/2005/8/layout/orgChart1"/>
    <dgm:cxn modelId="{73EE05D6-424B-4D5B-9144-298DB5AFE209}" type="presOf" srcId="{E60B31FE-6E42-4944-B40A-03A923AA49C5}" destId="{AE9EA528-60A3-46A3-9E67-0F293815D021}" srcOrd="1" destOrd="0" presId="urn:microsoft.com/office/officeart/2005/8/layout/orgChart1"/>
    <dgm:cxn modelId="{973F2AD9-613F-444F-BB4C-4F7262C77DE1}" type="presOf" srcId="{27200DD6-CB97-4146-81D7-7DDEDC02CCEF}" destId="{FDB326B2-71E4-4121-8733-F7F1CE5AD249}" srcOrd="0" destOrd="0" presId="urn:microsoft.com/office/officeart/2005/8/layout/orgChart1"/>
    <dgm:cxn modelId="{1C838AD9-0FC4-4CA9-950D-2076D2A9F95B}" type="presOf" srcId="{E30FC7B5-FF36-4DEB-9ADE-C0ABCD900FDF}" destId="{1573E17A-B77B-4E34-B936-50AB76EBE579}" srcOrd="1" destOrd="0" presId="urn:microsoft.com/office/officeart/2005/8/layout/orgChart1"/>
    <dgm:cxn modelId="{72B026DA-5D63-457F-A3AA-7B6BBF3B9C10}" type="presOf" srcId="{46E58FAC-C0C5-4423-A9B8-900D4B8F706E}" destId="{4DF59F3E-8367-4561-B449-AB7BC096DA60}" srcOrd="0" destOrd="0" presId="urn:microsoft.com/office/officeart/2005/8/layout/orgChart1"/>
    <dgm:cxn modelId="{96C467DA-94E6-4A57-9A58-E59C603037D4}" srcId="{039D1D0B-F5F0-4A4B-8A3D-D98E50792B6C}" destId="{B877FCF5-06E5-4289-8161-AB16512EE513}" srcOrd="1" destOrd="0" parTransId="{AABA5FAE-9778-4D60-96EC-37920CB330F8}" sibTransId="{5DF3F1E6-696E-4818-B89F-71C6D58B9830}"/>
    <dgm:cxn modelId="{A46230DF-9C93-4943-923F-2D01B3B09829}" type="presOf" srcId="{42131322-8D3E-4394-9F73-EF712E0E5521}" destId="{2124F06D-0084-49CE-8235-2E1ED2CDE136}" srcOrd="0" destOrd="0" presId="urn:microsoft.com/office/officeart/2005/8/layout/orgChart1"/>
    <dgm:cxn modelId="{867C03E4-CADE-4E05-BB62-84E44FBE1B74}" type="presOf" srcId="{5A580C17-6F43-4A8E-BE1C-E93C6D14F6BE}" destId="{97709F53-4CA2-40BE-8513-6D6584694F2D}" srcOrd="0" destOrd="0" presId="urn:microsoft.com/office/officeart/2005/8/layout/orgChart1"/>
    <dgm:cxn modelId="{2BA517E6-0E3D-4790-A0A4-0F4C2C8F8856}" type="presOf" srcId="{3916B704-76BB-4B1B-99AD-D2681FB473C1}" destId="{9887B920-5228-49B0-A302-1CE3C1806EC8}" srcOrd="0" destOrd="0" presId="urn:microsoft.com/office/officeart/2005/8/layout/orgChart1"/>
    <dgm:cxn modelId="{C223ACEA-B8A4-4E04-826B-4D31C3514821}" type="presOf" srcId="{DAC1DD9A-F857-4AC4-BADE-0D14B20AA2B5}" destId="{998F1735-0A99-4839-8627-F742B8695E57}" srcOrd="0" destOrd="0" presId="urn:microsoft.com/office/officeart/2005/8/layout/orgChart1"/>
    <dgm:cxn modelId="{11DCC7ED-F183-4B58-927F-43ABAC4182E9}" type="presOf" srcId="{40A67FA1-4BC5-4286-913B-766410C98AB3}" destId="{2CDE807B-7025-4091-883A-74748029DFE4}" srcOrd="0" destOrd="0" presId="urn:microsoft.com/office/officeart/2005/8/layout/orgChart1"/>
    <dgm:cxn modelId="{AF2988EE-9A78-498F-968F-6223537B34E2}" type="presOf" srcId="{A122F62E-3055-4211-A0E5-6FB3D7DF4034}" destId="{6229BF1B-5E51-4ADB-852C-11EBC0872264}" srcOrd="1" destOrd="0" presId="urn:microsoft.com/office/officeart/2005/8/layout/orgChart1"/>
    <dgm:cxn modelId="{82803EEF-6927-4B8C-8EAE-AA999ED47F6C}" type="presOf" srcId="{D797EF45-6022-411C-8A18-93B53BE7DF01}" destId="{0590F5DA-F25D-4021-8137-F68C31FB4EEA}" srcOrd="1" destOrd="0" presId="urn:microsoft.com/office/officeart/2005/8/layout/orgChart1"/>
    <dgm:cxn modelId="{42D812F5-CD5F-4004-86A1-22D276762128}" srcId="{CB441383-0C6D-45A5-BD2D-464677AD9E4E}" destId="{E59FB33D-B45E-4C7A-8D76-B0FC670618B5}" srcOrd="1" destOrd="0" parTransId="{3355EC64-7B8B-4ABC-AC41-3213D3DD0593}" sibTransId="{C5E82DE6-A878-441D-A6C9-B8157F2745F9}"/>
    <dgm:cxn modelId="{ABF424F5-5637-44B1-AC6D-2DE581D08F8C}" type="presOf" srcId="{D797EF45-6022-411C-8A18-93B53BE7DF01}" destId="{6254C4C1-8925-47F8-929E-1CC31573C919}" srcOrd="0" destOrd="0" presId="urn:microsoft.com/office/officeart/2005/8/layout/orgChart1"/>
    <dgm:cxn modelId="{C5858FF8-F0E3-4F94-954C-51B43547E2FD}" srcId="{A122F62E-3055-4211-A0E5-6FB3D7DF4034}" destId="{40A67FA1-4BC5-4286-913B-766410C98AB3}" srcOrd="1" destOrd="0" parTransId="{374EA2A5-5DC3-442D-BC67-0D33911A328D}" sibTransId="{86F43D1A-BAE8-496C-891C-56FF0FB08D86}"/>
    <dgm:cxn modelId="{B163E9FA-8E40-422B-9C1D-FBCEEEE46B30}" srcId="{039D1D0B-F5F0-4A4B-8A3D-D98E50792B6C}" destId="{321618AA-1F20-45A4-B328-91DD8EAAF58F}" srcOrd="0" destOrd="0" parTransId="{3CA0CCB2-EF06-4AC5-8B68-C8CBA935ED17}" sibTransId="{8BBE3116-7705-4358-ABD3-01CD34451CF8}"/>
    <dgm:cxn modelId="{64B32AFD-6B0D-4F0D-9871-C08EFC19A7A7}" type="presOf" srcId="{94DA8CE9-A72E-4924-AF7E-27C113DAEDF7}" destId="{B2E77A9E-1B20-4E6C-8359-6425ED0F4C98}" srcOrd="1" destOrd="0" presId="urn:microsoft.com/office/officeart/2005/8/layout/orgChart1"/>
    <dgm:cxn modelId="{00579FFE-2F15-40F1-817C-0740FA4B67E6}" type="presOf" srcId="{3CA0CCB2-EF06-4AC5-8B68-C8CBA935ED17}" destId="{745CD4A0-7DFD-406C-93D0-F5B91E9C2612}" srcOrd="0" destOrd="0" presId="urn:microsoft.com/office/officeart/2005/8/layout/orgChart1"/>
    <dgm:cxn modelId="{7A235CFF-23C9-408B-BE31-D9AC2B4661F2}" type="presOf" srcId="{A122F62E-3055-4211-A0E5-6FB3D7DF4034}" destId="{BE7D7CC8-41FD-47B9-9BA8-EB8AAEF8182F}" srcOrd="0" destOrd="0" presId="urn:microsoft.com/office/officeart/2005/8/layout/orgChart1"/>
    <dgm:cxn modelId="{B2734FA3-412B-4C8D-9E45-6AE601D37BA1}" type="presParOf" srcId="{C4F394C1-28CB-4820-A056-87C14AA6FF5F}" destId="{6C951D46-2C3A-45AE-86A3-844A98948268}" srcOrd="0" destOrd="0" presId="urn:microsoft.com/office/officeart/2005/8/layout/orgChart1"/>
    <dgm:cxn modelId="{7AE397A2-1E4C-431E-BD39-2AA1D6C97BDA}" type="presParOf" srcId="{6C951D46-2C3A-45AE-86A3-844A98948268}" destId="{71CF242B-BC9B-494F-A4DB-52079E699EA9}" srcOrd="0" destOrd="0" presId="urn:microsoft.com/office/officeart/2005/8/layout/orgChart1"/>
    <dgm:cxn modelId="{B9F0C588-199D-4229-95C8-8090A31BFEB5}" type="presParOf" srcId="{71CF242B-BC9B-494F-A4DB-52079E699EA9}" destId="{41A1CD02-EF48-4382-8452-19AB12612FB6}" srcOrd="0" destOrd="0" presId="urn:microsoft.com/office/officeart/2005/8/layout/orgChart1"/>
    <dgm:cxn modelId="{6767DF1E-6F90-464E-9793-6811C2D6E940}" type="presParOf" srcId="{71CF242B-BC9B-494F-A4DB-52079E699EA9}" destId="{D8E80CEA-BE04-4805-BBB9-44FFA026A254}" srcOrd="1" destOrd="0" presId="urn:microsoft.com/office/officeart/2005/8/layout/orgChart1"/>
    <dgm:cxn modelId="{6117DF92-5341-4564-BC69-00DD5ECBC72E}" type="presParOf" srcId="{6C951D46-2C3A-45AE-86A3-844A98948268}" destId="{2CD2C1A2-B488-4C00-B362-8FB311ABC909}" srcOrd="1" destOrd="0" presId="urn:microsoft.com/office/officeart/2005/8/layout/orgChart1"/>
    <dgm:cxn modelId="{247D3F36-AD2D-4335-AD59-A69610F3A557}" type="presParOf" srcId="{2CD2C1A2-B488-4C00-B362-8FB311ABC909}" destId="{4DF59F3E-8367-4561-B449-AB7BC096DA60}" srcOrd="0" destOrd="0" presId="urn:microsoft.com/office/officeart/2005/8/layout/orgChart1"/>
    <dgm:cxn modelId="{A32CA9EB-BD93-4729-A4CF-FAEB3F8853A6}" type="presParOf" srcId="{2CD2C1A2-B488-4C00-B362-8FB311ABC909}" destId="{DEE6E067-2FA9-47AB-973A-C4688A314069}" srcOrd="1" destOrd="0" presId="urn:microsoft.com/office/officeart/2005/8/layout/orgChart1"/>
    <dgm:cxn modelId="{6A9C63CB-10EF-4513-B7B6-A3197FEF4FFB}" type="presParOf" srcId="{DEE6E067-2FA9-47AB-973A-C4688A314069}" destId="{4FA9C67F-D641-4DB7-8F9D-1D4CCC8938C7}" srcOrd="0" destOrd="0" presId="urn:microsoft.com/office/officeart/2005/8/layout/orgChart1"/>
    <dgm:cxn modelId="{C1BC1D11-DB5C-464D-8055-DFEF3158206E}" type="presParOf" srcId="{4FA9C67F-D641-4DB7-8F9D-1D4CCC8938C7}" destId="{BE7D7CC8-41FD-47B9-9BA8-EB8AAEF8182F}" srcOrd="0" destOrd="0" presId="urn:microsoft.com/office/officeart/2005/8/layout/orgChart1"/>
    <dgm:cxn modelId="{B87EFDF4-B127-4136-998C-299F4C572D1B}" type="presParOf" srcId="{4FA9C67F-D641-4DB7-8F9D-1D4CCC8938C7}" destId="{6229BF1B-5E51-4ADB-852C-11EBC0872264}" srcOrd="1" destOrd="0" presId="urn:microsoft.com/office/officeart/2005/8/layout/orgChart1"/>
    <dgm:cxn modelId="{42C70C1F-C25A-497B-B5B8-0FBF7A1310ED}" type="presParOf" srcId="{DEE6E067-2FA9-47AB-973A-C4688A314069}" destId="{1953D8AC-A999-414B-852C-3409C02D3771}" srcOrd="1" destOrd="0" presId="urn:microsoft.com/office/officeart/2005/8/layout/orgChart1"/>
    <dgm:cxn modelId="{1D98DFD0-3083-4CD0-96F5-9401A824581A}" type="presParOf" srcId="{1953D8AC-A999-414B-852C-3409C02D3771}" destId="{DB623C69-8C20-4A8C-99E3-CF5CAF0B8B0C}" srcOrd="0" destOrd="0" presId="urn:microsoft.com/office/officeart/2005/8/layout/orgChart1"/>
    <dgm:cxn modelId="{A29053FD-7AEB-4840-B0C6-CF43F289BFC9}" type="presParOf" srcId="{1953D8AC-A999-414B-852C-3409C02D3771}" destId="{1F0B7DAB-8304-41E0-B2D3-2C4C0DB6CC80}" srcOrd="1" destOrd="0" presId="urn:microsoft.com/office/officeart/2005/8/layout/orgChart1"/>
    <dgm:cxn modelId="{74A7C2CF-DFEE-4479-8D18-37512B2ECF71}" type="presParOf" srcId="{1F0B7DAB-8304-41E0-B2D3-2C4C0DB6CC80}" destId="{4C02A9C6-BA64-4EA4-8B0C-46201097AE16}" srcOrd="0" destOrd="0" presId="urn:microsoft.com/office/officeart/2005/8/layout/orgChart1"/>
    <dgm:cxn modelId="{51C21EE6-3E21-436E-AC0C-7B7CA02E326D}" type="presParOf" srcId="{4C02A9C6-BA64-4EA4-8B0C-46201097AE16}" destId="{998F1735-0A99-4839-8627-F742B8695E57}" srcOrd="0" destOrd="0" presId="urn:microsoft.com/office/officeart/2005/8/layout/orgChart1"/>
    <dgm:cxn modelId="{0C077796-0628-4602-8388-98221AD91CFD}" type="presParOf" srcId="{4C02A9C6-BA64-4EA4-8B0C-46201097AE16}" destId="{F9AEE125-5341-4F7B-B625-12F876B98EBA}" srcOrd="1" destOrd="0" presId="urn:microsoft.com/office/officeart/2005/8/layout/orgChart1"/>
    <dgm:cxn modelId="{56AB92B5-5C54-4A88-A803-9761A2C9FA1F}" type="presParOf" srcId="{1F0B7DAB-8304-41E0-B2D3-2C4C0DB6CC80}" destId="{EBA58DFA-7106-46FC-BCB6-78F62A53EFDD}" srcOrd="1" destOrd="0" presId="urn:microsoft.com/office/officeart/2005/8/layout/orgChart1"/>
    <dgm:cxn modelId="{91B11915-A58F-4930-8C9A-63B59FDC5D62}" type="presParOf" srcId="{1F0B7DAB-8304-41E0-B2D3-2C4C0DB6CC80}" destId="{3DC759E2-313F-4306-B987-365BF3AF99F7}" srcOrd="2" destOrd="0" presId="urn:microsoft.com/office/officeart/2005/8/layout/orgChart1"/>
    <dgm:cxn modelId="{9BC680BD-BB50-4D9C-A850-2AB9D5ECBD9B}" type="presParOf" srcId="{1953D8AC-A999-414B-852C-3409C02D3771}" destId="{24BB72EB-AC1E-484C-A520-3EFEF578A31B}" srcOrd="2" destOrd="0" presId="urn:microsoft.com/office/officeart/2005/8/layout/orgChart1"/>
    <dgm:cxn modelId="{E457A6F4-80DC-41C3-B8D5-CF9D8B3F1427}" type="presParOf" srcId="{1953D8AC-A999-414B-852C-3409C02D3771}" destId="{870626B7-6E7C-42E0-B646-7EF9F374AED7}" srcOrd="3" destOrd="0" presId="urn:microsoft.com/office/officeart/2005/8/layout/orgChart1"/>
    <dgm:cxn modelId="{8C07BB58-09CE-429B-9975-118CF4D4B0A7}" type="presParOf" srcId="{870626B7-6E7C-42E0-B646-7EF9F374AED7}" destId="{F4B4F453-15ED-406C-9AFF-F18FAE7A0E5B}" srcOrd="0" destOrd="0" presId="urn:microsoft.com/office/officeart/2005/8/layout/orgChart1"/>
    <dgm:cxn modelId="{CDF378D8-1A30-49D6-811A-B29236EDC4DC}" type="presParOf" srcId="{F4B4F453-15ED-406C-9AFF-F18FAE7A0E5B}" destId="{2CDE807B-7025-4091-883A-74748029DFE4}" srcOrd="0" destOrd="0" presId="urn:microsoft.com/office/officeart/2005/8/layout/orgChart1"/>
    <dgm:cxn modelId="{4EA21E9A-0A60-4968-854D-FCED41ED3A2D}" type="presParOf" srcId="{F4B4F453-15ED-406C-9AFF-F18FAE7A0E5B}" destId="{1DACCC53-F7A8-49EB-91F4-0AAFD2FC68CD}" srcOrd="1" destOrd="0" presId="urn:microsoft.com/office/officeart/2005/8/layout/orgChart1"/>
    <dgm:cxn modelId="{276577F0-9EA7-418D-B48F-0CE2182082EF}" type="presParOf" srcId="{870626B7-6E7C-42E0-B646-7EF9F374AED7}" destId="{3AF0F14C-30A6-4949-9902-08D97FEF3A3C}" srcOrd="1" destOrd="0" presId="urn:microsoft.com/office/officeart/2005/8/layout/orgChart1"/>
    <dgm:cxn modelId="{E1D2807E-9614-4B34-960B-0962A7DDABF7}" type="presParOf" srcId="{870626B7-6E7C-42E0-B646-7EF9F374AED7}" destId="{75802418-AD49-4F4F-BE96-36DDD1E4E6C7}" srcOrd="2" destOrd="0" presId="urn:microsoft.com/office/officeart/2005/8/layout/orgChart1"/>
    <dgm:cxn modelId="{3FD8A560-2830-44C0-B6F7-07BA3E00F577}" type="presParOf" srcId="{1953D8AC-A999-414B-852C-3409C02D3771}" destId="{29ACAE7C-84F5-4988-AE1D-67CA8ED59E5D}" srcOrd="4" destOrd="0" presId="urn:microsoft.com/office/officeart/2005/8/layout/orgChart1"/>
    <dgm:cxn modelId="{28BA8C9B-CBE3-48B0-A34C-7181CD34A9B8}" type="presParOf" srcId="{1953D8AC-A999-414B-852C-3409C02D3771}" destId="{DE632FA5-454F-49EB-94A9-8249A62BD04D}" srcOrd="5" destOrd="0" presId="urn:microsoft.com/office/officeart/2005/8/layout/orgChart1"/>
    <dgm:cxn modelId="{D44C1BA0-4AA8-4142-B808-A287A1D375E1}" type="presParOf" srcId="{DE632FA5-454F-49EB-94A9-8249A62BD04D}" destId="{A35AB6A9-6EA8-4A3D-95B7-E2833A0CC71A}" srcOrd="0" destOrd="0" presId="urn:microsoft.com/office/officeart/2005/8/layout/orgChart1"/>
    <dgm:cxn modelId="{AC151690-529F-433E-858F-D042259B3201}" type="presParOf" srcId="{A35AB6A9-6EA8-4A3D-95B7-E2833A0CC71A}" destId="{4BFE475E-520E-487A-ADEE-4215C0AD9DEE}" srcOrd="0" destOrd="0" presId="urn:microsoft.com/office/officeart/2005/8/layout/orgChart1"/>
    <dgm:cxn modelId="{E33ABDFB-8F5F-40CE-8B94-D02837F528ED}" type="presParOf" srcId="{A35AB6A9-6EA8-4A3D-95B7-E2833A0CC71A}" destId="{41783E5A-D177-4CE7-8C83-2F102A08324D}" srcOrd="1" destOrd="0" presId="urn:microsoft.com/office/officeart/2005/8/layout/orgChart1"/>
    <dgm:cxn modelId="{C21C6C20-4A14-4E24-AA5C-3F8648EEF029}" type="presParOf" srcId="{DE632FA5-454F-49EB-94A9-8249A62BD04D}" destId="{02AFB96E-880A-411D-B331-8C5D90F5A6A9}" srcOrd="1" destOrd="0" presId="urn:microsoft.com/office/officeart/2005/8/layout/orgChart1"/>
    <dgm:cxn modelId="{5342474C-F686-49D1-A19D-0E3DFBE7AE29}" type="presParOf" srcId="{DE632FA5-454F-49EB-94A9-8249A62BD04D}" destId="{1FAEB5C6-CB2A-4ABC-AEDB-71C0003141CF}" srcOrd="2" destOrd="0" presId="urn:microsoft.com/office/officeart/2005/8/layout/orgChart1"/>
    <dgm:cxn modelId="{54FB4265-8203-4D95-A4AF-691D73195B3A}" type="presParOf" srcId="{DEE6E067-2FA9-47AB-973A-C4688A314069}" destId="{603BB508-03A1-487A-97F6-28E59D8DA803}" srcOrd="2" destOrd="0" presId="urn:microsoft.com/office/officeart/2005/8/layout/orgChart1"/>
    <dgm:cxn modelId="{7D6CD595-A9FC-4DA0-B68C-5832F1A5C21E}" type="presParOf" srcId="{2CD2C1A2-B488-4C00-B362-8FB311ABC909}" destId="{16A37471-743F-47E8-89E8-DFA1398B1098}" srcOrd="2" destOrd="0" presId="urn:microsoft.com/office/officeart/2005/8/layout/orgChart1"/>
    <dgm:cxn modelId="{D4458607-E3E9-4E2E-8C4F-4075D9AE8A4F}" type="presParOf" srcId="{2CD2C1A2-B488-4C00-B362-8FB311ABC909}" destId="{FCCEC701-B21A-4439-867C-A9A83CED2574}" srcOrd="3" destOrd="0" presId="urn:microsoft.com/office/officeart/2005/8/layout/orgChart1"/>
    <dgm:cxn modelId="{1F2C715B-4E4F-4138-9AD2-412BEAED9287}" type="presParOf" srcId="{FCCEC701-B21A-4439-867C-A9A83CED2574}" destId="{2C62669A-F168-4061-8AD7-66578CE4AD45}" srcOrd="0" destOrd="0" presId="urn:microsoft.com/office/officeart/2005/8/layout/orgChart1"/>
    <dgm:cxn modelId="{9A4D53E6-A8D8-45F2-A773-8318844A2968}" type="presParOf" srcId="{2C62669A-F168-4061-8AD7-66578CE4AD45}" destId="{E40995F4-219F-4BA4-B31F-1145FD04EC0A}" srcOrd="0" destOrd="0" presId="urn:microsoft.com/office/officeart/2005/8/layout/orgChart1"/>
    <dgm:cxn modelId="{F52932CD-4BEE-41F0-A1B2-36947DF96AE8}" type="presParOf" srcId="{2C62669A-F168-4061-8AD7-66578CE4AD45}" destId="{1573E17A-B77B-4E34-B936-50AB76EBE579}" srcOrd="1" destOrd="0" presId="urn:microsoft.com/office/officeart/2005/8/layout/orgChart1"/>
    <dgm:cxn modelId="{09F9A4B7-3F67-4E5E-8C9D-3DB6696ABB5E}" type="presParOf" srcId="{FCCEC701-B21A-4439-867C-A9A83CED2574}" destId="{0B82675B-6C51-4F48-9BA5-66EBFC42675D}" srcOrd="1" destOrd="0" presId="urn:microsoft.com/office/officeart/2005/8/layout/orgChart1"/>
    <dgm:cxn modelId="{26AF1CA6-C22D-44ED-9AD3-7AF353CCA34C}" type="presParOf" srcId="{FCCEC701-B21A-4439-867C-A9A83CED2574}" destId="{0B9A1842-A09D-411B-82F4-88BA7DEA6424}" srcOrd="2" destOrd="0" presId="urn:microsoft.com/office/officeart/2005/8/layout/orgChart1"/>
    <dgm:cxn modelId="{D6444244-34B3-4CF3-8312-032B329AC32E}" type="presParOf" srcId="{2CD2C1A2-B488-4C00-B362-8FB311ABC909}" destId="{FC9DC4E2-05BB-43BB-8481-5CAF9C0201C4}" srcOrd="4" destOrd="0" presId="urn:microsoft.com/office/officeart/2005/8/layout/orgChart1"/>
    <dgm:cxn modelId="{2FBA4BA0-0ABE-4567-9785-A7F039CEF697}" type="presParOf" srcId="{2CD2C1A2-B488-4C00-B362-8FB311ABC909}" destId="{8D0C47DA-DF5F-459B-B758-6B3E65607CC4}" srcOrd="5" destOrd="0" presId="urn:microsoft.com/office/officeart/2005/8/layout/orgChart1"/>
    <dgm:cxn modelId="{18F886D1-5A55-4753-9D13-5319286E7854}" type="presParOf" srcId="{8D0C47DA-DF5F-459B-B758-6B3E65607CC4}" destId="{8EE3BC18-11A5-45F9-B113-5854C11A9B21}" srcOrd="0" destOrd="0" presId="urn:microsoft.com/office/officeart/2005/8/layout/orgChart1"/>
    <dgm:cxn modelId="{2F41680D-3C96-443C-806B-05A2B8055C14}" type="presParOf" srcId="{8EE3BC18-11A5-45F9-B113-5854C11A9B21}" destId="{D934B4D3-CDD7-4A0B-97B9-019F3178BC69}" srcOrd="0" destOrd="0" presId="urn:microsoft.com/office/officeart/2005/8/layout/orgChart1"/>
    <dgm:cxn modelId="{94684DCB-01EC-47AC-A21E-6813BADD13C8}" type="presParOf" srcId="{8EE3BC18-11A5-45F9-B113-5854C11A9B21}" destId="{AE9EA528-60A3-46A3-9E67-0F293815D021}" srcOrd="1" destOrd="0" presId="urn:microsoft.com/office/officeart/2005/8/layout/orgChart1"/>
    <dgm:cxn modelId="{C1D7B72D-0ACA-4994-B701-5CA8BD5E6769}" type="presParOf" srcId="{8D0C47DA-DF5F-459B-B758-6B3E65607CC4}" destId="{9D3F7A34-A70F-4899-8486-C21556E5AACD}" srcOrd="1" destOrd="0" presId="urn:microsoft.com/office/officeart/2005/8/layout/orgChart1"/>
    <dgm:cxn modelId="{3A532C08-9BF0-42A0-95FE-3420E0C14700}" type="presParOf" srcId="{9D3F7A34-A70F-4899-8486-C21556E5AACD}" destId="{E5A47B20-72E9-4450-B171-5E3D5563185F}" srcOrd="0" destOrd="0" presId="urn:microsoft.com/office/officeart/2005/8/layout/orgChart1"/>
    <dgm:cxn modelId="{CDE64F95-5158-4B7E-A6E5-573D90642C75}" type="presParOf" srcId="{9D3F7A34-A70F-4899-8486-C21556E5AACD}" destId="{16C92880-996F-4DFD-B0E3-FD7265A514A2}" srcOrd="1" destOrd="0" presId="urn:microsoft.com/office/officeart/2005/8/layout/orgChart1"/>
    <dgm:cxn modelId="{19686952-852D-45A2-B829-A7E06F82410F}" type="presParOf" srcId="{16C92880-996F-4DFD-B0E3-FD7265A514A2}" destId="{EF28DF18-DC48-4B2C-B462-DAA91DF56F8B}" srcOrd="0" destOrd="0" presId="urn:microsoft.com/office/officeart/2005/8/layout/orgChart1"/>
    <dgm:cxn modelId="{BCEFDA44-25C1-4532-8BD8-3AC7920D2C44}" type="presParOf" srcId="{EF28DF18-DC48-4B2C-B462-DAA91DF56F8B}" destId="{456C7493-DF3C-46EF-8370-C102F6FC7125}" srcOrd="0" destOrd="0" presId="urn:microsoft.com/office/officeart/2005/8/layout/orgChart1"/>
    <dgm:cxn modelId="{423D8ED8-2AA9-48E8-9040-C30255A13D3E}" type="presParOf" srcId="{EF28DF18-DC48-4B2C-B462-DAA91DF56F8B}" destId="{6DD7D2D8-A68B-4764-A00D-44B2DB067314}" srcOrd="1" destOrd="0" presId="urn:microsoft.com/office/officeart/2005/8/layout/orgChart1"/>
    <dgm:cxn modelId="{1B267BEF-5E49-4897-B079-CFEB03FF4AC5}" type="presParOf" srcId="{16C92880-996F-4DFD-B0E3-FD7265A514A2}" destId="{662FCBF5-5E23-4CAA-B658-737A05A7CECD}" srcOrd="1" destOrd="0" presId="urn:microsoft.com/office/officeart/2005/8/layout/orgChart1"/>
    <dgm:cxn modelId="{D8163E13-F97D-48FE-9E78-F4CED503B351}" type="presParOf" srcId="{662FCBF5-5E23-4CAA-B658-737A05A7CECD}" destId="{745CD4A0-7DFD-406C-93D0-F5B91E9C2612}" srcOrd="0" destOrd="0" presId="urn:microsoft.com/office/officeart/2005/8/layout/orgChart1"/>
    <dgm:cxn modelId="{81151702-0C9B-4C89-A206-818E3303D692}" type="presParOf" srcId="{662FCBF5-5E23-4CAA-B658-737A05A7CECD}" destId="{5C6B63D1-9919-4DCD-9460-92533E8AAD2A}" srcOrd="1" destOrd="0" presId="urn:microsoft.com/office/officeart/2005/8/layout/orgChart1"/>
    <dgm:cxn modelId="{C1A66054-0B01-433A-871C-B0CAC659F8A5}" type="presParOf" srcId="{5C6B63D1-9919-4DCD-9460-92533E8AAD2A}" destId="{0493BDE8-A9CA-4EE2-8700-F4B90BFACADF}" srcOrd="0" destOrd="0" presId="urn:microsoft.com/office/officeart/2005/8/layout/orgChart1"/>
    <dgm:cxn modelId="{05EAD684-9B9B-4E81-AB79-D749A396EC1C}" type="presParOf" srcId="{0493BDE8-A9CA-4EE2-8700-F4B90BFACADF}" destId="{1ECC73DE-076A-4F69-B22E-3FFD68A3EFC6}" srcOrd="0" destOrd="0" presId="urn:microsoft.com/office/officeart/2005/8/layout/orgChart1"/>
    <dgm:cxn modelId="{E3A34B5F-DEE3-4241-86DB-B6F555D19624}" type="presParOf" srcId="{0493BDE8-A9CA-4EE2-8700-F4B90BFACADF}" destId="{07957843-1866-4E00-BD83-84BC5C01313E}" srcOrd="1" destOrd="0" presId="urn:microsoft.com/office/officeart/2005/8/layout/orgChart1"/>
    <dgm:cxn modelId="{AF2B3C28-B835-49E8-82E3-5DD9C78CCAFF}" type="presParOf" srcId="{5C6B63D1-9919-4DCD-9460-92533E8AAD2A}" destId="{C96E3F40-9612-4BE4-833B-2717F3D052C3}" srcOrd="1" destOrd="0" presId="urn:microsoft.com/office/officeart/2005/8/layout/orgChart1"/>
    <dgm:cxn modelId="{14749BC5-DB39-47DC-BC06-06B448CDA8AE}" type="presParOf" srcId="{5C6B63D1-9919-4DCD-9460-92533E8AAD2A}" destId="{BC770F2C-4318-477C-B407-04C7A25EA9E0}" srcOrd="2" destOrd="0" presId="urn:microsoft.com/office/officeart/2005/8/layout/orgChart1"/>
    <dgm:cxn modelId="{8E3500B9-998D-4AF7-8D89-889CBCEC0598}" type="presParOf" srcId="{662FCBF5-5E23-4CAA-B658-737A05A7CECD}" destId="{42968C60-B27C-4DFC-8B7C-8ED5843BD730}" srcOrd="2" destOrd="0" presId="urn:microsoft.com/office/officeart/2005/8/layout/orgChart1"/>
    <dgm:cxn modelId="{74929859-A332-4A39-975B-540766AADD0D}" type="presParOf" srcId="{662FCBF5-5E23-4CAA-B658-737A05A7CECD}" destId="{9768F2CF-02FF-483C-884C-F5E56DA84225}" srcOrd="3" destOrd="0" presId="urn:microsoft.com/office/officeart/2005/8/layout/orgChart1"/>
    <dgm:cxn modelId="{C6CB71B7-00D4-4DCA-9B51-C78D8F84AAA2}" type="presParOf" srcId="{9768F2CF-02FF-483C-884C-F5E56DA84225}" destId="{6EB705F3-8710-4CDC-A84D-5BBE91E14E2C}" srcOrd="0" destOrd="0" presId="urn:microsoft.com/office/officeart/2005/8/layout/orgChart1"/>
    <dgm:cxn modelId="{5A17244C-EF62-4998-A150-AC32798C61C1}" type="presParOf" srcId="{6EB705F3-8710-4CDC-A84D-5BBE91E14E2C}" destId="{84E51ACC-D8C5-4147-A13E-EF84864B10D6}" srcOrd="0" destOrd="0" presId="urn:microsoft.com/office/officeart/2005/8/layout/orgChart1"/>
    <dgm:cxn modelId="{556F8F63-0D48-4B51-94B9-27147137C292}" type="presParOf" srcId="{6EB705F3-8710-4CDC-A84D-5BBE91E14E2C}" destId="{1CEE3072-ED8B-40B8-95A6-72A49E0CEA48}" srcOrd="1" destOrd="0" presId="urn:microsoft.com/office/officeart/2005/8/layout/orgChart1"/>
    <dgm:cxn modelId="{A33DEB6E-4A7F-42D4-B826-C434FEC968EC}" type="presParOf" srcId="{9768F2CF-02FF-483C-884C-F5E56DA84225}" destId="{28586293-F9CC-4729-A42D-50E00CD5D4DB}" srcOrd="1" destOrd="0" presId="urn:microsoft.com/office/officeart/2005/8/layout/orgChart1"/>
    <dgm:cxn modelId="{DF499D3D-5BE0-4458-A509-E2E3EEBB825C}" type="presParOf" srcId="{9768F2CF-02FF-483C-884C-F5E56DA84225}" destId="{EEF288CD-DB96-413C-A21B-CDEF26EE5F37}" srcOrd="2" destOrd="0" presId="urn:microsoft.com/office/officeart/2005/8/layout/orgChart1"/>
    <dgm:cxn modelId="{B96220B2-7D46-49A5-B6D3-C91DDB16C815}" type="presParOf" srcId="{662FCBF5-5E23-4CAA-B658-737A05A7CECD}" destId="{10B36DB5-C8FE-4FA0-A865-9615AC4CF929}" srcOrd="4" destOrd="0" presId="urn:microsoft.com/office/officeart/2005/8/layout/orgChart1"/>
    <dgm:cxn modelId="{B3C45DD3-8D2C-44C8-AE2D-0A028835A1A7}" type="presParOf" srcId="{662FCBF5-5E23-4CAA-B658-737A05A7CECD}" destId="{4D1857BF-7DD2-40FC-AB62-E68D86AA3F3E}" srcOrd="5" destOrd="0" presId="urn:microsoft.com/office/officeart/2005/8/layout/orgChart1"/>
    <dgm:cxn modelId="{0764626F-867A-4187-BEBA-D74CBA1A6FFD}" type="presParOf" srcId="{4D1857BF-7DD2-40FC-AB62-E68D86AA3F3E}" destId="{86A677FD-71BB-41DA-B30B-8FE7BCAC2A0C}" srcOrd="0" destOrd="0" presId="urn:microsoft.com/office/officeart/2005/8/layout/orgChart1"/>
    <dgm:cxn modelId="{5C932153-9938-4D66-AE3F-6287B359F018}" type="presParOf" srcId="{86A677FD-71BB-41DA-B30B-8FE7BCAC2A0C}" destId="{07332389-5B29-48BA-9938-82E7CD0E0F7F}" srcOrd="0" destOrd="0" presId="urn:microsoft.com/office/officeart/2005/8/layout/orgChart1"/>
    <dgm:cxn modelId="{B81C5DC5-5B38-4531-96E3-7EE4A2D4043B}" type="presParOf" srcId="{86A677FD-71BB-41DA-B30B-8FE7BCAC2A0C}" destId="{FAF2D9CB-ED57-42EB-B68E-86E0569297E5}" srcOrd="1" destOrd="0" presId="urn:microsoft.com/office/officeart/2005/8/layout/orgChart1"/>
    <dgm:cxn modelId="{52868355-96D7-41CC-9F7B-6817F9CECF92}" type="presParOf" srcId="{4D1857BF-7DD2-40FC-AB62-E68D86AA3F3E}" destId="{792CC46E-7D69-458F-822C-FBEB8B33C213}" srcOrd="1" destOrd="0" presId="urn:microsoft.com/office/officeart/2005/8/layout/orgChart1"/>
    <dgm:cxn modelId="{D14D31CC-EF4B-4AB9-9CE9-8AB6C3EDDC4C}" type="presParOf" srcId="{4D1857BF-7DD2-40FC-AB62-E68D86AA3F3E}" destId="{DF5F4C1A-5C54-498F-B0F5-9B50DF8E4087}" srcOrd="2" destOrd="0" presId="urn:microsoft.com/office/officeart/2005/8/layout/orgChart1"/>
    <dgm:cxn modelId="{F655FD26-2010-4AFA-887C-0158EF31BDEC}" type="presParOf" srcId="{16C92880-996F-4DFD-B0E3-FD7265A514A2}" destId="{D5D05898-9B9E-4F45-A481-A93C580FEF41}" srcOrd="2" destOrd="0" presId="urn:microsoft.com/office/officeart/2005/8/layout/orgChart1"/>
    <dgm:cxn modelId="{DB23A425-A4BB-4317-8A8F-D7CA07C358C7}" type="presParOf" srcId="{9D3F7A34-A70F-4899-8486-C21556E5AACD}" destId="{B7A8FA05-9795-4485-93F4-86B3589327F1}" srcOrd="2" destOrd="0" presId="urn:microsoft.com/office/officeart/2005/8/layout/orgChart1"/>
    <dgm:cxn modelId="{88AD25F2-1204-468E-B638-ECF1055DA858}" type="presParOf" srcId="{9D3F7A34-A70F-4899-8486-C21556E5AACD}" destId="{57325C99-FFBF-415A-9F23-D57F2244D2E0}" srcOrd="3" destOrd="0" presId="urn:microsoft.com/office/officeart/2005/8/layout/orgChart1"/>
    <dgm:cxn modelId="{2FC6FB2B-8E88-4535-8D5D-BCE247E671EE}" type="presParOf" srcId="{57325C99-FFBF-415A-9F23-D57F2244D2E0}" destId="{69B277AE-F0A6-41D6-84D3-451DF733A28C}" srcOrd="0" destOrd="0" presId="urn:microsoft.com/office/officeart/2005/8/layout/orgChart1"/>
    <dgm:cxn modelId="{475922EE-2C15-4663-8DF8-A79ABCA600B7}" type="presParOf" srcId="{69B277AE-F0A6-41D6-84D3-451DF733A28C}" destId="{F49E4F3D-EBB0-4474-8D34-752A19735940}" srcOrd="0" destOrd="0" presId="urn:microsoft.com/office/officeart/2005/8/layout/orgChart1"/>
    <dgm:cxn modelId="{E4AAD75A-57AF-4E3F-B041-9825ADBB93BB}" type="presParOf" srcId="{69B277AE-F0A6-41D6-84D3-451DF733A28C}" destId="{3387EFCC-E349-430B-B11D-942E1DA2122D}" srcOrd="1" destOrd="0" presId="urn:microsoft.com/office/officeart/2005/8/layout/orgChart1"/>
    <dgm:cxn modelId="{7E91BAB2-8A30-46B4-97CE-862625EF536A}" type="presParOf" srcId="{57325C99-FFBF-415A-9F23-D57F2244D2E0}" destId="{822936E9-8C85-4E6C-9AA4-BC7A84BF12DD}" srcOrd="1" destOrd="0" presId="urn:microsoft.com/office/officeart/2005/8/layout/orgChart1"/>
    <dgm:cxn modelId="{937F8957-E245-42C4-B2E3-C007BC1862D7}" type="presParOf" srcId="{822936E9-8C85-4E6C-9AA4-BC7A84BF12DD}" destId="{F6C78635-944C-4CB0-B4A8-A32432EB2D38}" srcOrd="0" destOrd="0" presId="urn:microsoft.com/office/officeart/2005/8/layout/orgChart1"/>
    <dgm:cxn modelId="{9F5BE72A-9470-42D3-A994-7075CBB6CD09}" type="presParOf" srcId="{822936E9-8C85-4E6C-9AA4-BC7A84BF12DD}" destId="{BB63C25E-8820-49D8-8127-8B7FA1E1ED2F}" srcOrd="1" destOrd="0" presId="urn:microsoft.com/office/officeart/2005/8/layout/orgChart1"/>
    <dgm:cxn modelId="{DC69B903-E80C-49E5-8521-53B3F377691F}" type="presParOf" srcId="{BB63C25E-8820-49D8-8127-8B7FA1E1ED2F}" destId="{BFA1F19B-0AF9-4C5B-81B0-624277361A9F}" srcOrd="0" destOrd="0" presId="urn:microsoft.com/office/officeart/2005/8/layout/orgChart1"/>
    <dgm:cxn modelId="{E658DAF2-2631-4AA4-81EF-49D6B22E2968}" type="presParOf" srcId="{BFA1F19B-0AF9-4C5B-81B0-624277361A9F}" destId="{E11C3B3D-BEA1-436F-955D-CD763DCE5230}" srcOrd="0" destOrd="0" presId="urn:microsoft.com/office/officeart/2005/8/layout/orgChart1"/>
    <dgm:cxn modelId="{3B2E2FA6-36F3-4BF8-8FA0-D7773DFACFF4}" type="presParOf" srcId="{BFA1F19B-0AF9-4C5B-81B0-624277361A9F}" destId="{B2E77A9E-1B20-4E6C-8359-6425ED0F4C98}" srcOrd="1" destOrd="0" presId="urn:microsoft.com/office/officeart/2005/8/layout/orgChart1"/>
    <dgm:cxn modelId="{7F600080-6439-4FAA-9E84-D0B0BDDD1E80}" type="presParOf" srcId="{BB63C25E-8820-49D8-8127-8B7FA1E1ED2F}" destId="{0447CBA4-32BF-408E-B6E5-F0297EBE7FBC}" srcOrd="1" destOrd="0" presId="urn:microsoft.com/office/officeart/2005/8/layout/orgChart1"/>
    <dgm:cxn modelId="{7261ABFF-4B5E-45B7-B483-07D6A591C087}" type="presParOf" srcId="{BB63C25E-8820-49D8-8127-8B7FA1E1ED2F}" destId="{A7D766F1-0B56-40E0-B559-DB2A5189510B}" srcOrd="2" destOrd="0" presId="urn:microsoft.com/office/officeart/2005/8/layout/orgChart1"/>
    <dgm:cxn modelId="{27A427E3-662B-45AF-8AEE-F2510A76025B}" type="presParOf" srcId="{822936E9-8C85-4E6C-9AA4-BC7A84BF12DD}" destId="{A4469488-772C-4ADA-B0AA-76FB15C965BD}" srcOrd="2" destOrd="0" presId="urn:microsoft.com/office/officeart/2005/8/layout/orgChart1"/>
    <dgm:cxn modelId="{73952160-66CA-4798-B149-42C4102EFB45}" type="presParOf" srcId="{822936E9-8C85-4E6C-9AA4-BC7A84BF12DD}" destId="{5A338D43-56EA-46CD-B1AC-53E9CB1FFDC7}" srcOrd="3" destOrd="0" presId="urn:microsoft.com/office/officeart/2005/8/layout/orgChart1"/>
    <dgm:cxn modelId="{801252EF-AE8E-4A06-AD83-47D1C014634B}" type="presParOf" srcId="{5A338D43-56EA-46CD-B1AC-53E9CB1FFDC7}" destId="{72BA4C40-E4DF-4A33-9148-E0EFEC2DB824}" srcOrd="0" destOrd="0" presId="urn:microsoft.com/office/officeart/2005/8/layout/orgChart1"/>
    <dgm:cxn modelId="{00FEDACB-256D-461B-B191-85F4F3AA7606}" type="presParOf" srcId="{72BA4C40-E4DF-4A33-9148-E0EFEC2DB824}" destId="{62BA02D4-2C0F-4D0B-ABD9-E45367973C5C}" srcOrd="0" destOrd="0" presId="urn:microsoft.com/office/officeart/2005/8/layout/orgChart1"/>
    <dgm:cxn modelId="{8A00C3DD-3A42-4D65-B467-AC94C5A459FA}" type="presParOf" srcId="{72BA4C40-E4DF-4A33-9148-E0EFEC2DB824}" destId="{327A0E43-998E-4FE1-B0F1-C77D22F769A5}" srcOrd="1" destOrd="0" presId="urn:microsoft.com/office/officeart/2005/8/layout/orgChart1"/>
    <dgm:cxn modelId="{47BEFB49-FE74-430F-87B0-751F55E842C3}" type="presParOf" srcId="{5A338D43-56EA-46CD-B1AC-53E9CB1FFDC7}" destId="{828D9352-A097-4E10-9E23-37BBE2EA36ED}" srcOrd="1" destOrd="0" presId="urn:microsoft.com/office/officeart/2005/8/layout/orgChart1"/>
    <dgm:cxn modelId="{723036B5-ED40-4C8D-BFE3-60CFF736602D}" type="presParOf" srcId="{5A338D43-56EA-46CD-B1AC-53E9CB1FFDC7}" destId="{88942F78-3A54-4B81-97A7-E15713A191DC}" srcOrd="2" destOrd="0" presId="urn:microsoft.com/office/officeart/2005/8/layout/orgChart1"/>
    <dgm:cxn modelId="{A67DB4E5-4BD8-4071-9E84-D535C4A52445}" type="presParOf" srcId="{822936E9-8C85-4E6C-9AA4-BC7A84BF12DD}" destId="{A6E1729D-70DD-4483-850B-48A8CFBF271F}" srcOrd="4" destOrd="0" presId="urn:microsoft.com/office/officeart/2005/8/layout/orgChart1"/>
    <dgm:cxn modelId="{89B37D52-23A0-4422-92F6-5089EAC697D3}" type="presParOf" srcId="{822936E9-8C85-4E6C-9AA4-BC7A84BF12DD}" destId="{5524A377-E5AC-4273-A7F7-B31A9F80AFAF}" srcOrd="5" destOrd="0" presId="urn:microsoft.com/office/officeart/2005/8/layout/orgChart1"/>
    <dgm:cxn modelId="{D61B5568-59A0-40FE-A186-B97C12298479}" type="presParOf" srcId="{5524A377-E5AC-4273-A7F7-B31A9F80AFAF}" destId="{951DEE6B-F543-43DE-A7F2-0A66FAFDC03A}" srcOrd="0" destOrd="0" presId="urn:microsoft.com/office/officeart/2005/8/layout/orgChart1"/>
    <dgm:cxn modelId="{89DC7700-8547-4D9C-9844-16DE4E339FFA}" type="presParOf" srcId="{951DEE6B-F543-43DE-A7F2-0A66FAFDC03A}" destId="{97709F53-4CA2-40BE-8513-6D6584694F2D}" srcOrd="0" destOrd="0" presId="urn:microsoft.com/office/officeart/2005/8/layout/orgChart1"/>
    <dgm:cxn modelId="{B25DCA86-7E80-4B78-B026-4B12E0CC4902}" type="presParOf" srcId="{951DEE6B-F543-43DE-A7F2-0A66FAFDC03A}" destId="{7B791DB8-29E3-4669-824F-CFF0436CEF00}" srcOrd="1" destOrd="0" presId="urn:microsoft.com/office/officeart/2005/8/layout/orgChart1"/>
    <dgm:cxn modelId="{3501CC14-A9AC-4EFF-B22B-0ED12EE872DA}" type="presParOf" srcId="{5524A377-E5AC-4273-A7F7-B31A9F80AFAF}" destId="{84928DC8-E4E9-4E7A-BCFE-421BC65D5B91}" srcOrd="1" destOrd="0" presId="urn:microsoft.com/office/officeart/2005/8/layout/orgChart1"/>
    <dgm:cxn modelId="{296D807D-ADD6-4E67-B42E-2627F65C948E}" type="presParOf" srcId="{5524A377-E5AC-4273-A7F7-B31A9F80AFAF}" destId="{DA611C41-ECF8-4D19-8AAB-34BB19E6BE83}" srcOrd="2" destOrd="0" presId="urn:microsoft.com/office/officeart/2005/8/layout/orgChart1"/>
    <dgm:cxn modelId="{77FE1AEC-C00D-4BB9-8D4C-8AD08D1EAC17}" type="presParOf" srcId="{57325C99-FFBF-415A-9F23-D57F2244D2E0}" destId="{9D31ED1D-9A86-4579-B5DE-34D22669844C}" srcOrd="2" destOrd="0" presId="urn:microsoft.com/office/officeart/2005/8/layout/orgChart1"/>
    <dgm:cxn modelId="{FB7E474F-0EBA-497D-9A1C-31C6DD6E26C0}" type="presParOf" srcId="{9D3F7A34-A70F-4899-8486-C21556E5AACD}" destId="{00BF00DD-4B4C-4C99-9AC8-AA52A2987062}" srcOrd="4" destOrd="0" presId="urn:microsoft.com/office/officeart/2005/8/layout/orgChart1"/>
    <dgm:cxn modelId="{3C914D09-E8D5-4E7A-AA90-2C9BD105F160}" type="presParOf" srcId="{9D3F7A34-A70F-4899-8486-C21556E5AACD}" destId="{C0005571-EDCA-4A1A-95F4-1C3ADFBAAF9B}" srcOrd="5" destOrd="0" presId="urn:microsoft.com/office/officeart/2005/8/layout/orgChart1"/>
    <dgm:cxn modelId="{F2BEF719-A940-4A7D-9D02-541697730C8C}" type="presParOf" srcId="{C0005571-EDCA-4A1A-95F4-1C3ADFBAAF9B}" destId="{B82E1E35-C6F9-43DC-B8FA-A85694189D54}" srcOrd="0" destOrd="0" presId="urn:microsoft.com/office/officeart/2005/8/layout/orgChart1"/>
    <dgm:cxn modelId="{FAA73159-DC86-4080-9F20-D0915D74C286}" type="presParOf" srcId="{B82E1E35-C6F9-43DC-B8FA-A85694189D54}" destId="{9CE98BB8-AB73-4156-96AE-F75790D78944}" srcOrd="0" destOrd="0" presId="urn:microsoft.com/office/officeart/2005/8/layout/orgChart1"/>
    <dgm:cxn modelId="{16501174-30B9-4FAE-8B88-9E3B2BD188DD}" type="presParOf" srcId="{B82E1E35-C6F9-43DC-B8FA-A85694189D54}" destId="{95D8F10E-D2ED-44ED-8BC3-E0E979B71917}" srcOrd="1" destOrd="0" presId="urn:microsoft.com/office/officeart/2005/8/layout/orgChart1"/>
    <dgm:cxn modelId="{8E9E2E9E-34BA-4DC0-A96F-05D8B7CEDC4E}" type="presParOf" srcId="{C0005571-EDCA-4A1A-95F4-1C3ADFBAAF9B}" destId="{C22FBFFD-9965-49DB-9879-EA940D9319B3}" srcOrd="1" destOrd="0" presId="urn:microsoft.com/office/officeart/2005/8/layout/orgChart1"/>
    <dgm:cxn modelId="{4087A574-4A06-4ACF-9101-05A48E16626D}" type="presParOf" srcId="{C22FBFFD-9965-49DB-9879-EA940D9319B3}" destId="{FDB326B2-71E4-4121-8733-F7F1CE5AD249}" srcOrd="0" destOrd="0" presId="urn:microsoft.com/office/officeart/2005/8/layout/orgChart1"/>
    <dgm:cxn modelId="{F6586AED-428E-46A1-B02B-10FE5DCC8776}" type="presParOf" srcId="{C22FBFFD-9965-49DB-9879-EA940D9319B3}" destId="{FFF7DCEA-7F62-46AA-9F64-7A757AF9CDF4}" srcOrd="1" destOrd="0" presId="urn:microsoft.com/office/officeart/2005/8/layout/orgChart1"/>
    <dgm:cxn modelId="{B1687F9D-62C7-4339-B34C-6EE0D97D60FC}" type="presParOf" srcId="{FFF7DCEA-7F62-46AA-9F64-7A757AF9CDF4}" destId="{69487CFF-5198-4ED7-8582-716349D5B7EB}" srcOrd="0" destOrd="0" presId="urn:microsoft.com/office/officeart/2005/8/layout/orgChart1"/>
    <dgm:cxn modelId="{A33D90BD-BA65-4279-BFAF-5C9E25219B6C}" type="presParOf" srcId="{69487CFF-5198-4ED7-8582-716349D5B7EB}" destId="{9887B920-5228-49B0-A302-1CE3C1806EC8}" srcOrd="0" destOrd="0" presId="urn:microsoft.com/office/officeart/2005/8/layout/orgChart1"/>
    <dgm:cxn modelId="{F2A76BF2-CA67-4940-A78B-8CBF4C54A7E2}" type="presParOf" srcId="{69487CFF-5198-4ED7-8582-716349D5B7EB}" destId="{48BF1F93-D2BF-487B-8917-F1E0589E50E1}" srcOrd="1" destOrd="0" presId="urn:microsoft.com/office/officeart/2005/8/layout/orgChart1"/>
    <dgm:cxn modelId="{D0DB28CE-B655-4F3C-871C-F44F6272C103}" type="presParOf" srcId="{FFF7DCEA-7F62-46AA-9F64-7A757AF9CDF4}" destId="{C956A02E-8230-4F3B-BF71-49BB319AB5D7}" srcOrd="1" destOrd="0" presId="urn:microsoft.com/office/officeart/2005/8/layout/orgChart1"/>
    <dgm:cxn modelId="{5500B1ED-B75F-48DA-AB64-7108AF2D4A90}" type="presParOf" srcId="{FFF7DCEA-7F62-46AA-9F64-7A757AF9CDF4}" destId="{8B416B51-1718-4ED8-B4F3-C30B1C4BECA8}" srcOrd="2" destOrd="0" presId="urn:microsoft.com/office/officeart/2005/8/layout/orgChart1"/>
    <dgm:cxn modelId="{95E139D6-E4E5-499A-8BD5-9332B74003D3}" type="presParOf" srcId="{C22FBFFD-9965-49DB-9879-EA940D9319B3}" destId="{DA70565F-61E0-4ADE-8281-AC2E182A45B8}" srcOrd="2" destOrd="0" presId="urn:microsoft.com/office/officeart/2005/8/layout/orgChart1"/>
    <dgm:cxn modelId="{0783AD7E-317D-4617-9440-C960414B3352}" type="presParOf" srcId="{C22FBFFD-9965-49DB-9879-EA940D9319B3}" destId="{530D9970-E44F-484D-A390-150BA0657F6F}" srcOrd="3" destOrd="0" presId="urn:microsoft.com/office/officeart/2005/8/layout/orgChart1"/>
    <dgm:cxn modelId="{9145B82A-C958-4391-A3CA-07207F14F778}" type="presParOf" srcId="{530D9970-E44F-484D-A390-150BA0657F6F}" destId="{36D5C198-E8B4-4EDD-96CE-570F3FEE8255}" srcOrd="0" destOrd="0" presId="urn:microsoft.com/office/officeart/2005/8/layout/orgChart1"/>
    <dgm:cxn modelId="{64B43E45-5528-43FD-8C88-CC2D8914B5FB}" type="presParOf" srcId="{36D5C198-E8B4-4EDD-96CE-570F3FEE8255}" destId="{6254C4C1-8925-47F8-929E-1CC31573C919}" srcOrd="0" destOrd="0" presId="urn:microsoft.com/office/officeart/2005/8/layout/orgChart1"/>
    <dgm:cxn modelId="{B41B06AE-721C-481F-A7E3-A403BF2D0C54}" type="presParOf" srcId="{36D5C198-E8B4-4EDD-96CE-570F3FEE8255}" destId="{0590F5DA-F25D-4021-8137-F68C31FB4EEA}" srcOrd="1" destOrd="0" presId="urn:microsoft.com/office/officeart/2005/8/layout/orgChart1"/>
    <dgm:cxn modelId="{9579C2F8-32F3-45B6-8150-2D25099DCDCC}" type="presParOf" srcId="{530D9970-E44F-484D-A390-150BA0657F6F}" destId="{BA275434-E7A7-4FCF-B3C2-9560463E9EF2}" srcOrd="1" destOrd="0" presId="urn:microsoft.com/office/officeart/2005/8/layout/orgChart1"/>
    <dgm:cxn modelId="{14F105C0-7B0F-4D63-8EBD-576395CBDF3A}" type="presParOf" srcId="{530D9970-E44F-484D-A390-150BA0657F6F}" destId="{7EF67247-974B-4CEC-89BC-08D86AD0D10A}" srcOrd="2" destOrd="0" presId="urn:microsoft.com/office/officeart/2005/8/layout/orgChart1"/>
    <dgm:cxn modelId="{9097280D-1C95-4B83-9774-0B46535CD80F}" type="presParOf" srcId="{C22FBFFD-9965-49DB-9879-EA940D9319B3}" destId="{1BFE66C5-7954-4BF1-885D-989F76AF3B59}" srcOrd="4" destOrd="0" presId="urn:microsoft.com/office/officeart/2005/8/layout/orgChart1"/>
    <dgm:cxn modelId="{1135D995-A89E-4AC9-AF2D-BF85BA4B5E82}" type="presParOf" srcId="{C22FBFFD-9965-49DB-9879-EA940D9319B3}" destId="{73B5583B-4B78-4075-A1D8-3DBEC9C71B67}" srcOrd="5" destOrd="0" presId="urn:microsoft.com/office/officeart/2005/8/layout/orgChart1"/>
    <dgm:cxn modelId="{9AF52DCA-BDE7-46D9-9221-DA3154B24A87}" type="presParOf" srcId="{73B5583B-4B78-4075-A1D8-3DBEC9C71B67}" destId="{4AE51F17-0696-4AC1-98AB-B061901E022B}" srcOrd="0" destOrd="0" presId="urn:microsoft.com/office/officeart/2005/8/layout/orgChart1"/>
    <dgm:cxn modelId="{19F4F454-4D23-4DC7-8265-A4FE1FA9F9B3}" type="presParOf" srcId="{4AE51F17-0696-4AC1-98AB-B061901E022B}" destId="{8203DF14-2258-4F29-9708-61C8ED9CC3C5}" srcOrd="0" destOrd="0" presId="urn:microsoft.com/office/officeart/2005/8/layout/orgChart1"/>
    <dgm:cxn modelId="{A042B411-F18A-45FE-8294-ADA4DA63083E}" type="presParOf" srcId="{4AE51F17-0696-4AC1-98AB-B061901E022B}" destId="{D6951BB5-749F-4C56-B4C1-422BD88DAE3E}" srcOrd="1" destOrd="0" presId="urn:microsoft.com/office/officeart/2005/8/layout/orgChart1"/>
    <dgm:cxn modelId="{80528647-9551-4C57-93E0-4EFF5B493375}" type="presParOf" srcId="{73B5583B-4B78-4075-A1D8-3DBEC9C71B67}" destId="{8E15EF61-8E14-48D3-949A-5FDF23F71FA2}" srcOrd="1" destOrd="0" presId="urn:microsoft.com/office/officeart/2005/8/layout/orgChart1"/>
    <dgm:cxn modelId="{2CC76B8A-5ACF-418F-928F-7B8BEB45CB5F}" type="presParOf" srcId="{73B5583B-4B78-4075-A1D8-3DBEC9C71B67}" destId="{21D5916C-5890-4FE1-80DD-C1DC4AE7AB74}" srcOrd="2" destOrd="0" presId="urn:microsoft.com/office/officeart/2005/8/layout/orgChart1"/>
    <dgm:cxn modelId="{4F4726CE-808C-457E-9D21-CFBC331A4215}" type="presParOf" srcId="{C0005571-EDCA-4A1A-95F4-1C3ADFBAAF9B}" destId="{CEEDBA5B-1717-4C0C-8ED6-206AFB48F950}" srcOrd="2" destOrd="0" presId="urn:microsoft.com/office/officeart/2005/8/layout/orgChart1"/>
    <dgm:cxn modelId="{F31951E2-7854-4BF2-A1EB-CD4C87FD7F8A}" type="presParOf" srcId="{8D0C47DA-DF5F-459B-B758-6B3E65607CC4}" destId="{4F8D5B33-91D4-41D2-9EA7-D6A0BA9E9A4B}" srcOrd="2" destOrd="0" presId="urn:microsoft.com/office/officeart/2005/8/layout/orgChart1"/>
    <dgm:cxn modelId="{DFEF27E0-C5A7-4D51-80A5-3F3856B37407}" type="presParOf" srcId="{2CD2C1A2-B488-4C00-B362-8FB311ABC909}" destId="{3540DE59-0A7B-4DD3-9C73-AB15BED4E770}" srcOrd="6" destOrd="0" presId="urn:microsoft.com/office/officeart/2005/8/layout/orgChart1"/>
    <dgm:cxn modelId="{51E464A9-3FD5-4A0F-85E8-B817DC4CDE24}" type="presParOf" srcId="{2CD2C1A2-B488-4C00-B362-8FB311ABC909}" destId="{8AEBFA00-F2CC-462F-8DB0-EBA407D0D5B9}" srcOrd="7" destOrd="0" presId="urn:microsoft.com/office/officeart/2005/8/layout/orgChart1"/>
    <dgm:cxn modelId="{8C65765E-237C-4BFF-AABD-E095E5FBAE70}" type="presParOf" srcId="{8AEBFA00-F2CC-462F-8DB0-EBA407D0D5B9}" destId="{3538DC10-A786-4773-82C2-5B8D5AE74ECA}" srcOrd="0" destOrd="0" presId="urn:microsoft.com/office/officeart/2005/8/layout/orgChart1"/>
    <dgm:cxn modelId="{F1A8C498-4048-4FF7-97D0-458694A8185A}" type="presParOf" srcId="{3538DC10-A786-4773-82C2-5B8D5AE74ECA}" destId="{CD84E35C-0426-4027-8C70-139EE895F476}" srcOrd="0" destOrd="0" presId="urn:microsoft.com/office/officeart/2005/8/layout/orgChart1"/>
    <dgm:cxn modelId="{CA96CEE2-7C6F-45E6-8FF4-AD7445F21F22}" type="presParOf" srcId="{3538DC10-A786-4773-82C2-5B8D5AE74ECA}" destId="{BC22251F-AE5C-4A59-B13E-32EEF256ACDC}" srcOrd="1" destOrd="0" presId="urn:microsoft.com/office/officeart/2005/8/layout/orgChart1"/>
    <dgm:cxn modelId="{E1E33695-66DD-4AB7-825C-73CBB081090E}" type="presParOf" srcId="{8AEBFA00-F2CC-462F-8DB0-EBA407D0D5B9}" destId="{B7272895-EB93-4C2E-8B2B-9F5C187B15F3}" srcOrd="1" destOrd="0" presId="urn:microsoft.com/office/officeart/2005/8/layout/orgChart1"/>
    <dgm:cxn modelId="{80F05DEA-9EE8-4700-960D-EF3BEFD7E70A}" type="presParOf" srcId="{B7272895-EB93-4C2E-8B2B-9F5C187B15F3}" destId="{460E2A72-7B4A-4B91-9031-30DF0F4AA857}" srcOrd="0" destOrd="0" presId="urn:microsoft.com/office/officeart/2005/8/layout/orgChart1"/>
    <dgm:cxn modelId="{121AD072-419F-436B-86B8-6846738D6708}" type="presParOf" srcId="{B7272895-EB93-4C2E-8B2B-9F5C187B15F3}" destId="{3BDFA36B-8A88-45ED-804D-481BB8536B55}" srcOrd="1" destOrd="0" presId="urn:microsoft.com/office/officeart/2005/8/layout/orgChart1"/>
    <dgm:cxn modelId="{C795EEBA-F744-4D7B-8379-D87006FDBE95}" type="presParOf" srcId="{3BDFA36B-8A88-45ED-804D-481BB8536B55}" destId="{04D0C4C0-A370-4B89-BBB2-99F06E2C3C9B}" srcOrd="0" destOrd="0" presId="urn:microsoft.com/office/officeart/2005/8/layout/orgChart1"/>
    <dgm:cxn modelId="{67FED8A3-D77F-43C9-A430-D5CDBAB42AFE}" type="presParOf" srcId="{04D0C4C0-A370-4B89-BBB2-99F06E2C3C9B}" destId="{420E9331-7746-4047-A918-C0E162B943C2}" srcOrd="0" destOrd="0" presId="urn:microsoft.com/office/officeart/2005/8/layout/orgChart1"/>
    <dgm:cxn modelId="{D9AF0898-1EEB-41C2-A6B4-CFF144F4AF9C}" type="presParOf" srcId="{04D0C4C0-A370-4B89-BBB2-99F06E2C3C9B}" destId="{B4041B9E-21FB-4B53-9349-15157A48EF11}" srcOrd="1" destOrd="0" presId="urn:microsoft.com/office/officeart/2005/8/layout/orgChart1"/>
    <dgm:cxn modelId="{4C4215DE-2E15-4BC6-AACD-84065A59ADD2}" type="presParOf" srcId="{3BDFA36B-8A88-45ED-804D-481BB8536B55}" destId="{961515F2-DEF1-46F1-BE58-E90183724AD9}" srcOrd="1" destOrd="0" presId="urn:microsoft.com/office/officeart/2005/8/layout/orgChart1"/>
    <dgm:cxn modelId="{7C063E20-5D34-44BB-AA47-0F19E8A71C32}" type="presParOf" srcId="{961515F2-DEF1-46F1-BE58-E90183724AD9}" destId="{C5974C09-71FB-4DEA-9A65-A39502F93C37}" srcOrd="0" destOrd="0" presId="urn:microsoft.com/office/officeart/2005/8/layout/orgChart1"/>
    <dgm:cxn modelId="{D3F0174E-073D-4667-B684-FC64E2A48F92}" type="presParOf" srcId="{961515F2-DEF1-46F1-BE58-E90183724AD9}" destId="{9648018B-F538-4156-B1F6-B444FC715D01}" srcOrd="1" destOrd="0" presId="urn:microsoft.com/office/officeart/2005/8/layout/orgChart1"/>
    <dgm:cxn modelId="{9CE6A131-C9B5-42C4-B49E-5213E1141B26}" type="presParOf" srcId="{9648018B-F538-4156-B1F6-B444FC715D01}" destId="{8065DC3D-4230-4805-B248-02688A952184}" srcOrd="0" destOrd="0" presId="urn:microsoft.com/office/officeart/2005/8/layout/orgChart1"/>
    <dgm:cxn modelId="{997DE577-C10D-4B53-BE64-91D203613957}" type="presParOf" srcId="{8065DC3D-4230-4805-B248-02688A952184}" destId="{1DC7A607-67A8-417E-A0F0-1EAD9FC99B4E}" srcOrd="0" destOrd="0" presId="urn:microsoft.com/office/officeart/2005/8/layout/orgChart1"/>
    <dgm:cxn modelId="{6156D222-CA6F-4FBE-AF1A-E988F4A07351}" type="presParOf" srcId="{8065DC3D-4230-4805-B248-02688A952184}" destId="{3CF2708C-6930-45F6-8F00-4163C936EBB3}" srcOrd="1" destOrd="0" presId="urn:microsoft.com/office/officeart/2005/8/layout/orgChart1"/>
    <dgm:cxn modelId="{BBFD1514-8501-43EE-9A20-8E7866D2C35C}" type="presParOf" srcId="{9648018B-F538-4156-B1F6-B444FC715D01}" destId="{7A1DBA35-F907-4A94-A237-86BAEE68DC03}" srcOrd="1" destOrd="0" presId="urn:microsoft.com/office/officeart/2005/8/layout/orgChart1"/>
    <dgm:cxn modelId="{466D7465-9A32-468C-8B48-CFDACCBF3634}" type="presParOf" srcId="{9648018B-F538-4156-B1F6-B444FC715D01}" destId="{CD720062-4576-4392-9D6F-F42D945B264A}" srcOrd="2" destOrd="0" presId="urn:microsoft.com/office/officeart/2005/8/layout/orgChart1"/>
    <dgm:cxn modelId="{ACAD0A91-C988-4436-B438-59C9E6BC06E8}" type="presParOf" srcId="{3BDFA36B-8A88-45ED-804D-481BB8536B55}" destId="{2EB10CDD-41C0-4E32-A5BC-297DB36D63EC}" srcOrd="2" destOrd="0" presId="urn:microsoft.com/office/officeart/2005/8/layout/orgChart1"/>
    <dgm:cxn modelId="{5ACB858A-E872-4C32-B066-B38A48E40E73}" type="presParOf" srcId="{B7272895-EB93-4C2E-8B2B-9F5C187B15F3}" destId="{A773B732-B760-4900-A4E9-03141BC1646F}" srcOrd="2" destOrd="0" presId="urn:microsoft.com/office/officeart/2005/8/layout/orgChart1"/>
    <dgm:cxn modelId="{04CCF690-841C-4D5E-B53F-4B5BDD41F9ED}" type="presParOf" srcId="{B7272895-EB93-4C2E-8B2B-9F5C187B15F3}" destId="{A8197173-5273-404F-A0CB-EE6789A478CD}" srcOrd="3" destOrd="0" presId="urn:microsoft.com/office/officeart/2005/8/layout/orgChart1"/>
    <dgm:cxn modelId="{142F3332-A47A-4B0D-8563-98747F660DB9}" type="presParOf" srcId="{A8197173-5273-404F-A0CB-EE6789A478CD}" destId="{49FD5348-97A0-45FD-B52C-95E111368CCC}" srcOrd="0" destOrd="0" presId="urn:microsoft.com/office/officeart/2005/8/layout/orgChart1"/>
    <dgm:cxn modelId="{88E7A10A-B92C-424F-BED9-6359024F605F}" type="presParOf" srcId="{49FD5348-97A0-45FD-B52C-95E111368CCC}" destId="{2124F06D-0084-49CE-8235-2E1ED2CDE136}" srcOrd="0" destOrd="0" presId="urn:microsoft.com/office/officeart/2005/8/layout/orgChart1"/>
    <dgm:cxn modelId="{4F5EDBB4-C11B-4F9F-BBF4-B9728BA9E699}" type="presParOf" srcId="{49FD5348-97A0-45FD-B52C-95E111368CCC}" destId="{B2BBB1DC-4D49-49C9-AA1C-87BE7CD7F81B}" srcOrd="1" destOrd="0" presId="urn:microsoft.com/office/officeart/2005/8/layout/orgChart1"/>
    <dgm:cxn modelId="{2D4F8A3B-DCA3-430B-B5DA-3E5AECAD69C2}" type="presParOf" srcId="{A8197173-5273-404F-A0CB-EE6789A478CD}" destId="{BE5F5A3E-0F89-41C9-83A6-1C4F0AD41FE1}" srcOrd="1" destOrd="0" presId="urn:microsoft.com/office/officeart/2005/8/layout/orgChart1"/>
    <dgm:cxn modelId="{33A2D297-DD5E-4F01-828B-A65984A193F4}" type="presParOf" srcId="{A8197173-5273-404F-A0CB-EE6789A478CD}" destId="{97FF4918-276D-4628-AC0A-4F0B428A16B3}" srcOrd="2" destOrd="0" presId="urn:microsoft.com/office/officeart/2005/8/layout/orgChart1"/>
    <dgm:cxn modelId="{6CD1784B-3913-4E2A-A943-B7CF8CB1AA65}" type="presParOf" srcId="{8AEBFA00-F2CC-462F-8DB0-EBA407D0D5B9}" destId="{62D34F4C-0562-4457-BD83-CF920752E438}" srcOrd="2" destOrd="0" presId="urn:microsoft.com/office/officeart/2005/8/layout/orgChart1"/>
    <dgm:cxn modelId="{3AE88EFF-5E60-4C63-BBF6-ECD3DA4D0C8D}" type="presParOf" srcId="{6C951D46-2C3A-45AE-86A3-844A98948268}" destId="{7012092F-38D9-4CA7-9AE1-0161ADE31E37}"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A9FBC5C-9E16-4A55-B2A1-26AF8BB6C5B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D286C4B-0BAE-4191-9884-0512F499A547}">
      <dgm:prSet phldrT="[Text]"/>
      <dgm:spPr/>
      <dgm:t>
        <a:bodyPr/>
        <a:lstStyle/>
        <a:p>
          <a:r>
            <a:rPr lang="en-GB"/>
            <a:t>Terminaux physiques</a:t>
          </a:r>
        </a:p>
      </dgm:t>
    </dgm:pt>
    <dgm:pt modelId="{D5DB0B37-0AAD-4B1E-B7F1-A3C7D3966079}" type="parTrans" cxnId="{C1BD260D-A4F8-4580-BAF5-B7647ECFCEF4}">
      <dgm:prSet/>
      <dgm:spPr/>
      <dgm:t>
        <a:bodyPr/>
        <a:lstStyle/>
        <a:p>
          <a:endParaRPr lang="en-GB"/>
        </a:p>
      </dgm:t>
    </dgm:pt>
    <dgm:pt modelId="{37E1753E-E077-4FF6-9ADD-E3C0A147D3C8}" type="sibTrans" cxnId="{C1BD260D-A4F8-4580-BAF5-B7647ECFCEF4}">
      <dgm:prSet/>
      <dgm:spPr/>
      <dgm:t>
        <a:bodyPr/>
        <a:lstStyle/>
        <a:p>
          <a:endParaRPr lang="en-GB"/>
        </a:p>
      </dgm:t>
    </dgm:pt>
    <dgm:pt modelId="{21A1F292-5A7E-4CC7-95D5-0E1F9AC626BC}">
      <dgm:prSet phldrT="[Text]"/>
      <dgm:spPr>
        <a:solidFill>
          <a:schemeClr val="accent3">
            <a:lumMod val="50000"/>
          </a:schemeClr>
        </a:solidFill>
      </dgm:spPr>
      <dgm:t>
        <a:bodyPr/>
        <a:lstStyle/>
        <a:p>
          <a:r>
            <a:rPr lang="en-GB"/>
            <a:t>GAB</a:t>
          </a:r>
        </a:p>
      </dgm:t>
    </dgm:pt>
    <dgm:pt modelId="{56F91885-6E86-4BBE-AB73-C98E1EB7CCCD}" type="parTrans" cxnId="{A0ABDD38-5715-4434-9817-D273EBEDF615}">
      <dgm:prSet/>
      <dgm:spPr/>
      <dgm:t>
        <a:bodyPr/>
        <a:lstStyle/>
        <a:p>
          <a:endParaRPr lang="en-GB"/>
        </a:p>
      </dgm:t>
    </dgm:pt>
    <dgm:pt modelId="{C9962F99-E594-47AC-A87F-1C6CA4246E1F}" type="sibTrans" cxnId="{A0ABDD38-5715-4434-9817-D273EBEDF615}">
      <dgm:prSet/>
      <dgm:spPr/>
      <dgm:t>
        <a:bodyPr/>
        <a:lstStyle/>
        <a:p>
          <a:endParaRPr lang="en-GB"/>
        </a:p>
      </dgm:t>
    </dgm:pt>
    <dgm:pt modelId="{63BBCA83-FE54-4851-BAFB-C043C4C843F8}">
      <dgm:prSet phldrT="[Text]"/>
      <dgm:spPr>
        <a:solidFill>
          <a:schemeClr val="accent2">
            <a:lumMod val="50000"/>
          </a:schemeClr>
        </a:solidFill>
      </dgm:spPr>
      <dgm:t>
        <a:bodyPr/>
        <a:lstStyle/>
        <a:p>
          <a:r>
            <a:rPr lang="en-GB"/>
            <a:t>TPV</a:t>
          </a:r>
        </a:p>
      </dgm:t>
    </dgm:pt>
    <dgm:pt modelId="{BD867ABD-AD68-40F4-A667-CEED433F64DE}" type="parTrans" cxnId="{238CD420-69D3-42BE-A13B-B9805B0FC00B}">
      <dgm:prSet/>
      <dgm:spPr/>
      <dgm:t>
        <a:bodyPr/>
        <a:lstStyle/>
        <a:p>
          <a:endParaRPr lang="en-GB"/>
        </a:p>
      </dgm:t>
    </dgm:pt>
    <dgm:pt modelId="{776B6BB1-BE6B-4005-8812-DA22F804DE46}" type="sibTrans" cxnId="{238CD420-69D3-42BE-A13B-B9805B0FC00B}">
      <dgm:prSet/>
      <dgm:spPr/>
      <dgm:t>
        <a:bodyPr/>
        <a:lstStyle/>
        <a:p>
          <a:endParaRPr lang="en-GB"/>
        </a:p>
      </dgm:t>
    </dgm:pt>
    <dgm:pt modelId="{B66FF26D-027D-423E-8D05-CA12531363AE}">
      <dgm:prSet phldrT="[Text]"/>
      <dgm:spPr>
        <a:solidFill>
          <a:schemeClr val="accent6">
            <a:lumMod val="50000"/>
          </a:schemeClr>
        </a:solidFill>
      </dgm:spPr>
      <dgm:t>
        <a:bodyPr/>
        <a:lstStyle/>
        <a:p>
          <a:r>
            <a:rPr lang="en-GB"/>
            <a:t>Terminaux de cartes de monnaie électronique</a:t>
          </a:r>
        </a:p>
      </dgm:t>
    </dgm:pt>
    <dgm:pt modelId="{FB462582-B860-4127-AD1F-0893D853648E}" type="parTrans" cxnId="{971A8A07-D71E-467A-9D2A-784106EAD91B}">
      <dgm:prSet/>
      <dgm:spPr/>
      <dgm:t>
        <a:bodyPr/>
        <a:lstStyle/>
        <a:p>
          <a:endParaRPr lang="en-GB"/>
        </a:p>
      </dgm:t>
    </dgm:pt>
    <dgm:pt modelId="{D2B848C0-0121-4D64-AF09-4554434E8CF4}" type="sibTrans" cxnId="{971A8A07-D71E-467A-9D2A-784106EAD91B}">
      <dgm:prSet/>
      <dgm:spPr/>
      <dgm:t>
        <a:bodyPr/>
        <a:lstStyle/>
        <a:p>
          <a:endParaRPr lang="en-GB"/>
        </a:p>
      </dgm:t>
    </dgm:pt>
    <dgm:pt modelId="{4D518CE7-BB7A-4323-A7D9-9057A46B260D}">
      <dgm:prSet phldrT="[Text]"/>
      <dgm:spPr>
        <a:solidFill>
          <a:schemeClr val="accent3">
            <a:lumMod val="75000"/>
          </a:schemeClr>
        </a:solidFill>
      </dgm:spPr>
      <dgm:t>
        <a:bodyPr/>
        <a:lstStyle/>
        <a:p>
          <a:r>
            <a:rPr lang="en-GB"/>
            <a:t>avec une fonction de retrait</a:t>
          </a:r>
        </a:p>
      </dgm:t>
    </dgm:pt>
    <dgm:pt modelId="{277DCB86-B908-4575-87F5-994434740BAE}" type="parTrans" cxnId="{BDF1E772-34C8-4010-97B9-1E821F51C2A8}">
      <dgm:prSet/>
      <dgm:spPr>
        <a:ln>
          <a:solidFill>
            <a:schemeClr val="accent3">
              <a:lumMod val="75000"/>
            </a:schemeClr>
          </a:solidFill>
        </a:ln>
      </dgm:spPr>
      <dgm:t>
        <a:bodyPr/>
        <a:lstStyle/>
        <a:p>
          <a:endParaRPr lang="en-GB"/>
        </a:p>
      </dgm:t>
    </dgm:pt>
    <dgm:pt modelId="{F817EEE8-566C-437F-991B-CFE3D01D100D}" type="sibTrans" cxnId="{BDF1E772-34C8-4010-97B9-1E821F51C2A8}">
      <dgm:prSet/>
      <dgm:spPr/>
      <dgm:t>
        <a:bodyPr/>
        <a:lstStyle/>
        <a:p>
          <a:endParaRPr lang="en-GB"/>
        </a:p>
      </dgm:t>
    </dgm:pt>
    <dgm:pt modelId="{794EA368-A9EB-4CE3-AEFE-EB7D9ED2CA04}">
      <dgm:prSet phldrT="[Text]"/>
      <dgm:spPr>
        <a:solidFill>
          <a:srgbClr val="92D050"/>
        </a:solidFill>
      </dgm:spPr>
      <dgm:t>
        <a:bodyPr/>
        <a:lstStyle/>
        <a:p>
          <a:r>
            <a:rPr lang="en-GB"/>
            <a:t>avec une fonction de virement</a:t>
          </a:r>
        </a:p>
      </dgm:t>
    </dgm:pt>
    <dgm:pt modelId="{D933F05E-463A-49E8-829E-9B3965513120}" type="parTrans" cxnId="{2FCB9B0B-F030-4ACA-95A5-E19BCA325B8E}">
      <dgm:prSet/>
      <dgm:spPr>
        <a:ln>
          <a:solidFill>
            <a:schemeClr val="accent3">
              <a:lumMod val="75000"/>
            </a:schemeClr>
          </a:solidFill>
        </a:ln>
      </dgm:spPr>
      <dgm:t>
        <a:bodyPr/>
        <a:lstStyle/>
        <a:p>
          <a:endParaRPr lang="en-GB"/>
        </a:p>
      </dgm:t>
    </dgm:pt>
    <dgm:pt modelId="{A27CB14F-3DE3-438E-9DC1-5B81E32F64FF}" type="sibTrans" cxnId="{2FCB9B0B-F030-4ACA-95A5-E19BCA325B8E}">
      <dgm:prSet/>
      <dgm:spPr/>
      <dgm:t>
        <a:bodyPr/>
        <a:lstStyle/>
        <a:p>
          <a:endParaRPr lang="en-GB"/>
        </a:p>
      </dgm:t>
    </dgm:pt>
    <dgm:pt modelId="{574175A8-2A06-48AB-BEE2-1D8B5CCB0446}">
      <dgm:prSet phldrT="[Text]"/>
      <dgm:spPr>
        <a:solidFill>
          <a:schemeClr val="accent3">
            <a:lumMod val="60000"/>
            <a:lumOff val="40000"/>
          </a:schemeClr>
        </a:solidFill>
      </dgm:spPr>
      <dgm:t>
        <a:bodyPr/>
        <a:lstStyle/>
        <a:p>
          <a:r>
            <a:rPr lang="en-GB"/>
            <a:t>acceptant des opérations sans contact</a:t>
          </a:r>
        </a:p>
      </dgm:t>
    </dgm:pt>
    <dgm:pt modelId="{60F22199-880F-4F25-93A7-3DF944757DA5}" type="parTrans" cxnId="{60ADC37F-1CEA-4506-A20C-1A75D1621969}">
      <dgm:prSet/>
      <dgm:spPr>
        <a:ln>
          <a:solidFill>
            <a:schemeClr val="accent3">
              <a:lumMod val="75000"/>
            </a:schemeClr>
          </a:solidFill>
        </a:ln>
      </dgm:spPr>
      <dgm:t>
        <a:bodyPr/>
        <a:lstStyle/>
        <a:p>
          <a:endParaRPr lang="en-GB"/>
        </a:p>
      </dgm:t>
    </dgm:pt>
    <dgm:pt modelId="{2BB72FEA-F314-4F70-8B77-13B3FD7291A7}" type="sibTrans" cxnId="{60ADC37F-1CEA-4506-A20C-1A75D1621969}">
      <dgm:prSet/>
      <dgm:spPr/>
      <dgm:t>
        <a:bodyPr/>
        <a:lstStyle/>
        <a:p>
          <a:endParaRPr lang="en-GB"/>
        </a:p>
      </dgm:t>
    </dgm:pt>
    <dgm:pt modelId="{ED48A327-8796-4333-B5E7-9461701C6EED}">
      <dgm:prSet phldrT="[Text]"/>
      <dgm:spPr>
        <a:solidFill>
          <a:schemeClr val="accent2">
            <a:lumMod val="75000"/>
          </a:schemeClr>
        </a:solidFill>
      </dgm:spPr>
      <dgm:t>
        <a:bodyPr/>
        <a:lstStyle/>
        <a:p>
          <a:r>
            <a:rPr lang="en-GB"/>
            <a:t>TTEF</a:t>
          </a:r>
        </a:p>
      </dgm:t>
    </dgm:pt>
    <dgm:pt modelId="{B7C39A47-EC33-469C-BB62-93FFE66EF56E}" type="parTrans" cxnId="{11DCD4BB-875D-4A45-BA44-D98E6912C226}">
      <dgm:prSet/>
      <dgm:spPr>
        <a:ln>
          <a:solidFill>
            <a:schemeClr val="accent2">
              <a:lumMod val="75000"/>
            </a:schemeClr>
          </a:solidFill>
        </a:ln>
      </dgm:spPr>
      <dgm:t>
        <a:bodyPr/>
        <a:lstStyle/>
        <a:p>
          <a:endParaRPr lang="en-GB"/>
        </a:p>
      </dgm:t>
    </dgm:pt>
    <dgm:pt modelId="{3EB337C7-7CFE-4F1F-8C29-B4D7045774C1}" type="sibTrans" cxnId="{11DCD4BB-875D-4A45-BA44-D98E6912C226}">
      <dgm:prSet/>
      <dgm:spPr/>
      <dgm:t>
        <a:bodyPr/>
        <a:lstStyle/>
        <a:p>
          <a:endParaRPr lang="en-GB"/>
        </a:p>
      </dgm:t>
    </dgm:pt>
    <dgm:pt modelId="{8231EEF7-9DBC-4421-B0E8-58665BE49B56}">
      <dgm:prSet phldrT="[Text]"/>
      <dgm:spPr>
        <a:solidFill>
          <a:schemeClr val="accent2">
            <a:lumMod val="60000"/>
            <a:lumOff val="40000"/>
          </a:schemeClr>
        </a:solidFill>
      </dgm:spPr>
      <dgm:t>
        <a:bodyPr/>
        <a:lstStyle/>
        <a:p>
          <a:r>
            <a:rPr lang="en-GB"/>
            <a:t>acceptant des cartes de monnaie électronique</a:t>
          </a:r>
        </a:p>
      </dgm:t>
    </dgm:pt>
    <dgm:pt modelId="{C180731A-AC83-441E-B04C-2CF83F528CDC}" type="parTrans" cxnId="{9A480F6C-5E7B-412A-A131-A00B0F731EE4}">
      <dgm:prSet/>
      <dgm:spPr>
        <a:ln>
          <a:solidFill>
            <a:schemeClr val="accent2">
              <a:lumMod val="75000"/>
            </a:schemeClr>
          </a:solidFill>
        </a:ln>
      </dgm:spPr>
      <dgm:t>
        <a:bodyPr/>
        <a:lstStyle/>
        <a:p>
          <a:endParaRPr lang="en-GB"/>
        </a:p>
      </dgm:t>
    </dgm:pt>
    <dgm:pt modelId="{5EC56A58-A880-4AD3-B72C-8E4E95C98255}" type="sibTrans" cxnId="{9A480F6C-5E7B-412A-A131-A00B0F731EE4}">
      <dgm:prSet/>
      <dgm:spPr/>
      <dgm:t>
        <a:bodyPr/>
        <a:lstStyle/>
        <a:p>
          <a:endParaRPr lang="en-GB"/>
        </a:p>
      </dgm:t>
    </dgm:pt>
    <dgm:pt modelId="{56D1321C-F22F-4355-B8D0-08C3ACB956E0}">
      <dgm:prSet phldrT="[Text]"/>
      <dgm:spPr>
        <a:solidFill>
          <a:schemeClr val="accent2">
            <a:lumMod val="40000"/>
            <a:lumOff val="60000"/>
          </a:schemeClr>
        </a:solidFill>
      </dgm:spPr>
      <dgm:t>
        <a:bodyPr/>
        <a:lstStyle/>
        <a:p>
          <a:r>
            <a:rPr lang="en-GB"/>
            <a:t>acceptant  des opérations sans contact</a:t>
          </a:r>
        </a:p>
      </dgm:t>
    </dgm:pt>
    <dgm:pt modelId="{FF15E72B-4EAD-4649-8C9B-455D7301967E}" type="parTrans" cxnId="{9C67DE88-0003-4972-B9C6-8F372209AD87}">
      <dgm:prSet/>
      <dgm:spPr>
        <a:ln>
          <a:solidFill>
            <a:schemeClr val="accent2">
              <a:lumMod val="75000"/>
            </a:schemeClr>
          </a:solidFill>
        </a:ln>
      </dgm:spPr>
      <dgm:t>
        <a:bodyPr/>
        <a:lstStyle/>
        <a:p>
          <a:endParaRPr lang="en-GB"/>
        </a:p>
      </dgm:t>
    </dgm:pt>
    <dgm:pt modelId="{97FBD72A-F87B-44B3-AC6F-B6D118FF8344}" type="sibTrans" cxnId="{9C67DE88-0003-4972-B9C6-8F372209AD87}">
      <dgm:prSet/>
      <dgm:spPr/>
      <dgm:t>
        <a:bodyPr/>
        <a:lstStyle/>
        <a:p>
          <a:endParaRPr lang="en-GB"/>
        </a:p>
      </dgm:t>
    </dgm:pt>
    <dgm:pt modelId="{C1E152BB-E1D4-4844-80FE-C3729CC3627E}">
      <dgm:prSet phldrT="[Text]"/>
      <dgm:spPr>
        <a:solidFill>
          <a:schemeClr val="accent6">
            <a:lumMod val="75000"/>
          </a:schemeClr>
        </a:solidFill>
      </dgm:spPr>
      <dgm:t>
        <a:bodyPr/>
        <a:lstStyle/>
        <a:p>
          <a:r>
            <a:rPr lang="en-GB"/>
            <a:t>de chargement/déchargement de monnaie électonique</a:t>
          </a:r>
        </a:p>
      </dgm:t>
    </dgm:pt>
    <dgm:pt modelId="{1DA2BA3A-C9E4-484F-9559-028799A9279F}" type="parTrans" cxnId="{40D18D0C-613A-42F0-ABED-61DE3F421987}">
      <dgm:prSet/>
      <dgm:spPr>
        <a:ln>
          <a:solidFill>
            <a:schemeClr val="accent6">
              <a:lumMod val="75000"/>
            </a:schemeClr>
          </a:solidFill>
        </a:ln>
      </dgm:spPr>
      <dgm:t>
        <a:bodyPr/>
        <a:lstStyle/>
        <a:p>
          <a:endParaRPr lang="en-GB"/>
        </a:p>
      </dgm:t>
    </dgm:pt>
    <dgm:pt modelId="{4B17B355-B4EF-41D7-9C5B-2E11B353206B}" type="sibTrans" cxnId="{40D18D0C-613A-42F0-ABED-61DE3F421987}">
      <dgm:prSet/>
      <dgm:spPr/>
      <dgm:t>
        <a:bodyPr/>
        <a:lstStyle/>
        <a:p>
          <a:endParaRPr lang="en-GB"/>
        </a:p>
      </dgm:t>
    </dgm:pt>
    <dgm:pt modelId="{7AE6B2D1-162C-4A43-A3AC-C9B794DAE025}">
      <dgm:prSet phldrT="[Text]"/>
      <dgm:spPr>
        <a:solidFill>
          <a:schemeClr val="accent6">
            <a:lumMod val="60000"/>
            <a:lumOff val="40000"/>
          </a:schemeClr>
        </a:solidFill>
      </dgm:spPr>
      <dgm:t>
        <a:bodyPr/>
        <a:lstStyle/>
        <a:p>
          <a:r>
            <a:rPr lang="en-GB"/>
            <a:t>acceptant des cartes de monnaie électronique</a:t>
          </a:r>
        </a:p>
      </dgm:t>
    </dgm:pt>
    <dgm:pt modelId="{65B1E8FE-C097-4BC4-A978-C321049E4B1E}" type="parTrans" cxnId="{5F241D71-CA4E-4ABF-B5C6-0569DA3F10EF}">
      <dgm:prSet/>
      <dgm:spPr>
        <a:ln>
          <a:solidFill>
            <a:schemeClr val="accent6">
              <a:lumMod val="75000"/>
            </a:schemeClr>
          </a:solidFill>
        </a:ln>
      </dgm:spPr>
      <dgm:t>
        <a:bodyPr/>
        <a:lstStyle/>
        <a:p>
          <a:endParaRPr lang="en-GB"/>
        </a:p>
      </dgm:t>
    </dgm:pt>
    <dgm:pt modelId="{A8C0CC4D-387C-4DAC-BC1B-D7158ADA1B64}" type="sibTrans" cxnId="{5F241D71-CA4E-4ABF-B5C6-0569DA3F10EF}">
      <dgm:prSet/>
      <dgm:spPr/>
      <dgm:t>
        <a:bodyPr/>
        <a:lstStyle/>
        <a:p>
          <a:endParaRPr lang="en-GB"/>
        </a:p>
      </dgm:t>
    </dgm:pt>
    <dgm:pt modelId="{5B397D61-A356-4857-BB58-132CA2B84069}" type="pres">
      <dgm:prSet presAssocID="{DA9FBC5C-9E16-4A55-B2A1-26AF8BB6C5BC}" presName="hierChild1" presStyleCnt="0">
        <dgm:presLayoutVars>
          <dgm:orgChart val="1"/>
          <dgm:chPref val="1"/>
          <dgm:dir/>
          <dgm:animOne val="branch"/>
          <dgm:animLvl val="lvl"/>
          <dgm:resizeHandles/>
        </dgm:presLayoutVars>
      </dgm:prSet>
      <dgm:spPr/>
    </dgm:pt>
    <dgm:pt modelId="{4AD1E5C6-CD1F-47A5-B5F0-AE44D97FB3BC}" type="pres">
      <dgm:prSet presAssocID="{8D286C4B-0BAE-4191-9884-0512F499A547}" presName="hierRoot1" presStyleCnt="0">
        <dgm:presLayoutVars>
          <dgm:hierBranch val="init"/>
        </dgm:presLayoutVars>
      </dgm:prSet>
      <dgm:spPr/>
    </dgm:pt>
    <dgm:pt modelId="{15DCB4A0-D4D6-46ED-A73E-113DE5DC7B16}" type="pres">
      <dgm:prSet presAssocID="{8D286C4B-0BAE-4191-9884-0512F499A547}" presName="rootComposite1" presStyleCnt="0"/>
      <dgm:spPr/>
    </dgm:pt>
    <dgm:pt modelId="{30C8F22D-1B98-46F6-A253-BF526877D927}" type="pres">
      <dgm:prSet presAssocID="{8D286C4B-0BAE-4191-9884-0512F499A547}" presName="rootText1" presStyleLbl="node0" presStyleIdx="0" presStyleCnt="1">
        <dgm:presLayoutVars>
          <dgm:chPref val="3"/>
        </dgm:presLayoutVars>
      </dgm:prSet>
      <dgm:spPr/>
    </dgm:pt>
    <dgm:pt modelId="{2597D023-38A8-4AD0-BE76-A96010CA07BC}" type="pres">
      <dgm:prSet presAssocID="{8D286C4B-0BAE-4191-9884-0512F499A547}" presName="rootConnector1" presStyleLbl="node1" presStyleIdx="0" presStyleCnt="0"/>
      <dgm:spPr/>
    </dgm:pt>
    <dgm:pt modelId="{96FA649F-2E3B-4C40-964C-AF65B5238B66}" type="pres">
      <dgm:prSet presAssocID="{8D286C4B-0BAE-4191-9884-0512F499A547}" presName="hierChild2" presStyleCnt="0"/>
      <dgm:spPr/>
    </dgm:pt>
    <dgm:pt modelId="{4D2EB0F6-81A7-49E1-B25E-4AAF5841B2ED}" type="pres">
      <dgm:prSet presAssocID="{56F91885-6E86-4BBE-AB73-C98E1EB7CCCD}" presName="Name37" presStyleLbl="parChTrans1D2" presStyleIdx="0" presStyleCnt="3"/>
      <dgm:spPr/>
    </dgm:pt>
    <dgm:pt modelId="{93C215DD-36D1-4E81-9006-D46D61E826BA}" type="pres">
      <dgm:prSet presAssocID="{21A1F292-5A7E-4CC7-95D5-0E1F9AC626BC}" presName="hierRoot2" presStyleCnt="0">
        <dgm:presLayoutVars>
          <dgm:hierBranch val="init"/>
        </dgm:presLayoutVars>
      </dgm:prSet>
      <dgm:spPr/>
    </dgm:pt>
    <dgm:pt modelId="{15AF58B8-9072-4262-A18C-56DCE3C1D5DB}" type="pres">
      <dgm:prSet presAssocID="{21A1F292-5A7E-4CC7-95D5-0E1F9AC626BC}" presName="rootComposite" presStyleCnt="0"/>
      <dgm:spPr/>
    </dgm:pt>
    <dgm:pt modelId="{4698EA73-1464-442E-A457-E1494105B03D}" type="pres">
      <dgm:prSet presAssocID="{21A1F292-5A7E-4CC7-95D5-0E1F9AC626BC}" presName="rootText" presStyleLbl="node2" presStyleIdx="0" presStyleCnt="3">
        <dgm:presLayoutVars>
          <dgm:chPref val="3"/>
        </dgm:presLayoutVars>
      </dgm:prSet>
      <dgm:spPr/>
    </dgm:pt>
    <dgm:pt modelId="{D1F61EB2-1917-4A0F-A5F3-93E4BC654919}" type="pres">
      <dgm:prSet presAssocID="{21A1F292-5A7E-4CC7-95D5-0E1F9AC626BC}" presName="rootConnector" presStyleLbl="node2" presStyleIdx="0" presStyleCnt="3"/>
      <dgm:spPr/>
    </dgm:pt>
    <dgm:pt modelId="{635D3C23-67F0-4B87-8B2B-39962C894834}" type="pres">
      <dgm:prSet presAssocID="{21A1F292-5A7E-4CC7-95D5-0E1F9AC626BC}" presName="hierChild4" presStyleCnt="0"/>
      <dgm:spPr/>
    </dgm:pt>
    <dgm:pt modelId="{C7A125D8-BD60-414B-8EDB-44A5895E79DB}" type="pres">
      <dgm:prSet presAssocID="{277DCB86-B908-4575-87F5-994434740BAE}" presName="Name37" presStyleLbl="parChTrans1D3" presStyleIdx="0" presStyleCnt="6"/>
      <dgm:spPr/>
    </dgm:pt>
    <dgm:pt modelId="{C854EA0A-5E10-47CC-B243-D2997B81D459}" type="pres">
      <dgm:prSet presAssocID="{4D518CE7-BB7A-4323-A7D9-9057A46B260D}" presName="hierRoot2" presStyleCnt="0">
        <dgm:presLayoutVars>
          <dgm:hierBranch val="init"/>
        </dgm:presLayoutVars>
      </dgm:prSet>
      <dgm:spPr/>
    </dgm:pt>
    <dgm:pt modelId="{7428A4F2-AB26-4AA6-B286-50AF55EF65DB}" type="pres">
      <dgm:prSet presAssocID="{4D518CE7-BB7A-4323-A7D9-9057A46B260D}" presName="rootComposite" presStyleCnt="0"/>
      <dgm:spPr/>
    </dgm:pt>
    <dgm:pt modelId="{D677430F-BC4C-4CEA-B68E-1C794E3C44E4}" type="pres">
      <dgm:prSet presAssocID="{4D518CE7-BB7A-4323-A7D9-9057A46B260D}" presName="rootText" presStyleLbl="node3" presStyleIdx="0" presStyleCnt="6">
        <dgm:presLayoutVars>
          <dgm:chPref val="3"/>
        </dgm:presLayoutVars>
      </dgm:prSet>
      <dgm:spPr/>
    </dgm:pt>
    <dgm:pt modelId="{A4BC51A1-6E28-4DE8-A7A1-9759284AC523}" type="pres">
      <dgm:prSet presAssocID="{4D518CE7-BB7A-4323-A7D9-9057A46B260D}" presName="rootConnector" presStyleLbl="node3" presStyleIdx="0" presStyleCnt="6"/>
      <dgm:spPr/>
    </dgm:pt>
    <dgm:pt modelId="{A812D081-183E-4E0B-9573-6D2AA41EA415}" type="pres">
      <dgm:prSet presAssocID="{4D518CE7-BB7A-4323-A7D9-9057A46B260D}" presName="hierChild4" presStyleCnt="0"/>
      <dgm:spPr/>
    </dgm:pt>
    <dgm:pt modelId="{848F251D-FBBD-4F1E-90CC-90B86AD2C84B}" type="pres">
      <dgm:prSet presAssocID="{4D518CE7-BB7A-4323-A7D9-9057A46B260D}" presName="hierChild5" presStyleCnt="0"/>
      <dgm:spPr/>
    </dgm:pt>
    <dgm:pt modelId="{F872207D-A9C7-40CC-B2C8-39C4211B6DBD}" type="pres">
      <dgm:prSet presAssocID="{D933F05E-463A-49E8-829E-9B3965513120}" presName="Name37" presStyleLbl="parChTrans1D3" presStyleIdx="1" presStyleCnt="6"/>
      <dgm:spPr/>
    </dgm:pt>
    <dgm:pt modelId="{17458A21-6461-4417-A9A3-E4B96DC4E021}" type="pres">
      <dgm:prSet presAssocID="{794EA368-A9EB-4CE3-AEFE-EB7D9ED2CA04}" presName="hierRoot2" presStyleCnt="0">
        <dgm:presLayoutVars>
          <dgm:hierBranch val="init"/>
        </dgm:presLayoutVars>
      </dgm:prSet>
      <dgm:spPr/>
    </dgm:pt>
    <dgm:pt modelId="{F73AF239-F6F0-4A84-8477-21A3D7C23550}" type="pres">
      <dgm:prSet presAssocID="{794EA368-A9EB-4CE3-AEFE-EB7D9ED2CA04}" presName="rootComposite" presStyleCnt="0"/>
      <dgm:spPr/>
    </dgm:pt>
    <dgm:pt modelId="{C604C618-CF53-40CE-ABE2-C847BBE78599}" type="pres">
      <dgm:prSet presAssocID="{794EA368-A9EB-4CE3-AEFE-EB7D9ED2CA04}" presName="rootText" presStyleLbl="node3" presStyleIdx="1" presStyleCnt="6">
        <dgm:presLayoutVars>
          <dgm:chPref val="3"/>
        </dgm:presLayoutVars>
      </dgm:prSet>
      <dgm:spPr/>
    </dgm:pt>
    <dgm:pt modelId="{A047A373-B59D-43CE-A68C-D9AC7FBD7ED5}" type="pres">
      <dgm:prSet presAssocID="{794EA368-A9EB-4CE3-AEFE-EB7D9ED2CA04}" presName="rootConnector" presStyleLbl="node3" presStyleIdx="1" presStyleCnt="6"/>
      <dgm:spPr/>
    </dgm:pt>
    <dgm:pt modelId="{B820BF3B-C865-47DA-9AA9-CB2E9F645F47}" type="pres">
      <dgm:prSet presAssocID="{794EA368-A9EB-4CE3-AEFE-EB7D9ED2CA04}" presName="hierChild4" presStyleCnt="0"/>
      <dgm:spPr/>
    </dgm:pt>
    <dgm:pt modelId="{6C206E15-7317-469B-A672-94CE5F28A254}" type="pres">
      <dgm:prSet presAssocID="{794EA368-A9EB-4CE3-AEFE-EB7D9ED2CA04}" presName="hierChild5" presStyleCnt="0"/>
      <dgm:spPr/>
    </dgm:pt>
    <dgm:pt modelId="{85BFD3F6-BA8C-49AD-9307-BDEF045323CC}" type="pres">
      <dgm:prSet presAssocID="{60F22199-880F-4F25-93A7-3DF944757DA5}" presName="Name37" presStyleLbl="parChTrans1D3" presStyleIdx="2" presStyleCnt="6"/>
      <dgm:spPr/>
    </dgm:pt>
    <dgm:pt modelId="{DFD6C780-1AE6-4E8C-81DB-23077B8B3046}" type="pres">
      <dgm:prSet presAssocID="{574175A8-2A06-48AB-BEE2-1D8B5CCB0446}" presName="hierRoot2" presStyleCnt="0">
        <dgm:presLayoutVars>
          <dgm:hierBranch val="init"/>
        </dgm:presLayoutVars>
      </dgm:prSet>
      <dgm:spPr/>
    </dgm:pt>
    <dgm:pt modelId="{4EC28F75-5A96-4A01-A73A-9EEF1601E728}" type="pres">
      <dgm:prSet presAssocID="{574175A8-2A06-48AB-BEE2-1D8B5CCB0446}" presName="rootComposite" presStyleCnt="0"/>
      <dgm:spPr/>
    </dgm:pt>
    <dgm:pt modelId="{FCDED68E-5B56-4A4F-A5D5-4AEA3AA109B2}" type="pres">
      <dgm:prSet presAssocID="{574175A8-2A06-48AB-BEE2-1D8B5CCB0446}" presName="rootText" presStyleLbl="node3" presStyleIdx="2" presStyleCnt="6">
        <dgm:presLayoutVars>
          <dgm:chPref val="3"/>
        </dgm:presLayoutVars>
      </dgm:prSet>
      <dgm:spPr/>
    </dgm:pt>
    <dgm:pt modelId="{10481537-008D-4F9F-99EF-9F5AA385FBA3}" type="pres">
      <dgm:prSet presAssocID="{574175A8-2A06-48AB-BEE2-1D8B5CCB0446}" presName="rootConnector" presStyleLbl="node3" presStyleIdx="2" presStyleCnt="6"/>
      <dgm:spPr/>
    </dgm:pt>
    <dgm:pt modelId="{E239596D-EEF6-4572-9A78-20639DDB63E3}" type="pres">
      <dgm:prSet presAssocID="{574175A8-2A06-48AB-BEE2-1D8B5CCB0446}" presName="hierChild4" presStyleCnt="0"/>
      <dgm:spPr/>
    </dgm:pt>
    <dgm:pt modelId="{342FD885-75B4-414D-AB41-11EF123CA2C4}" type="pres">
      <dgm:prSet presAssocID="{574175A8-2A06-48AB-BEE2-1D8B5CCB0446}" presName="hierChild5" presStyleCnt="0"/>
      <dgm:spPr/>
    </dgm:pt>
    <dgm:pt modelId="{20CAF5C6-AE14-4382-A707-B137B59965A5}" type="pres">
      <dgm:prSet presAssocID="{21A1F292-5A7E-4CC7-95D5-0E1F9AC626BC}" presName="hierChild5" presStyleCnt="0"/>
      <dgm:spPr/>
    </dgm:pt>
    <dgm:pt modelId="{95712751-D212-438F-BAD2-80BCC233A71E}" type="pres">
      <dgm:prSet presAssocID="{BD867ABD-AD68-40F4-A667-CEED433F64DE}" presName="Name37" presStyleLbl="parChTrans1D2" presStyleIdx="1" presStyleCnt="3"/>
      <dgm:spPr/>
    </dgm:pt>
    <dgm:pt modelId="{B73CC1CB-7C35-4827-B6AF-AE26E697F967}" type="pres">
      <dgm:prSet presAssocID="{63BBCA83-FE54-4851-BAFB-C043C4C843F8}" presName="hierRoot2" presStyleCnt="0">
        <dgm:presLayoutVars>
          <dgm:hierBranch val="init"/>
        </dgm:presLayoutVars>
      </dgm:prSet>
      <dgm:spPr/>
    </dgm:pt>
    <dgm:pt modelId="{2A1B41A3-733A-4C74-9694-ADCC018ACBD0}" type="pres">
      <dgm:prSet presAssocID="{63BBCA83-FE54-4851-BAFB-C043C4C843F8}" presName="rootComposite" presStyleCnt="0"/>
      <dgm:spPr/>
    </dgm:pt>
    <dgm:pt modelId="{A047B187-F177-4E28-95FA-669108520F12}" type="pres">
      <dgm:prSet presAssocID="{63BBCA83-FE54-4851-BAFB-C043C4C843F8}" presName="rootText" presStyleLbl="node2" presStyleIdx="1" presStyleCnt="3">
        <dgm:presLayoutVars>
          <dgm:chPref val="3"/>
        </dgm:presLayoutVars>
      </dgm:prSet>
      <dgm:spPr/>
    </dgm:pt>
    <dgm:pt modelId="{9B170717-62DA-46A1-A426-F78A8DA87936}" type="pres">
      <dgm:prSet presAssocID="{63BBCA83-FE54-4851-BAFB-C043C4C843F8}" presName="rootConnector" presStyleLbl="node2" presStyleIdx="1" presStyleCnt="3"/>
      <dgm:spPr/>
    </dgm:pt>
    <dgm:pt modelId="{E78DF30A-3213-4717-A467-7EC3E86EE660}" type="pres">
      <dgm:prSet presAssocID="{63BBCA83-FE54-4851-BAFB-C043C4C843F8}" presName="hierChild4" presStyleCnt="0"/>
      <dgm:spPr/>
    </dgm:pt>
    <dgm:pt modelId="{DA44E10C-1CDB-45E7-B9B7-CCEA7D0B20C1}" type="pres">
      <dgm:prSet presAssocID="{B7C39A47-EC33-469C-BB62-93FFE66EF56E}" presName="Name37" presStyleLbl="parChTrans1D3" presStyleIdx="3" presStyleCnt="6"/>
      <dgm:spPr/>
    </dgm:pt>
    <dgm:pt modelId="{7435087F-1EE3-4497-BB41-88ABB0403F92}" type="pres">
      <dgm:prSet presAssocID="{ED48A327-8796-4333-B5E7-9461701C6EED}" presName="hierRoot2" presStyleCnt="0">
        <dgm:presLayoutVars>
          <dgm:hierBranch val="init"/>
        </dgm:presLayoutVars>
      </dgm:prSet>
      <dgm:spPr/>
    </dgm:pt>
    <dgm:pt modelId="{ECD7F3F3-0FF6-44CB-9866-EC9347F4B35F}" type="pres">
      <dgm:prSet presAssocID="{ED48A327-8796-4333-B5E7-9461701C6EED}" presName="rootComposite" presStyleCnt="0"/>
      <dgm:spPr/>
    </dgm:pt>
    <dgm:pt modelId="{F4BE2E49-A2CC-4B76-862C-F287D4C7870D}" type="pres">
      <dgm:prSet presAssocID="{ED48A327-8796-4333-B5E7-9461701C6EED}" presName="rootText" presStyleLbl="node3" presStyleIdx="3" presStyleCnt="6">
        <dgm:presLayoutVars>
          <dgm:chPref val="3"/>
        </dgm:presLayoutVars>
      </dgm:prSet>
      <dgm:spPr/>
    </dgm:pt>
    <dgm:pt modelId="{6361C150-BFAF-4DE6-A05F-3EDFFD5CC918}" type="pres">
      <dgm:prSet presAssocID="{ED48A327-8796-4333-B5E7-9461701C6EED}" presName="rootConnector" presStyleLbl="node3" presStyleIdx="3" presStyleCnt="6"/>
      <dgm:spPr/>
    </dgm:pt>
    <dgm:pt modelId="{8EB16436-4CFC-4EAC-A6D4-ACCB622075D2}" type="pres">
      <dgm:prSet presAssocID="{ED48A327-8796-4333-B5E7-9461701C6EED}" presName="hierChild4" presStyleCnt="0"/>
      <dgm:spPr/>
    </dgm:pt>
    <dgm:pt modelId="{BFA23EB0-68CB-49B4-88DD-1DD73855A44B}" type="pres">
      <dgm:prSet presAssocID="{C180731A-AC83-441E-B04C-2CF83F528CDC}" presName="Name37" presStyleLbl="parChTrans1D4" presStyleIdx="0" presStyleCnt="2"/>
      <dgm:spPr/>
    </dgm:pt>
    <dgm:pt modelId="{49815D76-C5E9-4FD8-98CE-7522281D29BC}" type="pres">
      <dgm:prSet presAssocID="{8231EEF7-9DBC-4421-B0E8-58665BE49B56}" presName="hierRoot2" presStyleCnt="0">
        <dgm:presLayoutVars>
          <dgm:hierBranch val="init"/>
        </dgm:presLayoutVars>
      </dgm:prSet>
      <dgm:spPr/>
    </dgm:pt>
    <dgm:pt modelId="{492E910C-65D8-4C86-BFEB-E6F57CC266F5}" type="pres">
      <dgm:prSet presAssocID="{8231EEF7-9DBC-4421-B0E8-58665BE49B56}" presName="rootComposite" presStyleCnt="0"/>
      <dgm:spPr/>
    </dgm:pt>
    <dgm:pt modelId="{3036FCDD-625D-495D-B275-A921DC615387}" type="pres">
      <dgm:prSet presAssocID="{8231EEF7-9DBC-4421-B0E8-58665BE49B56}" presName="rootText" presStyleLbl="node4" presStyleIdx="0" presStyleCnt="2">
        <dgm:presLayoutVars>
          <dgm:chPref val="3"/>
        </dgm:presLayoutVars>
      </dgm:prSet>
      <dgm:spPr/>
    </dgm:pt>
    <dgm:pt modelId="{1E834DBB-BFC3-44EE-8C62-9EB44BA133B5}" type="pres">
      <dgm:prSet presAssocID="{8231EEF7-9DBC-4421-B0E8-58665BE49B56}" presName="rootConnector" presStyleLbl="node4" presStyleIdx="0" presStyleCnt="2"/>
      <dgm:spPr/>
    </dgm:pt>
    <dgm:pt modelId="{EF1444E9-7005-4271-B124-D7FCC2A55E0E}" type="pres">
      <dgm:prSet presAssocID="{8231EEF7-9DBC-4421-B0E8-58665BE49B56}" presName="hierChild4" presStyleCnt="0"/>
      <dgm:spPr/>
    </dgm:pt>
    <dgm:pt modelId="{85E899A4-35E6-4F9B-A084-4AD58EEF1D72}" type="pres">
      <dgm:prSet presAssocID="{8231EEF7-9DBC-4421-B0E8-58665BE49B56}" presName="hierChild5" presStyleCnt="0"/>
      <dgm:spPr/>
    </dgm:pt>
    <dgm:pt modelId="{56E6DABC-7B11-4906-B2A7-ED93FACCFCE8}" type="pres">
      <dgm:prSet presAssocID="{FF15E72B-4EAD-4649-8C9B-455D7301967E}" presName="Name37" presStyleLbl="parChTrans1D4" presStyleIdx="1" presStyleCnt="2"/>
      <dgm:spPr/>
    </dgm:pt>
    <dgm:pt modelId="{68E4A1D1-E377-4A39-9AB5-2A815CE66DD5}" type="pres">
      <dgm:prSet presAssocID="{56D1321C-F22F-4355-B8D0-08C3ACB956E0}" presName="hierRoot2" presStyleCnt="0">
        <dgm:presLayoutVars>
          <dgm:hierBranch val="init"/>
        </dgm:presLayoutVars>
      </dgm:prSet>
      <dgm:spPr/>
    </dgm:pt>
    <dgm:pt modelId="{8A0B4FA2-8906-4DFB-A30E-36E7B1119ED8}" type="pres">
      <dgm:prSet presAssocID="{56D1321C-F22F-4355-B8D0-08C3ACB956E0}" presName="rootComposite" presStyleCnt="0"/>
      <dgm:spPr/>
    </dgm:pt>
    <dgm:pt modelId="{54CB4FC3-422F-4EEB-9675-D306B95B0E59}" type="pres">
      <dgm:prSet presAssocID="{56D1321C-F22F-4355-B8D0-08C3ACB956E0}" presName="rootText" presStyleLbl="node4" presStyleIdx="1" presStyleCnt="2">
        <dgm:presLayoutVars>
          <dgm:chPref val="3"/>
        </dgm:presLayoutVars>
      </dgm:prSet>
      <dgm:spPr/>
    </dgm:pt>
    <dgm:pt modelId="{05E4BFD0-7061-4E55-B728-EDA88DE65DC8}" type="pres">
      <dgm:prSet presAssocID="{56D1321C-F22F-4355-B8D0-08C3ACB956E0}" presName="rootConnector" presStyleLbl="node4" presStyleIdx="1" presStyleCnt="2"/>
      <dgm:spPr/>
    </dgm:pt>
    <dgm:pt modelId="{E0D96C9B-3254-4519-A70D-FD8A47146E14}" type="pres">
      <dgm:prSet presAssocID="{56D1321C-F22F-4355-B8D0-08C3ACB956E0}" presName="hierChild4" presStyleCnt="0"/>
      <dgm:spPr/>
    </dgm:pt>
    <dgm:pt modelId="{2418E3B1-32B9-4658-900F-FCFA50196DD5}" type="pres">
      <dgm:prSet presAssocID="{56D1321C-F22F-4355-B8D0-08C3ACB956E0}" presName="hierChild5" presStyleCnt="0"/>
      <dgm:spPr/>
    </dgm:pt>
    <dgm:pt modelId="{56761B02-3FE8-45C1-9C83-395544752438}" type="pres">
      <dgm:prSet presAssocID="{ED48A327-8796-4333-B5E7-9461701C6EED}" presName="hierChild5" presStyleCnt="0"/>
      <dgm:spPr/>
    </dgm:pt>
    <dgm:pt modelId="{3C59CF65-D20D-439B-BF65-6998AC8CD854}" type="pres">
      <dgm:prSet presAssocID="{63BBCA83-FE54-4851-BAFB-C043C4C843F8}" presName="hierChild5" presStyleCnt="0"/>
      <dgm:spPr/>
    </dgm:pt>
    <dgm:pt modelId="{227DA448-22D5-4B44-9F8D-752D5739CA17}" type="pres">
      <dgm:prSet presAssocID="{FB462582-B860-4127-AD1F-0893D853648E}" presName="Name37" presStyleLbl="parChTrans1D2" presStyleIdx="2" presStyleCnt="3"/>
      <dgm:spPr/>
    </dgm:pt>
    <dgm:pt modelId="{0070F591-04CE-49A2-929C-B233CFA2A89F}" type="pres">
      <dgm:prSet presAssocID="{B66FF26D-027D-423E-8D05-CA12531363AE}" presName="hierRoot2" presStyleCnt="0">
        <dgm:presLayoutVars>
          <dgm:hierBranch val="init"/>
        </dgm:presLayoutVars>
      </dgm:prSet>
      <dgm:spPr/>
    </dgm:pt>
    <dgm:pt modelId="{6FEA48C9-17D0-4791-965E-10F9E42AA2F1}" type="pres">
      <dgm:prSet presAssocID="{B66FF26D-027D-423E-8D05-CA12531363AE}" presName="rootComposite" presStyleCnt="0"/>
      <dgm:spPr/>
    </dgm:pt>
    <dgm:pt modelId="{655F4AEF-F802-494F-A183-3CC53917ED7C}" type="pres">
      <dgm:prSet presAssocID="{B66FF26D-027D-423E-8D05-CA12531363AE}" presName="rootText" presStyleLbl="node2" presStyleIdx="2" presStyleCnt="3">
        <dgm:presLayoutVars>
          <dgm:chPref val="3"/>
        </dgm:presLayoutVars>
      </dgm:prSet>
      <dgm:spPr/>
    </dgm:pt>
    <dgm:pt modelId="{7F1BEE27-D93F-4314-9F59-DA64BEA705D2}" type="pres">
      <dgm:prSet presAssocID="{B66FF26D-027D-423E-8D05-CA12531363AE}" presName="rootConnector" presStyleLbl="node2" presStyleIdx="2" presStyleCnt="3"/>
      <dgm:spPr/>
    </dgm:pt>
    <dgm:pt modelId="{7E0670C4-B299-4C46-B683-0D6DE1930E00}" type="pres">
      <dgm:prSet presAssocID="{B66FF26D-027D-423E-8D05-CA12531363AE}" presName="hierChild4" presStyleCnt="0"/>
      <dgm:spPr/>
    </dgm:pt>
    <dgm:pt modelId="{DCE99534-9790-41B4-86AD-051D2534A4D3}" type="pres">
      <dgm:prSet presAssocID="{1DA2BA3A-C9E4-484F-9559-028799A9279F}" presName="Name37" presStyleLbl="parChTrans1D3" presStyleIdx="4" presStyleCnt="6"/>
      <dgm:spPr/>
    </dgm:pt>
    <dgm:pt modelId="{2A0179B5-28EC-49FE-9746-EDA660A04099}" type="pres">
      <dgm:prSet presAssocID="{C1E152BB-E1D4-4844-80FE-C3729CC3627E}" presName="hierRoot2" presStyleCnt="0">
        <dgm:presLayoutVars>
          <dgm:hierBranch val="init"/>
        </dgm:presLayoutVars>
      </dgm:prSet>
      <dgm:spPr/>
    </dgm:pt>
    <dgm:pt modelId="{A8E88261-4F0E-4FD5-8A23-8CFDFE5DF428}" type="pres">
      <dgm:prSet presAssocID="{C1E152BB-E1D4-4844-80FE-C3729CC3627E}" presName="rootComposite" presStyleCnt="0"/>
      <dgm:spPr/>
    </dgm:pt>
    <dgm:pt modelId="{C99FBEC4-0523-4C00-8C7C-C2A20504BBFF}" type="pres">
      <dgm:prSet presAssocID="{C1E152BB-E1D4-4844-80FE-C3729CC3627E}" presName="rootText" presStyleLbl="node3" presStyleIdx="4" presStyleCnt="6">
        <dgm:presLayoutVars>
          <dgm:chPref val="3"/>
        </dgm:presLayoutVars>
      </dgm:prSet>
      <dgm:spPr/>
    </dgm:pt>
    <dgm:pt modelId="{53EC5DC0-6B22-4B7A-A854-F9ACA917DD2D}" type="pres">
      <dgm:prSet presAssocID="{C1E152BB-E1D4-4844-80FE-C3729CC3627E}" presName="rootConnector" presStyleLbl="node3" presStyleIdx="4" presStyleCnt="6"/>
      <dgm:spPr/>
    </dgm:pt>
    <dgm:pt modelId="{0C4AC4A9-1371-4722-B00C-4216F6C5D7C4}" type="pres">
      <dgm:prSet presAssocID="{C1E152BB-E1D4-4844-80FE-C3729CC3627E}" presName="hierChild4" presStyleCnt="0"/>
      <dgm:spPr/>
    </dgm:pt>
    <dgm:pt modelId="{52CDDD96-F662-4DDF-BC0B-C73EFA10BAFE}" type="pres">
      <dgm:prSet presAssocID="{C1E152BB-E1D4-4844-80FE-C3729CC3627E}" presName="hierChild5" presStyleCnt="0"/>
      <dgm:spPr/>
    </dgm:pt>
    <dgm:pt modelId="{0B48D0C0-CCBA-48D3-B72B-F1A4144F0F41}" type="pres">
      <dgm:prSet presAssocID="{65B1E8FE-C097-4BC4-A978-C321049E4B1E}" presName="Name37" presStyleLbl="parChTrans1D3" presStyleIdx="5" presStyleCnt="6"/>
      <dgm:spPr/>
    </dgm:pt>
    <dgm:pt modelId="{B85BAB4A-29E1-49B6-AF84-BC8F7633BCB7}" type="pres">
      <dgm:prSet presAssocID="{7AE6B2D1-162C-4A43-A3AC-C9B794DAE025}" presName="hierRoot2" presStyleCnt="0">
        <dgm:presLayoutVars>
          <dgm:hierBranch val="init"/>
        </dgm:presLayoutVars>
      </dgm:prSet>
      <dgm:spPr/>
    </dgm:pt>
    <dgm:pt modelId="{9C04B918-C7DF-4F91-A50E-63291DE97B6E}" type="pres">
      <dgm:prSet presAssocID="{7AE6B2D1-162C-4A43-A3AC-C9B794DAE025}" presName="rootComposite" presStyleCnt="0"/>
      <dgm:spPr/>
    </dgm:pt>
    <dgm:pt modelId="{E5D89D86-5265-4BEE-8901-5B4B48B91DEA}" type="pres">
      <dgm:prSet presAssocID="{7AE6B2D1-162C-4A43-A3AC-C9B794DAE025}" presName="rootText" presStyleLbl="node3" presStyleIdx="5" presStyleCnt="6">
        <dgm:presLayoutVars>
          <dgm:chPref val="3"/>
        </dgm:presLayoutVars>
      </dgm:prSet>
      <dgm:spPr/>
    </dgm:pt>
    <dgm:pt modelId="{62FE6543-C10C-4E1B-8B2D-E98F65840CF1}" type="pres">
      <dgm:prSet presAssocID="{7AE6B2D1-162C-4A43-A3AC-C9B794DAE025}" presName="rootConnector" presStyleLbl="node3" presStyleIdx="5" presStyleCnt="6"/>
      <dgm:spPr/>
    </dgm:pt>
    <dgm:pt modelId="{456067BA-04F4-42A7-8AF4-9A2451B2E5C6}" type="pres">
      <dgm:prSet presAssocID="{7AE6B2D1-162C-4A43-A3AC-C9B794DAE025}" presName="hierChild4" presStyleCnt="0"/>
      <dgm:spPr/>
    </dgm:pt>
    <dgm:pt modelId="{D2233DA9-49D5-49E8-A5F5-FAADC4ECAF6F}" type="pres">
      <dgm:prSet presAssocID="{7AE6B2D1-162C-4A43-A3AC-C9B794DAE025}" presName="hierChild5" presStyleCnt="0"/>
      <dgm:spPr/>
    </dgm:pt>
    <dgm:pt modelId="{D832453B-F8E3-4125-91BE-60EF930DF727}" type="pres">
      <dgm:prSet presAssocID="{B66FF26D-027D-423E-8D05-CA12531363AE}" presName="hierChild5" presStyleCnt="0"/>
      <dgm:spPr/>
    </dgm:pt>
    <dgm:pt modelId="{855CCF6F-9D69-4F34-926D-31040C38A727}" type="pres">
      <dgm:prSet presAssocID="{8D286C4B-0BAE-4191-9884-0512F499A547}" presName="hierChild3" presStyleCnt="0"/>
      <dgm:spPr/>
    </dgm:pt>
  </dgm:ptLst>
  <dgm:cxnLst>
    <dgm:cxn modelId="{E5E9AE01-D991-4B25-942F-32280B114FB9}" type="presOf" srcId="{7AE6B2D1-162C-4A43-A3AC-C9B794DAE025}" destId="{62FE6543-C10C-4E1B-8B2D-E98F65840CF1}" srcOrd="1" destOrd="0" presId="urn:microsoft.com/office/officeart/2005/8/layout/orgChart1"/>
    <dgm:cxn modelId="{BDFB5F04-98F5-4A2C-9841-4D14EB31FCC7}" type="presOf" srcId="{BD867ABD-AD68-40F4-A667-CEED433F64DE}" destId="{95712751-D212-438F-BAD2-80BCC233A71E}" srcOrd="0" destOrd="0" presId="urn:microsoft.com/office/officeart/2005/8/layout/orgChart1"/>
    <dgm:cxn modelId="{971A8A07-D71E-467A-9D2A-784106EAD91B}" srcId="{8D286C4B-0BAE-4191-9884-0512F499A547}" destId="{B66FF26D-027D-423E-8D05-CA12531363AE}" srcOrd="2" destOrd="0" parTransId="{FB462582-B860-4127-AD1F-0893D853648E}" sibTransId="{D2B848C0-0121-4D64-AF09-4554434E8CF4}"/>
    <dgm:cxn modelId="{09DBAC0A-0036-4029-B927-2BF01574F7A2}" type="presOf" srcId="{8231EEF7-9DBC-4421-B0E8-58665BE49B56}" destId="{1E834DBB-BFC3-44EE-8C62-9EB44BA133B5}" srcOrd="1" destOrd="0" presId="urn:microsoft.com/office/officeart/2005/8/layout/orgChart1"/>
    <dgm:cxn modelId="{2FCB9B0B-F030-4ACA-95A5-E19BCA325B8E}" srcId="{21A1F292-5A7E-4CC7-95D5-0E1F9AC626BC}" destId="{794EA368-A9EB-4CE3-AEFE-EB7D9ED2CA04}" srcOrd="1" destOrd="0" parTransId="{D933F05E-463A-49E8-829E-9B3965513120}" sibTransId="{A27CB14F-3DE3-438E-9DC1-5B81E32F64FF}"/>
    <dgm:cxn modelId="{9A8A0B0C-408B-425F-A694-C38F482576C9}" type="presOf" srcId="{ED48A327-8796-4333-B5E7-9461701C6EED}" destId="{F4BE2E49-A2CC-4B76-862C-F287D4C7870D}" srcOrd="0" destOrd="0" presId="urn:microsoft.com/office/officeart/2005/8/layout/orgChart1"/>
    <dgm:cxn modelId="{40D18D0C-613A-42F0-ABED-61DE3F421987}" srcId="{B66FF26D-027D-423E-8D05-CA12531363AE}" destId="{C1E152BB-E1D4-4844-80FE-C3729CC3627E}" srcOrd="0" destOrd="0" parTransId="{1DA2BA3A-C9E4-484F-9559-028799A9279F}" sibTransId="{4B17B355-B4EF-41D7-9C5B-2E11B353206B}"/>
    <dgm:cxn modelId="{C1BD260D-A4F8-4580-BAF5-B7647ECFCEF4}" srcId="{DA9FBC5C-9E16-4A55-B2A1-26AF8BB6C5BC}" destId="{8D286C4B-0BAE-4191-9884-0512F499A547}" srcOrd="0" destOrd="0" parTransId="{D5DB0B37-0AAD-4B1E-B7F1-A3C7D3966079}" sibTransId="{37E1753E-E077-4FF6-9ADD-E3C0A147D3C8}"/>
    <dgm:cxn modelId="{5F01BC0F-B0D7-4D8B-A3B4-A4C2B262B0E0}" type="presOf" srcId="{21A1F292-5A7E-4CC7-95D5-0E1F9AC626BC}" destId="{D1F61EB2-1917-4A0F-A5F3-93E4BC654919}" srcOrd="1" destOrd="0" presId="urn:microsoft.com/office/officeart/2005/8/layout/orgChart1"/>
    <dgm:cxn modelId="{F15CC90F-8BFB-4B31-B1C4-6E878BA822B6}" type="presOf" srcId="{DA9FBC5C-9E16-4A55-B2A1-26AF8BB6C5BC}" destId="{5B397D61-A356-4857-BB58-132CA2B84069}" srcOrd="0" destOrd="0" presId="urn:microsoft.com/office/officeart/2005/8/layout/orgChart1"/>
    <dgm:cxn modelId="{45818C10-B839-4186-B3B4-7E98A36905B1}" type="presOf" srcId="{7AE6B2D1-162C-4A43-A3AC-C9B794DAE025}" destId="{E5D89D86-5265-4BEE-8901-5B4B48B91DEA}" srcOrd="0" destOrd="0" presId="urn:microsoft.com/office/officeart/2005/8/layout/orgChart1"/>
    <dgm:cxn modelId="{0008AA14-1255-481B-A602-50A0EE2DB01E}" type="presOf" srcId="{277DCB86-B908-4575-87F5-994434740BAE}" destId="{C7A125D8-BD60-414B-8EDB-44A5895E79DB}" srcOrd="0" destOrd="0" presId="urn:microsoft.com/office/officeart/2005/8/layout/orgChart1"/>
    <dgm:cxn modelId="{6655E21C-6394-44B2-92DE-0C35E0DDDF19}" type="presOf" srcId="{574175A8-2A06-48AB-BEE2-1D8B5CCB0446}" destId="{10481537-008D-4F9F-99EF-9F5AA385FBA3}" srcOrd="1" destOrd="0" presId="urn:microsoft.com/office/officeart/2005/8/layout/orgChart1"/>
    <dgm:cxn modelId="{238CD420-69D3-42BE-A13B-B9805B0FC00B}" srcId="{8D286C4B-0BAE-4191-9884-0512F499A547}" destId="{63BBCA83-FE54-4851-BAFB-C043C4C843F8}" srcOrd="1" destOrd="0" parTransId="{BD867ABD-AD68-40F4-A667-CEED433F64DE}" sibTransId="{776B6BB1-BE6B-4005-8812-DA22F804DE46}"/>
    <dgm:cxn modelId="{0ADCB621-8C52-45B4-84E9-5332402FC943}" type="presOf" srcId="{C1E152BB-E1D4-4844-80FE-C3729CC3627E}" destId="{C99FBEC4-0523-4C00-8C7C-C2A20504BBFF}" srcOrd="0" destOrd="0" presId="urn:microsoft.com/office/officeart/2005/8/layout/orgChart1"/>
    <dgm:cxn modelId="{877A4325-8047-4F12-9EE9-6CD923408CD1}" type="presOf" srcId="{21A1F292-5A7E-4CC7-95D5-0E1F9AC626BC}" destId="{4698EA73-1464-442E-A457-E1494105B03D}" srcOrd="0" destOrd="0" presId="urn:microsoft.com/office/officeart/2005/8/layout/orgChart1"/>
    <dgm:cxn modelId="{93455129-05CC-4063-AF49-297CB66CD07C}" type="presOf" srcId="{4D518CE7-BB7A-4323-A7D9-9057A46B260D}" destId="{D677430F-BC4C-4CEA-B68E-1C794E3C44E4}" srcOrd="0" destOrd="0" presId="urn:microsoft.com/office/officeart/2005/8/layout/orgChart1"/>
    <dgm:cxn modelId="{0C67C72B-170F-4F07-BD82-01F1031806A6}" type="presOf" srcId="{D933F05E-463A-49E8-829E-9B3965513120}" destId="{F872207D-A9C7-40CC-B2C8-39C4211B6DBD}" srcOrd="0" destOrd="0" presId="urn:microsoft.com/office/officeart/2005/8/layout/orgChart1"/>
    <dgm:cxn modelId="{803D7E2E-16FA-4595-9E65-4B946E3DE7A7}" type="presOf" srcId="{794EA368-A9EB-4CE3-AEFE-EB7D9ED2CA04}" destId="{A047A373-B59D-43CE-A68C-D9AC7FBD7ED5}" srcOrd="1" destOrd="0" presId="urn:microsoft.com/office/officeart/2005/8/layout/orgChart1"/>
    <dgm:cxn modelId="{56B8FE33-F164-4F43-B02A-B31069FAFB69}" type="presOf" srcId="{60F22199-880F-4F25-93A7-3DF944757DA5}" destId="{85BFD3F6-BA8C-49AD-9307-BDEF045323CC}" srcOrd="0" destOrd="0" presId="urn:microsoft.com/office/officeart/2005/8/layout/orgChart1"/>
    <dgm:cxn modelId="{A0ABDD38-5715-4434-9817-D273EBEDF615}" srcId="{8D286C4B-0BAE-4191-9884-0512F499A547}" destId="{21A1F292-5A7E-4CC7-95D5-0E1F9AC626BC}" srcOrd="0" destOrd="0" parTransId="{56F91885-6E86-4BBE-AB73-C98E1EB7CCCD}" sibTransId="{C9962F99-E594-47AC-A87F-1C6CA4246E1F}"/>
    <dgm:cxn modelId="{43F3B646-3496-4412-A2CB-1DF418D49A1C}" type="presOf" srcId="{63BBCA83-FE54-4851-BAFB-C043C4C843F8}" destId="{A047B187-F177-4E28-95FA-669108520F12}" srcOrd="0" destOrd="0" presId="urn:microsoft.com/office/officeart/2005/8/layout/orgChart1"/>
    <dgm:cxn modelId="{9A480F6C-5E7B-412A-A131-A00B0F731EE4}" srcId="{ED48A327-8796-4333-B5E7-9461701C6EED}" destId="{8231EEF7-9DBC-4421-B0E8-58665BE49B56}" srcOrd="0" destOrd="0" parTransId="{C180731A-AC83-441E-B04C-2CF83F528CDC}" sibTransId="{5EC56A58-A880-4AD3-B72C-8E4E95C98255}"/>
    <dgm:cxn modelId="{5D58F26C-AA66-4795-8BA1-020C1B805D6D}" type="presOf" srcId="{794EA368-A9EB-4CE3-AEFE-EB7D9ED2CA04}" destId="{C604C618-CF53-40CE-ABE2-C847BBE78599}" srcOrd="0" destOrd="0" presId="urn:microsoft.com/office/officeart/2005/8/layout/orgChart1"/>
    <dgm:cxn modelId="{5F241D71-CA4E-4ABF-B5C6-0569DA3F10EF}" srcId="{B66FF26D-027D-423E-8D05-CA12531363AE}" destId="{7AE6B2D1-162C-4A43-A3AC-C9B794DAE025}" srcOrd="1" destOrd="0" parTransId="{65B1E8FE-C097-4BC4-A978-C321049E4B1E}" sibTransId="{A8C0CC4D-387C-4DAC-BC1B-D7158ADA1B64}"/>
    <dgm:cxn modelId="{B1EBE351-8952-4C83-B725-5978880F69A9}" type="presOf" srcId="{4D518CE7-BB7A-4323-A7D9-9057A46B260D}" destId="{A4BC51A1-6E28-4DE8-A7A1-9759284AC523}" srcOrd="1" destOrd="0" presId="urn:microsoft.com/office/officeart/2005/8/layout/orgChart1"/>
    <dgm:cxn modelId="{BDF1E772-34C8-4010-97B9-1E821F51C2A8}" srcId="{21A1F292-5A7E-4CC7-95D5-0E1F9AC626BC}" destId="{4D518CE7-BB7A-4323-A7D9-9057A46B260D}" srcOrd="0" destOrd="0" parTransId="{277DCB86-B908-4575-87F5-994434740BAE}" sibTransId="{F817EEE8-566C-437F-991B-CFE3D01D100D}"/>
    <dgm:cxn modelId="{74988C7A-6407-40EE-90DD-42EBDDCEEA51}" type="presOf" srcId="{63BBCA83-FE54-4851-BAFB-C043C4C843F8}" destId="{9B170717-62DA-46A1-A426-F78A8DA87936}" srcOrd="1" destOrd="0" presId="urn:microsoft.com/office/officeart/2005/8/layout/orgChart1"/>
    <dgm:cxn modelId="{B880CF7C-E488-4BD4-ABF3-CCDCBE1B8F11}" type="presOf" srcId="{8D286C4B-0BAE-4191-9884-0512F499A547}" destId="{30C8F22D-1B98-46F6-A253-BF526877D927}" srcOrd="0" destOrd="0" presId="urn:microsoft.com/office/officeart/2005/8/layout/orgChart1"/>
    <dgm:cxn modelId="{60ADC37F-1CEA-4506-A20C-1A75D1621969}" srcId="{21A1F292-5A7E-4CC7-95D5-0E1F9AC626BC}" destId="{574175A8-2A06-48AB-BEE2-1D8B5CCB0446}" srcOrd="2" destOrd="0" parTransId="{60F22199-880F-4F25-93A7-3DF944757DA5}" sibTransId="{2BB72FEA-F314-4F70-8B77-13B3FD7291A7}"/>
    <dgm:cxn modelId="{8A1E2181-925E-4428-AE5D-B3E1323EB447}" type="presOf" srcId="{FF15E72B-4EAD-4649-8C9B-455D7301967E}" destId="{56E6DABC-7B11-4906-B2A7-ED93FACCFCE8}" srcOrd="0" destOrd="0" presId="urn:microsoft.com/office/officeart/2005/8/layout/orgChart1"/>
    <dgm:cxn modelId="{9C67DE88-0003-4972-B9C6-8F372209AD87}" srcId="{ED48A327-8796-4333-B5E7-9461701C6EED}" destId="{56D1321C-F22F-4355-B8D0-08C3ACB956E0}" srcOrd="1" destOrd="0" parTransId="{FF15E72B-4EAD-4649-8C9B-455D7301967E}" sibTransId="{97FBD72A-F87B-44B3-AC6F-B6D118FF8344}"/>
    <dgm:cxn modelId="{19646E95-4C4F-4698-A867-FDCF9FE342F6}" type="presOf" srcId="{C180731A-AC83-441E-B04C-2CF83F528CDC}" destId="{BFA23EB0-68CB-49B4-88DD-1DD73855A44B}" srcOrd="0" destOrd="0" presId="urn:microsoft.com/office/officeart/2005/8/layout/orgChart1"/>
    <dgm:cxn modelId="{2B578F9B-ABCF-4E65-BFC7-671FA7C3F7D6}" type="presOf" srcId="{ED48A327-8796-4333-B5E7-9461701C6EED}" destId="{6361C150-BFAF-4DE6-A05F-3EDFFD5CC918}" srcOrd="1" destOrd="0" presId="urn:microsoft.com/office/officeart/2005/8/layout/orgChart1"/>
    <dgm:cxn modelId="{892F849C-41E5-4E44-A774-919C6BC17510}" type="presOf" srcId="{574175A8-2A06-48AB-BEE2-1D8B5CCB0446}" destId="{FCDED68E-5B56-4A4F-A5D5-4AEA3AA109B2}" srcOrd="0" destOrd="0" presId="urn:microsoft.com/office/officeart/2005/8/layout/orgChart1"/>
    <dgm:cxn modelId="{51DC6FAB-6FAE-4F82-8AAE-155FD1D36170}" type="presOf" srcId="{8231EEF7-9DBC-4421-B0E8-58665BE49B56}" destId="{3036FCDD-625D-495D-B275-A921DC615387}" srcOrd="0" destOrd="0" presId="urn:microsoft.com/office/officeart/2005/8/layout/orgChart1"/>
    <dgm:cxn modelId="{941D54B6-9EDF-4C0D-B497-872147A0C615}" type="presOf" srcId="{B66FF26D-027D-423E-8D05-CA12531363AE}" destId="{655F4AEF-F802-494F-A183-3CC53917ED7C}" srcOrd="0" destOrd="0" presId="urn:microsoft.com/office/officeart/2005/8/layout/orgChart1"/>
    <dgm:cxn modelId="{11DCD4BB-875D-4A45-BA44-D98E6912C226}" srcId="{63BBCA83-FE54-4851-BAFB-C043C4C843F8}" destId="{ED48A327-8796-4333-B5E7-9461701C6EED}" srcOrd="0" destOrd="0" parTransId="{B7C39A47-EC33-469C-BB62-93FFE66EF56E}" sibTransId="{3EB337C7-7CFE-4F1F-8C29-B4D7045774C1}"/>
    <dgm:cxn modelId="{C459CABF-4595-40CD-9EFB-DC7F1EC33F85}" type="presOf" srcId="{8D286C4B-0BAE-4191-9884-0512F499A547}" destId="{2597D023-38A8-4AD0-BE76-A96010CA07BC}" srcOrd="1" destOrd="0" presId="urn:microsoft.com/office/officeart/2005/8/layout/orgChart1"/>
    <dgm:cxn modelId="{F37C46C2-E270-412B-8AF0-49091E583387}" type="presOf" srcId="{1DA2BA3A-C9E4-484F-9559-028799A9279F}" destId="{DCE99534-9790-41B4-86AD-051D2534A4D3}" srcOrd="0" destOrd="0" presId="urn:microsoft.com/office/officeart/2005/8/layout/orgChart1"/>
    <dgm:cxn modelId="{01F5B4C3-0D47-4672-A84F-73BD40746844}" type="presOf" srcId="{56D1321C-F22F-4355-B8D0-08C3ACB956E0}" destId="{05E4BFD0-7061-4E55-B728-EDA88DE65DC8}" srcOrd="1" destOrd="0" presId="urn:microsoft.com/office/officeart/2005/8/layout/orgChart1"/>
    <dgm:cxn modelId="{C083F3D4-23C0-4CC3-9694-F8F174D5A0F0}" type="presOf" srcId="{B66FF26D-027D-423E-8D05-CA12531363AE}" destId="{7F1BEE27-D93F-4314-9F59-DA64BEA705D2}" srcOrd="1" destOrd="0" presId="urn:microsoft.com/office/officeart/2005/8/layout/orgChart1"/>
    <dgm:cxn modelId="{67E8A4D9-194A-4C19-B566-51E670C7D349}" type="presOf" srcId="{C1E152BB-E1D4-4844-80FE-C3729CC3627E}" destId="{53EC5DC0-6B22-4B7A-A854-F9ACA917DD2D}" srcOrd="1" destOrd="0" presId="urn:microsoft.com/office/officeart/2005/8/layout/orgChart1"/>
    <dgm:cxn modelId="{81B55BE5-DD6F-4C77-9403-ED4FC0AC4DF2}" type="presOf" srcId="{56F91885-6E86-4BBE-AB73-C98E1EB7CCCD}" destId="{4D2EB0F6-81A7-49E1-B25E-4AAF5841B2ED}" srcOrd="0" destOrd="0" presId="urn:microsoft.com/office/officeart/2005/8/layout/orgChart1"/>
    <dgm:cxn modelId="{A10F87E9-1518-4692-BEF6-1AA58389AE88}" type="presOf" srcId="{56D1321C-F22F-4355-B8D0-08C3ACB956E0}" destId="{54CB4FC3-422F-4EEB-9675-D306B95B0E59}" srcOrd="0" destOrd="0" presId="urn:microsoft.com/office/officeart/2005/8/layout/orgChart1"/>
    <dgm:cxn modelId="{41E8A8F8-2F4F-49F6-8D99-7EA36BC83FA0}" type="presOf" srcId="{65B1E8FE-C097-4BC4-A978-C321049E4B1E}" destId="{0B48D0C0-CCBA-48D3-B72B-F1A4144F0F41}" srcOrd="0" destOrd="0" presId="urn:microsoft.com/office/officeart/2005/8/layout/orgChart1"/>
    <dgm:cxn modelId="{F0C9E9FA-4084-4EEC-BE3A-00018F79E6EB}" type="presOf" srcId="{FB462582-B860-4127-AD1F-0893D853648E}" destId="{227DA448-22D5-4B44-9F8D-752D5739CA17}" srcOrd="0" destOrd="0" presId="urn:microsoft.com/office/officeart/2005/8/layout/orgChart1"/>
    <dgm:cxn modelId="{DFF817FC-55DD-4323-B6DD-134676C0D185}" type="presOf" srcId="{B7C39A47-EC33-469C-BB62-93FFE66EF56E}" destId="{DA44E10C-1CDB-45E7-B9B7-CCEA7D0B20C1}" srcOrd="0" destOrd="0" presId="urn:microsoft.com/office/officeart/2005/8/layout/orgChart1"/>
    <dgm:cxn modelId="{F5244744-6F95-4D96-B214-2FA1D0155F98}" type="presParOf" srcId="{5B397D61-A356-4857-BB58-132CA2B84069}" destId="{4AD1E5C6-CD1F-47A5-B5F0-AE44D97FB3BC}" srcOrd="0" destOrd="0" presId="urn:microsoft.com/office/officeart/2005/8/layout/orgChart1"/>
    <dgm:cxn modelId="{2284BDF6-F034-4A9D-BCAA-44FDD6A99A52}" type="presParOf" srcId="{4AD1E5C6-CD1F-47A5-B5F0-AE44D97FB3BC}" destId="{15DCB4A0-D4D6-46ED-A73E-113DE5DC7B16}" srcOrd="0" destOrd="0" presId="urn:microsoft.com/office/officeart/2005/8/layout/orgChart1"/>
    <dgm:cxn modelId="{B478A562-E681-47F6-AE14-39B4B8E1520E}" type="presParOf" srcId="{15DCB4A0-D4D6-46ED-A73E-113DE5DC7B16}" destId="{30C8F22D-1B98-46F6-A253-BF526877D927}" srcOrd="0" destOrd="0" presId="urn:microsoft.com/office/officeart/2005/8/layout/orgChart1"/>
    <dgm:cxn modelId="{8E21F171-A152-40A8-8831-D2480DDD351A}" type="presParOf" srcId="{15DCB4A0-D4D6-46ED-A73E-113DE5DC7B16}" destId="{2597D023-38A8-4AD0-BE76-A96010CA07BC}" srcOrd="1" destOrd="0" presId="urn:microsoft.com/office/officeart/2005/8/layout/orgChart1"/>
    <dgm:cxn modelId="{A7219662-F96A-4842-96BF-E5A2E10CFFB5}" type="presParOf" srcId="{4AD1E5C6-CD1F-47A5-B5F0-AE44D97FB3BC}" destId="{96FA649F-2E3B-4C40-964C-AF65B5238B66}" srcOrd="1" destOrd="0" presId="urn:microsoft.com/office/officeart/2005/8/layout/orgChart1"/>
    <dgm:cxn modelId="{65B5426E-03E4-4E06-933A-DA4C609245AF}" type="presParOf" srcId="{96FA649F-2E3B-4C40-964C-AF65B5238B66}" destId="{4D2EB0F6-81A7-49E1-B25E-4AAF5841B2ED}" srcOrd="0" destOrd="0" presId="urn:microsoft.com/office/officeart/2005/8/layout/orgChart1"/>
    <dgm:cxn modelId="{DC1497E6-1E81-46BA-873B-24780D303226}" type="presParOf" srcId="{96FA649F-2E3B-4C40-964C-AF65B5238B66}" destId="{93C215DD-36D1-4E81-9006-D46D61E826BA}" srcOrd="1" destOrd="0" presId="urn:microsoft.com/office/officeart/2005/8/layout/orgChart1"/>
    <dgm:cxn modelId="{79DA3458-E0EE-4E92-A994-5F4FFC78398A}" type="presParOf" srcId="{93C215DD-36D1-4E81-9006-D46D61E826BA}" destId="{15AF58B8-9072-4262-A18C-56DCE3C1D5DB}" srcOrd="0" destOrd="0" presId="urn:microsoft.com/office/officeart/2005/8/layout/orgChart1"/>
    <dgm:cxn modelId="{7EDA0AC8-4F13-4B66-9F86-A7837E76B71E}" type="presParOf" srcId="{15AF58B8-9072-4262-A18C-56DCE3C1D5DB}" destId="{4698EA73-1464-442E-A457-E1494105B03D}" srcOrd="0" destOrd="0" presId="urn:microsoft.com/office/officeart/2005/8/layout/orgChart1"/>
    <dgm:cxn modelId="{AF1FD180-B36D-4AE8-A2FB-90623441AD6C}" type="presParOf" srcId="{15AF58B8-9072-4262-A18C-56DCE3C1D5DB}" destId="{D1F61EB2-1917-4A0F-A5F3-93E4BC654919}" srcOrd="1" destOrd="0" presId="urn:microsoft.com/office/officeart/2005/8/layout/orgChart1"/>
    <dgm:cxn modelId="{8BBEE801-67CF-4073-87F9-923F23182E0A}" type="presParOf" srcId="{93C215DD-36D1-4E81-9006-D46D61E826BA}" destId="{635D3C23-67F0-4B87-8B2B-39962C894834}" srcOrd="1" destOrd="0" presId="urn:microsoft.com/office/officeart/2005/8/layout/orgChart1"/>
    <dgm:cxn modelId="{2A470BEE-3B40-4485-A5AB-7E92033BA0AB}" type="presParOf" srcId="{635D3C23-67F0-4B87-8B2B-39962C894834}" destId="{C7A125D8-BD60-414B-8EDB-44A5895E79DB}" srcOrd="0" destOrd="0" presId="urn:microsoft.com/office/officeart/2005/8/layout/orgChart1"/>
    <dgm:cxn modelId="{E3624BC5-6294-4A83-955A-F2D0F4795AFE}" type="presParOf" srcId="{635D3C23-67F0-4B87-8B2B-39962C894834}" destId="{C854EA0A-5E10-47CC-B243-D2997B81D459}" srcOrd="1" destOrd="0" presId="urn:microsoft.com/office/officeart/2005/8/layout/orgChart1"/>
    <dgm:cxn modelId="{F93A61D1-84BA-42AB-B8F5-7670B677624F}" type="presParOf" srcId="{C854EA0A-5E10-47CC-B243-D2997B81D459}" destId="{7428A4F2-AB26-4AA6-B286-50AF55EF65DB}" srcOrd="0" destOrd="0" presId="urn:microsoft.com/office/officeart/2005/8/layout/orgChart1"/>
    <dgm:cxn modelId="{477C5012-7424-4055-AA43-53AB62A88893}" type="presParOf" srcId="{7428A4F2-AB26-4AA6-B286-50AF55EF65DB}" destId="{D677430F-BC4C-4CEA-B68E-1C794E3C44E4}" srcOrd="0" destOrd="0" presId="urn:microsoft.com/office/officeart/2005/8/layout/orgChart1"/>
    <dgm:cxn modelId="{BF74ABBA-DA0B-4551-95FA-F460E70C47B1}" type="presParOf" srcId="{7428A4F2-AB26-4AA6-B286-50AF55EF65DB}" destId="{A4BC51A1-6E28-4DE8-A7A1-9759284AC523}" srcOrd="1" destOrd="0" presId="urn:microsoft.com/office/officeart/2005/8/layout/orgChart1"/>
    <dgm:cxn modelId="{DF457511-EF19-4923-9009-360426D1DB58}" type="presParOf" srcId="{C854EA0A-5E10-47CC-B243-D2997B81D459}" destId="{A812D081-183E-4E0B-9573-6D2AA41EA415}" srcOrd="1" destOrd="0" presId="urn:microsoft.com/office/officeart/2005/8/layout/orgChart1"/>
    <dgm:cxn modelId="{7681CC02-11CC-4E31-AB4D-849CC5E5AD6B}" type="presParOf" srcId="{C854EA0A-5E10-47CC-B243-D2997B81D459}" destId="{848F251D-FBBD-4F1E-90CC-90B86AD2C84B}" srcOrd="2" destOrd="0" presId="urn:microsoft.com/office/officeart/2005/8/layout/orgChart1"/>
    <dgm:cxn modelId="{0E3768D3-2969-4651-958A-ED06CDD5B064}" type="presParOf" srcId="{635D3C23-67F0-4B87-8B2B-39962C894834}" destId="{F872207D-A9C7-40CC-B2C8-39C4211B6DBD}" srcOrd="2" destOrd="0" presId="urn:microsoft.com/office/officeart/2005/8/layout/orgChart1"/>
    <dgm:cxn modelId="{20E5E316-5B3A-421A-8243-ADBE29576723}" type="presParOf" srcId="{635D3C23-67F0-4B87-8B2B-39962C894834}" destId="{17458A21-6461-4417-A9A3-E4B96DC4E021}" srcOrd="3" destOrd="0" presId="urn:microsoft.com/office/officeart/2005/8/layout/orgChart1"/>
    <dgm:cxn modelId="{1AE7BA7D-540D-4161-83FD-F4BBB53BE959}" type="presParOf" srcId="{17458A21-6461-4417-A9A3-E4B96DC4E021}" destId="{F73AF239-F6F0-4A84-8477-21A3D7C23550}" srcOrd="0" destOrd="0" presId="urn:microsoft.com/office/officeart/2005/8/layout/orgChart1"/>
    <dgm:cxn modelId="{E4C4BD61-BDDC-446F-8AC2-0ADFBA2A6F3B}" type="presParOf" srcId="{F73AF239-F6F0-4A84-8477-21A3D7C23550}" destId="{C604C618-CF53-40CE-ABE2-C847BBE78599}" srcOrd="0" destOrd="0" presId="urn:microsoft.com/office/officeart/2005/8/layout/orgChart1"/>
    <dgm:cxn modelId="{9ED5726D-0E88-4570-8939-A6C8578004C9}" type="presParOf" srcId="{F73AF239-F6F0-4A84-8477-21A3D7C23550}" destId="{A047A373-B59D-43CE-A68C-D9AC7FBD7ED5}" srcOrd="1" destOrd="0" presId="urn:microsoft.com/office/officeart/2005/8/layout/orgChart1"/>
    <dgm:cxn modelId="{135B6A50-AE3C-4807-9D5C-3AA06206A776}" type="presParOf" srcId="{17458A21-6461-4417-A9A3-E4B96DC4E021}" destId="{B820BF3B-C865-47DA-9AA9-CB2E9F645F47}" srcOrd="1" destOrd="0" presId="urn:microsoft.com/office/officeart/2005/8/layout/orgChart1"/>
    <dgm:cxn modelId="{27C7D470-F5C5-401C-A958-F11701EE972B}" type="presParOf" srcId="{17458A21-6461-4417-A9A3-E4B96DC4E021}" destId="{6C206E15-7317-469B-A672-94CE5F28A254}" srcOrd="2" destOrd="0" presId="urn:microsoft.com/office/officeart/2005/8/layout/orgChart1"/>
    <dgm:cxn modelId="{77F343A4-D873-4956-97C3-96B27034445E}" type="presParOf" srcId="{635D3C23-67F0-4B87-8B2B-39962C894834}" destId="{85BFD3F6-BA8C-49AD-9307-BDEF045323CC}" srcOrd="4" destOrd="0" presId="urn:microsoft.com/office/officeart/2005/8/layout/orgChart1"/>
    <dgm:cxn modelId="{A96D7E7D-5B35-45B4-8221-3CAE7F9CB846}" type="presParOf" srcId="{635D3C23-67F0-4B87-8B2B-39962C894834}" destId="{DFD6C780-1AE6-4E8C-81DB-23077B8B3046}" srcOrd="5" destOrd="0" presId="urn:microsoft.com/office/officeart/2005/8/layout/orgChart1"/>
    <dgm:cxn modelId="{B3317414-4CDC-4EE2-B459-F6DAE4BD2505}" type="presParOf" srcId="{DFD6C780-1AE6-4E8C-81DB-23077B8B3046}" destId="{4EC28F75-5A96-4A01-A73A-9EEF1601E728}" srcOrd="0" destOrd="0" presId="urn:microsoft.com/office/officeart/2005/8/layout/orgChart1"/>
    <dgm:cxn modelId="{204774FC-D40D-40DA-9CAB-6F845D653A17}" type="presParOf" srcId="{4EC28F75-5A96-4A01-A73A-9EEF1601E728}" destId="{FCDED68E-5B56-4A4F-A5D5-4AEA3AA109B2}" srcOrd="0" destOrd="0" presId="urn:microsoft.com/office/officeart/2005/8/layout/orgChart1"/>
    <dgm:cxn modelId="{6D661E3E-1AD6-44ED-9765-7D6079A25F8A}" type="presParOf" srcId="{4EC28F75-5A96-4A01-A73A-9EEF1601E728}" destId="{10481537-008D-4F9F-99EF-9F5AA385FBA3}" srcOrd="1" destOrd="0" presId="urn:microsoft.com/office/officeart/2005/8/layout/orgChart1"/>
    <dgm:cxn modelId="{7B2EF974-DD27-43A5-AFDA-D394280CBD44}" type="presParOf" srcId="{DFD6C780-1AE6-4E8C-81DB-23077B8B3046}" destId="{E239596D-EEF6-4572-9A78-20639DDB63E3}" srcOrd="1" destOrd="0" presId="urn:microsoft.com/office/officeart/2005/8/layout/orgChart1"/>
    <dgm:cxn modelId="{40ECC4C6-7354-46DA-B356-B45E0B50F53A}" type="presParOf" srcId="{DFD6C780-1AE6-4E8C-81DB-23077B8B3046}" destId="{342FD885-75B4-414D-AB41-11EF123CA2C4}" srcOrd="2" destOrd="0" presId="urn:microsoft.com/office/officeart/2005/8/layout/orgChart1"/>
    <dgm:cxn modelId="{4CB63E01-5888-4E61-8812-8A5383C430A6}" type="presParOf" srcId="{93C215DD-36D1-4E81-9006-D46D61E826BA}" destId="{20CAF5C6-AE14-4382-A707-B137B59965A5}" srcOrd="2" destOrd="0" presId="urn:microsoft.com/office/officeart/2005/8/layout/orgChart1"/>
    <dgm:cxn modelId="{9D9131B3-9188-492B-B908-544E6B63977E}" type="presParOf" srcId="{96FA649F-2E3B-4C40-964C-AF65B5238B66}" destId="{95712751-D212-438F-BAD2-80BCC233A71E}" srcOrd="2" destOrd="0" presId="urn:microsoft.com/office/officeart/2005/8/layout/orgChart1"/>
    <dgm:cxn modelId="{A679554F-4BE3-4045-A512-A669EFC7ABEF}" type="presParOf" srcId="{96FA649F-2E3B-4C40-964C-AF65B5238B66}" destId="{B73CC1CB-7C35-4827-B6AF-AE26E697F967}" srcOrd="3" destOrd="0" presId="urn:microsoft.com/office/officeart/2005/8/layout/orgChart1"/>
    <dgm:cxn modelId="{76E2EFBD-8D18-41DD-B8D9-B4835D3DDBCA}" type="presParOf" srcId="{B73CC1CB-7C35-4827-B6AF-AE26E697F967}" destId="{2A1B41A3-733A-4C74-9694-ADCC018ACBD0}" srcOrd="0" destOrd="0" presId="urn:microsoft.com/office/officeart/2005/8/layout/orgChart1"/>
    <dgm:cxn modelId="{193C08AE-10E8-442D-95B2-98B30AED0FB4}" type="presParOf" srcId="{2A1B41A3-733A-4C74-9694-ADCC018ACBD0}" destId="{A047B187-F177-4E28-95FA-669108520F12}" srcOrd="0" destOrd="0" presId="urn:microsoft.com/office/officeart/2005/8/layout/orgChart1"/>
    <dgm:cxn modelId="{104C7B0E-F39F-4546-9C29-004C2843F70D}" type="presParOf" srcId="{2A1B41A3-733A-4C74-9694-ADCC018ACBD0}" destId="{9B170717-62DA-46A1-A426-F78A8DA87936}" srcOrd="1" destOrd="0" presId="urn:microsoft.com/office/officeart/2005/8/layout/orgChart1"/>
    <dgm:cxn modelId="{FBC5A812-BB60-4270-AA5E-CADB663A34B2}" type="presParOf" srcId="{B73CC1CB-7C35-4827-B6AF-AE26E697F967}" destId="{E78DF30A-3213-4717-A467-7EC3E86EE660}" srcOrd="1" destOrd="0" presId="urn:microsoft.com/office/officeart/2005/8/layout/orgChart1"/>
    <dgm:cxn modelId="{7196C27C-FE7A-464F-A6C8-86934BCF8955}" type="presParOf" srcId="{E78DF30A-3213-4717-A467-7EC3E86EE660}" destId="{DA44E10C-1CDB-45E7-B9B7-CCEA7D0B20C1}" srcOrd="0" destOrd="0" presId="urn:microsoft.com/office/officeart/2005/8/layout/orgChart1"/>
    <dgm:cxn modelId="{3C5A88DB-EDCD-43F1-8C08-9B05619D546F}" type="presParOf" srcId="{E78DF30A-3213-4717-A467-7EC3E86EE660}" destId="{7435087F-1EE3-4497-BB41-88ABB0403F92}" srcOrd="1" destOrd="0" presId="urn:microsoft.com/office/officeart/2005/8/layout/orgChart1"/>
    <dgm:cxn modelId="{64238AB3-BEC3-4DF3-98B2-6B78F0836A65}" type="presParOf" srcId="{7435087F-1EE3-4497-BB41-88ABB0403F92}" destId="{ECD7F3F3-0FF6-44CB-9866-EC9347F4B35F}" srcOrd="0" destOrd="0" presId="urn:microsoft.com/office/officeart/2005/8/layout/orgChart1"/>
    <dgm:cxn modelId="{7A294E45-B955-4B5E-8AAE-6A5B7C7EDCD9}" type="presParOf" srcId="{ECD7F3F3-0FF6-44CB-9866-EC9347F4B35F}" destId="{F4BE2E49-A2CC-4B76-862C-F287D4C7870D}" srcOrd="0" destOrd="0" presId="urn:microsoft.com/office/officeart/2005/8/layout/orgChart1"/>
    <dgm:cxn modelId="{FC56CA07-B7B4-4CF7-BC20-758A4FE9F99E}" type="presParOf" srcId="{ECD7F3F3-0FF6-44CB-9866-EC9347F4B35F}" destId="{6361C150-BFAF-4DE6-A05F-3EDFFD5CC918}" srcOrd="1" destOrd="0" presId="urn:microsoft.com/office/officeart/2005/8/layout/orgChart1"/>
    <dgm:cxn modelId="{1BB2D6E0-C741-4348-8869-C11A0609F5F6}" type="presParOf" srcId="{7435087F-1EE3-4497-BB41-88ABB0403F92}" destId="{8EB16436-4CFC-4EAC-A6D4-ACCB622075D2}" srcOrd="1" destOrd="0" presId="urn:microsoft.com/office/officeart/2005/8/layout/orgChart1"/>
    <dgm:cxn modelId="{DFF4766F-1AB3-4AFD-8610-1FF9E2283F57}" type="presParOf" srcId="{8EB16436-4CFC-4EAC-A6D4-ACCB622075D2}" destId="{BFA23EB0-68CB-49B4-88DD-1DD73855A44B}" srcOrd="0" destOrd="0" presId="urn:microsoft.com/office/officeart/2005/8/layout/orgChart1"/>
    <dgm:cxn modelId="{9F67B614-7404-4093-AC49-888F85C75C77}" type="presParOf" srcId="{8EB16436-4CFC-4EAC-A6D4-ACCB622075D2}" destId="{49815D76-C5E9-4FD8-98CE-7522281D29BC}" srcOrd="1" destOrd="0" presId="urn:microsoft.com/office/officeart/2005/8/layout/orgChart1"/>
    <dgm:cxn modelId="{D5D36398-CFCC-4C20-ABDF-5D0001D75313}" type="presParOf" srcId="{49815D76-C5E9-4FD8-98CE-7522281D29BC}" destId="{492E910C-65D8-4C86-BFEB-E6F57CC266F5}" srcOrd="0" destOrd="0" presId="urn:microsoft.com/office/officeart/2005/8/layout/orgChart1"/>
    <dgm:cxn modelId="{A2752A76-A4EA-4ED6-92FF-8E786D25C220}" type="presParOf" srcId="{492E910C-65D8-4C86-BFEB-E6F57CC266F5}" destId="{3036FCDD-625D-495D-B275-A921DC615387}" srcOrd="0" destOrd="0" presId="urn:microsoft.com/office/officeart/2005/8/layout/orgChart1"/>
    <dgm:cxn modelId="{53850401-771F-4BA3-B8F7-9BC90C2313FA}" type="presParOf" srcId="{492E910C-65D8-4C86-BFEB-E6F57CC266F5}" destId="{1E834DBB-BFC3-44EE-8C62-9EB44BA133B5}" srcOrd="1" destOrd="0" presId="urn:microsoft.com/office/officeart/2005/8/layout/orgChart1"/>
    <dgm:cxn modelId="{77E76ACE-8CB9-4EA0-9E49-F1000AC3A0F4}" type="presParOf" srcId="{49815D76-C5E9-4FD8-98CE-7522281D29BC}" destId="{EF1444E9-7005-4271-B124-D7FCC2A55E0E}" srcOrd="1" destOrd="0" presId="urn:microsoft.com/office/officeart/2005/8/layout/orgChart1"/>
    <dgm:cxn modelId="{8C849295-AC32-4373-A538-4A1C522B1F37}" type="presParOf" srcId="{49815D76-C5E9-4FD8-98CE-7522281D29BC}" destId="{85E899A4-35E6-4F9B-A084-4AD58EEF1D72}" srcOrd="2" destOrd="0" presId="urn:microsoft.com/office/officeart/2005/8/layout/orgChart1"/>
    <dgm:cxn modelId="{15DD4DFE-6304-42A2-A503-EED961BBB7C9}" type="presParOf" srcId="{8EB16436-4CFC-4EAC-A6D4-ACCB622075D2}" destId="{56E6DABC-7B11-4906-B2A7-ED93FACCFCE8}" srcOrd="2" destOrd="0" presId="urn:microsoft.com/office/officeart/2005/8/layout/orgChart1"/>
    <dgm:cxn modelId="{EFA73543-36FC-47EB-BCA4-E3D42FFFD25C}" type="presParOf" srcId="{8EB16436-4CFC-4EAC-A6D4-ACCB622075D2}" destId="{68E4A1D1-E377-4A39-9AB5-2A815CE66DD5}" srcOrd="3" destOrd="0" presId="urn:microsoft.com/office/officeart/2005/8/layout/orgChart1"/>
    <dgm:cxn modelId="{AA3FED13-77C9-4547-9311-6832A869DA3D}" type="presParOf" srcId="{68E4A1D1-E377-4A39-9AB5-2A815CE66DD5}" destId="{8A0B4FA2-8906-4DFB-A30E-36E7B1119ED8}" srcOrd="0" destOrd="0" presId="urn:microsoft.com/office/officeart/2005/8/layout/orgChart1"/>
    <dgm:cxn modelId="{5306FDA8-19B7-4F51-8093-20D832F040CF}" type="presParOf" srcId="{8A0B4FA2-8906-4DFB-A30E-36E7B1119ED8}" destId="{54CB4FC3-422F-4EEB-9675-D306B95B0E59}" srcOrd="0" destOrd="0" presId="urn:microsoft.com/office/officeart/2005/8/layout/orgChart1"/>
    <dgm:cxn modelId="{0CB0B9CD-D14D-4B56-9499-3DCF157498DE}" type="presParOf" srcId="{8A0B4FA2-8906-4DFB-A30E-36E7B1119ED8}" destId="{05E4BFD0-7061-4E55-B728-EDA88DE65DC8}" srcOrd="1" destOrd="0" presId="urn:microsoft.com/office/officeart/2005/8/layout/orgChart1"/>
    <dgm:cxn modelId="{01E589E5-5662-4315-80B7-9497A2C4E021}" type="presParOf" srcId="{68E4A1D1-E377-4A39-9AB5-2A815CE66DD5}" destId="{E0D96C9B-3254-4519-A70D-FD8A47146E14}" srcOrd="1" destOrd="0" presId="urn:microsoft.com/office/officeart/2005/8/layout/orgChart1"/>
    <dgm:cxn modelId="{9CD3D9D9-1B0C-4C76-A789-F679DF9A1A3C}" type="presParOf" srcId="{68E4A1D1-E377-4A39-9AB5-2A815CE66DD5}" destId="{2418E3B1-32B9-4658-900F-FCFA50196DD5}" srcOrd="2" destOrd="0" presId="urn:microsoft.com/office/officeart/2005/8/layout/orgChart1"/>
    <dgm:cxn modelId="{42D1089B-FFC8-4991-9C9A-CBEF36CA5BFC}" type="presParOf" srcId="{7435087F-1EE3-4497-BB41-88ABB0403F92}" destId="{56761B02-3FE8-45C1-9C83-395544752438}" srcOrd="2" destOrd="0" presId="urn:microsoft.com/office/officeart/2005/8/layout/orgChart1"/>
    <dgm:cxn modelId="{589059F6-2C65-44D5-BEC8-494FDF7752DB}" type="presParOf" srcId="{B73CC1CB-7C35-4827-B6AF-AE26E697F967}" destId="{3C59CF65-D20D-439B-BF65-6998AC8CD854}" srcOrd="2" destOrd="0" presId="urn:microsoft.com/office/officeart/2005/8/layout/orgChart1"/>
    <dgm:cxn modelId="{B61CAA41-3B83-476E-9594-94542B406537}" type="presParOf" srcId="{96FA649F-2E3B-4C40-964C-AF65B5238B66}" destId="{227DA448-22D5-4B44-9F8D-752D5739CA17}" srcOrd="4" destOrd="0" presId="urn:microsoft.com/office/officeart/2005/8/layout/orgChart1"/>
    <dgm:cxn modelId="{290B292D-E755-4F75-BA96-759688392F82}" type="presParOf" srcId="{96FA649F-2E3B-4C40-964C-AF65B5238B66}" destId="{0070F591-04CE-49A2-929C-B233CFA2A89F}" srcOrd="5" destOrd="0" presId="urn:microsoft.com/office/officeart/2005/8/layout/orgChart1"/>
    <dgm:cxn modelId="{D4A00A28-655C-4683-99DA-D14E79D49A11}" type="presParOf" srcId="{0070F591-04CE-49A2-929C-B233CFA2A89F}" destId="{6FEA48C9-17D0-4791-965E-10F9E42AA2F1}" srcOrd="0" destOrd="0" presId="urn:microsoft.com/office/officeart/2005/8/layout/orgChart1"/>
    <dgm:cxn modelId="{CE8C761A-E642-4B89-8F9F-E19581C936FB}" type="presParOf" srcId="{6FEA48C9-17D0-4791-965E-10F9E42AA2F1}" destId="{655F4AEF-F802-494F-A183-3CC53917ED7C}" srcOrd="0" destOrd="0" presId="urn:microsoft.com/office/officeart/2005/8/layout/orgChart1"/>
    <dgm:cxn modelId="{89CDF1B4-12ED-48BD-A464-87E7EB1FF31C}" type="presParOf" srcId="{6FEA48C9-17D0-4791-965E-10F9E42AA2F1}" destId="{7F1BEE27-D93F-4314-9F59-DA64BEA705D2}" srcOrd="1" destOrd="0" presId="urn:microsoft.com/office/officeart/2005/8/layout/orgChart1"/>
    <dgm:cxn modelId="{B8BD94BC-19D6-4162-A7CB-99059D4EF435}" type="presParOf" srcId="{0070F591-04CE-49A2-929C-B233CFA2A89F}" destId="{7E0670C4-B299-4C46-B683-0D6DE1930E00}" srcOrd="1" destOrd="0" presId="urn:microsoft.com/office/officeart/2005/8/layout/orgChart1"/>
    <dgm:cxn modelId="{187AC82D-890A-427C-A32C-5F892A00457F}" type="presParOf" srcId="{7E0670C4-B299-4C46-B683-0D6DE1930E00}" destId="{DCE99534-9790-41B4-86AD-051D2534A4D3}" srcOrd="0" destOrd="0" presId="urn:microsoft.com/office/officeart/2005/8/layout/orgChart1"/>
    <dgm:cxn modelId="{E1ED3DD0-1F26-4817-8456-48D0B19A4071}" type="presParOf" srcId="{7E0670C4-B299-4C46-B683-0D6DE1930E00}" destId="{2A0179B5-28EC-49FE-9746-EDA660A04099}" srcOrd="1" destOrd="0" presId="urn:microsoft.com/office/officeart/2005/8/layout/orgChart1"/>
    <dgm:cxn modelId="{86390F72-71A2-4914-99A0-EF2E6D4D9EFE}" type="presParOf" srcId="{2A0179B5-28EC-49FE-9746-EDA660A04099}" destId="{A8E88261-4F0E-4FD5-8A23-8CFDFE5DF428}" srcOrd="0" destOrd="0" presId="urn:microsoft.com/office/officeart/2005/8/layout/orgChart1"/>
    <dgm:cxn modelId="{7946ACB9-478D-4C2B-BBBC-08E525811560}" type="presParOf" srcId="{A8E88261-4F0E-4FD5-8A23-8CFDFE5DF428}" destId="{C99FBEC4-0523-4C00-8C7C-C2A20504BBFF}" srcOrd="0" destOrd="0" presId="urn:microsoft.com/office/officeart/2005/8/layout/orgChart1"/>
    <dgm:cxn modelId="{8FF19B8E-4A07-4760-AA87-510FEFB68CD8}" type="presParOf" srcId="{A8E88261-4F0E-4FD5-8A23-8CFDFE5DF428}" destId="{53EC5DC0-6B22-4B7A-A854-F9ACA917DD2D}" srcOrd="1" destOrd="0" presId="urn:microsoft.com/office/officeart/2005/8/layout/orgChart1"/>
    <dgm:cxn modelId="{63FCA6D5-5F48-4A0E-9F66-BADBA7A132C3}" type="presParOf" srcId="{2A0179B5-28EC-49FE-9746-EDA660A04099}" destId="{0C4AC4A9-1371-4722-B00C-4216F6C5D7C4}" srcOrd="1" destOrd="0" presId="urn:microsoft.com/office/officeart/2005/8/layout/orgChart1"/>
    <dgm:cxn modelId="{0528DF4D-336B-4F62-B4A5-AEA8C517D67A}" type="presParOf" srcId="{2A0179B5-28EC-49FE-9746-EDA660A04099}" destId="{52CDDD96-F662-4DDF-BC0B-C73EFA10BAFE}" srcOrd="2" destOrd="0" presId="urn:microsoft.com/office/officeart/2005/8/layout/orgChart1"/>
    <dgm:cxn modelId="{BC92AD85-07CB-4403-8295-5D20391D277A}" type="presParOf" srcId="{7E0670C4-B299-4C46-B683-0D6DE1930E00}" destId="{0B48D0C0-CCBA-48D3-B72B-F1A4144F0F41}" srcOrd="2" destOrd="0" presId="urn:microsoft.com/office/officeart/2005/8/layout/orgChart1"/>
    <dgm:cxn modelId="{94A90750-5268-4D07-9E87-9EE78E1BB886}" type="presParOf" srcId="{7E0670C4-B299-4C46-B683-0D6DE1930E00}" destId="{B85BAB4A-29E1-49B6-AF84-BC8F7633BCB7}" srcOrd="3" destOrd="0" presId="urn:microsoft.com/office/officeart/2005/8/layout/orgChart1"/>
    <dgm:cxn modelId="{38ADD618-E2B9-4164-9434-5272E72C458A}" type="presParOf" srcId="{B85BAB4A-29E1-49B6-AF84-BC8F7633BCB7}" destId="{9C04B918-C7DF-4F91-A50E-63291DE97B6E}" srcOrd="0" destOrd="0" presId="urn:microsoft.com/office/officeart/2005/8/layout/orgChart1"/>
    <dgm:cxn modelId="{16D85D2C-158D-4196-9878-3CD752EF2913}" type="presParOf" srcId="{9C04B918-C7DF-4F91-A50E-63291DE97B6E}" destId="{E5D89D86-5265-4BEE-8901-5B4B48B91DEA}" srcOrd="0" destOrd="0" presId="urn:microsoft.com/office/officeart/2005/8/layout/orgChart1"/>
    <dgm:cxn modelId="{A734FF8B-6F24-4DA0-8634-90DD70A724E0}" type="presParOf" srcId="{9C04B918-C7DF-4F91-A50E-63291DE97B6E}" destId="{62FE6543-C10C-4E1B-8B2D-E98F65840CF1}" srcOrd="1" destOrd="0" presId="urn:microsoft.com/office/officeart/2005/8/layout/orgChart1"/>
    <dgm:cxn modelId="{752F8C4B-4BE7-4E9F-8DC7-A60BE182869E}" type="presParOf" srcId="{B85BAB4A-29E1-49B6-AF84-BC8F7633BCB7}" destId="{456067BA-04F4-42A7-8AF4-9A2451B2E5C6}" srcOrd="1" destOrd="0" presId="urn:microsoft.com/office/officeart/2005/8/layout/orgChart1"/>
    <dgm:cxn modelId="{E14D4DB3-4682-479A-A5CF-077D4E3E88BF}" type="presParOf" srcId="{B85BAB4A-29E1-49B6-AF84-BC8F7633BCB7}" destId="{D2233DA9-49D5-49E8-A5F5-FAADC4ECAF6F}" srcOrd="2" destOrd="0" presId="urn:microsoft.com/office/officeart/2005/8/layout/orgChart1"/>
    <dgm:cxn modelId="{BB01407D-1FA1-4637-BE86-D1F666E16A15}" type="presParOf" srcId="{0070F591-04CE-49A2-929C-B233CFA2A89F}" destId="{D832453B-F8E3-4125-91BE-60EF930DF727}" srcOrd="2" destOrd="0" presId="urn:microsoft.com/office/officeart/2005/8/layout/orgChart1"/>
    <dgm:cxn modelId="{1A6BA74E-F948-41DE-A646-705066C25CCB}" type="presParOf" srcId="{4AD1E5C6-CD1F-47A5-B5F0-AE44D97FB3BC}" destId="{855CCF6F-9D69-4F34-926D-31040C38A727}" srcOrd="2" destOrd="0" presId="urn:microsoft.com/office/officeart/2005/8/layout/orgChar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73B732-B760-4900-A4E9-03141BC1646F}">
      <dsp:nvSpPr>
        <dsp:cNvPr id="0" name=""/>
        <dsp:cNvSpPr/>
      </dsp:nvSpPr>
      <dsp:spPr>
        <a:xfrm>
          <a:off x="4870283" y="1339068"/>
          <a:ext cx="471836" cy="125165"/>
        </a:xfrm>
        <a:custGeom>
          <a:avLst/>
          <a:gdLst/>
          <a:ahLst/>
          <a:cxnLst/>
          <a:rect l="0" t="0" r="0" b="0"/>
          <a:pathLst>
            <a:path>
              <a:moveTo>
                <a:pt x="0" y="0"/>
              </a:moveTo>
              <a:lnTo>
                <a:pt x="0" y="62582"/>
              </a:lnTo>
              <a:lnTo>
                <a:pt x="471836" y="62582"/>
              </a:lnTo>
              <a:lnTo>
                <a:pt x="471836" y="125165"/>
              </a:lnTo>
            </a:path>
          </a:pathLst>
        </a:custGeom>
        <a:noFill/>
        <a:ln w="12700" cap="flat" cmpd="sng" algn="ctr">
          <a:solidFill>
            <a:schemeClr val="accent4">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C5974C09-71FB-4DEA-9A65-A39502F93C37}">
      <dsp:nvSpPr>
        <dsp:cNvPr id="0" name=""/>
        <dsp:cNvSpPr/>
      </dsp:nvSpPr>
      <dsp:spPr>
        <a:xfrm>
          <a:off x="4062365" y="2047861"/>
          <a:ext cx="122776" cy="363007"/>
        </a:xfrm>
        <a:custGeom>
          <a:avLst/>
          <a:gdLst/>
          <a:ahLst/>
          <a:cxnLst/>
          <a:rect l="0" t="0" r="0" b="0"/>
          <a:pathLst>
            <a:path>
              <a:moveTo>
                <a:pt x="0" y="0"/>
              </a:moveTo>
              <a:lnTo>
                <a:pt x="0" y="363007"/>
              </a:lnTo>
              <a:lnTo>
                <a:pt x="122776" y="363007"/>
              </a:lnTo>
            </a:path>
          </a:pathLst>
        </a:custGeom>
        <a:noFill/>
        <a:ln w="12700" cap="flat" cmpd="sng" algn="ctr">
          <a:solidFill>
            <a:schemeClr val="accent4">
              <a:lumMod val="60000"/>
              <a:lumOff val="40000"/>
            </a:schemeClr>
          </a:solidFill>
          <a:prstDash val="solid"/>
          <a:miter lim="800000"/>
        </a:ln>
        <a:effectLst/>
      </dsp:spPr>
      <dsp:style>
        <a:lnRef idx="2">
          <a:scrgbClr r="0" g="0" b="0"/>
        </a:lnRef>
        <a:fillRef idx="0">
          <a:scrgbClr r="0" g="0" b="0"/>
        </a:fillRef>
        <a:effectRef idx="0">
          <a:scrgbClr r="0" g="0" b="0"/>
        </a:effectRef>
        <a:fontRef idx="minor"/>
      </dsp:style>
    </dsp:sp>
    <dsp:sp modelId="{460E2A72-7B4A-4B91-9031-30DF0F4AA857}">
      <dsp:nvSpPr>
        <dsp:cNvPr id="0" name=""/>
        <dsp:cNvSpPr/>
      </dsp:nvSpPr>
      <dsp:spPr>
        <a:xfrm>
          <a:off x="4389768" y="1339068"/>
          <a:ext cx="480514" cy="125165"/>
        </a:xfrm>
        <a:custGeom>
          <a:avLst/>
          <a:gdLst/>
          <a:ahLst/>
          <a:cxnLst/>
          <a:rect l="0" t="0" r="0" b="0"/>
          <a:pathLst>
            <a:path>
              <a:moveTo>
                <a:pt x="480514" y="0"/>
              </a:moveTo>
              <a:lnTo>
                <a:pt x="480514" y="62582"/>
              </a:lnTo>
              <a:lnTo>
                <a:pt x="0" y="62582"/>
              </a:lnTo>
              <a:lnTo>
                <a:pt x="0" y="125165"/>
              </a:lnTo>
            </a:path>
          </a:pathLst>
        </a:custGeom>
        <a:noFill/>
        <a:ln w="12700" cap="flat" cmpd="sng" algn="ctr">
          <a:solidFill>
            <a:schemeClr val="accent4">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3540DE59-0A7B-4DD3-9C73-AB15BED4E770}">
      <dsp:nvSpPr>
        <dsp:cNvPr id="0" name=""/>
        <dsp:cNvSpPr/>
      </dsp:nvSpPr>
      <dsp:spPr>
        <a:xfrm>
          <a:off x="2640367" y="630275"/>
          <a:ext cx="2229916" cy="125165"/>
        </a:xfrm>
        <a:custGeom>
          <a:avLst/>
          <a:gdLst/>
          <a:ahLst/>
          <a:cxnLst/>
          <a:rect l="0" t="0" r="0" b="0"/>
          <a:pathLst>
            <a:path>
              <a:moveTo>
                <a:pt x="0" y="0"/>
              </a:moveTo>
              <a:lnTo>
                <a:pt x="0" y="62582"/>
              </a:lnTo>
              <a:lnTo>
                <a:pt x="2229916" y="62582"/>
              </a:lnTo>
              <a:lnTo>
                <a:pt x="2229916" y="12516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FE66C5-7954-4BF1-885D-989F76AF3B59}">
      <dsp:nvSpPr>
        <dsp:cNvPr id="0" name=""/>
        <dsp:cNvSpPr/>
      </dsp:nvSpPr>
      <dsp:spPr>
        <a:xfrm>
          <a:off x="3118693" y="2047861"/>
          <a:ext cx="122776" cy="1005498"/>
        </a:xfrm>
        <a:custGeom>
          <a:avLst/>
          <a:gdLst/>
          <a:ahLst/>
          <a:cxnLst/>
          <a:rect l="0" t="0" r="0" b="0"/>
          <a:pathLst>
            <a:path>
              <a:moveTo>
                <a:pt x="0" y="0"/>
              </a:moveTo>
              <a:lnTo>
                <a:pt x="0" y="1005498"/>
              </a:lnTo>
              <a:lnTo>
                <a:pt x="122776" y="1005498"/>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DA70565F-61E0-4ADE-8281-AC2E182A45B8}">
      <dsp:nvSpPr>
        <dsp:cNvPr id="0" name=""/>
        <dsp:cNvSpPr/>
      </dsp:nvSpPr>
      <dsp:spPr>
        <a:xfrm>
          <a:off x="3118693" y="2047861"/>
          <a:ext cx="122776" cy="628332"/>
        </a:xfrm>
        <a:custGeom>
          <a:avLst/>
          <a:gdLst/>
          <a:ahLst/>
          <a:cxnLst/>
          <a:rect l="0" t="0" r="0" b="0"/>
          <a:pathLst>
            <a:path>
              <a:moveTo>
                <a:pt x="0" y="0"/>
              </a:moveTo>
              <a:lnTo>
                <a:pt x="0" y="628332"/>
              </a:lnTo>
              <a:lnTo>
                <a:pt x="122776" y="628332"/>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FDB326B2-71E4-4121-8733-F7F1CE5AD249}">
      <dsp:nvSpPr>
        <dsp:cNvPr id="0" name=""/>
        <dsp:cNvSpPr/>
      </dsp:nvSpPr>
      <dsp:spPr>
        <a:xfrm>
          <a:off x="3118693" y="2047861"/>
          <a:ext cx="122776" cy="251166"/>
        </a:xfrm>
        <a:custGeom>
          <a:avLst/>
          <a:gdLst/>
          <a:ahLst/>
          <a:cxnLst/>
          <a:rect l="0" t="0" r="0" b="0"/>
          <a:pathLst>
            <a:path>
              <a:moveTo>
                <a:pt x="0" y="0"/>
              </a:moveTo>
              <a:lnTo>
                <a:pt x="0" y="251166"/>
              </a:lnTo>
              <a:lnTo>
                <a:pt x="122776" y="251166"/>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00BF00DD-4B4C-4C99-9AC8-AA52A2987062}">
      <dsp:nvSpPr>
        <dsp:cNvPr id="0" name=""/>
        <dsp:cNvSpPr/>
      </dsp:nvSpPr>
      <dsp:spPr>
        <a:xfrm>
          <a:off x="2502423" y="1339068"/>
          <a:ext cx="943672" cy="125165"/>
        </a:xfrm>
        <a:custGeom>
          <a:avLst/>
          <a:gdLst/>
          <a:ahLst/>
          <a:cxnLst/>
          <a:rect l="0" t="0" r="0" b="0"/>
          <a:pathLst>
            <a:path>
              <a:moveTo>
                <a:pt x="0" y="0"/>
              </a:moveTo>
              <a:lnTo>
                <a:pt x="0" y="62582"/>
              </a:lnTo>
              <a:lnTo>
                <a:pt x="943672" y="62582"/>
              </a:lnTo>
              <a:lnTo>
                <a:pt x="943672" y="125165"/>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A6E1729D-70DD-4483-850B-48A8CFBF271F}">
      <dsp:nvSpPr>
        <dsp:cNvPr id="0" name=""/>
        <dsp:cNvSpPr/>
      </dsp:nvSpPr>
      <dsp:spPr>
        <a:xfrm>
          <a:off x="2175020" y="2047861"/>
          <a:ext cx="122776" cy="1052420"/>
        </a:xfrm>
        <a:custGeom>
          <a:avLst/>
          <a:gdLst/>
          <a:ahLst/>
          <a:cxnLst/>
          <a:rect l="0" t="0" r="0" b="0"/>
          <a:pathLst>
            <a:path>
              <a:moveTo>
                <a:pt x="0" y="0"/>
              </a:moveTo>
              <a:lnTo>
                <a:pt x="0" y="1052420"/>
              </a:lnTo>
              <a:lnTo>
                <a:pt x="122776" y="1052420"/>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A4469488-772C-4ADA-B0AA-76FB15C965BD}">
      <dsp:nvSpPr>
        <dsp:cNvPr id="0" name=""/>
        <dsp:cNvSpPr/>
      </dsp:nvSpPr>
      <dsp:spPr>
        <a:xfrm>
          <a:off x="2175020" y="2047861"/>
          <a:ext cx="122776" cy="656485"/>
        </a:xfrm>
        <a:custGeom>
          <a:avLst/>
          <a:gdLst/>
          <a:ahLst/>
          <a:cxnLst/>
          <a:rect l="0" t="0" r="0" b="0"/>
          <a:pathLst>
            <a:path>
              <a:moveTo>
                <a:pt x="0" y="0"/>
              </a:moveTo>
              <a:lnTo>
                <a:pt x="0" y="656485"/>
              </a:lnTo>
              <a:lnTo>
                <a:pt x="122776" y="656485"/>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F6C78635-944C-4CB0-B4A8-A32432EB2D38}">
      <dsp:nvSpPr>
        <dsp:cNvPr id="0" name=""/>
        <dsp:cNvSpPr/>
      </dsp:nvSpPr>
      <dsp:spPr>
        <a:xfrm>
          <a:off x="2175020" y="2047861"/>
          <a:ext cx="122776" cy="260550"/>
        </a:xfrm>
        <a:custGeom>
          <a:avLst/>
          <a:gdLst/>
          <a:ahLst/>
          <a:cxnLst/>
          <a:rect l="0" t="0" r="0" b="0"/>
          <a:pathLst>
            <a:path>
              <a:moveTo>
                <a:pt x="0" y="0"/>
              </a:moveTo>
              <a:lnTo>
                <a:pt x="0" y="260550"/>
              </a:lnTo>
              <a:lnTo>
                <a:pt x="122776" y="260550"/>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B7A8FA05-9795-4485-93F4-86B3589327F1}">
      <dsp:nvSpPr>
        <dsp:cNvPr id="0" name=""/>
        <dsp:cNvSpPr/>
      </dsp:nvSpPr>
      <dsp:spPr>
        <a:xfrm>
          <a:off x="2456703" y="1339068"/>
          <a:ext cx="91440" cy="125165"/>
        </a:xfrm>
        <a:custGeom>
          <a:avLst/>
          <a:gdLst/>
          <a:ahLst/>
          <a:cxnLst/>
          <a:rect l="0" t="0" r="0" b="0"/>
          <a:pathLst>
            <a:path>
              <a:moveTo>
                <a:pt x="45720" y="0"/>
              </a:moveTo>
              <a:lnTo>
                <a:pt x="45720" y="125165"/>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10B36DB5-C8FE-4FA0-A865-9615AC4CF929}">
      <dsp:nvSpPr>
        <dsp:cNvPr id="0" name=""/>
        <dsp:cNvSpPr/>
      </dsp:nvSpPr>
      <dsp:spPr>
        <a:xfrm>
          <a:off x="1231347" y="2047861"/>
          <a:ext cx="122776" cy="1052420"/>
        </a:xfrm>
        <a:custGeom>
          <a:avLst/>
          <a:gdLst/>
          <a:ahLst/>
          <a:cxnLst/>
          <a:rect l="0" t="0" r="0" b="0"/>
          <a:pathLst>
            <a:path>
              <a:moveTo>
                <a:pt x="0" y="0"/>
              </a:moveTo>
              <a:lnTo>
                <a:pt x="0" y="1052420"/>
              </a:lnTo>
              <a:lnTo>
                <a:pt x="122776" y="1052420"/>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42968C60-B27C-4DFC-8B7C-8ED5843BD730}">
      <dsp:nvSpPr>
        <dsp:cNvPr id="0" name=""/>
        <dsp:cNvSpPr/>
      </dsp:nvSpPr>
      <dsp:spPr>
        <a:xfrm>
          <a:off x="1231347" y="2047861"/>
          <a:ext cx="122776" cy="656485"/>
        </a:xfrm>
        <a:custGeom>
          <a:avLst/>
          <a:gdLst/>
          <a:ahLst/>
          <a:cxnLst/>
          <a:rect l="0" t="0" r="0" b="0"/>
          <a:pathLst>
            <a:path>
              <a:moveTo>
                <a:pt x="0" y="0"/>
              </a:moveTo>
              <a:lnTo>
                <a:pt x="0" y="656485"/>
              </a:lnTo>
              <a:lnTo>
                <a:pt x="122776" y="656485"/>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745CD4A0-7DFD-406C-93D0-F5B91E9C2612}">
      <dsp:nvSpPr>
        <dsp:cNvPr id="0" name=""/>
        <dsp:cNvSpPr/>
      </dsp:nvSpPr>
      <dsp:spPr>
        <a:xfrm>
          <a:off x="1231347" y="2047861"/>
          <a:ext cx="122776" cy="260550"/>
        </a:xfrm>
        <a:custGeom>
          <a:avLst/>
          <a:gdLst/>
          <a:ahLst/>
          <a:cxnLst/>
          <a:rect l="0" t="0" r="0" b="0"/>
          <a:pathLst>
            <a:path>
              <a:moveTo>
                <a:pt x="0" y="0"/>
              </a:moveTo>
              <a:lnTo>
                <a:pt x="0" y="260550"/>
              </a:lnTo>
              <a:lnTo>
                <a:pt x="122776" y="260550"/>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E5A47B20-72E9-4450-B171-5E3D5563185F}">
      <dsp:nvSpPr>
        <dsp:cNvPr id="0" name=""/>
        <dsp:cNvSpPr/>
      </dsp:nvSpPr>
      <dsp:spPr>
        <a:xfrm>
          <a:off x="1558750" y="1339068"/>
          <a:ext cx="943672" cy="125165"/>
        </a:xfrm>
        <a:custGeom>
          <a:avLst/>
          <a:gdLst/>
          <a:ahLst/>
          <a:cxnLst/>
          <a:rect l="0" t="0" r="0" b="0"/>
          <a:pathLst>
            <a:path>
              <a:moveTo>
                <a:pt x="943672" y="0"/>
              </a:moveTo>
              <a:lnTo>
                <a:pt x="943672" y="62582"/>
              </a:lnTo>
              <a:lnTo>
                <a:pt x="0" y="62582"/>
              </a:lnTo>
              <a:lnTo>
                <a:pt x="0" y="125165"/>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FC9DC4E2-05BB-43BB-8481-5CAF9C0201C4}">
      <dsp:nvSpPr>
        <dsp:cNvPr id="0" name=""/>
        <dsp:cNvSpPr/>
      </dsp:nvSpPr>
      <dsp:spPr>
        <a:xfrm>
          <a:off x="2502423" y="630275"/>
          <a:ext cx="137943" cy="125165"/>
        </a:xfrm>
        <a:custGeom>
          <a:avLst/>
          <a:gdLst/>
          <a:ahLst/>
          <a:cxnLst/>
          <a:rect l="0" t="0" r="0" b="0"/>
          <a:pathLst>
            <a:path>
              <a:moveTo>
                <a:pt x="137943" y="0"/>
              </a:moveTo>
              <a:lnTo>
                <a:pt x="137943" y="62582"/>
              </a:lnTo>
              <a:lnTo>
                <a:pt x="0" y="62582"/>
              </a:lnTo>
              <a:lnTo>
                <a:pt x="0" y="12516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A37471-743F-47E8-89E8-DFA1398B1098}">
      <dsp:nvSpPr>
        <dsp:cNvPr id="0" name=""/>
        <dsp:cNvSpPr/>
      </dsp:nvSpPr>
      <dsp:spPr>
        <a:xfrm>
          <a:off x="1354123" y="630275"/>
          <a:ext cx="1286243" cy="125165"/>
        </a:xfrm>
        <a:custGeom>
          <a:avLst/>
          <a:gdLst/>
          <a:ahLst/>
          <a:cxnLst/>
          <a:rect l="0" t="0" r="0" b="0"/>
          <a:pathLst>
            <a:path>
              <a:moveTo>
                <a:pt x="1286243" y="0"/>
              </a:moveTo>
              <a:lnTo>
                <a:pt x="1286243" y="62582"/>
              </a:lnTo>
              <a:lnTo>
                <a:pt x="0" y="62582"/>
              </a:lnTo>
              <a:lnTo>
                <a:pt x="0" y="12516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ACAE7C-84F5-4988-AE1D-67CA8ED59E5D}">
      <dsp:nvSpPr>
        <dsp:cNvPr id="0" name=""/>
        <dsp:cNvSpPr/>
      </dsp:nvSpPr>
      <dsp:spPr>
        <a:xfrm>
          <a:off x="83048" y="1339068"/>
          <a:ext cx="122776" cy="1691758"/>
        </a:xfrm>
        <a:custGeom>
          <a:avLst/>
          <a:gdLst/>
          <a:ahLst/>
          <a:cxnLst/>
          <a:rect l="0" t="0" r="0" b="0"/>
          <a:pathLst>
            <a:path>
              <a:moveTo>
                <a:pt x="0" y="0"/>
              </a:moveTo>
              <a:lnTo>
                <a:pt x="0" y="1691758"/>
              </a:lnTo>
              <a:lnTo>
                <a:pt x="122776" y="1691758"/>
              </a:lnTo>
            </a:path>
          </a:pathLst>
        </a:custGeom>
        <a:noFill/>
        <a:ln w="12700" cap="flat" cmpd="sng" algn="ctr">
          <a:solidFill>
            <a:schemeClr val="accent2">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24BB72EB-AC1E-484C-A520-3EFEF578A31B}">
      <dsp:nvSpPr>
        <dsp:cNvPr id="0" name=""/>
        <dsp:cNvSpPr/>
      </dsp:nvSpPr>
      <dsp:spPr>
        <a:xfrm>
          <a:off x="83048" y="1339068"/>
          <a:ext cx="122776" cy="1125772"/>
        </a:xfrm>
        <a:custGeom>
          <a:avLst/>
          <a:gdLst/>
          <a:ahLst/>
          <a:cxnLst/>
          <a:rect l="0" t="0" r="0" b="0"/>
          <a:pathLst>
            <a:path>
              <a:moveTo>
                <a:pt x="0" y="0"/>
              </a:moveTo>
              <a:lnTo>
                <a:pt x="0" y="1125772"/>
              </a:lnTo>
              <a:lnTo>
                <a:pt x="122776" y="1125772"/>
              </a:lnTo>
            </a:path>
          </a:pathLst>
        </a:custGeom>
        <a:noFill/>
        <a:ln w="12700" cap="flat" cmpd="sng" algn="ctr">
          <a:solidFill>
            <a:schemeClr val="accent2">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DB623C69-8C20-4A8C-99E3-CF5CAF0B8B0C}">
      <dsp:nvSpPr>
        <dsp:cNvPr id="0" name=""/>
        <dsp:cNvSpPr/>
      </dsp:nvSpPr>
      <dsp:spPr>
        <a:xfrm>
          <a:off x="83048" y="1339068"/>
          <a:ext cx="122776" cy="416979"/>
        </a:xfrm>
        <a:custGeom>
          <a:avLst/>
          <a:gdLst/>
          <a:ahLst/>
          <a:cxnLst/>
          <a:rect l="0" t="0" r="0" b="0"/>
          <a:pathLst>
            <a:path>
              <a:moveTo>
                <a:pt x="0" y="0"/>
              </a:moveTo>
              <a:lnTo>
                <a:pt x="0" y="416979"/>
              </a:lnTo>
              <a:lnTo>
                <a:pt x="122776" y="416979"/>
              </a:lnTo>
            </a:path>
          </a:pathLst>
        </a:custGeom>
        <a:noFill/>
        <a:ln w="12700" cap="flat" cmpd="sng" algn="ctr">
          <a:solidFill>
            <a:schemeClr val="accent2">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4DF59F3E-8367-4561-B449-AB7BC096DA60}">
      <dsp:nvSpPr>
        <dsp:cNvPr id="0" name=""/>
        <dsp:cNvSpPr/>
      </dsp:nvSpPr>
      <dsp:spPr>
        <a:xfrm>
          <a:off x="410451" y="630275"/>
          <a:ext cx="2229916" cy="125165"/>
        </a:xfrm>
        <a:custGeom>
          <a:avLst/>
          <a:gdLst/>
          <a:ahLst/>
          <a:cxnLst/>
          <a:rect l="0" t="0" r="0" b="0"/>
          <a:pathLst>
            <a:path>
              <a:moveTo>
                <a:pt x="2229916" y="0"/>
              </a:moveTo>
              <a:lnTo>
                <a:pt x="2229916" y="62582"/>
              </a:lnTo>
              <a:lnTo>
                <a:pt x="0" y="62582"/>
              </a:lnTo>
              <a:lnTo>
                <a:pt x="0" y="12516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A1CD02-EF48-4382-8452-19AB12612FB6}">
      <dsp:nvSpPr>
        <dsp:cNvPr id="0" name=""/>
        <dsp:cNvSpPr/>
      </dsp:nvSpPr>
      <dsp:spPr>
        <a:xfrm>
          <a:off x="2231113" y="46647"/>
          <a:ext cx="818506" cy="5836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Cartes émises par l'établissement</a:t>
          </a:r>
        </a:p>
      </dsp:txBody>
      <dsp:txXfrm>
        <a:off x="2231113" y="46647"/>
        <a:ext cx="818506" cy="583627"/>
      </dsp:txXfrm>
    </dsp:sp>
    <dsp:sp modelId="{BE7D7CC8-41FD-47B9-9BA8-EB8AAEF8182F}">
      <dsp:nvSpPr>
        <dsp:cNvPr id="0" name=""/>
        <dsp:cNvSpPr/>
      </dsp:nvSpPr>
      <dsp:spPr>
        <a:xfrm>
          <a:off x="1197" y="755441"/>
          <a:ext cx="818506" cy="583627"/>
        </a:xfrm>
        <a:prstGeom prst="rect">
          <a:avLst/>
        </a:prstGeom>
        <a:solidFill>
          <a:schemeClr val="accent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Nombre total de cartes émises</a:t>
          </a:r>
        </a:p>
      </dsp:txBody>
      <dsp:txXfrm>
        <a:off x="1197" y="755441"/>
        <a:ext cx="818506" cy="583627"/>
      </dsp:txXfrm>
    </dsp:sp>
    <dsp:sp modelId="{998F1735-0A99-4839-8627-F742B8695E57}">
      <dsp:nvSpPr>
        <dsp:cNvPr id="0" name=""/>
        <dsp:cNvSpPr/>
      </dsp:nvSpPr>
      <dsp:spPr>
        <a:xfrm>
          <a:off x="205824" y="1464234"/>
          <a:ext cx="818506" cy="583627"/>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avec une fonction combinée</a:t>
          </a:r>
        </a:p>
      </dsp:txBody>
      <dsp:txXfrm>
        <a:off x="205824" y="1464234"/>
        <a:ext cx="818506" cy="583627"/>
      </dsp:txXfrm>
    </dsp:sp>
    <dsp:sp modelId="{2CDE807B-7025-4091-883A-74748029DFE4}">
      <dsp:nvSpPr>
        <dsp:cNvPr id="0" name=""/>
        <dsp:cNvSpPr/>
      </dsp:nvSpPr>
      <dsp:spPr>
        <a:xfrm>
          <a:off x="205824" y="2173027"/>
          <a:ext cx="818506" cy="583627"/>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avec une fonction sans contact</a:t>
          </a:r>
        </a:p>
      </dsp:txBody>
      <dsp:txXfrm>
        <a:off x="205824" y="2173027"/>
        <a:ext cx="818506" cy="583627"/>
      </dsp:txXfrm>
    </dsp:sp>
    <dsp:sp modelId="{4BFE475E-520E-487A-ADEE-4215C0AD9DEE}">
      <dsp:nvSpPr>
        <dsp:cNvPr id="0" name=""/>
        <dsp:cNvSpPr/>
      </dsp:nvSpPr>
      <dsp:spPr>
        <a:xfrm>
          <a:off x="205824" y="2881820"/>
          <a:ext cx="811354" cy="298013"/>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avec piste magnétique</a:t>
          </a:r>
        </a:p>
      </dsp:txBody>
      <dsp:txXfrm>
        <a:off x="205824" y="2881820"/>
        <a:ext cx="811354" cy="298013"/>
      </dsp:txXfrm>
    </dsp:sp>
    <dsp:sp modelId="{E40995F4-219F-4BA4-B31F-1145FD04EC0A}">
      <dsp:nvSpPr>
        <dsp:cNvPr id="0" name=""/>
        <dsp:cNvSpPr/>
      </dsp:nvSpPr>
      <dsp:spPr>
        <a:xfrm>
          <a:off x="944870" y="755441"/>
          <a:ext cx="818506" cy="583627"/>
        </a:xfrm>
        <a:prstGeom prst="rect">
          <a:avLst/>
        </a:prstGeom>
        <a:solidFill>
          <a:schemeClr val="accent5">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avec une fonction espèces</a:t>
          </a:r>
        </a:p>
      </dsp:txBody>
      <dsp:txXfrm>
        <a:off x="944870" y="755441"/>
        <a:ext cx="818506" cy="583627"/>
      </dsp:txXfrm>
    </dsp:sp>
    <dsp:sp modelId="{D934B4D3-CDD7-4A0B-97B9-019F3178BC69}">
      <dsp:nvSpPr>
        <dsp:cNvPr id="0" name=""/>
        <dsp:cNvSpPr/>
      </dsp:nvSpPr>
      <dsp:spPr>
        <a:xfrm>
          <a:off x="2093169" y="755441"/>
          <a:ext cx="818506" cy="583627"/>
        </a:xfrm>
        <a:prstGeom prst="rect">
          <a:avLst/>
        </a:prstGeom>
        <a:solidFill>
          <a:schemeClr val="accent6">
            <a:lumMod val="50000"/>
          </a:schemeClr>
        </a:solidFill>
        <a:ln w="12700" cap="flat" cmpd="sng" algn="ctr">
          <a:solidFill>
            <a:schemeClr val="accent6">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avec une fonction de paiement</a:t>
          </a:r>
        </a:p>
      </dsp:txBody>
      <dsp:txXfrm>
        <a:off x="2093169" y="755441"/>
        <a:ext cx="818506" cy="583627"/>
      </dsp:txXfrm>
    </dsp:sp>
    <dsp:sp modelId="{456C7493-DF3C-46EF-8370-C102F6FC7125}">
      <dsp:nvSpPr>
        <dsp:cNvPr id="0" name=""/>
        <dsp:cNvSpPr/>
      </dsp:nvSpPr>
      <dsp:spPr>
        <a:xfrm>
          <a:off x="1149497" y="1464234"/>
          <a:ext cx="818506" cy="583627"/>
        </a:xfrm>
        <a:prstGeom prst="rect">
          <a:avLst/>
        </a:prstGeom>
        <a:solidFill>
          <a:schemeClr val="accent6">
            <a:lumMod val="75000"/>
          </a:schemeClr>
        </a:solidFill>
        <a:ln w="12700" cap="flat" cmpd="sng" algn="ctr">
          <a:solidFill>
            <a:schemeClr val="accent6">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avec une fonction de débit</a:t>
          </a:r>
        </a:p>
      </dsp:txBody>
      <dsp:txXfrm>
        <a:off x="1149497" y="1464234"/>
        <a:ext cx="818506" cy="583627"/>
      </dsp:txXfrm>
    </dsp:sp>
    <dsp:sp modelId="{1ECC73DE-076A-4F69-B22E-3FFD68A3EFC6}">
      <dsp:nvSpPr>
        <dsp:cNvPr id="0" name=""/>
        <dsp:cNvSpPr/>
      </dsp:nvSpPr>
      <dsp:spPr>
        <a:xfrm>
          <a:off x="1354123" y="2173027"/>
          <a:ext cx="600736" cy="270769"/>
        </a:xfrm>
        <a:prstGeom prst="rect">
          <a:avLst/>
        </a:prstGeom>
        <a:solidFill>
          <a:schemeClr val="accent6">
            <a:lumMod val="60000"/>
            <a:lumOff val="40000"/>
          </a:schemeClr>
        </a:solidFill>
        <a:ln w="12700" cap="flat" cmpd="sng" algn="ctr">
          <a:solidFill>
            <a:schemeClr val="accent6">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CB</a:t>
          </a:r>
        </a:p>
      </dsp:txBody>
      <dsp:txXfrm>
        <a:off x="1354123" y="2173027"/>
        <a:ext cx="600736" cy="270769"/>
      </dsp:txXfrm>
    </dsp:sp>
    <dsp:sp modelId="{84E51ACC-D8C5-4147-A13E-EF84864B10D6}">
      <dsp:nvSpPr>
        <dsp:cNvPr id="0" name=""/>
        <dsp:cNvSpPr/>
      </dsp:nvSpPr>
      <dsp:spPr>
        <a:xfrm>
          <a:off x="1354123" y="2568962"/>
          <a:ext cx="599562" cy="270769"/>
        </a:xfrm>
        <a:prstGeom prst="rect">
          <a:avLst/>
        </a:prstGeom>
        <a:solidFill>
          <a:schemeClr val="accent6">
            <a:lumMod val="60000"/>
            <a:lumOff val="40000"/>
          </a:schemeClr>
        </a:solidFill>
        <a:ln w="12700" cap="flat" cmpd="sng" algn="ctr">
          <a:solidFill>
            <a:schemeClr val="accent6">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VISA</a:t>
          </a:r>
        </a:p>
      </dsp:txBody>
      <dsp:txXfrm>
        <a:off x="1354123" y="2568962"/>
        <a:ext cx="599562" cy="270769"/>
      </dsp:txXfrm>
    </dsp:sp>
    <dsp:sp modelId="{07332389-5B29-48BA-9938-82E7CD0E0F7F}">
      <dsp:nvSpPr>
        <dsp:cNvPr id="0" name=""/>
        <dsp:cNvSpPr/>
      </dsp:nvSpPr>
      <dsp:spPr>
        <a:xfrm>
          <a:off x="1354123" y="2964897"/>
          <a:ext cx="599562" cy="270769"/>
        </a:xfrm>
        <a:prstGeom prst="rect">
          <a:avLst/>
        </a:prstGeom>
        <a:solidFill>
          <a:schemeClr val="accent6">
            <a:lumMod val="60000"/>
            <a:lumOff val="40000"/>
          </a:schemeClr>
        </a:solidFill>
        <a:ln w="12700" cap="flat" cmpd="sng" algn="ctr">
          <a:solidFill>
            <a:schemeClr val="accent6">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Autres schémas...</a:t>
          </a:r>
        </a:p>
      </dsp:txBody>
      <dsp:txXfrm>
        <a:off x="1354123" y="2964897"/>
        <a:ext cx="599562" cy="270769"/>
      </dsp:txXfrm>
    </dsp:sp>
    <dsp:sp modelId="{F49E4F3D-EBB0-4474-8D34-752A19735940}">
      <dsp:nvSpPr>
        <dsp:cNvPr id="0" name=""/>
        <dsp:cNvSpPr/>
      </dsp:nvSpPr>
      <dsp:spPr>
        <a:xfrm>
          <a:off x="2093169" y="1464234"/>
          <a:ext cx="818506" cy="583627"/>
        </a:xfrm>
        <a:prstGeom prst="rect">
          <a:avLst/>
        </a:prstGeom>
        <a:solidFill>
          <a:schemeClr val="accent6">
            <a:lumMod val="75000"/>
          </a:schemeClr>
        </a:solidFill>
        <a:ln w="12700" cap="flat" cmpd="sng" algn="ctr">
          <a:solidFill>
            <a:schemeClr val="accent6">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avec une fonction de débit différé</a:t>
          </a:r>
        </a:p>
      </dsp:txBody>
      <dsp:txXfrm>
        <a:off x="2093169" y="1464234"/>
        <a:ext cx="818506" cy="583627"/>
      </dsp:txXfrm>
    </dsp:sp>
    <dsp:sp modelId="{E11C3B3D-BEA1-436F-955D-CD763DCE5230}">
      <dsp:nvSpPr>
        <dsp:cNvPr id="0" name=""/>
        <dsp:cNvSpPr/>
      </dsp:nvSpPr>
      <dsp:spPr>
        <a:xfrm>
          <a:off x="2297796" y="2173027"/>
          <a:ext cx="599562" cy="270769"/>
        </a:xfrm>
        <a:prstGeom prst="rect">
          <a:avLst/>
        </a:prstGeom>
        <a:solidFill>
          <a:schemeClr val="accent6">
            <a:lumMod val="60000"/>
            <a:lumOff val="40000"/>
          </a:schemeClr>
        </a:solidFill>
        <a:ln w="12700" cap="flat" cmpd="sng" algn="ctr">
          <a:solidFill>
            <a:schemeClr val="accent6">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CB</a:t>
          </a:r>
        </a:p>
      </dsp:txBody>
      <dsp:txXfrm>
        <a:off x="2297796" y="2173027"/>
        <a:ext cx="599562" cy="270769"/>
      </dsp:txXfrm>
    </dsp:sp>
    <dsp:sp modelId="{62BA02D4-2C0F-4D0B-ABD9-E45367973C5C}">
      <dsp:nvSpPr>
        <dsp:cNvPr id="0" name=""/>
        <dsp:cNvSpPr/>
      </dsp:nvSpPr>
      <dsp:spPr>
        <a:xfrm>
          <a:off x="2297796" y="2568962"/>
          <a:ext cx="599562" cy="27076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VISA</a:t>
          </a:r>
        </a:p>
      </dsp:txBody>
      <dsp:txXfrm>
        <a:off x="2297796" y="2568962"/>
        <a:ext cx="599562" cy="270769"/>
      </dsp:txXfrm>
    </dsp:sp>
    <dsp:sp modelId="{97709F53-4CA2-40BE-8513-6D6584694F2D}">
      <dsp:nvSpPr>
        <dsp:cNvPr id="0" name=""/>
        <dsp:cNvSpPr/>
      </dsp:nvSpPr>
      <dsp:spPr>
        <a:xfrm>
          <a:off x="2297796" y="2964897"/>
          <a:ext cx="599562" cy="27076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Autres schémas</a:t>
          </a:r>
        </a:p>
      </dsp:txBody>
      <dsp:txXfrm>
        <a:off x="2297796" y="2964897"/>
        <a:ext cx="599562" cy="270769"/>
      </dsp:txXfrm>
    </dsp:sp>
    <dsp:sp modelId="{9CE98BB8-AB73-4156-96AE-F75790D78944}">
      <dsp:nvSpPr>
        <dsp:cNvPr id="0" name=""/>
        <dsp:cNvSpPr/>
      </dsp:nvSpPr>
      <dsp:spPr>
        <a:xfrm>
          <a:off x="3036842" y="1464234"/>
          <a:ext cx="818506" cy="583627"/>
        </a:xfrm>
        <a:prstGeom prst="rect">
          <a:avLst/>
        </a:prstGeom>
        <a:solidFill>
          <a:schemeClr val="accent6">
            <a:lumMod val="75000"/>
          </a:schemeClr>
        </a:solidFill>
        <a:ln w="12700" cap="flat" cmpd="sng" algn="ctr">
          <a:solidFill>
            <a:schemeClr val="accent6">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avec une fonction de crédit</a:t>
          </a:r>
        </a:p>
      </dsp:txBody>
      <dsp:txXfrm>
        <a:off x="3036842" y="1464234"/>
        <a:ext cx="818506" cy="583627"/>
      </dsp:txXfrm>
    </dsp:sp>
    <dsp:sp modelId="{9887B920-5228-49B0-A302-1CE3C1806EC8}">
      <dsp:nvSpPr>
        <dsp:cNvPr id="0" name=""/>
        <dsp:cNvSpPr/>
      </dsp:nvSpPr>
      <dsp:spPr>
        <a:xfrm>
          <a:off x="3241469" y="2173027"/>
          <a:ext cx="558001" cy="252000"/>
        </a:xfrm>
        <a:prstGeom prst="rect">
          <a:avLst/>
        </a:prstGeom>
        <a:solidFill>
          <a:schemeClr val="accent6">
            <a:lumMod val="60000"/>
            <a:lumOff val="40000"/>
          </a:schemeClr>
        </a:solidFill>
        <a:ln w="12700" cap="flat" cmpd="sng" algn="ctr">
          <a:solidFill>
            <a:schemeClr val="accent6">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CB</a:t>
          </a:r>
        </a:p>
      </dsp:txBody>
      <dsp:txXfrm>
        <a:off x="3241469" y="2173027"/>
        <a:ext cx="558001" cy="252000"/>
      </dsp:txXfrm>
    </dsp:sp>
    <dsp:sp modelId="{6254C4C1-8925-47F8-929E-1CC31573C919}">
      <dsp:nvSpPr>
        <dsp:cNvPr id="0" name=""/>
        <dsp:cNvSpPr/>
      </dsp:nvSpPr>
      <dsp:spPr>
        <a:xfrm>
          <a:off x="3241469" y="2550193"/>
          <a:ext cx="558001" cy="25200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VISA</a:t>
          </a:r>
        </a:p>
      </dsp:txBody>
      <dsp:txXfrm>
        <a:off x="3241469" y="2550193"/>
        <a:ext cx="558001" cy="252000"/>
      </dsp:txXfrm>
    </dsp:sp>
    <dsp:sp modelId="{8203DF14-2258-4F29-9708-61C8ED9CC3C5}">
      <dsp:nvSpPr>
        <dsp:cNvPr id="0" name=""/>
        <dsp:cNvSpPr/>
      </dsp:nvSpPr>
      <dsp:spPr>
        <a:xfrm>
          <a:off x="3241469" y="2927359"/>
          <a:ext cx="558001" cy="25200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Autres schémas</a:t>
          </a:r>
        </a:p>
      </dsp:txBody>
      <dsp:txXfrm>
        <a:off x="3241469" y="2927359"/>
        <a:ext cx="558001" cy="252000"/>
      </dsp:txXfrm>
    </dsp:sp>
    <dsp:sp modelId="{CD84E35C-0426-4027-8C70-139EE895F476}">
      <dsp:nvSpPr>
        <dsp:cNvPr id="0" name=""/>
        <dsp:cNvSpPr/>
      </dsp:nvSpPr>
      <dsp:spPr>
        <a:xfrm>
          <a:off x="4461029" y="755441"/>
          <a:ext cx="818506" cy="583627"/>
        </a:xfrm>
        <a:prstGeom prst="rect">
          <a:avLst/>
        </a:prstGeom>
        <a:solidFill>
          <a:schemeClr val="accent4">
            <a:lumMod val="50000"/>
          </a:schemeClr>
        </a:solidFill>
        <a:ln w="12700" cap="flat" cmpd="sng" algn="ctr">
          <a:solidFill>
            <a:schemeClr val="accent4">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avec une fonction monnaie électronique</a:t>
          </a:r>
        </a:p>
      </dsp:txBody>
      <dsp:txXfrm>
        <a:off x="4461029" y="755441"/>
        <a:ext cx="818506" cy="583627"/>
      </dsp:txXfrm>
    </dsp:sp>
    <dsp:sp modelId="{420E9331-7746-4047-A918-C0E162B943C2}">
      <dsp:nvSpPr>
        <dsp:cNvPr id="0" name=""/>
        <dsp:cNvSpPr/>
      </dsp:nvSpPr>
      <dsp:spPr>
        <a:xfrm>
          <a:off x="3980515" y="1464234"/>
          <a:ext cx="818506" cy="583627"/>
        </a:xfrm>
        <a:prstGeom prst="rect">
          <a:avLst/>
        </a:prstGeom>
        <a:solidFill>
          <a:schemeClr val="accent4">
            <a:lumMod val="75000"/>
          </a:schemeClr>
        </a:solidFill>
        <a:ln w="12700" cap="flat" cmpd="sng" algn="ctr">
          <a:solidFill>
            <a:schemeClr val="accent4">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dont permettant le stockage direct de monnaie électronique</a:t>
          </a:r>
        </a:p>
      </dsp:txBody>
      <dsp:txXfrm>
        <a:off x="3980515" y="1464234"/>
        <a:ext cx="818506" cy="583627"/>
      </dsp:txXfrm>
    </dsp:sp>
    <dsp:sp modelId="{1DC7A607-67A8-417E-A0F0-1EAD9FC99B4E}">
      <dsp:nvSpPr>
        <dsp:cNvPr id="0" name=""/>
        <dsp:cNvSpPr/>
      </dsp:nvSpPr>
      <dsp:spPr>
        <a:xfrm>
          <a:off x="4185142" y="2173027"/>
          <a:ext cx="596027" cy="475683"/>
        </a:xfrm>
        <a:prstGeom prst="rect">
          <a:avLst/>
        </a:prstGeom>
        <a:solidFill>
          <a:schemeClr val="accent4">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Qui ont été chargées au moins une fois</a:t>
          </a:r>
        </a:p>
      </dsp:txBody>
      <dsp:txXfrm>
        <a:off x="4185142" y="2173027"/>
        <a:ext cx="596027" cy="475683"/>
      </dsp:txXfrm>
    </dsp:sp>
    <dsp:sp modelId="{2124F06D-0084-49CE-8235-2E1ED2CDE136}">
      <dsp:nvSpPr>
        <dsp:cNvPr id="0" name=""/>
        <dsp:cNvSpPr/>
      </dsp:nvSpPr>
      <dsp:spPr>
        <a:xfrm>
          <a:off x="4924188" y="1464234"/>
          <a:ext cx="835863" cy="528980"/>
        </a:xfrm>
        <a:prstGeom prst="rect">
          <a:avLst/>
        </a:prstGeom>
        <a:solidFill>
          <a:schemeClr val="accent4">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dont donnant accès à des comptes de monnaie électronique</a:t>
          </a:r>
        </a:p>
      </dsp:txBody>
      <dsp:txXfrm>
        <a:off x="4924188" y="1464234"/>
        <a:ext cx="835863" cy="5289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48D0C0-CCBA-48D3-B72B-F1A4144F0F41}">
      <dsp:nvSpPr>
        <dsp:cNvPr id="0" name=""/>
        <dsp:cNvSpPr/>
      </dsp:nvSpPr>
      <dsp:spPr>
        <a:xfrm>
          <a:off x="3118263" y="1270340"/>
          <a:ext cx="157258" cy="1226617"/>
        </a:xfrm>
        <a:custGeom>
          <a:avLst/>
          <a:gdLst/>
          <a:ahLst/>
          <a:cxnLst/>
          <a:rect l="0" t="0" r="0" b="0"/>
          <a:pathLst>
            <a:path>
              <a:moveTo>
                <a:pt x="0" y="0"/>
              </a:moveTo>
              <a:lnTo>
                <a:pt x="0" y="1226617"/>
              </a:lnTo>
              <a:lnTo>
                <a:pt x="157258" y="1226617"/>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DCE99534-9790-41B4-86AD-051D2534A4D3}">
      <dsp:nvSpPr>
        <dsp:cNvPr id="0" name=""/>
        <dsp:cNvSpPr/>
      </dsp:nvSpPr>
      <dsp:spPr>
        <a:xfrm>
          <a:off x="3118263" y="1270340"/>
          <a:ext cx="157258" cy="482259"/>
        </a:xfrm>
        <a:custGeom>
          <a:avLst/>
          <a:gdLst/>
          <a:ahLst/>
          <a:cxnLst/>
          <a:rect l="0" t="0" r="0" b="0"/>
          <a:pathLst>
            <a:path>
              <a:moveTo>
                <a:pt x="0" y="0"/>
              </a:moveTo>
              <a:lnTo>
                <a:pt x="0" y="482259"/>
              </a:lnTo>
              <a:lnTo>
                <a:pt x="157258" y="482259"/>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227DA448-22D5-4B44-9F8D-752D5739CA17}">
      <dsp:nvSpPr>
        <dsp:cNvPr id="0" name=""/>
        <dsp:cNvSpPr/>
      </dsp:nvSpPr>
      <dsp:spPr>
        <a:xfrm>
          <a:off x="2138018" y="525982"/>
          <a:ext cx="1399601" cy="220162"/>
        </a:xfrm>
        <a:custGeom>
          <a:avLst/>
          <a:gdLst/>
          <a:ahLst/>
          <a:cxnLst/>
          <a:rect l="0" t="0" r="0" b="0"/>
          <a:pathLst>
            <a:path>
              <a:moveTo>
                <a:pt x="0" y="0"/>
              </a:moveTo>
              <a:lnTo>
                <a:pt x="0" y="110081"/>
              </a:lnTo>
              <a:lnTo>
                <a:pt x="1399601" y="110081"/>
              </a:lnTo>
              <a:lnTo>
                <a:pt x="1399601" y="22016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E6DABC-7B11-4906-B2A7-ED93FACCFCE8}">
      <dsp:nvSpPr>
        <dsp:cNvPr id="0" name=""/>
        <dsp:cNvSpPr/>
      </dsp:nvSpPr>
      <dsp:spPr>
        <a:xfrm>
          <a:off x="1849710" y="2014697"/>
          <a:ext cx="157258" cy="1226617"/>
        </a:xfrm>
        <a:custGeom>
          <a:avLst/>
          <a:gdLst/>
          <a:ahLst/>
          <a:cxnLst/>
          <a:rect l="0" t="0" r="0" b="0"/>
          <a:pathLst>
            <a:path>
              <a:moveTo>
                <a:pt x="0" y="0"/>
              </a:moveTo>
              <a:lnTo>
                <a:pt x="0" y="1226617"/>
              </a:lnTo>
              <a:lnTo>
                <a:pt x="157258" y="1226617"/>
              </a:lnTo>
            </a:path>
          </a:pathLst>
        </a:custGeom>
        <a:noFill/>
        <a:ln w="12700" cap="flat" cmpd="sng" algn="ctr">
          <a:solidFill>
            <a:schemeClr val="accent2">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BFA23EB0-68CB-49B4-88DD-1DD73855A44B}">
      <dsp:nvSpPr>
        <dsp:cNvPr id="0" name=""/>
        <dsp:cNvSpPr/>
      </dsp:nvSpPr>
      <dsp:spPr>
        <a:xfrm>
          <a:off x="1849710" y="2014697"/>
          <a:ext cx="157258" cy="482259"/>
        </a:xfrm>
        <a:custGeom>
          <a:avLst/>
          <a:gdLst/>
          <a:ahLst/>
          <a:cxnLst/>
          <a:rect l="0" t="0" r="0" b="0"/>
          <a:pathLst>
            <a:path>
              <a:moveTo>
                <a:pt x="0" y="0"/>
              </a:moveTo>
              <a:lnTo>
                <a:pt x="0" y="482259"/>
              </a:lnTo>
              <a:lnTo>
                <a:pt x="157258" y="482259"/>
              </a:lnTo>
            </a:path>
          </a:pathLst>
        </a:custGeom>
        <a:noFill/>
        <a:ln w="12700" cap="flat" cmpd="sng" algn="ctr">
          <a:solidFill>
            <a:schemeClr val="accent2">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DA44E10C-1CDB-45E7-B9B7-CCEA7D0B20C1}">
      <dsp:nvSpPr>
        <dsp:cNvPr id="0" name=""/>
        <dsp:cNvSpPr/>
      </dsp:nvSpPr>
      <dsp:spPr>
        <a:xfrm>
          <a:off x="2223346" y="1270340"/>
          <a:ext cx="91440" cy="220162"/>
        </a:xfrm>
        <a:custGeom>
          <a:avLst/>
          <a:gdLst/>
          <a:ahLst/>
          <a:cxnLst/>
          <a:rect l="0" t="0" r="0" b="0"/>
          <a:pathLst>
            <a:path>
              <a:moveTo>
                <a:pt x="45720" y="0"/>
              </a:moveTo>
              <a:lnTo>
                <a:pt x="45720" y="220162"/>
              </a:lnTo>
            </a:path>
          </a:pathLst>
        </a:custGeom>
        <a:noFill/>
        <a:ln w="12700" cap="flat" cmpd="sng" algn="ctr">
          <a:solidFill>
            <a:schemeClr val="accent2">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95712751-D212-438F-BAD2-80BCC233A71E}">
      <dsp:nvSpPr>
        <dsp:cNvPr id="0" name=""/>
        <dsp:cNvSpPr/>
      </dsp:nvSpPr>
      <dsp:spPr>
        <a:xfrm>
          <a:off x="2138018" y="525982"/>
          <a:ext cx="131048" cy="220162"/>
        </a:xfrm>
        <a:custGeom>
          <a:avLst/>
          <a:gdLst/>
          <a:ahLst/>
          <a:cxnLst/>
          <a:rect l="0" t="0" r="0" b="0"/>
          <a:pathLst>
            <a:path>
              <a:moveTo>
                <a:pt x="0" y="0"/>
              </a:moveTo>
              <a:lnTo>
                <a:pt x="0" y="110081"/>
              </a:lnTo>
              <a:lnTo>
                <a:pt x="131048" y="110081"/>
              </a:lnTo>
              <a:lnTo>
                <a:pt x="131048" y="22016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BFD3F6-BA8C-49AD-9307-BDEF045323CC}">
      <dsp:nvSpPr>
        <dsp:cNvPr id="0" name=""/>
        <dsp:cNvSpPr/>
      </dsp:nvSpPr>
      <dsp:spPr>
        <a:xfrm>
          <a:off x="319059" y="1270340"/>
          <a:ext cx="157258" cy="1970974"/>
        </a:xfrm>
        <a:custGeom>
          <a:avLst/>
          <a:gdLst/>
          <a:ahLst/>
          <a:cxnLst/>
          <a:rect l="0" t="0" r="0" b="0"/>
          <a:pathLst>
            <a:path>
              <a:moveTo>
                <a:pt x="0" y="0"/>
              </a:moveTo>
              <a:lnTo>
                <a:pt x="0" y="1970974"/>
              </a:lnTo>
              <a:lnTo>
                <a:pt x="157258" y="1970974"/>
              </a:lnTo>
            </a:path>
          </a:pathLst>
        </a:custGeom>
        <a:noFill/>
        <a:ln w="12700" cap="flat" cmpd="sng" algn="ctr">
          <a:solidFill>
            <a:schemeClr val="accent3">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F872207D-A9C7-40CC-B2C8-39C4211B6DBD}">
      <dsp:nvSpPr>
        <dsp:cNvPr id="0" name=""/>
        <dsp:cNvSpPr/>
      </dsp:nvSpPr>
      <dsp:spPr>
        <a:xfrm>
          <a:off x="319059" y="1270340"/>
          <a:ext cx="157258" cy="1226617"/>
        </a:xfrm>
        <a:custGeom>
          <a:avLst/>
          <a:gdLst/>
          <a:ahLst/>
          <a:cxnLst/>
          <a:rect l="0" t="0" r="0" b="0"/>
          <a:pathLst>
            <a:path>
              <a:moveTo>
                <a:pt x="0" y="0"/>
              </a:moveTo>
              <a:lnTo>
                <a:pt x="0" y="1226617"/>
              </a:lnTo>
              <a:lnTo>
                <a:pt x="157258" y="1226617"/>
              </a:lnTo>
            </a:path>
          </a:pathLst>
        </a:custGeom>
        <a:noFill/>
        <a:ln w="12700" cap="flat" cmpd="sng" algn="ctr">
          <a:solidFill>
            <a:schemeClr val="accent3">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C7A125D8-BD60-414B-8EDB-44A5895E79DB}">
      <dsp:nvSpPr>
        <dsp:cNvPr id="0" name=""/>
        <dsp:cNvSpPr/>
      </dsp:nvSpPr>
      <dsp:spPr>
        <a:xfrm>
          <a:off x="319059" y="1270340"/>
          <a:ext cx="157258" cy="482259"/>
        </a:xfrm>
        <a:custGeom>
          <a:avLst/>
          <a:gdLst/>
          <a:ahLst/>
          <a:cxnLst/>
          <a:rect l="0" t="0" r="0" b="0"/>
          <a:pathLst>
            <a:path>
              <a:moveTo>
                <a:pt x="0" y="0"/>
              </a:moveTo>
              <a:lnTo>
                <a:pt x="0" y="482259"/>
              </a:lnTo>
              <a:lnTo>
                <a:pt x="157258" y="482259"/>
              </a:lnTo>
            </a:path>
          </a:pathLst>
        </a:custGeom>
        <a:noFill/>
        <a:ln w="12700" cap="flat" cmpd="sng" algn="ctr">
          <a:solidFill>
            <a:schemeClr val="accent3">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4D2EB0F6-81A7-49E1-B25E-4AAF5841B2ED}">
      <dsp:nvSpPr>
        <dsp:cNvPr id="0" name=""/>
        <dsp:cNvSpPr/>
      </dsp:nvSpPr>
      <dsp:spPr>
        <a:xfrm>
          <a:off x="738416" y="525982"/>
          <a:ext cx="1399601" cy="220162"/>
        </a:xfrm>
        <a:custGeom>
          <a:avLst/>
          <a:gdLst/>
          <a:ahLst/>
          <a:cxnLst/>
          <a:rect l="0" t="0" r="0" b="0"/>
          <a:pathLst>
            <a:path>
              <a:moveTo>
                <a:pt x="1399601" y="0"/>
              </a:moveTo>
              <a:lnTo>
                <a:pt x="1399601" y="110081"/>
              </a:lnTo>
              <a:lnTo>
                <a:pt x="0" y="110081"/>
              </a:lnTo>
              <a:lnTo>
                <a:pt x="0" y="22016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C8F22D-1B98-46F6-A253-BF526877D927}">
      <dsp:nvSpPr>
        <dsp:cNvPr id="0" name=""/>
        <dsp:cNvSpPr/>
      </dsp:nvSpPr>
      <dsp:spPr>
        <a:xfrm>
          <a:off x="1613822" y="1787"/>
          <a:ext cx="1048390" cy="5241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Terminaux physiques</a:t>
          </a:r>
        </a:p>
      </dsp:txBody>
      <dsp:txXfrm>
        <a:off x="1613822" y="1787"/>
        <a:ext cx="1048390" cy="524195"/>
      </dsp:txXfrm>
    </dsp:sp>
    <dsp:sp modelId="{4698EA73-1464-442E-A457-E1494105B03D}">
      <dsp:nvSpPr>
        <dsp:cNvPr id="0" name=""/>
        <dsp:cNvSpPr/>
      </dsp:nvSpPr>
      <dsp:spPr>
        <a:xfrm>
          <a:off x="214220" y="746144"/>
          <a:ext cx="1048390" cy="524195"/>
        </a:xfrm>
        <a:prstGeom prst="rect">
          <a:avLst/>
        </a:prstGeom>
        <a:solidFill>
          <a:schemeClr val="accent3">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GAB</a:t>
          </a:r>
        </a:p>
      </dsp:txBody>
      <dsp:txXfrm>
        <a:off x="214220" y="746144"/>
        <a:ext cx="1048390" cy="524195"/>
      </dsp:txXfrm>
    </dsp:sp>
    <dsp:sp modelId="{D677430F-BC4C-4CEA-B68E-1C794E3C44E4}">
      <dsp:nvSpPr>
        <dsp:cNvPr id="0" name=""/>
        <dsp:cNvSpPr/>
      </dsp:nvSpPr>
      <dsp:spPr>
        <a:xfrm>
          <a:off x="476318" y="1490502"/>
          <a:ext cx="1048390" cy="524195"/>
        </a:xfrm>
        <a:prstGeom prst="rect">
          <a:avLst/>
        </a:prstGeom>
        <a:solidFill>
          <a:schemeClr val="accent3">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avec une fonction de retrait</a:t>
          </a:r>
        </a:p>
      </dsp:txBody>
      <dsp:txXfrm>
        <a:off x="476318" y="1490502"/>
        <a:ext cx="1048390" cy="524195"/>
      </dsp:txXfrm>
    </dsp:sp>
    <dsp:sp modelId="{C604C618-CF53-40CE-ABE2-C847BBE78599}">
      <dsp:nvSpPr>
        <dsp:cNvPr id="0" name=""/>
        <dsp:cNvSpPr/>
      </dsp:nvSpPr>
      <dsp:spPr>
        <a:xfrm>
          <a:off x="476318" y="2234859"/>
          <a:ext cx="1048390" cy="524195"/>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avec une fonction de virement</a:t>
          </a:r>
        </a:p>
      </dsp:txBody>
      <dsp:txXfrm>
        <a:off x="476318" y="2234859"/>
        <a:ext cx="1048390" cy="524195"/>
      </dsp:txXfrm>
    </dsp:sp>
    <dsp:sp modelId="{FCDED68E-5B56-4A4F-A5D5-4AEA3AA109B2}">
      <dsp:nvSpPr>
        <dsp:cNvPr id="0" name=""/>
        <dsp:cNvSpPr/>
      </dsp:nvSpPr>
      <dsp:spPr>
        <a:xfrm>
          <a:off x="476318" y="2979217"/>
          <a:ext cx="1048390" cy="524195"/>
        </a:xfrm>
        <a:prstGeom prst="rect">
          <a:avLst/>
        </a:prstGeom>
        <a:solidFill>
          <a:schemeClr val="accent3">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acceptant des opérations sans contact</a:t>
          </a:r>
        </a:p>
      </dsp:txBody>
      <dsp:txXfrm>
        <a:off x="476318" y="2979217"/>
        <a:ext cx="1048390" cy="524195"/>
      </dsp:txXfrm>
    </dsp:sp>
    <dsp:sp modelId="{A047B187-F177-4E28-95FA-669108520F12}">
      <dsp:nvSpPr>
        <dsp:cNvPr id="0" name=""/>
        <dsp:cNvSpPr/>
      </dsp:nvSpPr>
      <dsp:spPr>
        <a:xfrm>
          <a:off x="1744871" y="746144"/>
          <a:ext cx="1048390" cy="524195"/>
        </a:xfrm>
        <a:prstGeom prst="rect">
          <a:avLst/>
        </a:prstGeom>
        <a:solidFill>
          <a:schemeClr val="accent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TPV</a:t>
          </a:r>
        </a:p>
      </dsp:txBody>
      <dsp:txXfrm>
        <a:off x="1744871" y="746144"/>
        <a:ext cx="1048390" cy="524195"/>
      </dsp:txXfrm>
    </dsp:sp>
    <dsp:sp modelId="{F4BE2E49-A2CC-4B76-862C-F287D4C7870D}">
      <dsp:nvSpPr>
        <dsp:cNvPr id="0" name=""/>
        <dsp:cNvSpPr/>
      </dsp:nvSpPr>
      <dsp:spPr>
        <a:xfrm>
          <a:off x="1744871" y="1490502"/>
          <a:ext cx="1048390" cy="524195"/>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TTEF</a:t>
          </a:r>
        </a:p>
      </dsp:txBody>
      <dsp:txXfrm>
        <a:off x="1744871" y="1490502"/>
        <a:ext cx="1048390" cy="524195"/>
      </dsp:txXfrm>
    </dsp:sp>
    <dsp:sp modelId="{3036FCDD-625D-495D-B275-A921DC615387}">
      <dsp:nvSpPr>
        <dsp:cNvPr id="0" name=""/>
        <dsp:cNvSpPr/>
      </dsp:nvSpPr>
      <dsp:spPr>
        <a:xfrm>
          <a:off x="2006969" y="2234859"/>
          <a:ext cx="1048390" cy="524195"/>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acceptant des cartes de monnaie électronique</a:t>
          </a:r>
        </a:p>
      </dsp:txBody>
      <dsp:txXfrm>
        <a:off x="2006969" y="2234859"/>
        <a:ext cx="1048390" cy="524195"/>
      </dsp:txXfrm>
    </dsp:sp>
    <dsp:sp modelId="{54CB4FC3-422F-4EEB-9675-D306B95B0E59}">
      <dsp:nvSpPr>
        <dsp:cNvPr id="0" name=""/>
        <dsp:cNvSpPr/>
      </dsp:nvSpPr>
      <dsp:spPr>
        <a:xfrm>
          <a:off x="2006969" y="2979217"/>
          <a:ext cx="1048390" cy="524195"/>
        </a:xfrm>
        <a:prstGeom prst="rect">
          <a:avLst/>
        </a:prstGeom>
        <a:solidFill>
          <a:schemeClr val="accent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acceptant  des opérations sans contact</a:t>
          </a:r>
        </a:p>
      </dsp:txBody>
      <dsp:txXfrm>
        <a:off x="2006969" y="2979217"/>
        <a:ext cx="1048390" cy="524195"/>
      </dsp:txXfrm>
    </dsp:sp>
    <dsp:sp modelId="{655F4AEF-F802-494F-A183-3CC53917ED7C}">
      <dsp:nvSpPr>
        <dsp:cNvPr id="0" name=""/>
        <dsp:cNvSpPr/>
      </dsp:nvSpPr>
      <dsp:spPr>
        <a:xfrm>
          <a:off x="3013424" y="746144"/>
          <a:ext cx="1048390" cy="524195"/>
        </a:xfrm>
        <a:prstGeom prst="rect">
          <a:avLst/>
        </a:prstGeom>
        <a:solidFill>
          <a:schemeClr val="accent6">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Terminaux de cartes de monnaie électronique</a:t>
          </a:r>
        </a:p>
      </dsp:txBody>
      <dsp:txXfrm>
        <a:off x="3013424" y="746144"/>
        <a:ext cx="1048390" cy="524195"/>
      </dsp:txXfrm>
    </dsp:sp>
    <dsp:sp modelId="{C99FBEC4-0523-4C00-8C7C-C2A20504BBFF}">
      <dsp:nvSpPr>
        <dsp:cNvPr id="0" name=""/>
        <dsp:cNvSpPr/>
      </dsp:nvSpPr>
      <dsp:spPr>
        <a:xfrm>
          <a:off x="3275522" y="1490502"/>
          <a:ext cx="1048390" cy="524195"/>
        </a:xfrm>
        <a:prstGeom prst="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de chargement/déchargement de monnaie électonique</a:t>
          </a:r>
        </a:p>
      </dsp:txBody>
      <dsp:txXfrm>
        <a:off x="3275522" y="1490502"/>
        <a:ext cx="1048390" cy="524195"/>
      </dsp:txXfrm>
    </dsp:sp>
    <dsp:sp modelId="{E5D89D86-5265-4BEE-8901-5B4B48B91DEA}">
      <dsp:nvSpPr>
        <dsp:cNvPr id="0" name=""/>
        <dsp:cNvSpPr/>
      </dsp:nvSpPr>
      <dsp:spPr>
        <a:xfrm>
          <a:off x="3275522" y="2234859"/>
          <a:ext cx="1048390" cy="524195"/>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acceptant des cartes de monnaie électronique</a:t>
          </a:r>
        </a:p>
      </dsp:txBody>
      <dsp:txXfrm>
        <a:off x="3275522" y="2234859"/>
        <a:ext cx="1048390" cy="5241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268F8-9A10-4961-9E8C-D35591C8F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77</Pages>
  <Words>26980</Words>
  <Characters>148392</Characters>
  <Application>Microsoft Office Word</Application>
  <DocSecurity>0</DocSecurity>
  <Lines>1236</Lines>
  <Paragraphs>350</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175022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GUIHENEUC Christelle (UA 2323)</dc:creator>
  <cp:keywords/>
  <dc:description/>
  <cp:lastModifiedBy>MOCANU Sandrine (DGMP DIMP)</cp:lastModifiedBy>
  <cp:revision>20</cp:revision>
  <cp:lastPrinted>2021-08-11T11:58:00Z</cp:lastPrinted>
  <dcterms:created xsi:type="dcterms:W3CDTF">2026-02-20T09:33:00Z</dcterms:created>
  <dcterms:modified xsi:type="dcterms:W3CDTF">2026-05-18T09:43:00Z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397639</vt:lpwstr>
  </property>
  <property fmtid="{D5CDD505-2E9C-101B-9397-08002B2CF9AE}" pid="3" name="NXPowerLiteSettings">
    <vt:lpwstr>C7000400038000</vt:lpwstr>
  </property>
  <property fmtid="{D5CDD505-2E9C-101B-9397-08002B2CF9AE}" pid="4" name="NXPowerLiteVersion">
    <vt:lpwstr>S10.0.0</vt:lpwstr>
  </property>
  <property fmtid="{D5CDD505-2E9C-101B-9397-08002B2CF9AE}" pid="5" name="ClassificationContentMarkingHeaderShapeIds">
    <vt:lpwstr>288f3dac,53526570,6769493b</vt:lpwstr>
  </property>
  <property fmtid="{D5CDD505-2E9C-101B-9397-08002B2CF9AE}" pid="6" name="ClassificationContentMarkingHeaderFontProps">
    <vt:lpwstr>#000000,10,Calibri</vt:lpwstr>
  </property>
  <property fmtid="{D5CDD505-2E9C-101B-9397-08002B2CF9AE}" pid="7" name="ClassificationContentMarkingHeaderText">
    <vt:lpwstr>BDF-RESTREINT</vt:lpwstr>
  </property>
  <property fmtid="{D5CDD505-2E9C-101B-9397-08002B2CF9AE}" pid="8" name="MSIP_Label_a88f79b8-7730-4884-ab65-6c184226f485_Enabled">
    <vt:lpwstr>true</vt:lpwstr>
  </property>
  <property fmtid="{D5CDD505-2E9C-101B-9397-08002B2CF9AE}" pid="9" name="MSIP_Label_a88f79b8-7730-4884-ab65-6c184226f485_SetDate">
    <vt:lpwstr>2026-02-20T09:31:02Z</vt:lpwstr>
  </property>
  <property fmtid="{D5CDD505-2E9C-101B-9397-08002B2CF9AE}" pid="10" name="MSIP_Label_a88f79b8-7730-4884-ab65-6c184226f485_Method">
    <vt:lpwstr>Privileged</vt:lpwstr>
  </property>
  <property fmtid="{D5CDD505-2E9C-101B-9397-08002B2CF9AE}" pid="11" name="MSIP_Label_a88f79b8-7730-4884-ab65-6c184226f485_Name">
    <vt:lpwstr>BDF-Restreint</vt:lpwstr>
  </property>
  <property fmtid="{D5CDD505-2E9C-101B-9397-08002B2CF9AE}" pid="12" name="MSIP_Label_a88f79b8-7730-4884-ab65-6c184226f485_SiteId">
    <vt:lpwstr>e6599448-62a0-418e-8930-d00d8d5682c2</vt:lpwstr>
  </property>
  <property fmtid="{D5CDD505-2E9C-101B-9397-08002B2CF9AE}" pid="13" name="MSIP_Label_a88f79b8-7730-4884-ab65-6c184226f485_ActionId">
    <vt:lpwstr>1f21beda-9a52-4b38-b3f2-7b43f0ac4f9d</vt:lpwstr>
  </property>
  <property fmtid="{D5CDD505-2E9C-101B-9397-08002B2CF9AE}" pid="14" name="MSIP_Label_a88f79b8-7730-4884-ab65-6c184226f485_ContentBits">
    <vt:lpwstr>1</vt:lpwstr>
  </property>
  <property fmtid="{D5CDD505-2E9C-101B-9397-08002B2CF9AE}" pid="15" name="MSIP_Label_a88f79b8-7730-4884-ab65-6c184226f485_Tag">
    <vt:lpwstr>10, 0, 1, 1</vt:lpwstr>
  </property>
</Properties>
</file>