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E5280" w14:textId="77777777" w:rsidR="00703373" w:rsidRPr="008F4D1F" w:rsidRDefault="00703373" w:rsidP="00703373">
      <w:pPr>
        <w:spacing w:line="360" w:lineRule="auto"/>
        <w:jc w:val="center"/>
        <w:rPr>
          <w:rFonts w:ascii="Arial" w:hAnsi="Arial" w:cs="Arial"/>
          <w:b/>
          <w:sz w:val="26"/>
          <w:szCs w:val="26"/>
        </w:rPr>
      </w:pPr>
      <w:r>
        <w:rPr>
          <w:noProof/>
        </w:rPr>
        <w:drawing>
          <wp:inline distT="0" distB="0" distL="0" distR="0" wp14:anchorId="3CA81965" wp14:editId="17E3113C">
            <wp:extent cx="2445385" cy="1223010"/>
            <wp:effectExtent l="0" t="0" r="0" b="0"/>
            <wp:docPr id="3" name="Image 3" descr="C:\Users\B809486\AppData\Local\Microsoft\Windows\Temporary Internet Files\Content.Word\logo_BDF_atraits_B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809486\AppData\Local\Microsoft\Windows\Temporary Internet Files\Content.Word\logo_BDF_atraits_B_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5385" cy="1223010"/>
                    </a:xfrm>
                    <a:prstGeom prst="rect">
                      <a:avLst/>
                    </a:prstGeom>
                    <a:noFill/>
                    <a:ln>
                      <a:noFill/>
                    </a:ln>
                  </pic:spPr>
                </pic:pic>
              </a:graphicData>
            </a:graphic>
          </wp:inline>
        </w:drawing>
      </w:r>
    </w:p>
    <w:p w14:paraId="0ACFB771" w14:textId="77777777" w:rsidR="00703373" w:rsidRDefault="00703373" w:rsidP="00703373">
      <w:pPr>
        <w:spacing w:line="360" w:lineRule="auto"/>
        <w:jc w:val="center"/>
        <w:rPr>
          <w:rFonts w:ascii="Arial" w:hAnsi="Arial" w:cs="Arial"/>
          <w:b/>
          <w:sz w:val="24"/>
          <w:szCs w:val="24"/>
          <w:lang w:val="en-GB"/>
        </w:rPr>
      </w:pPr>
    </w:p>
    <w:p w14:paraId="5DBD33B4" w14:textId="77777777" w:rsidR="00284F36" w:rsidRPr="008376B4" w:rsidRDefault="00284F36" w:rsidP="00284F36">
      <w:pPr>
        <w:spacing w:line="360" w:lineRule="auto"/>
        <w:rPr>
          <w:rFonts w:ascii="Arial" w:hAnsi="Arial" w:cs="Arial"/>
          <w:b/>
          <w:sz w:val="24"/>
          <w:szCs w:val="24"/>
          <w:lang w:val="en-GB"/>
        </w:rPr>
      </w:pPr>
    </w:p>
    <w:p w14:paraId="3E756F6F" w14:textId="40C83397" w:rsidR="00284F36" w:rsidRPr="00A73945" w:rsidRDefault="00A73945" w:rsidP="00284F36">
      <w:pPr>
        <w:tabs>
          <w:tab w:val="left" w:pos="8222"/>
        </w:tabs>
        <w:spacing w:line="360" w:lineRule="auto"/>
        <w:jc w:val="center"/>
        <w:rPr>
          <w:rFonts w:ascii="Arial" w:hAnsi="Arial"/>
          <w:b/>
          <w:color w:val="FF0000"/>
          <w:sz w:val="24"/>
          <w:szCs w:val="24"/>
        </w:rPr>
      </w:pPr>
      <w:r>
        <w:rPr>
          <w:rFonts w:ascii="Arial" w:hAnsi="Arial"/>
          <w:b/>
          <w:color w:val="FF0000"/>
          <w:sz w:val="24"/>
        </w:rPr>
        <w:t xml:space="preserve">SOUS EMBARGO JUSQU’AU 14 </w:t>
      </w:r>
      <w:r w:rsidR="009B068E">
        <w:rPr>
          <w:rFonts w:ascii="Arial" w:hAnsi="Arial"/>
          <w:b/>
          <w:color w:val="FF0000"/>
          <w:sz w:val="24"/>
        </w:rPr>
        <w:t>OCTOBRE</w:t>
      </w:r>
      <w:r>
        <w:rPr>
          <w:rFonts w:ascii="Arial" w:hAnsi="Arial"/>
          <w:b/>
          <w:color w:val="FF0000"/>
          <w:sz w:val="24"/>
        </w:rPr>
        <w:t xml:space="preserve"> 2025</w:t>
      </w:r>
    </w:p>
    <w:p w14:paraId="3A40D682" w14:textId="456FFFF1" w:rsidR="00284F36" w:rsidRPr="00A73945" w:rsidRDefault="00A73945" w:rsidP="00284F36">
      <w:pPr>
        <w:tabs>
          <w:tab w:val="left" w:pos="8222"/>
        </w:tabs>
        <w:spacing w:line="360" w:lineRule="auto"/>
        <w:jc w:val="center"/>
        <w:rPr>
          <w:rFonts w:ascii="Arial" w:hAnsi="Arial"/>
          <w:b/>
          <w:color w:val="FF0000"/>
          <w:sz w:val="24"/>
          <w:szCs w:val="24"/>
        </w:rPr>
      </w:pPr>
      <w:r>
        <w:rPr>
          <w:rFonts w:ascii="Arial" w:hAnsi="Arial"/>
          <w:b/>
          <w:color w:val="FF0000"/>
          <w:sz w:val="24"/>
        </w:rPr>
        <w:t>SEUL LE PRONONCÉ FAIT FOI</w:t>
      </w:r>
    </w:p>
    <w:p w14:paraId="64720341" w14:textId="77777777" w:rsidR="00284F36" w:rsidRPr="003F30DA" w:rsidRDefault="00284F36" w:rsidP="00284F36">
      <w:pPr>
        <w:spacing w:line="360" w:lineRule="auto"/>
        <w:jc w:val="center"/>
        <w:rPr>
          <w:rFonts w:ascii="Arial" w:hAnsi="Arial" w:cs="Arial"/>
          <w:b/>
          <w:sz w:val="24"/>
          <w:szCs w:val="24"/>
        </w:rPr>
      </w:pPr>
    </w:p>
    <w:p w14:paraId="04F3C024" w14:textId="77777777" w:rsidR="004910A2" w:rsidRPr="003F30DA" w:rsidRDefault="004910A2" w:rsidP="004910A2">
      <w:pPr>
        <w:spacing w:line="360" w:lineRule="auto"/>
        <w:jc w:val="center"/>
        <w:rPr>
          <w:rFonts w:ascii="Arial" w:hAnsi="Arial" w:cs="Arial"/>
          <w:b/>
          <w:sz w:val="24"/>
          <w:szCs w:val="24"/>
        </w:rPr>
      </w:pPr>
    </w:p>
    <w:p w14:paraId="161ECB4B" w14:textId="59B3E6E5" w:rsidR="004910A2" w:rsidRPr="003F30DA" w:rsidRDefault="00C721AB" w:rsidP="004910A2">
      <w:pPr>
        <w:spacing w:line="360" w:lineRule="auto"/>
        <w:jc w:val="center"/>
        <w:rPr>
          <w:rFonts w:ascii="Arial" w:eastAsia="Times New Roman" w:hAnsi="Arial" w:cs="Arial"/>
          <w:b/>
          <w:bCs/>
          <w:sz w:val="24"/>
          <w:szCs w:val="24"/>
          <w:lang w:val="en-US"/>
        </w:rPr>
      </w:pPr>
      <w:r w:rsidRPr="003F30DA">
        <w:rPr>
          <w:rFonts w:ascii="Arial" w:hAnsi="Arial"/>
          <w:b/>
          <w:sz w:val="24"/>
          <w:lang w:val="en-US"/>
        </w:rPr>
        <w:t>Bloomberg Global Regulatory Forum – 14 </w:t>
      </w:r>
      <w:proofErr w:type="spellStart"/>
      <w:r w:rsidRPr="003F30DA">
        <w:rPr>
          <w:rFonts w:ascii="Arial" w:hAnsi="Arial"/>
          <w:b/>
          <w:sz w:val="24"/>
          <w:lang w:val="en-US"/>
        </w:rPr>
        <w:t>octobre</w:t>
      </w:r>
      <w:proofErr w:type="spellEnd"/>
      <w:r w:rsidRPr="003F30DA">
        <w:rPr>
          <w:rFonts w:ascii="Arial" w:hAnsi="Arial"/>
          <w:b/>
          <w:sz w:val="24"/>
          <w:lang w:val="en-US"/>
        </w:rPr>
        <w:t> 2025</w:t>
      </w:r>
    </w:p>
    <w:p w14:paraId="3669C826" w14:textId="49F58F11" w:rsidR="004910A2" w:rsidRPr="003E5C21" w:rsidRDefault="003E5C21" w:rsidP="003E5C21">
      <w:pPr>
        <w:spacing w:line="360" w:lineRule="auto"/>
        <w:jc w:val="center"/>
        <w:rPr>
          <w:rFonts w:ascii="Arial" w:hAnsi="Arial"/>
          <w:b/>
          <w:sz w:val="24"/>
        </w:rPr>
      </w:pPr>
      <w:r>
        <w:rPr>
          <w:rFonts w:ascii="Arial" w:hAnsi="Arial"/>
          <w:b/>
          <w:sz w:val="24"/>
        </w:rPr>
        <w:t>« Préserver le dialogue transatlantique malgré nos divergences récentes »</w:t>
      </w:r>
    </w:p>
    <w:p w14:paraId="133033B9" w14:textId="4F87854F" w:rsidR="00284F36" w:rsidRPr="00A73945" w:rsidRDefault="00A73945" w:rsidP="00284F36">
      <w:pPr>
        <w:pStyle w:val="Titre1"/>
        <w:numPr>
          <w:ilvl w:val="0"/>
          <w:numId w:val="0"/>
        </w:numPr>
        <w:spacing w:before="0" w:after="0" w:line="480" w:lineRule="auto"/>
        <w:jc w:val="center"/>
        <w:rPr>
          <w:sz w:val="24"/>
          <w:szCs w:val="24"/>
        </w:rPr>
      </w:pPr>
      <w:r>
        <w:rPr>
          <w:sz w:val="24"/>
        </w:rPr>
        <w:t>Discours de François Villeroy de Galhau</w:t>
      </w:r>
    </w:p>
    <w:p w14:paraId="3B3CF27C" w14:textId="39019C86" w:rsidR="00284F36" w:rsidRPr="00A73945" w:rsidRDefault="00A73945" w:rsidP="00284F36">
      <w:pPr>
        <w:pStyle w:val="Titre1"/>
        <w:numPr>
          <w:ilvl w:val="0"/>
          <w:numId w:val="0"/>
        </w:numPr>
        <w:spacing w:before="0" w:after="0" w:line="480" w:lineRule="auto"/>
        <w:jc w:val="center"/>
        <w:rPr>
          <w:sz w:val="24"/>
          <w:szCs w:val="24"/>
        </w:rPr>
      </w:pPr>
      <w:r>
        <w:rPr>
          <w:sz w:val="24"/>
        </w:rPr>
        <w:t>Gouverneur de la Banque de France</w:t>
      </w:r>
    </w:p>
    <w:p w14:paraId="2C2F5451" w14:textId="77777777" w:rsidR="00703373" w:rsidRPr="003F30DA" w:rsidRDefault="00703373" w:rsidP="00703373"/>
    <w:p w14:paraId="2EC27607" w14:textId="77777777" w:rsidR="00703373" w:rsidRPr="003F30DA" w:rsidRDefault="00703373" w:rsidP="00703373">
      <w:pPr>
        <w:sectPr w:rsidR="00703373" w:rsidRPr="003F30DA">
          <w:headerReference w:type="default" r:id="rId9"/>
          <w:pgSz w:w="11906" w:h="16838"/>
          <w:pgMar w:top="1417" w:right="1417" w:bottom="1417" w:left="1417" w:header="708" w:footer="708" w:gutter="0"/>
          <w:cols w:space="708"/>
          <w:titlePg/>
          <w:docGrid w:linePitch="360"/>
        </w:sectPr>
      </w:pPr>
    </w:p>
    <w:p w14:paraId="7536B2C5" w14:textId="6112C961" w:rsidR="00703373" w:rsidRPr="00A73945" w:rsidRDefault="006050E3" w:rsidP="006050E3">
      <w:pPr>
        <w:tabs>
          <w:tab w:val="left" w:pos="7540"/>
        </w:tabs>
      </w:pPr>
      <w:r>
        <w:tab/>
      </w:r>
    </w:p>
    <w:p w14:paraId="4E7533AA" w14:textId="77777777" w:rsidR="00703373" w:rsidRPr="003F30DA" w:rsidRDefault="00703373" w:rsidP="00703373"/>
    <w:p w14:paraId="014BE398" w14:textId="77777777" w:rsidR="00703373" w:rsidRPr="003F30DA" w:rsidRDefault="00703373" w:rsidP="00703373"/>
    <w:p w14:paraId="5766E1BC" w14:textId="77777777" w:rsidR="00703373" w:rsidRPr="003F30DA" w:rsidRDefault="00703373" w:rsidP="00703373"/>
    <w:p w14:paraId="20EEC6E3" w14:textId="77777777" w:rsidR="00703373" w:rsidRPr="003F30DA" w:rsidRDefault="00703373" w:rsidP="00703373"/>
    <w:p w14:paraId="0350AC63" w14:textId="375D237C" w:rsidR="00703373" w:rsidRPr="003F30DA" w:rsidRDefault="00703373" w:rsidP="00703373"/>
    <w:p w14:paraId="0B271867" w14:textId="77777777" w:rsidR="003E5C21" w:rsidRPr="003F30DA" w:rsidRDefault="003E5C21" w:rsidP="00703373"/>
    <w:p w14:paraId="48F2151A" w14:textId="77777777" w:rsidR="004652C2" w:rsidRPr="003F30DA" w:rsidRDefault="004652C2" w:rsidP="00703373"/>
    <w:p w14:paraId="0A2056B3" w14:textId="77777777" w:rsidR="00703373" w:rsidRPr="003F30DA" w:rsidRDefault="00703373" w:rsidP="00703373"/>
    <w:p w14:paraId="15AAC9C0" w14:textId="14BADD8E" w:rsidR="000A04F3" w:rsidRPr="00A73945" w:rsidRDefault="00A73945" w:rsidP="000A04F3">
      <w:pPr>
        <w:pBdr>
          <w:top w:val="single" w:sz="4" w:space="1" w:color="auto"/>
          <w:left w:val="single" w:sz="4" w:space="4" w:color="auto"/>
          <w:bottom w:val="single" w:sz="4" w:space="1" w:color="auto"/>
          <w:right w:val="single" w:sz="4" w:space="4" w:color="auto"/>
        </w:pBdr>
        <w:jc w:val="both"/>
        <w:rPr>
          <w:i/>
        </w:rPr>
        <w:sectPr w:rsidR="000A04F3" w:rsidRPr="00A73945" w:rsidSect="00C26820">
          <w:type w:val="continuous"/>
          <w:pgSz w:w="11906" w:h="16838"/>
          <w:pgMar w:top="1417" w:right="1417" w:bottom="1417" w:left="1417" w:header="708" w:footer="708" w:gutter="0"/>
          <w:cols w:space="708"/>
          <w:titlePg/>
          <w:docGrid w:linePitch="360"/>
        </w:sectPr>
      </w:pPr>
      <w:r>
        <w:rPr>
          <w:i/>
        </w:rPr>
        <w:t>Contact presse :  Delphine Cuny (</w:t>
      </w:r>
      <w:hyperlink r:id="rId10" w:history="1">
        <w:r>
          <w:rPr>
            <w:rStyle w:val="Lienhypertexte"/>
            <w:i/>
          </w:rPr>
          <w:t xml:space="preserve"> delphine.cuny@banque-france.fr</w:t>
        </w:r>
      </w:hyperlink>
      <w:r>
        <w:t>)</w:t>
      </w:r>
      <w:r>
        <w:rPr>
          <w:i/>
        </w:rPr>
        <w:t xml:space="preserve"> </w:t>
      </w:r>
    </w:p>
    <w:p w14:paraId="1FA0E72C" w14:textId="77777777" w:rsidR="00DF10E2" w:rsidRDefault="00A73945" w:rsidP="00E675D1">
      <w:pPr>
        <w:spacing w:after="0" w:line="360" w:lineRule="auto"/>
        <w:jc w:val="both"/>
        <w:rPr>
          <w:rFonts w:ascii="Arial" w:hAnsi="Arial" w:cs="Arial"/>
          <w:sz w:val="26"/>
          <w:szCs w:val="26"/>
        </w:rPr>
      </w:pPr>
      <w:r>
        <w:rPr>
          <w:rFonts w:ascii="Arial" w:hAnsi="Arial"/>
          <w:sz w:val="26"/>
        </w:rPr>
        <w:lastRenderedPageBreak/>
        <w:t xml:space="preserve">Mesdames, Messieurs, </w:t>
      </w:r>
    </w:p>
    <w:p w14:paraId="6B279DED" w14:textId="7C31FE2F" w:rsidR="007211A9" w:rsidRDefault="00730BB6" w:rsidP="00E675D1">
      <w:pPr>
        <w:spacing w:after="0" w:line="360" w:lineRule="auto"/>
        <w:jc w:val="both"/>
        <w:rPr>
          <w:rFonts w:ascii="Arial" w:hAnsi="Arial" w:cs="Arial"/>
          <w:sz w:val="26"/>
          <w:szCs w:val="26"/>
        </w:rPr>
      </w:pPr>
      <w:r>
        <w:rPr>
          <w:rFonts w:ascii="Arial" w:hAnsi="Arial"/>
          <w:sz w:val="26"/>
        </w:rPr>
        <w:t>C</w:t>
      </w:r>
      <w:r w:rsidR="004476A3">
        <w:rPr>
          <w:rFonts w:ascii="Arial" w:hAnsi="Arial"/>
          <w:sz w:val="26"/>
        </w:rPr>
        <w:t>’</w:t>
      </w:r>
      <w:r>
        <w:rPr>
          <w:rFonts w:ascii="Arial" w:hAnsi="Arial"/>
          <w:sz w:val="26"/>
        </w:rPr>
        <w:t>est un honneur de m’exprimer devant vous aujourd</w:t>
      </w:r>
      <w:r w:rsidR="004476A3">
        <w:rPr>
          <w:rFonts w:ascii="Arial" w:hAnsi="Arial"/>
          <w:sz w:val="26"/>
        </w:rPr>
        <w:t>’</w:t>
      </w:r>
      <w:r>
        <w:rPr>
          <w:rFonts w:ascii="Arial" w:hAnsi="Arial"/>
          <w:sz w:val="26"/>
        </w:rPr>
        <w:t xml:space="preserve">hui, à New York, au </w:t>
      </w:r>
      <w:r>
        <w:rPr>
          <w:rFonts w:ascii="Arial" w:hAnsi="Arial"/>
          <w:i/>
          <w:iCs/>
          <w:sz w:val="26"/>
        </w:rPr>
        <w:t xml:space="preserve">Bloomberg Global </w:t>
      </w:r>
      <w:proofErr w:type="spellStart"/>
      <w:r>
        <w:rPr>
          <w:rFonts w:ascii="Arial" w:hAnsi="Arial"/>
          <w:i/>
          <w:iCs/>
          <w:sz w:val="26"/>
        </w:rPr>
        <w:t>Regulatory</w:t>
      </w:r>
      <w:proofErr w:type="spellEnd"/>
      <w:r>
        <w:rPr>
          <w:rFonts w:ascii="Arial" w:hAnsi="Arial"/>
          <w:i/>
          <w:iCs/>
          <w:sz w:val="26"/>
        </w:rPr>
        <w:t xml:space="preserve"> Forum</w:t>
      </w:r>
      <w:r>
        <w:rPr>
          <w:rFonts w:ascii="Arial" w:hAnsi="Arial"/>
          <w:sz w:val="26"/>
        </w:rPr>
        <w:t>. Je m</w:t>
      </w:r>
      <w:r w:rsidR="004476A3">
        <w:rPr>
          <w:rFonts w:ascii="Arial" w:hAnsi="Arial"/>
          <w:sz w:val="26"/>
        </w:rPr>
        <w:t>’</w:t>
      </w:r>
      <w:r>
        <w:rPr>
          <w:rFonts w:ascii="Arial" w:hAnsi="Arial"/>
          <w:sz w:val="26"/>
        </w:rPr>
        <w:t>exprimerai ici en tant qu</w:t>
      </w:r>
      <w:r w:rsidR="004476A3">
        <w:rPr>
          <w:rFonts w:ascii="Arial" w:hAnsi="Arial"/>
          <w:sz w:val="26"/>
        </w:rPr>
        <w:t>’</w:t>
      </w:r>
      <w:r>
        <w:rPr>
          <w:rFonts w:ascii="Arial" w:hAnsi="Arial"/>
          <w:sz w:val="26"/>
        </w:rPr>
        <w:t>Européen et ami de l</w:t>
      </w:r>
      <w:r w:rsidR="004476A3">
        <w:rPr>
          <w:rFonts w:ascii="Arial" w:hAnsi="Arial"/>
          <w:sz w:val="26"/>
        </w:rPr>
        <w:t>’</w:t>
      </w:r>
      <w:r>
        <w:rPr>
          <w:rFonts w:ascii="Arial" w:hAnsi="Arial"/>
          <w:sz w:val="26"/>
        </w:rPr>
        <w:t xml:space="preserve">Amérique. Reconnaissons que le maintien de cette double identité a été </w:t>
      </w:r>
      <w:r w:rsidR="00765EFB">
        <w:rPr>
          <w:rFonts w:ascii="Arial" w:hAnsi="Arial"/>
          <w:sz w:val="26"/>
        </w:rPr>
        <w:t xml:space="preserve">mis à rude épreuve </w:t>
      </w:r>
      <w:r>
        <w:rPr>
          <w:rFonts w:ascii="Arial" w:hAnsi="Arial"/>
          <w:sz w:val="26"/>
        </w:rPr>
        <w:t xml:space="preserve">au cours de l’année écoulée : vous savez </w:t>
      </w:r>
      <w:r w:rsidR="00FF7C6B">
        <w:rPr>
          <w:rFonts w:ascii="Arial" w:hAnsi="Arial"/>
          <w:sz w:val="26"/>
        </w:rPr>
        <w:t>bien</w:t>
      </w:r>
      <w:r w:rsidR="00E83B45">
        <w:rPr>
          <w:rFonts w:ascii="Arial" w:hAnsi="Arial"/>
          <w:sz w:val="26"/>
        </w:rPr>
        <w:t xml:space="preserve"> </w:t>
      </w:r>
      <w:r>
        <w:rPr>
          <w:rFonts w:ascii="Arial" w:hAnsi="Arial"/>
          <w:sz w:val="26"/>
        </w:rPr>
        <w:t xml:space="preserve">que les changements institutionnels, géopolitiques et économiques </w:t>
      </w:r>
      <w:r w:rsidR="00EA4EB7">
        <w:rPr>
          <w:rFonts w:ascii="Arial" w:hAnsi="Arial"/>
          <w:sz w:val="26"/>
        </w:rPr>
        <w:t xml:space="preserve">introduits </w:t>
      </w:r>
      <w:r>
        <w:rPr>
          <w:rFonts w:ascii="Arial" w:hAnsi="Arial"/>
          <w:sz w:val="26"/>
        </w:rPr>
        <w:t xml:space="preserve">par la nouvelle administration américaine </w:t>
      </w:r>
      <w:r w:rsidR="00EA4EB7">
        <w:rPr>
          <w:rFonts w:ascii="Arial" w:hAnsi="Arial"/>
          <w:sz w:val="26"/>
        </w:rPr>
        <w:t xml:space="preserve">suscitent </w:t>
      </w:r>
      <w:r>
        <w:rPr>
          <w:rFonts w:ascii="Arial" w:hAnsi="Arial"/>
          <w:sz w:val="26"/>
        </w:rPr>
        <w:t xml:space="preserve">de sérieuses questions </w:t>
      </w:r>
      <w:r w:rsidR="00EA4EB7">
        <w:rPr>
          <w:rFonts w:ascii="Arial" w:hAnsi="Arial"/>
          <w:sz w:val="26"/>
        </w:rPr>
        <w:t xml:space="preserve">parmi </w:t>
      </w:r>
      <w:r>
        <w:rPr>
          <w:rFonts w:ascii="Arial" w:hAnsi="Arial"/>
          <w:sz w:val="26"/>
        </w:rPr>
        <w:t>les amis de l’Amérique dans le monde entier – et pas seulement en Europe</w:t>
      </w:r>
      <w:r w:rsidR="00EA4EB7">
        <w:rPr>
          <w:rFonts w:ascii="Arial" w:hAnsi="Arial"/>
          <w:sz w:val="26"/>
        </w:rPr>
        <w:t xml:space="preserve">. Je </w:t>
      </w:r>
      <w:r>
        <w:rPr>
          <w:rFonts w:ascii="Arial" w:hAnsi="Arial"/>
          <w:sz w:val="26"/>
        </w:rPr>
        <w:t xml:space="preserve">suis conscient que ce qui est perçu comme le retard économique persistant de l’Europe suscite des doutes ici aux États-Unis. Je commencerai donc par </w:t>
      </w:r>
      <w:r w:rsidR="00E83B45">
        <w:rPr>
          <w:rFonts w:ascii="Arial" w:hAnsi="Arial"/>
          <w:sz w:val="26"/>
        </w:rPr>
        <w:t xml:space="preserve">donner </w:t>
      </w:r>
      <w:r>
        <w:rPr>
          <w:rFonts w:ascii="Arial" w:hAnsi="Arial"/>
          <w:sz w:val="26"/>
        </w:rPr>
        <w:t>quelques éclairages sur le réveil économique de l’Europe, qui, bien que trop lent, est en cours</w:t>
      </w:r>
      <w:r w:rsidR="00E83B45">
        <w:rPr>
          <w:rFonts w:ascii="Arial" w:hAnsi="Arial"/>
          <w:sz w:val="26"/>
        </w:rPr>
        <w:t xml:space="preserve"> (I)</w:t>
      </w:r>
      <w:r>
        <w:rPr>
          <w:rFonts w:ascii="Arial" w:hAnsi="Arial"/>
          <w:sz w:val="26"/>
        </w:rPr>
        <w:t>. Ensuite, j’examinerai comment une Europe plus forte pourrait préserver un dialogue constructif avec les États-Unis</w:t>
      </w:r>
      <w:r w:rsidR="003F30DA">
        <w:rPr>
          <w:rFonts w:ascii="Arial" w:hAnsi="Arial"/>
          <w:sz w:val="26"/>
        </w:rPr>
        <w:t>,</w:t>
      </w:r>
      <w:r>
        <w:rPr>
          <w:rFonts w:ascii="Arial" w:hAnsi="Arial"/>
          <w:sz w:val="26"/>
        </w:rPr>
        <w:t xml:space="preserve"> fondé sur certains intérêts à long terme ciblés et partagés (II) – et</w:t>
      </w:r>
      <w:r w:rsidR="00136114">
        <w:rPr>
          <w:rFonts w:ascii="Arial" w:hAnsi="Arial"/>
          <w:sz w:val="26"/>
        </w:rPr>
        <w:t xml:space="preserve"> c’est là que j’en arriverai au</w:t>
      </w:r>
      <w:r>
        <w:rPr>
          <w:rFonts w:ascii="Arial" w:hAnsi="Arial"/>
          <w:sz w:val="26"/>
        </w:rPr>
        <w:t xml:space="preserve"> sujet de la réglementation financière</w:t>
      </w:r>
      <w:r w:rsidR="003F30DA">
        <w:rPr>
          <w:rFonts w:ascii="Arial" w:hAnsi="Arial"/>
          <w:sz w:val="26"/>
        </w:rPr>
        <w:t>,</w:t>
      </w:r>
      <w:r>
        <w:rPr>
          <w:rFonts w:ascii="Arial" w:hAnsi="Arial"/>
          <w:sz w:val="26"/>
        </w:rPr>
        <w:t xml:space="preserve"> abordé lors de la session de ce matin. </w:t>
      </w:r>
    </w:p>
    <w:p w14:paraId="6F4E6A95" w14:textId="4B0B40BB" w:rsidR="00E76937" w:rsidRPr="00B641CA" w:rsidRDefault="000C0B68" w:rsidP="002F7F18">
      <w:pPr>
        <w:spacing w:before="120" w:after="120" w:line="360" w:lineRule="auto"/>
        <w:jc w:val="both"/>
        <w:rPr>
          <w:rFonts w:ascii="Arial" w:hAnsi="Arial" w:cs="Arial"/>
          <w:b/>
          <w:bCs/>
          <w:sz w:val="26"/>
          <w:szCs w:val="26"/>
          <w:u w:val="single"/>
        </w:rPr>
      </w:pPr>
      <w:r>
        <w:rPr>
          <w:rFonts w:ascii="Arial" w:hAnsi="Arial"/>
          <w:b/>
          <w:sz w:val="26"/>
          <w:u w:val="single"/>
        </w:rPr>
        <w:t xml:space="preserve">I. Le réveil </w:t>
      </w:r>
      <w:r w:rsidR="009823DF">
        <w:rPr>
          <w:rFonts w:ascii="Arial" w:hAnsi="Arial"/>
          <w:b/>
          <w:sz w:val="26"/>
          <w:u w:val="single"/>
        </w:rPr>
        <w:t xml:space="preserve">économique </w:t>
      </w:r>
      <w:r>
        <w:rPr>
          <w:rFonts w:ascii="Arial" w:hAnsi="Arial"/>
          <w:b/>
          <w:sz w:val="26"/>
          <w:u w:val="single"/>
        </w:rPr>
        <w:t>de l</w:t>
      </w:r>
      <w:r w:rsidR="004476A3">
        <w:rPr>
          <w:rFonts w:ascii="Arial" w:hAnsi="Arial"/>
          <w:b/>
          <w:sz w:val="26"/>
          <w:u w:val="single"/>
        </w:rPr>
        <w:t>’</w:t>
      </w:r>
      <w:r>
        <w:rPr>
          <w:rFonts w:ascii="Arial" w:hAnsi="Arial"/>
          <w:b/>
          <w:sz w:val="26"/>
          <w:u w:val="single"/>
        </w:rPr>
        <w:t xml:space="preserve">Europe se </w:t>
      </w:r>
      <w:r w:rsidR="009823DF">
        <w:rPr>
          <w:rFonts w:ascii="Arial" w:hAnsi="Arial"/>
          <w:b/>
          <w:sz w:val="26"/>
          <w:u w:val="single"/>
        </w:rPr>
        <w:t xml:space="preserve">concrétise </w:t>
      </w:r>
      <w:r>
        <w:rPr>
          <w:rFonts w:ascii="Arial" w:hAnsi="Arial"/>
          <w:b/>
          <w:sz w:val="26"/>
          <w:u w:val="single"/>
        </w:rPr>
        <w:t>progressivement</w:t>
      </w:r>
    </w:p>
    <w:p w14:paraId="3E7A2C8D" w14:textId="7EC77B68" w:rsidR="001F0500" w:rsidRPr="00E928CD" w:rsidRDefault="001F0500" w:rsidP="00C721AB">
      <w:pPr>
        <w:spacing w:line="360" w:lineRule="auto"/>
        <w:jc w:val="both"/>
        <w:rPr>
          <w:rFonts w:ascii="Arial" w:hAnsi="Arial" w:cs="Arial"/>
          <w:i/>
          <w:iCs/>
          <w:sz w:val="26"/>
          <w:szCs w:val="26"/>
        </w:rPr>
      </w:pPr>
      <w:r>
        <w:rPr>
          <w:rFonts w:ascii="Arial" w:hAnsi="Arial"/>
          <w:i/>
          <w:sz w:val="26"/>
        </w:rPr>
        <w:t>1. Les atouts sous-estimés de l’Europe</w:t>
      </w:r>
    </w:p>
    <w:p w14:paraId="292FD394" w14:textId="77777777" w:rsidR="008F1437" w:rsidRDefault="007737C0" w:rsidP="007211A9">
      <w:pPr>
        <w:spacing w:after="0" w:line="360" w:lineRule="auto"/>
        <w:jc w:val="both"/>
        <w:rPr>
          <w:rFonts w:ascii="Arial" w:hAnsi="Arial"/>
          <w:sz w:val="26"/>
        </w:rPr>
      </w:pPr>
      <w:r>
        <w:rPr>
          <w:rFonts w:ascii="Arial" w:hAnsi="Arial"/>
          <w:sz w:val="26"/>
        </w:rPr>
        <w:t xml:space="preserve">De ce côté-ci de l’Atlantique, l’Europe est parfois décrite comme un partenaire économique sur le déclin, lent à réagir et peu dynamique. Il est vrai que l’Europe accuse un retard en termes de dynamisme économique : au cours des 25 dernières années, le PIB par habitant a enregistré une augmentation cumulée de 31 % dans la zone euro – pas si mauvaise, mais nettement inférieure </w:t>
      </w:r>
      <w:r w:rsidR="00567176">
        <w:rPr>
          <w:rFonts w:ascii="Arial" w:hAnsi="Arial"/>
          <w:sz w:val="26"/>
        </w:rPr>
        <w:t>aux</w:t>
      </w:r>
      <w:r>
        <w:rPr>
          <w:rFonts w:ascii="Arial" w:hAnsi="Arial"/>
          <w:sz w:val="26"/>
        </w:rPr>
        <w:t xml:space="preserve"> 47 % </w:t>
      </w:r>
      <w:r w:rsidR="00567176">
        <w:rPr>
          <w:rFonts w:ascii="Arial" w:hAnsi="Arial"/>
          <w:sz w:val="26"/>
        </w:rPr>
        <w:t xml:space="preserve">enregistrés </w:t>
      </w:r>
      <w:r>
        <w:rPr>
          <w:rFonts w:ascii="Arial" w:hAnsi="Arial"/>
          <w:sz w:val="26"/>
        </w:rPr>
        <w:t>aux États-Unis. La principale cause de cette situation est « schumpétérienne » – un retard en matière d’innovation – </w:t>
      </w:r>
      <w:r w:rsidR="00A46B61">
        <w:rPr>
          <w:rFonts w:ascii="Arial" w:hAnsi="Arial"/>
          <w:sz w:val="26"/>
        </w:rPr>
        <w:t xml:space="preserve">comme mis en évidence </w:t>
      </w:r>
      <w:r w:rsidR="00B418D1">
        <w:rPr>
          <w:rFonts w:ascii="Arial" w:hAnsi="Arial"/>
          <w:sz w:val="26"/>
        </w:rPr>
        <w:t xml:space="preserve">par </w:t>
      </w:r>
      <w:r w:rsidR="00A46B61">
        <w:rPr>
          <w:rFonts w:ascii="Arial" w:hAnsi="Arial"/>
          <w:sz w:val="26"/>
        </w:rPr>
        <w:t>l’économiste français Philippe Aghion, co-lauréat hier du Prix Nobel d’économie</w:t>
      </w:r>
      <w:r w:rsidR="00B418D1">
        <w:rPr>
          <w:rFonts w:ascii="Arial" w:hAnsi="Arial"/>
          <w:sz w:val="26"/>
        </w:rPr>
        <w:t xml:space="preserve"> 2025</w:t>
      </w:r>
      <w:r w:rsidR="00A46B61">
        <w:rPr>
          <w:rFonts w:ascii="Arial" w:hAnsi="Arial"/>
          <w:sz w:val="26"/>
        </w:rPr>
        <w:t> ; ainsi que vous pouvez le voir, les Français et les Européens peuvent être schumpétériens !</w:t>
      </w:r>
      <w:r>
        <w:rPr>
          <w:rFonts w:ascii="Arial" w:hAnsi="Arial"/>
          <w:sz w:val="26"/>
        </w:rPr>
        <w:t xml:space="preserve"> </w:t>
      </w:r>
      <w:r w:rsidR="00A46B61">
        <w:rPr>
          <w:rFonts w:ascii="Arial" w:hAnsi="Arial"/>
          <w:sz w:val="26"/>
        </w:rPr>
        <w:t xml:space="preserve">Cela dit, </w:t>
      </w:r>
      <w:r>
        <w:rPr>
          <w:rFonts w:ascii="Arial" w:hAnsi="Arial"/>
          <w:sz w:val="26"/>
        </w:rPr>
        <w:t xml:space="preserve">l’Europe dispose d’une moindre puissance financière, en dépit d’un marché unique de taille assez comparable à celui des États-Unis. Toutefois, l’Europe ne manque pas </w:t>
      </w:r>
      <w:r>
        <w:rPr>
          <w:rFonts w:ascii="Arial" w:hAnsi="Arial"/>
          <w:sz w:val="26"/>
        </w:rPr>
        <w:lastRenderedPageBreak/>
        <w:t>d’épargne : le taux d’épargne des ménages de la zone euro dépasse 15 % du revenu disponible brut, soit 4 points de plus qu’aux États-Unis (11</w:t>
      </w:r>
      <w:r w:rsidR="009823DF">
        <w:rPr>
          <w:rFonts w:ascii="Arial" w:hAnsi="Arial"/>
          <w:sz w:val="26"/>
        </w:rPr>
        <w:t> </w:t>
      </w:r>
      <w:r>
        <w:rPr>
          <w:rFonts w:ascii="Arial" w:hAnsi="Arial"/>
          <w:sz w:val="26"/>
        </w:rPr>
        <w:t xml:space="preserve">%). </w:t>
      </w:r>
      <w:r w:rsidR="00136114">
        <w:rPr>
          <w:rFonts w:ascii="Arial" w:hAnsi="Arial"/>
          <w:sz w:val="26"/>
        </w:rPr>
        <w:t>Le défi</w:t>
      </w:r>
      <w:r w:rsidR="00EA4EB7">
        <w:rPr>
          <w:rFonts w:ascii="Arial" w:hAnsi="Arial"/>
          <w:sz w:val="26"/>
        </w:rPr>
        <w:t xml:space="preserve"> </w:t>
      </w:r>
      <w:r w:rsidR="008F5EFA">
        <w:rPr>
          <w:rFonts w:ascii="Arial" w:hAnsi="Arial"/>
          <w:sz w:val="26"/>
        </w:rPr>
        <w:t xml:space="preserve">consiste en </w:t>
      </w:r>
      <w:r w:rsidR="00EA4EB7">
        <w:rPr>
          <w:rFonts w:ascii="Arial" w:hAnsi="Arial"/>
          <w:sz w:val="26"/>
        </w:rPr>
        <w:t>l’allocation de cette épargne</w:t>
      </w:r>
      <w:r>
        <w:rPr>
          <w:rFonts w:ascii="Arial" w:hAnsi="Arial"/>
          <w:sz w:val="26"/>
        </w:rPr>
        <w:t> : la zone euro manque de fonds propres, qui sont essentiels pour permettre aux entreprises d’innover en raison du risque associé plus élevé. Le financement par fonds propres des sociétés non financières (SNF) ne représente que 85</w:t>
      </w:r>
      <w:r w:rsidR="009823DF">
        <w:rPr>
          <w:rFonts w:ascii="Arial" w:hAnsi="Arial"/>
          <w:sz w:val="26"/>
        </w:rPr>
        <w:t> </w:t>
      </w:r>
      <w:r>
        <w:rPr>
          <w:rFonts w:ascii="Arial" w:hAnsi="Arial"/>
          <w:sz w:val="26"/>
        </w:rPr>
        <w:t xml:space="preserve">% du PIB dans la zone euro, contre 220 % du PIB aux États-Unis.  </w:t>
      </w:r>
    </w:p>
    <w:p w14:paraId="3B388D9F" w14:textId="232D760D" w:rsidR="008F1437" w:rsidRDefault="003B2449" w:rsidP="003B2449">
      <w:pPr>
        <w:spacing w:after="0" w:line="360" w:lineRule="auto"/>
        <w:jc w:val="center"/>
        <w:rPr>
          <w:rFonts w:ascii="Arial" w:hAnsi="Arial"/>
          <w:sz w:val="26"/>
        </w:rPr>
      </w:pPr>
      <w:r>
        <w:rPr>
          <w:noProof/>
        </w:rPr>
        <w:drawing>
          <wp:inline distT="0" distB="0" distL="0" distR="0" wp14:anchorId="22168314" wp14:editId="494E63B1">
            <wp:extent cx="3787200" cy="2131200"/>
            <wp:effectExtent l="0" t="0" r="3810" b="2540"/>
            <wp:docPr id="165712812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2812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787200" cy="2131200"/>
                    </a:xfrm>
                    <a:prstGeom prst="rect">
                      <a:avLst/>
                    </a:prstGeom>
                  </pic:spPr>
                </pic:pic>
              </a:graphicData>
            </a:graphic>
          </wp:inline>
        </w:drawing>
      </w:r>
    </w:p>
    <w:p w14:paraId="5F89BE28" w14:textId="77777777" w:rsidR="003B2449" w:rsidRDefault="007737C0" w:rsidP="007211A9">
      <w:pPr>
        <w:spacing w:after="0" w:line="360" w:lineRule="auto"/>
        <w:jc w:val="both"/>
        <w:rPr>
          <w:rFonts w:ascii="Arial" w:hAnsi="Arial"/>
          <w:b/>
          <w:sz w:val="26"/>
        </w:rPr>
      </w:pPr>
      <w:r>
        <w:rPr>
          <w:rFonts w:ascii="Arial" w:hAnsi="Arial"/>
          <w:sz w:val="26"/>
        </w:rPr>
        <w:t xml:space="preserve">L’Europe ne manque pas non plus d’investissements : en part du PIB, l’investissement total dans la zone euro est pratiquement le même qu’aux États-Unis. Mais l’investissement productif et, surtout, l’investissement innovant sont nettement inférieurs dans la zone euro. </w:t>
      </w:r>
    </w:p>
    <w:p w14:paraId="35CB5907" w14:textId="7A460CE5" w:rsidR="003B2449" w:rsidRDefault="003B2449" w:rsidP="003B2449">
      <w:pPr>
        <w:spacing w:after="0" w:line="360" w:lineRule="auto"/>
        <w:jc w:val="center"/>
        <w:rPr>
          <w:rFonts w:ascii="Arial" w:hAnsi="Arial"/>
          <w:b/>
          <w:sz w:val="26"/>
        </w:rPr>
      </w:pPr>
      <w:r>
        <w:rPr>
          <w:noProof/>
        </w:rPr>
        <w:drawing>
          <wp:inline distT="0" distB="0" distL="0" distR="0" wp14:anchorId="6C69B017" wp14:editId="6A677645">
            <wp:extent cx="3787200" cy="2131200"/>
            <wp:effectExtent l="0" t="0" r="3810" b="2540"/>
            <wp:docPr id="105000445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445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787200" cy="2131200"/>
                    </a:xfrm>
                    <a:prstGeom prst="rect">
                      <a:avLst/>
                    </a:prstGeom>
                  </pic:spPr>
                </pic:pic>
              </a:graphicData>
            </a:graphic>
          </wp:inline>
        </w:drawing>
      </w:r>
    </w:p>
    <w:p w14:paraId="66042BE6" w14:textId="4250EE1B" w:rsidR="007211A9" w:rsidRDefault="007737C0" w:rsidP="007211A9">
      <w:pPr>
        <w:spacing w:after="0" w:line="360" w:lineRule="auto"/>
        <w:jc w:val="both"/>
        <w:rPr>
          <w:rFonts w:ascii="Arial" w:hAnsi="Arial" w:cs="Arial"/>
          <w:sz w:val="26"/>
          <w:szCs w:val="26"/>
        </w:rPr>
      </w:pPr>
      <w:r>
        <w:rPr>
          <w:rFonts w:ascii="Arial" w:hAnsi="Arial"/>
          <w:sz w:val="26"/>
        </w:rPr>
        <w:t>Nous avons les ressources domestiques – talents, argent privé et le plus grand marché unique [à égalité avec les États-Unis]. Mais nous devons les mobiliser... et les récents changements intervenus aux États-Unis constituent – </w:t>
      </w:r>
      <w:r w:rsidR="00B823F7">
        <w:rPr>
          <w:rFonts w:ascii="Arial" w:hAnsi="Arial"/>
          <w:sz w:val="26"/>
        </w:rPr>
        <w:t>seul aspect positif</w:t>
      </w:r>
      <w:r>
        <w:rPr>
          <w:rFonts w:ascii="Arial" w:hAnsi="Arial"/>
          <w:sz w:val="26"/>
        </w:rPr>
        <w:t> – un puissant signal d’alarme.</w:t>
      </w:r>
    </w:p>
    <w:p w14:paraId="0F35F742" w14:textId="1CCD119A" w:rsidR="0070313C" w:rsidRDefault="0070313C" w:rsidP="000C02C8">
      <w:pPr>
        <w:spacing w:before="120" w:after="120" w:line="360" w:lineRule="auto"/>
        <w:jc w:val="both"/>
        <w:rPr>
          <w:rFonts w:ascii="Arial" w:hAnsi="Arial" w:cs="Arial"/>
          <w:sz w:val="26"/>
          <w:szCs w:val="26"/>
        </w:rPr>
      </w:pPr>
      <w:r>
        <w:rPr>
          <w:rFonts w:ascii="Arial" w:hAnsi="Arial"/>
          <w:i/>
          <w:sz w:val="26"/>
        </w:rPr>
        <w:lastRenderedPageBreak/>
        <w:t>2. Le réveil de l</w:t>
      </w:r>
      <w:r w:rsidR="004476A3">
        <w:rPr>
          <w:rFonts w:ascii="Arial" w:hAnsi="Arial"/>
          <w:i/>
          <w:sz w:val="26"/>
        </w:rPr>
        <w:t>’</w:t>
      </w:r>
      <w:r>
        <w:rPr>
          <w:rFonts w:ascii="Arial" w:hAnsi="Arial"/>
          <w:i/>
          <w:sz w:val="26"/>
        </w:rPr>
        <w:t xml:space="preserve">Europe se </w:t>
      </w:r>
      <w:r w:rsidR="00E06BC4">
        <w:rPr>
          <w:rFonts w:ascii="Arial" w:hAnsi="Arial"/>
          <w:i/>
          <w:sz w:val="26"/>
        </w:rPr>
        <w:t>concrétise</w:t>
      </w:r>
    </w:p>
    <w:p w14:paraId="12F73C3B" w14:textId="591D5C65" w:rsidR="007C0883" w:rsidRDefault="00BE3F25" w:rsidP="007C0883">
      <w:pPr>
        <w:spacing w:after="0" w:line="360" w:lineRule="auto"/>
        <w:jc w:val="both"/>
        <w:rPr>
          <w:rFonts w:ascii="Arial" w:hAnsi="Arial" w:cs="Arial"/>
          <w:sz w:val="26"/>
          <w:szCs w:val="26"/>
        </w:rPr>
      </w:pPr>
      <w:r>
        <w:rPr>
          <w:rFonts w:ascii="Arial" w:hAnsi="Arial"/>
          <w:sz w:val="26"/>
        </w:rPr>
        <w:t xml:space="preserve">Permettez-moi tout d’abord de vous rappeler une réalisation européenne majeure. Au cours des 26 dernières années, l’Europe a construit sa souveraineté </w:t>
      </w:r>
      <w:r>
        <w:rPr>
          <w:rFonts w:ascii="Arial" w:hAnsi="Arial"/>
          <w:b/>
          <w:bCs/>
          <w:sz w:val="26"/>
        </w:rPr>
        <w:t>monétaire</w:t>
      </w:r>
      <w:r>
        <w:rPr>
          <w:rFonts w:ascii="Arial" w:hAnsi="Arial"/>
          <w:sz w:val="26"/>
        </w:rPr>
        <w:t xml:space="preserve"> à travers l’euro – qui est devenu un immense succès populaire. Le soutien du public pour notre monnaie parmi les citoyens européens atteint un point haut historique</w:t>
      </w:r>
      <w:r w:rsidR="001F4CC1">
        <w:rPr>
          <w:rFonts w:ascii="Arial" w:hAnsi="Arial"/>
          <w:sz w:val="26"/>
        </w:rPr>
        <w:t>,</w:t>
      </w:r>
      <w:r>
        <w:rPr>
          <w:rFonts w:ascii="Arial" w:hAnsi="Arial"/>
          <w:sz w:val="26"/>
        </w:rPr>
        <w:t xml:space="preserve"> à 83 % </w:t>
      </w:r>
      <w:r w:rsidR="00F41C33">
        <w:rPr>
          <w:rStyle w:val="Appeldenotedefin"/>
          <w:rFonts w:ascii="Arial" w:hAnsi="Arial" w:cs="Arial"/>
          <w:sz w:val="26"/>
          <w:szCs w:val="26"/>
          <w:lang w:val="en-US"/>
        </w:rPr>
        <w:endnoteReference w:id="1"/>
      </w:r>
      <w:r>
        <w:rPr>
          <w:rFonts w:ascii="Arial" w:hAnsi="Arial"/>
          <w:sz w:val="26"/>
        </w:rPr>
        <w:t xml:space="preserve">. Notre </w:t>
      </w:r>
      <w:r w:rsidR="00EA4EB7">
        <w:rPr>
          <w:rFonts w:ascii="Arial" w:hAnsi="Arial"/>
          <w:sz w:val="26"/>
        </w:rPr>
        <w:t xml:space="preserve">trajectoire de politique </w:t>
      </w:r>
      <w:r>
        <w:rPr>
          <w:rFonts w:ascii="Arial" w:hAnsi="Arial"/>
          <w:sz w:val="26"/>
        </w:rPr>
        <w:t xml:space="preserve">monétaire est également plus claire : pour la première fois depuis des années, nous sommes revenus vers la zone favorable </w:t>
      </w:r>
      <w:r w:rsidR="003635F1">
        <w:rPr>
          <w:rFonts w:ascii="Arial" w:hAnsi="Arial"/>
          <w:sz w:val="26"/>
        </w:rPr>
        <w:t>du</w:t>
      </w:r>
      <w:r>
        <w:rPr>
          <w:rFonts w:ascii="Arial" w:hAnsi="Arial"/>
          <w:sz w:val="26"/>
        </w:rPr>
        <w:t xml:space="preserve"> « 2-2 » </w:t>
      </w:r>
      <w:r w:rsidR="00F41C33">
        <w:rPr>
          <w:rStyle w:val="Appeldenotedefin"/>
          <w:rFonts w:ascii="Arial" w:hAnsi="Arial" w:cs="Arial"/>
          <w:sz w:val="26"/>
          <w:szCs w:val="26"/>
          <w:lang w:val="en-US"/>
        </w:rPr>
        <w:endnoteReference w:id="2"/>
      </w:r>
      <w:r>
        <w:rPr>
          <w:rFonts w:ascii="Arial" w:hAnsi="Arial"/>
          <w:sz w:val="26"/>
        </w:rPr>
        <w:t>. L’inflation dans la zone euro est proche de notre cible</w:t>
      </w:r>
      <w:r w:rsidR="00EA4EB7">
        <w:rPr>
          <w:rFonts w:ascii="Arial" w:hAnsi="Arial"/>
          <w:sz w:val="26"/>
        </w:rPr>
        <w:t xml:space="preserve"> de 2 %</w:t>
      </w:r>
      <w:r>
        <w:rPr>
          <w:rFonts w:ascii="Arial" w:hAnsi="Arial"/>
          <w:sz w:val="26"/>
        </w:rPr>
        <w:t xml:space="preserve"> et notre taux directeur </w:t>
      </w:r>
      <w:r w:rsidR="00136114">
        <w:rPr>
          <w:rFonts w:ascii="Arial" w:hAnsi="Arial"/>
          <w:sz w:val="26"/>
        </w:rPr>
        <w:t>est fixé</w:t>
      </w:r>
      <w:r>
        <w:rPr>
          <w:rFonts w:ascii="Arial" w:hAnsi="Arial"/>
          <w:sz w:val="26"/>
        </w:rPr>
        <w:t xml:space="preserve"> à 2 % depuis juin 2025 – soit un niveau nettement inférieur à celui des États-Unis ou du Royaume-Uni.</w:t>
      </w:r>
    </w:p>
    <w:p w14:paraId="4FC00B58" w14:textId="77777777" w:rsidR="003B2449" w:rsidRDefault="005530B2" w:rsidP="007C0883">
      <w:pPr>
        <w:spacing w:after="0" w:line="360" w:lineRule="auto"/>
        <w:jc w:val="both"/>
        <w:rPr>
          <w:rFonts w:ascii="Arial" w:hAnsi="Arial"/>
          <w:b/>
          <w:sz w:val="26"/>
        </w:rPr>
      </w:pPr>
      <w:r>
        <w:rPr>
          <w:rFonts w:ascii="Arial" w:hAnsi="Arial"/>
          <w:sz w:val="26"/>
        </w:rPr>
        <w:t xml:space="preserve">Nous devons compléter </w:t>
      </w:r>
      <w:r w:rsidR="00AE2ACC">
        <w:rPr>
          <w:rFonts w:ascii="Arial" w:hAnsi="Arial"/>
          <w:sz w:val="26"/>
        </w:rPr>
        <w:t>cela</w:t>
      </w:r>
      <w:r>
        <w:rPr>
          <w:rFonts w:ascii="Arial" w:hAnsi="Arial"/>
          <w:sz w:val="26"/>
        </w:rPr>
        <w:t xml:space="preserve"> en assurant la </w:t>
      </w:r>
      <w:r>
        <w:rPr>
          <w:rFonts w:ascii="Arial" w:hAnsi="Arial"/>
          <w:b/>
          <w:bCs/>
          <w:sz w:val="26"/>
        </w:rPr>
        <w:t>souveraineté</w:t>
      </w:r>
      <w:r>
        <w:rPr>
          <w:rFonts w:ascii="Arial" w:hAnsi="Arial"/>
          <w:sz w:val="26"/>
        </w:rPr>
        <w:t xml:space="preserve"> </w:t>
      </w:r>
      <w:r>
        <w:rPr>
          <w:rFonts w:ascii="Arial" w:hAnsi="Arial"/>
          <w:b/>
          <w:sz w:val="26"/>
        </w:rPr>
        <w:t xml:space="preserve">économique et financière </w:t>
      </w:r>
      <w:r>
        <w:rPr>
          <w:rFonts w:ascii="Arial" w:hAnsi="Arial"/>
          <w:sz w:val="26"/>
        </w:rPr>
        <w:t>de l’Europe. Nous, Européens, disposons d’une feuille de route claire – présentée dans les rapports Draghi </w:t>
      </w:r>
      <w:r w:rsidRPr="007C0883">
        <w:rPr>
          <w:rStyle w:val="Appeldenotedefin"/>
          <w:rFonts w:ascii="Arial" w:hAnsi="Arial" w:cs="Arial"/>
          <w:sz w:val="26"/>
          <w:szCs w:val="26"/>
          <w:lang w:val="en-US"/>
        </w:rPr>
        <w:endnoteReference w:id="3"/>
      </w:r>
      <w:r>
        <w:rPr>
          <w:rFonts w:ascii="Arial" w:hAnsi="Arial"/>
          <w:sz w:val="26"/>
        </w:rPr>
        <w:t xml:space="preserve"> et </w:t>
      </w:r>
      <w:proofErr w:type="spellStart"/>
      <w:r>
        <w:rPr>
          <w:rFonts w:ascii="Arial" w:hAnsi="Arial"/>
          <w:sz w:val="26"/>
        </w:rPr>
        <w:t>Letta</w:t>
      </w:r>
      <w:proofErr w:type="spellEnd"/>
      <w:r>
        <w:rPr>
          <w:rFonts w:ascii="Arial" w:hAnsi="Arial"/>
          <w:sz w:val="26"/>
        </w:rPr>
        <w:t> </w:t>
      </w:r>
      <w:r w:rsidRPr="007C0883">
        <w:rPr>
          <w:rStyle w:val="Appeldenotedefin"/>
          <w:rFonts w:ascii="Arial" w:hAnsi="Arial" w:cs="Arial"/>
          <w:sz w:val="26"/>
          <w:szCs w:val="26"/>
          <w:lang w:val="en-US"/>
        </w:rPr>
        <w:endnoteReference w:id="4"/>
      </w:r>
      <w:r>
        <w:rPr>
          <w:rFonts w:ascii="Arial" w:hAnsi="Arial"/>
          <w:sz w:val="26"/>
        </w:rPr>
        <w:t xml:space="preserve">. Depuis début 2025, la Commission a lancé une série d’initiatives </w:t>
      </w:r>
      <w:r w:rsidR="007D1EBB">
        <w:rPr>
          <w:rFonts w:ascii="Arial" w:hAnsi="Arial"/>
          <w:sz w:val="26"/>
        </w:rPr>
        <w:t>selon</w:t>
      </w:r>
      <w:r>
        <w:rPr>
          <w:rFonts w:ascii="Arial" w:hAnsi="Arial"/>
          <w:sz w:val="26"/>
        </w:rPr>
        <w:t xml:space="preserve"> trois impératifs, </w:t>
      </w:r>
      <w:r w:rsidR="008142B1">
        <w:rPr>
          <w:rFonts w:ascii="Arial" w:hAnsi="Arial"/>
          <w:sz w:val="26"/>
        </w:rPr>
        <w:t xml:space="preserve">que j’appelle les </w:t>
      </w:r>
      <w:r>
        <w:rPr>
          <w:rFonts w:ascii="Arial" w:hAnsi="Arial"/>
          <w:sz w:val="26"/>
        </w:rPr>
        <w:t xml:space="preserve">trois « i ». </w:t>
      </w:r>
    </w:p>
    <w:p w14:paraId="6D0C914A" w14:textId="11E1902A" w:rsidR="003B2449" w:rsidRDefault="00B85C3B" w:rsidP="00B85C3B">
      <w:pPr>
        <w:spacing w:after="0" w:line="360" w:lineRule="auto"/>
        <w:jc w:val="center"/>
        <w:rPr>
          <w:rFonts w:ascii="Arial" w:hAnsi="Arial"/>
          <w:b/>
          <w:sz w:val="26"/>
        </w:rPr>
      </w:pPr>
      <w:r>
        <w:rPr>
          <w:noProof/>
        </w:rPr>
        <w:drawing>
          <wp:inline distT="0" distB="0" distL="0" distR="0" wp14:anchorId="1564691D" wp14:editId="46D12A93">
            <wp:extent cx="3787200" cy="2131200"/>
            <wp:effectExtent l="0" t="0" r="3810" b="2540"/>
            <wp:docPr id="201218044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80449"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787200" cy="2131200"/>
                    </a:xfrm>
                    <a:prstGeom prst="rect">
                      <a:avLst/>
                    </a:prstGeom>
                  </pic:spPr>
                </pic:pic>
              </a:graphicData>
            </a:graphic>
          </wp:inline>
        </w:drawing>
      </w:r>
    </w:p>
    <w:p w14:paraId="4C4F6F1E" w14:textId="158010AE" w:rsidR="005530B2" w:rsidRDefault="005530B2" w:rsidP="007C0883">
      <w:pPr>
        <w:spacing w:after="0" w:line="360" w:lineRule="auto"/>
        <w:jc w:val="both"/>
        <w:rPr>
          <w:rFonts w:ascii="Arial" w:hAnsi="Arial" w:cs="Arial"/>
          <w:sz w:val="26"/>
          <w:szCs w:val="26"/>
        </w:rPr>
      </w:pPr>
      <w:r>
        <w:rPr>
          <w:rFonts w:ascii="Arial" w:hAnsi="Arial"/>
          <w:sz w:val="26"/>
        </w:rPr>
        <w:t xml:space="preserve">Premièrement, nous devons </w:t>
      </w:r>
      <w:r>
        <w:rPr>
          <w:rFonts w:ascii="Arial" w:hAnsi="Arial"/>
          <w:i/>
          <w:sz w:val="26"/>
        </w:rPr>
        <w:t>intégrer</w:t>
      </w:r>
      <w:r>
        <w:rPr>
          <w:rFonts w:ascii="Arial" w:hAnsi="Arial"/>
          <w:sz w:val="26"/>
        </w:rPr>
        <w:t xml:space="preserve"> </w:t>
      </w:r>
      <w:r>
        <w:rPr>
          <w:rFonts w:ascii="Arial" w:hAnsi="Arial"/>
          <w:i/>
          <w:iCs/>
          <w:sz w:val="26"/>
        </w:rPr>
        <w:t>plus</w:t>
      </w:r>
      <w:r>
        <w:rPr>
          <w:rFonts w:ascii="Arial" w:hAnsi="Arial"/>
          <w:sz w:val="26"/>
        </w:rPr>
        <w:t xml:space="preserve"> le marché unique</w:t>
      </w:r>
      <w:r w:rsidR="008142B1">
        <w:rPr>
          <w:rFonts w:ascii="Arial" w:hAnsi="Arial"/>
          <w:sz w:val="26"/>
        </w:rPr>
        <w:t>, avec notamment</w:t>
      </w:r>
      <w:r>
        <w:rPr>
          <w:rFonts w:ascii="Arial" w:hAnsi="Arial"/>
          <w:sz w:val="26"/>
        </w:rPr>
        <w:t xml:space="preserve"> la création d’un 28</w:t>
      </w:r>
      <w:r>
        <w:rPr>
          <w:rFonts w:ascii="Arial" w:hAnsi="Arial"/>
          <w:sz w:val="26"/>
          <w:vertAlign w:val="superscript"/>
        </w:rPr>
        <w:t>e</w:t>
      </w:r>
      <w:r>
        <w:rPr>
          <w:rFonts w:ascii="Arial" w:hAnsi="Arial"/>
          <w:sz w:val="26"/>
        </w:rPr>
        <w:t xml:space="preserve"> régime optionnel, qui pourrait réduire la charge administrative des entreprises</w:t>
      </w:r>
      <w:r w:rsidR="003A7D1B">
        <w:rPr>
          <w:rFonts w:ascii="Arial" w:hAnsi="Arial"/>
          <w:sz w:val="26"/>
        </w:rPr>
        <w:t xml:space="preserve"> exerçant des activités</w:t>
      </w:r>
      <w:r w:rsidR="008142B1">
        <w:rPr>
          <w:rFonts w:ascii="Arial" w:hAnsi="Arial"/>
          <w:sz w:val="26"/>
        </w:rPr>
        <w:t xml:space="preserve"> transfrontières</w:t>
      </w:r>
      <w:r>
        <w:rPr>
          <w:rFonts w:ascii="Arial" w:hAnsi="Arial"/>
          <w:sz w:val="26"/>
        </w:rPr>
        <w:t>, et en particulier le « coût de l’échec » </w:t>
      </w:r>
      <w:r>
        <w:rPr>
          <w:rStyle w:val="Appeldenotedefin"/>
          <w:rFonts w:ascii="Arial" w:hAnsi="Arial" w:cs="Arial"/>
          <w:sz w:val="26"/>
          <w:szCs w:val="26"/>
          <w:lang w:val="en-US"/>
        </w:rPr>
        <w:endnoteReference w:id="5"/>
      </w:r>
      <w:r>
        <w:rPr>
          <w:rFonts w:ascii="Arial" w:hAnsi="Arial"/>
          <w:sz w:val="26"/>
        </w:rPr>
        <w:t> </w:t>
      </w:r>
      <w:r w:rsidR="00A741B6">
        <w:rPr>
          <w:rFonts w:ascii="Arial" w:hAnsi="Arial"/>
          <w:sz w:val="26"/>
        </w:rPr>
        <w:t>.</w:t>
      </w:r>
      <w:r>
        <w:rPr>
          <w:rFonts w:ascii="Arial" w:hAnsi="Arial"/>
          <w:sz w:val="26"/>
        </w:rPr>
        <w:t xml:space="preserve"> Deuxièmement, nous devons </w:t>
      </w:r>
      <w:r>
        <w:rPr>
          <w:rFonts w:ascii="Arial" w:hAnsi="Arial"/>
          <w:i/>
          <w:sz w:val="26"/>
        </w:rPr>
        <w:t>investir</w:t>
      </w:r>
      <w:r>
        <w:rPr>
          <w:rFonts w:ascii="Arial" w:hAnsi="Arial"/>
          <w:sz w:val="26"/>
        </w:rPr>
        <w:t xml:space="preserve"> </w:t>
      </w:r>
      <w:r>
        <w:rPr>
          <w:rFonts w:ascii="Arial" w:hAnsi="Arial"/>
          <w:i/>
          <w:sz w:val="26"/>
        </w:rPr>
        <w:t>mieux</w:t>
      </w:r>
      <w:r>
        <w:rPr>
          <w:rFonts w:ascii="Arial" w:hAnsi="Arial"/>
          <w:sz w:val="26"/>
        </w:rPr>
        <w:t>. Je salue le plan d’action de mars 2025 sur l’Union pour l’épargne et l’investissement </w:t>
      </w:r>
      <w:r>
        <w:rPr>
          <w:rStyle w:val="Appeldenotedefin"/>
          <w:rFonts w:ascii="Arial" w:hAnsi="Arial" w:cs="Arial"/>
          <w:sz w:val="26"/>
          <w:szCs w:val="26"/>
          <w:lang w:val="en-US"/>
        </w:rPr>
        <w:endnoteReference w:id="6"/>
      </w:r>
      <w:r>
        <w:rPr>
          <w:rFonts w:ascii="Arial" w:hAnsi="Arial"/>
          <w:sz w:val="26"/>
        </w:rPr>
        <w:t xml:space="preserve">, </w:t>
      </w:r>
      <w:r w:rsidR="008142B1">
        <w:rPr>
          <w:rFonts w:ascii="Arial" w:hAnsi="Arial"/>
          <w:sz w:val="26"/>
        </w:rPr>
        <w:t xml:space="preserve">qui vise à </w:t>
      </w:r>
      <w:r>
        <w:rPr>
          <w:rFonts w:ascii="Arial" w:hAnsi="Arial"/>
          <w:sz w:val="26"/>
        </w:rPr>
        <w:t xml:space="preserve">canaliser davantage notre abondante épargne privée vers le financement par </w:t>
      </w:r>
      <w:r>
        <w:rPr>
          <w:rFonts w:ascii="Arial" w:hAnsi="Arial"/>
          <w:sz w:val="26"/>
        </w:rPr>
        <w:lastRenderedPageBreak/>
        <w:t xml:space="preserve">fonds propres </w:t>
      </w:r>
      <w:r w:rsidR="0025123C">
        <w:rPr>
          <w:rFonts w:ascii="Arial" w:hAnsi="Arial"/>
          <w:sz w:val="26"/>
        </w:rPr>
        <w:t>et le capital-risque</w:t>
      </w:r>
      <w:r w:rsidR="009D0D7B" w:rsidRPr="009D0D7B">
        <w:rPr>
          <w:rFonts w:ascii="Arial" w:hAnsi="Arial"/>
          <w:sz w:val="26"/>
        </w:rPr>
        <w:t xml:space="preserve"> </w:t>
      </w:r>
      <w:r w:rsidR="009D0D7B">
        <w:rPr>
          <w:rFonts w:ascii="Arial" w:hAnsi="Arial"/>
          <w:sz w:val="26"/>
        </w:rPr>
        <w:t>européens</w:t>
      </w:r>
      <w:r>
        <w:rPr>
          <w:rFonts w:ascii="Arial" w:hAnsi="Arial"/>
          <w:sz w:val="26"/>
        </w:rPr>
        <w:t xml:space="preserve">. Troisièmement, nous devons </w:t>
      </w:r>
      <w:r>
        <w:rPr>
          <w:rFonts w:ascii="Arial" w:hAnsi="Arial"/>
          <w:i/>
          <w:sz w:val="26"/>
        </w:rPr>
        <w:t>innover</w:t>
      </w:r>
      <w:r>
        <w:rPr>
          <w:rFonts w:ascii="Arial" w:hAnsi="Arial"/>
          <w:sz w:val="26"/>
        </w:rPr>
        <w:t xml:space="preserve"> plus vite</w:t>
      </w:r>
      <w:r w:rsidR="008142B1">
        <w:rPr>
          <w:rFonts w:ascii="Arial" w:hAnsi="Arial"/>
          <w:sz w:val="26"/>
        </w:rPr>
        <w:t xml:space="preserve"> et </w:t>
      </w:r>
      <w:r>
        <w:rPr>
          <w:rFonts w:ascii="Arial" w:hAnsi="Arial"/>
          <w:sz w:val="26"/>
        </w:rPr>
        <w:t xml:space="preserve">la Commission a </w:t>
      </w:r>
      <w:r w:rsidR="008142B1">
        <w:rPr>
          <w:rFonts w:ascii="Arial" w:hAnsi="Arial"/>
          <w:sz w:val="26"/>
        </w:rPr>
        <w:t>ainsi présenté plusieurs</w:t>
      </w:r>
      <w:r>
        <w:rPr>
          <w:rFonts w:ascii="Arial" w:hAnsi="Arial"/>
          <w:sz w:val="26"/>
        </w:rPr>
        <w:t xml:space="preserve"> trains de mesures « omnibus » sur la simplification. </w:t>
      </w:r>
    </w:p>
    <w:p w14:paraId="4D94D285" w14:textId="39DA6B55" w:rsidR="008309BE" w:rsidRDefault="007C0883" w:rsidP="00DF10E2">
      <w:pPr>
        <w:spacing w:after="0" w:line="360" w:lineRule="auto"/>
        <w:jc w:val="both"/>
        <w:rPr>
          <w:rFonts w:ascii="Arial" w:hAnsi="Arial"/>
          <w:sz w:val="26"/>
        </w:rPr>
      </w:pPr>
      <w:r>
        <w:rPr>
          <w:rFonts w:ascii="Arial" w:hAnsi="Arial"/>
          <w:sz w:val="26"/>
        </w:rPr>
        <w:t xml:space="preserve">Certes, nous </w:t>
      </w:r>
      <w:r w:rsidR="008142B1">
        <w:rPr>
          <w:rFonts w:ascii="Arial" w:hAnsi="Arial"/>
          <w:sz w:val="26"/>
        </w:rPr>
        <w:t xml:space="preserve">avons </w:t>
      </w:r>
      <w:r w:rsidR="00136114">
        <w:rPr>
          <w:rFonts w:ascii="Arial" w:hAnsi="Arial"/>
          <w:sz w:val="26"/>
        </w:rPr>
        <w:t>encore</w:t>
      </w:r>
      <w:r w:rsidR="008142B1">
        <w:rPr>
          <w:rFonts w:ascii="Arial" w:hAnsi="Arial"/>
          <w:sz w:val="26"/>
        </w:rPr>
        <w:t xml:space="preserve"> besoin d’un </w:t>
      </w:r>
      <w:r>
        <w:rPr>
          <w:rFonts w:ascii="Arial" w:hAnsi="Arial"/>
          <w:sz w:val="26"/>
        </w:rPr>
        <w:t>train de mesure</w:t>
      </w:r>
      <w:r w:rsidR="004476A3">
        <w:rPr>
          <w:rFonts w:ascii="Arial" w:hAnsi="Arial"/>
          <w:sz w:val="26"/>
        </w:rPr>
        <w:t>s</w:t>
      </w:r>
      <w:r>
        <w:rPr>
          <w:rFonts w:ascii="Arial" w:hAnsi="Arial"/>
          <w:sz w:val="26"/>
        </w:rPr>
        <w:t xml:space="preserve"> complet </w:t>
      </w:r>
      <w:r w:rsidR="008142B1">
        <w:rPr>
          <w:rFonts w:ascii="Arial" w:hAnsi="Arial"/>
          <w:sz w:val="26"/>
        </w:rPr>
        <w:t>et d’une</w:t>
      </w:r>
      <w:r>
        <w:rPr>
          <w:rFonts w:ascii="Arial" w:hAnsi="Arial"/>
          <w:sz w:val="26"/>
        </w:rPr>
        <w:t xml:space="preserve"> </w:t>
      </w:r>
      <w:r>
        <w:rPr>
          <w:rFonts w:ascii="Arial" w:hAnsi="Arial"/>
          <w:i/>
          <w:sz w:val="26"/>
        </w:rPr>
        <w:t>date</w:t>
      </w:r>
      <w:r>
        <w:rPr>
          <w:rFonts w:ascii="Arial" w:hAnsi="Arial"/>
          <w:sz w:val="26"/>
        </w:rPr>
        <w:t xml:space="preserve"> </w:t>
      </w:r>
      <w:r>
        <w:rPr>
          <w:rFonts w:ascii="Arial" w:hAnsi="Arial"/>
          <w:i/>
          <w:iCs/>
          <w:sz w:val="26"/>
        </w:rPr>
        <w:t>mobilisatrice</w:t>
      </w:r>
      <w:r>
        <w:rPr>
          <w:rFonts w:ascii="Arial" w:hAnsi="Arial"/>
          <w:sz w:val="26"/>
        </w:rPr>
        <w:t> </w:t>
      </w:r>
      <w:r w:rsidR="003B2D5F" w:rsidRPr="00DC6607">
        <w:rPr>
          <w:rStyle w:val="Appeldenotedefin"/>
          <w:rFonts w:ascii="Arial" w:hAnsi="Arial" w:cs="Arial"/>
          <w:sz w:val="26"/>
          <w:szCs w:val="26"/>
          <w:lang w:val="en-US"/>
        </w:rPr>
        <w:endnoteReference w:id="7"/>
      </w:r>
      <w:r>
        <w:rPr>
          <w:rFonts w:ascii="Arial" w:hAnsi="Arial"/>
          <w:sz w:val="26"/>
        </w:rPr>
        <w:t>, comme Jacques Delors l</w:t>
      </w:r>
      <w:r w:rsidR="004476A3">
        <w:rPr>
          <w:rFonts w:ascii="Arial" w:hAnsi="Arial"/>
          <w:sz w:val="26"/>
        </w:rPr>
        <w:t>’</w:t>
      </w:r>
      <w:r>
        <w:rPr>
          <w:rFonts w:ascii="Arial" w:hAnsi="Arial"/>
          <w:sz w:val="26"/>
        </w:rPr>
        <w:t>a fait par le passé, le 1</w:t>
      </w:r>
      <w:r>
        <w:rPr>
          <w:rFonts w:ascii="Arial" w:hAnsi="Arial"/>
          <w:sz w:val="26"/>
          <w:vertAlign w:val="superscript"/>
        </w:rPr>
        <w:t>er</w:t>
      </w:r>
      <w:r>
        <w:rPr>
          <w:rFonts w:ascii="Arial" w:hAnsi="Arial"/>
          <w:sz w:val="26"/>
        </w:rPr>
        <w:t> janvier 1993 pour le marché unique et le 1</w:t>
      </w:r>
      <w:r>
        <w:rPr>
          <w:rFonts w:ascii="Arial" w:hAnsi="Arial"/>
          <w:sz w:val="26"/>
          <w:vertAlign w:val="superscript"/>
        </w:rPr>
        <w:t>er</w:t>
      </w:r>
      <w:r>
        <w:rPr>
          <w:rFonts w:ascii="Arial" w:hAnsi="Arial"/>
          <w:sz w:val="26"/>
        </w:rPr>
        <w:t> janvier 1999 pour la monnaie unique.</w:t>
      </w:r>
      <w:r w:rsidR="00136114">
        <w:rPr>
          <w:rFonts w:ascii="Arial" w:hAnsi="Arial"/>
          <w:sz w:val="26"/>
        </w:rPr>
        <w:t xml:space="preserve"> Certes,</w:t>
      </w:r>
      <w:r>
        <w:rPr>
          <w:rFonts w:ascii="Arial" w:hAnsi="Arial"/>
          <w:sz w:val="26"/>
        </w:rPr>
        <w:t xml:space="preserve"> les progrès prennent du temps, du fait notamment du dialogue nécessaire avec le Parlement européen. Mais cela fait partie de la démocratie, à laquelle nous croyons </w:t>
      </w:r>
      <w:r w:rsidR="008142B1">
        <w:rPr>
          <w:rFonts w:ascii="Arial" w:hAnsi="Arial"/>
          <w:sz w:val="26"/>
        </w:rPr>
        <w:t>fermement</w:t>
      </w:r>
      <w:r>
        <w:rPr>
          <w:rFonts w:ascii="Arial" w:hAnsi="Arial"/>
          <w:sz w:val="26"/>
        </w:rPr>
        <w:t>, et l</w:t>
      </w:r>
      <w:r w:rsidR="004476A3">
        <w:rPr>
          <w:rFonts w:ascii="Arial" w:hAnsi="Arial"/>
          <w:sz w:val="26"/>
        </w:rPr>
        <w:t>’</w:t>
      </w:r>
      <w:r>
        <w:rPr>
          <w:rFonts w:ascii="Arial" w:hAnsi="Arial"/>
          <w:sz w:val="26"/>
        </w:rPr>
        <w:t xml:space="preserve">Europe a souvent réussi à mettre en place plus rapidement le cadre approprié sur plusieurs questions essentielles telles que la réglementation relative aux </w:t>
      </w:r>
      <w:proofErr w:type="spellStart"/>
      <w:r>
        <w:rPr>
          <w:rFonts w:ascii="Arial" w:hAnsi="Arial"/>
          <w:sz w:val="26"/>
        </w:rPr>
        <w:t>crypto-actifs</w:t>
      </w:r>
      <w:proofErr w:type="spellEnd"/>
      <w:r>
        <w:rPr>
          <w:rFonts w:ascii="Arial" w:hAnsi="Arial"/>
          <w:sz w:val="26"/>
        </w:rPr>
        <w:t xml:space="preserve"> avec le règlement </w:t>
      </w:r>
      <w:proofErr w:type="spellStart"/>
      <w:r>
        <w:rPr>
          <w:rFonts w:ascii="Arial" w:hAnsi="Arial"/>
          <w:sz w:val="26"/>
        </w:rPr>
        <w:t>MiCA</w:t>
      </w:r>
      <w:proofErr w:type="spellEnd"/>
      <w:r>
        <w:rPr>
          <w:rFonts w:ascii="Arial" w:hAnsi="Arial"/>
          <w:sz w:val="26"/>
        </w:rPr>
        <w:t> </w:t>
      </w:r>
      <w:r w:rsidR="002E6AC7">
        <w:rPr>
          <w:rStyle w:val="Appeldenotedefin"/>
          <w:rFonts w:ascii="Arial" w:hAnsi="Arial" w:cs="Arial"/>
          <w:sz w:val="26"/>
          <w:szCs w:val="26"/>
          <w:lang w:val="en-US"/>
        </w:rPr>
        <w:endnoteReference w:id="8"/>
      </w:r>
      <w:r>
        <w:rPr>
          <w:rFonts w:ascii="Arial" w:hAnsi="Arial"/>
          <w:sz w:val="26"/>
        </w:rPr>
        <w:t>, avant GENIUS.</w:t>
      </w:r>
    </w:p>
    <w:p w14:paraId="7A5E871B" w14:textId="77777777" w:rsidR="00875318" w:rsidRPr="00871316" w:rsidRDefault="00875318" w:rsidP="00875318">
      <w:pPr>
        <w:spacing w:before="120" w:after="120" w:line="360" w:lineRule="auto"/>
        <w:jc w:val="both"/>
        <w:rPr>
          <w:rFonts w:ascii="Arial" w:hAnsi="Arial" w:cs="Arial"/>
          <w:b/>
          <w:bCs/>
          <w:sz w:val="26"/>
          <w:szCs w:val="26"/>
          <w:u w:val="single"/>
        </w:rPr>
      </w:pPr>
      <w:r>
        <w:rPr>
          <w:rFonts w:ascii="Arial" w:hAnsi="Arial"/>
          <w:b/>
          <w:sz w:val="26"/>
          <w:u w:val="single"/>
        </w:rPr>
        <w:t>II.</w:t>
      </w:r>
      <w:r>
        <w:rPr>
          <w:b/>
          <w:u w:val="single"/>
        </w:rPr>
        <w:t xml:space="preserve"> </w:t>
      </w:r>
      <w:r>
        <w:rPr>
          <w:rFonts w:ascii="Arial" w:hAnsi="Arial"/>
          <w:b/>
          <w:sz w:val="26"/>
          <w:u w:val="single"/>
        </w:rPr>
        <w:t>Malgré leurs divergences récentes sur le commerce, l’Europe et les États-Unis doivent continuer à rechercher des domaines pragmatiques de convergence.</w:t>
      </w:r>
    </w:p>
    <w:p w14:paraId="17721C1C" w14:textId="77777777" w:rsidR="00875318" w:rsidRPr="000C0B68" w:rsidRDefault="00875318" w:rsidP="00875318">
      <w:pPr>
        <w:spacing w:line="360" w:lineRule="auto"/>
        <w:jc w:val="both"/>
        <w:rPr>
          <w:rFonts w:ascii="Arial" w:hAnsi="Arial" w:cs="Arial"/>
          <w:i/>
          <w:iCs/>
          <w:sz w:val="26"/>
          <w:szCs w:val="26"/>
        </w:rPr>
      </w:pPr>
      <w:r>
        <w:rPr>
          <w:rFonts w:ascii="Arial" w:hAnsi="Arial"/>
          <w:i/>
          <w:sz w:val="26"/>
        </w:rPr>
        <w:t xml:space="preserve">1. Notre récente divergence transatlantique </w:t>
      </w:r>
    </w:p>
    <w:p w14:paraId="0FAD170C" w14:textId="3998944E" w:rsidR="00875318" w:rsidRPr="00C721AB" w:rsidRDefault="00875318" w:rsidP="00875318">
      <w:pPr>
        <w:spacing w:before="120" w:after="0" w:line="360" w:lineRule="auto"/>
        <w:jc w:val="both"/>
        <w:rPr>
          <w:rFonts w:ascii="Arial" w:hAnsi="Arial" w:cs="Arial"/>
          <w:sz w:val="26"/>
          <w:szCs w:val="26"/>
        </w:rPr>
      </w:pPr>
      <w:r>
        <w:rPr>
          <w:rFonts w:ascii="Arial" w:hAnsi="Arial"/>
          <w:sz w:val="26"/>
        </w:rPr>
        <w:t xml:space="preserve">Lorsque nous ne sommes pas d’accord </w:t>
      </w:r>
      <w:r w:rsidR="00136114">
        <w:rPr>
          <w:rFonts w:ascii="Arial" w:hAnsi="Arial"/>
          <w:sz w:val="26"/>
        </w:rPr>
        <w:t>de part et d’autre</w:t>
      </w:r>
      <w:r>
        <w:rPr>
          <w:rFonts w:ascii="Arial" w:hAnsi="Arial"/>
          <w:sz w:val="26"/>
        </w:rPr>
        <w:t xml:space="preserve"> de l’Atlantique, nous devons le faire savoir clairement : c’est le prérequis d’un dialogue équitable. Nous ne pouvons ignorer les désaccords profonds qui opposent les autorités politiques européennes et américaines sur la géopolitique et le multilatéralisme. Permettez-moi de me concentrer ici sur les divergences économiques, en particulier pour ce qui est du commerce. Les mesures protectionnistes adoptées par les États-Unis </w:t>
      </w:r>
      <w:r w:rsidRPr="00E309B9">
        <w:rPr>
          <w:rFonts w:ascii="Arial" w:hAnsi="Arial" w:cs="Arial"/>
          <w:sz w:val="26"/>
          <w:szCs w:val="26"/>
        </w:rPr>
        <w:t>–</w:t>
      </w:r>
      <w:r>
        <w:rPr>
          <w:rFonts w:ascii="Arial" w:hAnsi="Arial"/>
          <w:sz w:val="26"/>
        </w:rPr>
        <w:t xml:space="preserve"> sans précédent depuis les années 1930 </w:t>
      </w:r>
      <w:r w:rsidRPr="00E309B9">
        <w:rPr>
          <w:rFonts w:ascii="Arial" w:hAnsi="Arial" w:cs="Arial"/>
          <w:sz w:val="26"/>
          <w:szCs w:val="26"/>
        </w:rPr>
        <w:t xml:space="preserve">– </w:t>
      </w:r>
      <w:r>
        <w:rPr>
          <w:rFonts w:ascii="Arial" w:hAnsi="Arial"/>
          <w:sz w:val="26"/>
        </w:rPr>
        <w:t xml:space="preserve">associées à une imprévisibilité persistante, représentent un choc négatif pour l’économie mondiale, y compris pour l’économie américaine elle-même. À court terme, les droits de douane constituent certes une source substantielle de recettes budgétaires. Mais ils ne résoudront pas le problème des « déficits jumeaux » des États-Unis. La charge des droits de douane est déjà principalement </w:t>
      </w:r>
      <w:r w:rsidR="00C96273">
        <w:rPr>
          <w:rFonts w:ascii="Arial" w:hAnsi="Arial"/>
          <w:sz w:val="26"/>
        </w:rPr>
        <w:t>sup</w:t>
      </w:r>
      <w:r>
        <w:rPr>
          <w:rFonts w:ascii="Arial" w:hAnsi="Arial"/>
          <w:sz w:val="26"/>
        </w:rPr>
        <w:t xml:space="preserve">portée par les entreprises importatrices américaines et, dans une moindre </w:t>
      </w:r>
      <w:r>
        <w:rPr>
          <w:rFonts w:ascii="Arial" w:hAnsi="Arial"/>
          <w:sz w:val="26"/>
        </w:rPr>
        <w:lastRenderedPageBreak/>
        <w:t xml:space="preserve">mesure, par les consommateurs américains ; en fin de compte, cela affaiblira l’activité économique et augmentera l’inflation, </w:t>
      </w:r>
      <w:r w:rsidR="00385FD2">
        <w:rPr>
          <w:rFonts w:ascii="Arial" w:hAnsi="Arial"/>
          <w:sz w:val="26"/>
        </w:rPr>
        <w:t xml:space="preserve">qui </w:t>
      </w:r>
      <w:r>
        <w:rPr>
          <w:rFonts w:ascii="Arial" w:hAnsi="Arial"/>
          <w:sz w:val="26"/>
        </w:rPr>
        <w:t xml:space="preserve">devrait s’accélérer avant la fin d’année. </w:t>
      </w:r>
      <w:r w:rsidR="00385FD2">
        <w:rPr>
          <w:rFonts w:ascii="Arial" w:hAnsi="Arial"/>
          <w:sz w:val="26"/>
        </w:rPr>
        <w:t xml:space="preserve">Ce qui est une </w:t>
      </w:r>
      <w:r>
        <w:rPr>
          <w:rFonts w:ascii="Arial" w:hAnsi="Arial"/>
          <w:sz w:val="26"/>
        </w:rPr>
        <w:t xml:space="preserve">mauvaise nouvelle pour les États-Unis </w:t>
      </w:r>
      <w:r w:rsidR="00385FD2">
        <w:rPr>
          <w:rFonts w:ascii="Arial" w:hAnsi="Arial"/>
          <w:sz w:val="26"/>
        </w:rPr>
        <w:t xml:space="preserve">l’est </w:t>
      </w:r>
      <w:r>
        <w:rPr>
          <w:rFonts w:ascii="Arial" w:hAnsi="Arial"/>
          <w:sz w:val="26"/>
        </w:rPr>
        <w:t xml:space="preserve">aussi pour l’Europe. </w:t>
      </w:r>
      <w:r w:rsidR="00BB0371">
        <w:rPr>
          <w:rFonts w:ascii="Arial" w:hAnsi="Arial"/>
          <w:sz w:val="26"/>
        </w:rPr>
        <w:t xml:space="preserve">L’impact </w:t>
      </w:r>
      <w:r>
        <w:rPr>
          <w:rFonts w:ascii="Arial" w:hAnsi="Arial"/>
          <w:sz w:val="26"/>
        </w:rPr>
        <w:t xml:space="preserve">sur l’inflation </w:t>
      </w:r>
      <w:r w:rsidR="00BB0371">
        <w:rPr>
          <w:rFonts w:ascii="Arial" w:hAnsi="Arial"/>
          <w:sz w:val="26"/>
        </w:rPr>
        <w:t>en</w:t>
      </w:r>
      <w:r>
        <w:rPr>
          <w:rFonts w:ascii="Arial" w:hAnsi="Arial"/>
          <w:sz w:val="26"/>
        </w:rPr>
        <w:t xml:space="preserve"> zone euro devrait néanmoins rester négligeable, car l’Union européenne n’a pas riposté. Permettez-moi de rappeler l’évidence : le commerce international n’est pas un jeu à somme nulle </w:t>
      </w:r>
      <w:r>
        <w:rPr>
          <w:rStyle w:val="Appeldenotedefin"/>
          <w:rFonts w:ascii="Arial" w:hAnsi="Arial" w:cs="Arial"/>
          <w:sz w:val="26"/>
          <w:szCs w:val="26"/>
          <w:lang w:val="en-US"/>
        </w:rPr>
        <w:endnoteReference w:id="9"/>
      </w:r>
      <w:r>
        <w:rPr>
          <w:rFonts w:ascii="Arial" w:hAnsi="Arial"/>
          <w:sz w:val="26"/>
        </w:rPr>
        <w:t>, où ce qui est gagné par les uns est nécessairement perdu par les autres. Il demeure au contraire le moyen le plus efficace de prospérer ensemble, en échangeant des produits et services, des idées, des talents et des innovations </w:t>
      </w:r>
      <w:r>
        <w:rPr>
          <w:rStyle w:val="Appeldenotedefin"/>
          <w:rFonts w:ascii="Arial" w:hAnsi="Arial" w:cs="Arial"/>
          <w:sz w:val="26"/>
          <w:szCs w:val="26"/>
          <w:lang w:val="en-US"/>
        </w:rPr>
        <w:endnoteReference w:id="10"/>
      </w:r>
      <w:r>
        <w:rPr>
          <w:rFonts w:ascii="Arial" w:hAnsi="Arial"/>
          <w:sz w:val="26"/>
        </w:rPr>
        <w:t>.</w:t>
      </w:r>
    </w:p>
    <w:p w14:paraId="7E59D5A9" w14:textId="77777777" w:rsidR="00875318" w:rsidRPr="000C0B68" w:rsidRDefault="00875318" w:rsidP="00875318">
      <w:pPr>
        <w:spacing w:before="120" w:after="120" w:line="360" w:lineRule="auto"/>
        <w:jc w:val="both"/>
        <w:rPr>
          <w:rFonts w:ascii="Arial" w:hAnsi="Arial" w:cs="Arial"/>
          <w:i/>
          <w:iCs/>
          <w:sz w:val="26"/>
          <w:szCs w:val="26"/>
        </w:rPr>
      </w:pPr>
      <w:r>
        <w:rPr>
          <w:rFonts w:ascii="Arial" w:hAnsi="Arial"/>
          <w:i/>
          <w:sz w:val="26"/>
        </w:rPr>
        <w:t>2. Cela ne devrait pas nous empêcher de rechercher des domaines pragmatiques de convergence</w:t>
      </w:r>
    </w:p>
    <w:p w14:paraId="5766BE56" w14:textId="6A726883" w:rsidR="00875318" w:rsidRDefault="00875318" w:rsidP="00875318">
      <w:pPr>
        <w:spacing w:before="120" w:after="120" w:line="360" w:lineRule="auto"/>
        <w:jc w:val="both"/>
        <w:rPr>
          <w:rFonts w:ascii="Arial" w:hAnsi="Arial" w:cs="Arial"/>
          <w:sz w:val="26"/>
          <w:szCs w:val="26"/>
        </w:rPr>
      </w:pPr>
      <w:r>
        <w:rPr>
          <w:rFonts w:ascii="Arial" w:hAnsi="Arial"/>
          <w:sz w:val="26"/>
        </w:rPr>
        <w:t xml:space="preserve">Mais notre dialogue transatlantique ne peut se limiter à nos divergences. Nous devons chercher des domaines pragmatiques de convergence par le biais du G7 et du G20, dont les présidences respectives seront assurées l’année prochaine par la France et les États-Unis, par le biais du FMI où je me rends demain, et du Conseil de stabilité financière (CSF). Permettez-moi de souligner de façon pragmatique au moins trois </w:t>
      </w:r>
      <w:r w:rsidR="00394679">
        <w:rPr>
          <w:rFonts w:ascii="Arial" w:hAnsi="Arial"/>
          <w:sz w:val="26"/>
        </w:rPr>
        <w:t>enjeux mondiaux</w:t>
      </w:r>
      <w:r>
        <w:rPr>
          <w:rFonts w:ascii="Arial" w:hAnsi="Arial"/>
          <w:sz w:val="26"/>
        </w:rPr>
        <w:t>, sur lesquelles nos intérêts mutuels pourraient être alignés.</w:t>
      </w:r>
    </w:p>
    <w:p w14:paraId="1BA0D285" w14:textId="77777777" w:rsidR="00875318" w:rsidRPr="00EC6E2A" w:rsidRDefault="00875318" w:rsidP="00875318">
      <w:pPr>
        <w:spacing w:before="120" w:after="120" w:line="360" w:lineRule="auto"/>
        <w:jc w:val="both"/>
        <w:rPr>
          <w:rFonts w:ascii="Arial" w:hAnsi="Arial" w:cs="Arial"/>
          <w:i/>
          <w:iCs/>
          <w:sz w:val="26"/>
          <w:szCs w:val="26"/>
        </w:rPr>
      </w:pPr>
      <w:r>
        <w:rPr>
          <w:rFonts w:ascii="Arial" w:hAnsi="Arial"/>
          <w:i/>
          <w:sz w:val="26"/>
        </w:rPr>
        <w:t>La stabilité financière</w:t>
      </w:r>
    </w:p>
    <w:p w14:paraId="03B8F3AA" w14:textId="644FFAC4" w:rsidR="00875318" w:rsidRDefault="00875318" w:rsidP="00875318">
      <w:pPr>
        <w:spacing w:after="0" w:line="360" w:lineRule="auto"/>
        <w:jc w:val="both"/>
        <w:rPr>
          <w:rFonts w:ascii="Arial" w:hAnsi="Arial"/>
          <w:sz w:val="26"/>
        </w:rPr>
      </w:pPr>
      <w:r>
        <w:rPr>
          <w:rFonts w:ascii="Arial" w:hAnsi="Arial"/>
          <w:sz w:val="26"/>
        </w:rPr>
        <w:t xml:space="preserve">Je commencerai par la stabilité financière : un bien public mondial, compte tenu de la nature transfrontière du système financier. </w:t>
      </w:r>
      <w:r w:rsidRPr="00C53450">
        <w:rPr>
          <w:rFonts w:ascii="Arial" w:hAnsi="Arial"/>
          <w:sz w:val="26"/>
        </w:rPr>
        <w:t xml:space="preserve">Je souhaite vivement que nous </w:t>
      </w:r>
      <w:r>
        <w:rPr>
          <w:rFonts w:ascii="Arial" w:hAnsi="Arial"/>
          <w:sz w:val="26"/>
        </w:rPr>
        <w:t>respections tous</w:t>
      </w:r>
      <w:r w:rsidRPr="00C53450">
        <w:rPr>
          <w:rFonts w:ascii="Arial" w:hAnsi="Arial"/>
          <w:sz w:val="26"/>
        </w:rPr>
        <w:t xml:space="preserve"> le cadre international convenu de Bâle III pour les banques et, plus largement, les recommandations du Conseil de stabilité financière (CSF). </w:t>
      </w:r>
      <w:r>
        <w:rPr>
          <w:rFonts w:ascii="Arial" w:hAnsi="Arial"/>
          <w:sz w:val="26"/>
        </w:rPr>
        <w:t xml:space="preserve">Concentrons-nous sur deux des nombreux défis auxquels nous faisons face. Premièrement, la </w:t>
      </w:r>
      <w:r w:rsidRPr="00A01BAE">
        <w:rPr>
          <w:rFonts w:ascii="Arial" w:hAnsi="Arial"/>
          <w:b/>
          <w:bCs/>
          <w:sz w:val="26"/>
        </w:rPr>
        <w:t>lutte contre le crime financier</w:t>
      </w:r>
      <w:r>
        <w:rPr>
          <w:rFonts w:ascii="Arial" w:hAnsi="Arial"/>
          <w:sz w:val="26"/>
        </w:rPr>
        <w:t>. L’Europe et les États-Unis devraient continuer à montrer l’exemple en renforçant leurs cadres de lutte contre le blanchiment d’argent et le financement du terrorisme</w:t>
      </w:r>
      <w:r w:rsidR="009D220A">
        <w:rPr>
          <w:rFonts w:ascii="Arial" w:hAnsi="Arial"/>
          <w:sz w:val="26"/>
        </w:rPr>
        <w:t xml:space="preserve"> (LCB-FT)</w:t>
      </w:r>
      <w:r>
        <w:rPr>
          <w:rFonts w:ascii="Arial" w:hAnsi="Arial"/>
          <w:sz w:val="26"/>
        </w:rPr>
        <w:t xml:space="preserve"> et en encourageant activement d’autres pays à soutenir l’appel récent du G7 à agir </w:t>
      </w:r>
      <w:r>
        <w:rPr>
          <w:rFonts w:ascii="Arial" w:hAnsi="Arial"/>
          <w:sz w:val="26"/>
        </w:rPr>
        <w:lastRenderedPageBreak/>
        <w:t>contre le crime financier </w:t>
      </w:r>
      <w:r w:rsidRPr="00123BBF">
        <w:rPr>
          <w:rStyle w:val="Appeldenotedefin"/>
          <w:rFonts w:ascii="Arial" w:hAnsi="Arial" w:cs="Arial"/>
          <w:sz w:val="26"/>
          <w:szCs w:val="26"/>
          <w:lang w:val="en-US"/>
        </w:rPr>
        <w:endnoteReference w:id="11"/>
      </w:r>
      <w:r>
        <w:rPr>
          <w:rFonts w:ascii="Arial" w:hAnsi="Arial"/>
          <w:sz w:val="26"/>
        </w:rPr>
        <w:t xml:space="preserve">. Nous devrions également faire preuve de vigilance quant aux usages incorrects ou frauduleux des </w:t>
      </w:r>
      <w:proofErr w:type="spellStart"/>
      <w:r w:rsidR="00D92D72">
        <w:rPr>
          <w:rFonts w:ascii="Arial" w:hAnsi="Arial"/>
          <w:sz w:val="26"/>
        </w:rPr>
        <w:t>crypto-actifs</w:t>
      </w:r>
      <w:proofErr w:type="spellEnd"/>
      <w:r>
        <w:rPr>
          <w:rFonts w:ascii="Arial" w:hAnsi="Arial"/>
          <w:sz w:val="26"/>
        </w:rPr>
        <w:t xml:space="preserve">. </w:t>
      </w:r>
    </w:p>
    <w:p w14:paraId="4D725123" w14:textId="77777777" w:rsidR="00B85C3B" w:rsidRDefault="00875318" w:rsidP="00875318">
      <w:pPr>
        <w:spacing w:after="0" w:line="360" w:lineRule="auto"/>
        <w:jc w:val="both"/>
        <w:rPr>
          <w:rFonts w:ascii="Arial" w:hAnsi="Arial"/>
          <w:b/>
          <w:sz w:val="26"/>
        </w:rPr>
      </w:pPr>
      <w:r>
        <w:rPr>
          <w:rFonts w:ascii="Arial" w:hAnsi="Arial"/>
          <w:sz w:val="26"/>
        </w:rPr>
        <w:t>Un autre défi commun est l’</w:t>
      </w:r>
      <w:r w:rsidRPr="003B1C33">
        <w:rPr>
          <w:rFonts w:ascii="Arial" w:hAnsi="Arial"/>
          <w:b/>
          <w:bCs/>
          <w:sz w:val="26"/>
        </w:rPr>
        <w:t>intermédiation financière non bancaire (</w:t>
      </w:r>
      <w:r w:rsidR="004152F5">
        <w:rPr>
          <w:rFonts w:ascii="Arial" w:hAnsi="Arial"/>
          <w:b/>
          <w:bCs/>
          <w:sz w:val="26"/>
        </w:rPr>
        <w:t>NBFI</w:t>
      </w:r>
      <w:r w:rsidR="004152F5" w:rsidRPr="003B1C33">
        <w:rPr>
          <w:rFonts w:ascii="Arial" w:hAnsi="Arial"/>
          <w:b/>
          <w:bCs/>
          <w:sz w:val="26"/>
        </w:rPr>
        <w:t> </w:t>
      </w:r>
      <w:r w:rsidRPr="003B1C33">
        <w:rPr>
          <w:rStyle w:val="Appeldenotedefin"/>
          <w:rFonts w:ascii="Arial" w:hAnsi="Arial" w:cs="Arial"/>
          <w:b/>
          <w:bCs/>
          <w:sz w:val="26"/>
          <w:szCs w:val="26"/>
          <w:lang w:val="en-US"/>
        </w:rPr>
        <w:endnoteReference w:id="12"/>
      </w:r>
      <w:r w:rsidRPr="003B1C33">
        <w:rPr>
          <w:rFonts w:ascii="Arial" w:hAnsi="Arial"/>
          <w:b/>
          <w:bCs/>
          <w:sz w:val="26"/>
        </w:rPr>
        <w:t>)</w:t>
      </w:r>
      <w:r>
        <w:rPr>
          <w:rFonts w:ascii="Arial" w:hAnsi="Arial"/>
          <w:sz w:val="26"/>
        </w:rPr>
        <w:t xml:space="preserve"> qui reste trop opaque, fortement interconnectée et, dans certains cas, excessivement endettée </w:t>
      </w:r>
      <w:r>
        <w:rPr>
          <w:rStyle w:val="Appeldenotedefin"/>
          <w:rFonts w:ascii="Arial" w:hAnsi="Arial" w:cs="Arial"/>
          <w:sz w:val="26"/>
          <w:szCs w:val="26"/>
          <w:lang w:val="en-US"/>
        </w:rPr>
        <w:endnoteReference w:id="13"/>
      </w:r>
      <w:r>
        <w:rPr>
          <w:rFonts w:ascii="Arial" w:hAnsi="Arial"/>
          <w:sz w:val="26"/>
        </w:rPr>
        <w:t xml:space="preserve">. </w:t>
      </w:r>
    </w:p>
    <w:p w14:paraId="4440BC59" w14:textId="1D73E6AA" w:rsidR="00B85C3B" w:rsidRDefault="00B85C3B" w:rsidP="00B85C3B">
      <w:pPr>
        <w:spacing w:after="0" w:line="360" w:lineRule="auto"/>
        <w:jc w:val="center"/>
        <w:rPr>
          <w:rFonts w:ascii="Arial" w:hAnsi="Arial"/>
          <w:b/>
          <w:sz w:val="26"/>
        </w:rPr>
      </w:pPr>
      <w:r>
        <w:rPr>
          <w:noProof/>
        </w:rPr>
        <w:drawing>
          <wp:inline distT="0" distB="0" distL="0" distR="0" wp14:anchorId="0264C787" wp14:editId="216EA53F">
            <wp:extent cx="3787200" cy="2131200"/>
            <wp:effectExtent l="0" t="0" r="3810" b="2540"/>
            <wp:docPr id="132127787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7787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787200" cy="2131200"/>
                    </a:xfrm>
                    <a:prstGeom prst="rect">
                      <a:avLst/>
                    </a:prstGeom>
                  </pic:spPr>
                </pic:pic>
              </a:graphicData>
            </a:graphic>
          </wp:inline>
        </w:drawing>
      </w:r>
    </w:p>
    <w:p w14:paraId="69686ED6" w14:textId="359F8868" w:rsidR="00875318" w:rsidRDefault="00875318" w:rsidP="00875318">
      <w:pPr>
        <w:spacing w:after="0" w:line="360" w:lineRule="auto"/>
        <w:jc w:val="both"/>
        <w:rPr>
          <w:rFonts w:ascii="Arial" w:hAnsi="Arial" w:cs="Arial"/>
          <w:sz w:val="26"/>
          <w:szCs w:val="26"/>
        </w:rPr>
      </w:pPr>
      <w:r>
        <w:rPr>
          <w:rFonts w:ascii="Arial" w:hAnsi="Arial"/>
          <w:sz w:val="26"/>
        </w:rPr>
        <w:t xml:space="preserve">Les </w:t>
      </w:r>
      <w:proofErr w:type="spellStart"/>
      <w:r>
        <w:rPr>
          <w:rFonts w:ascii="Arial" w:hAnsi="Arial"/>
          <w:i/>
          <w:iCs/>
          <w:sz w:val="26"/>
        </w:rPr>
        <w:t>hedge</w:t>
      </w:r>
      <w:proofErr w:type="spellEnd"/>
      <w:r>
        <w:rPr>
          <w:rFonts w:ascii="Arial" w:hAnsi="Arial"/>
          <w:i/>
          <w:iCs/>
          <w:sz w:val="26"/>
        </w:rPr>
        <w:t xml:space="preserve"> </w:t>
      </w:r>
      <w:proofErr w:type="spellStart"/>
      <w:r>
        <w:rPr>
          <w:rFonts w:ascii="Arial" w:hAnsi="Arial"/>
          <w:i/>
          <w:iCs/>
          <w:sz w:val="26"/>
        </w:rPr>
        <w:t>funds</w:t>
      </w:r>
      <w:proofErr w:type="spellEnd"/>
      <w:r>
        <w:rPr>
          <w:rFonts w:ascii="Arial" w:hAnsi="Arial"/>
          <w:sz w:val="26"/>
        </w:rPr>
        <w:t xml:space="preserve">, dont le recours </w:t>
      </w:r>
      <w:r w:rsidR="00B75DFC">
        <w:rPr>
          <w:rFonts w:ascii="Arial" w:hAnsi="Arial"/>
          <w:sz w:val="26"/>
        </w:rPr>
        <w:t>au levier</w:t>
      </w:r>
      <w:r>
        <w:rPr>
          <w:rFonts w:ascii="Arial" w:hAnsi="Arial"/>
          <w:sz w:val="26"/>
        </w:rPr>
        <w:t xml:space="preserve"> augmente en Europe comme aux États-Unis, représentent aujourd’hui plus de 50 % des </w:t>
      </w:r>
      <w:r w:rsidR="00FD695A">
        <w:rPr>
          <w:rFonts w:ascii="Arial" w:hAnsi="Arial"/>
          <w:sz w:val="26"/>
        </w:rPr>
        <w:t xml:space="preserve">échanges </w:t>
      </w:r>
      <w:r>
        <w:rPr>
          <w:rFonts w:ascii="Arial" w:hAnsi="Arial"/>
          <w:sz w:val="26"/>
        </w:rPr>
        <w:t xml:space="preserve">sur le marché secondaire de la dette publique européenne. Ces fonds opèrent principalement par-delà les frontières, ce qui rend leur surveillance difficile et nécessite une forte coopération internationale pour </w:t>
      </w:r>
      <w:r w:rsidR="00136114">
        <w:rPr>
          <w:rFonts w:ascii="Arial" w:hAnsi="Arial"/>
          <w:sz w:val="26"/>
        </w:rPr>
        <w:t>évalue le</w:t>
      </w:r>
      <w:r>
        <w:rPr>
          <w:rFonts w:ascii="Arial" w:hAnsi="Arial"/>
          <w:sz w:val="26"/>
        </w:rPr>
        <w:t>urs risques. La croissance rapide du crédit privé, qui est en train de transformer le marché des prêts aux entreprises aux États-Unis et prendre de l’ampleur en Europe </w:t>
      </w:r>
      <w:r>
        <w:rPr>
          <w:rStyle w:val="Appeldenotedefin"/>
          <w:rFonts w:ascii="Arial" w:hAnsi="Arial" w:cs="Arial"/>
          <w:sz w:val="26"/>
          <w:szCs w:val="26"/>
          <w:lang w:val="en-US"/>
        </w:rPr>
        <w:endnoteReference w:id="14"/>
      </w:r>
      <w:r>
        <w:rPr>
          <w:rFonts w:ascii="Arial" w:hAnsi="Arial"/>
          <w:sz w:val="26"/>
        </w:rPr>
        <w:t xml:space="preserve">, constitue une autre source d’inquiétude. Bien que le marché reste modeste </w:t>
      </w:r>
      <w:r w:rsidR="00C52035">
        <w:rPr>
          <w:rFonts w:ascii="Arial" w:hAnsi="Arial"/>
          <w:sz w:val="26"/>
        </w:rPr>
        <w:t>par rapport au</w:t>
      </w:r>
      <w:r>
        <w:rPr>
          <w:rFonts w:ascii="Arial" w:hAnsi="Arial"/>
          <w:sz w:val="26"/>
        </w:rPr>
        <w:t xml:space="preserve"> secteur bancaire, ses interconnexions complexes et opaques avec le système financier au sens large nécessitent une coordination étroite afin de surveiller les risques émergents. </w:t>
      </w:r>
      <w:bookmarkStart w:id="0" w:name="_Hlk210925608"/>
    </w:p>
    <w:bookmarkEnd w:id="0"/>
    <w:p w14:paraId="6670FCC7" w14:textId="1127E6A7" w:rsidR="00875318" w:rsidRDefault="00875318" w:rsidP="00875318">
      <w:pPr>
        <w:spacing w:after="0" w:line="360" w:lineRule="auto"/>
        <w:jc w:val="both"/>
        <w:rPr>
          <w:rFonts w:ascii="Arial" w:hAnsi="Arial" w:cs="Arial"/>
          <w:sz w:val="26"/>
          <w:szCs w:val="26"/>
        </w:rPr>
      </w:pPr>
      <w:r>
        <w:rPr>
          <w:rFonts w:ascii="Arial" w:hAnsi="Arial"/>
          <w:sz w:val="26"/>
        </w:rPr>
        <w:t xml:space="preserve">Et si nous progressons ensemble sur ces sujets, nous pourrions revenir à la question des risques liés au climat, ou aux « événements météorologiques extrêmes ». Le moins que l’on puisse dire étant que le changement climatique ne prend pas de vacances, alors </w:t>
      </w:r>
      <w:r w:rsidR="00136114">
        <w:rPr>
          <w:rFonts w:ascii="Arial" w:hAnsi="Arial"/>
          <w:sz w:val="26"/>
        </w:rPr>
        <w:t xml:space="preserve">même </w:t>
      </w:r>
      <w:r>
        <w:rPr>
          <w:rFonts w:ascii="Arial" w:hAnsi="Arial"/>
          <w:sz w:val="26"/>
        </w:rPr>
        <w:t>que nous savons qu’il s’agit actuellement d’un autre désaccord transatlantique.</w:t>
      </w:r>
    </w:p>
    <w:p w14:paraId="179E53DC" w14:textId="6A8B5D35" w:rsidR="00875318" w:rsidRPr="007C08B2" w:rsidRDefault="00875318" w:rsidP="00875318">
      <w:pPr>
        <w:spacing w:before="120" w:after="120" w:line="360" w:lineRule="auto"/>
        <w:jc w:val="both"/>
        <w:rPr>
          <w:rFonts w:ascii="Arial" w:hAnsi="Arial" w:cs="Arial"/>
          <w:i/>
          <w:iCs/>
          <w:sz w:val="26"/>
          <w:szCs w:val="26"/>
        </w:rPr>
      </w:pPr>
      <w:r>
        <w:rPr>
          <w:rFonts w:ascii="Arial" w:hAnsi="Arial"/>
          <w:i/>
          <w:sz w:val="26"/>
        </w:rPr>
        <w:t>Innovation technologique et bouleversements dans la finance</w:t>
      </w:r>
    </w:p>
    <w:p w14:paraId="3003D22D" w14:textId="315B3CBB" w:rsidR="00875318" w:rsidRDefault="00875318" w:rsidP="00875318">
      <w:pPr>
        <w:spacing w:before="120" w:after="120" w:line="360" w:lineRule="auto"/>
        <w:jc w:val="both"/>
        <w:rPr>
          <w:rFonts w:ascii="Arial" w:hAnsi="Arial" w:cs="Arial"/>
          <w:sz w:val="26"/>
          <w:szCs w:val="26"/>
        </w:rPr>
      </w:pPr>
      <w:r>
        <w:rPr>
          <w:rFonts w:ascii="Arial" w:hAnsi="Arial"/>
          <w:sz w:val="26"/>
        </w:rPr>
        <w:lastRenderedPageBreak/>
        <w:t xml:space="preserve">Les bouleversements technologiques dans la finance sont </w:t>
      </w:r>
      <w:r w:rsidR="00C76920">
        <w:rPr>
          <w:rFonts w:ascii="Arial" w:hAnsi="Arial"/>
          <w:sz w:val="26"/>
        </w:rPr>
        <w:t>un deuxième enjeu</w:t>
      </w:r>
      <w:r>
        <w:rPr>
          <w:rFonts w:ascii="Arial" w:hAnsi="Arial"/>
          <w:sz w:val="26"/>
        </w:rPr>
        <w:t xml:space="preserve">. La tokenisation des actifs financiers constitue une innovation majeure, à la promesse double : améliorer l’efficacité des transferts d’actifs, et réduire l’écart entre les canaux d’épargne et les besoins de financement de l’économie réelle. Mais l’essor des </w:t>
      </w:r>
      <w:proofErr w:type="spellStart"/>
      <w:r>
        <w:rPr>
          <w:rFonts w:ascii="Arial" w:hAnsi="Arial"/>
          <w:i/>
          <w:iCs/>
          <w:sz w:val="26"/>
        </w:rPr>
        <w:t>stablecoins</w:t>
      </w:r>
      <w:proofErr w:type="spellEnd"/>
      <w:r>
        <w:rPr>
          <w:rFonts w:ascii="Arial" w:hAnsi="Arial"/>
          <w:sz w:val="26"/>
        </w:rPr>
        <w:t xml:space="preserve"> privés, qui pourraient atteindre une capitalisation boursière comprise entre 500 et 2 000 milliards de dollars d’ici 2028 </w:t>
      </w:r>
      <w:r>
        <w:rPr>
          <w:rStyle w:val="Appeldenotedefin"/>
          <w:rFonts w:ascii="Arial" w:hAnsi="Arial" w:cs="Arial"/>
          <w:sz w:val="26"/>
          <w:szCs w:val="26"/>
          <w:lang w:val="en-US"/>
        </w:rPr>
        <w:endnoteReference w:id="15"/>
      </w:r>
      <w:r>
        <w:rPr>
          <w:rFonts w:ascii="Arial" w:hAnsi="Arial"/>
          <w:sz w:val="26"/>
        </w:rPr>
        <w:t xml:space="preserve">, pose deux défis majeurs : les acteurs financiers traditionnels pourraient être évincés par de nouveaux acteurs technologiques, que ce soit en matière d’actifs de règlement ou d’infrastructures ; et cela pourrait </w:t>
      </w:r>
      <w:r w:rsidR="00921BDA">
        <w:rPr>
          <w:rFonts w:ascii="Arial" w:hAnsi="Arial"/>
          <w:sz w:val="26"/>
        </w:rPr>
        <w:t>fragiliser</w:t>
      </w:r>
      <w:r>
        <w:rPr>
          <w:rFonts w:ascii="Arial" w:hAnsi="Arial"/>
          <w:sz w:val="26"/>
        </w:rPr>
        <w:t xml:space="preserve"> l’équilibre actuel entre la monnaie de banque centrale et la monnaie de banque commerciale, menaçant possiblement la souveraineté monétaire – davantage encore pour les monnaies autres que le dollar, mais aussi à long terme</w:t>
      </w:r>
      <w:r w:rsidR="0096153D" w:rsidRPr="0096153D">
        <w:rPr>
          <w:rFonts w:ascii="Arial" w:hAnsi="Arial"/>
          <w:sz w:val="26"/>
        </w:rPr>
        <w:t xml:space="preserve"> </w:t>
      </w:r>
      <w:r w:rsidR="0096153D">
        <w:rPr>
          <w:rFonts w:ascii="Arial" w:hAnsi="Arial"/>
          <w:sz w:val="26"/>
        </w:rPr>
        <w:t>pour les États-Unis</w:t>
      </w:r>
      <w:r>
        <w:rPr>
          <w:rFonts w:ascii="Arial" w:hAnsi="Arial"/>
          <w:sz w:val="26"/>
        </w:rPr>
        <w:t xml:space="preserve">. Face à ces innovations, la réponse de </w:t>
      </w:r>
      <w:r w:rsidR="0098172C">
        <w:rPr>
          <w:rFonts w:ascii="Arial" w:hAnsi="Arial"/>
          <w:sz w:val="26"/>
        </w:rPr>
        <w:t>notre Eurosystème</w:t>
      </w:r>
      <w:r>
        <w:rPr>
          <w:rFonts w:ascii="Arial" w:hAnsi="Arial"/>
          <w:sz w:val="26"/>
        </w:rPr>
        <w:t>, repose sur trois composantes </w:t>
      </w:r>
      <w:r>
        <w:rPr>
          <w:rStyle w:val="Appeldenotedefin"/>
          <w:rFonts w:ascii="Arial" w:hAnsi="Arial" w:cs="Arial"/>
          <w:sz w:val="26"/>
          <w:szCs w:val="26"/>
          <w:lang w:val="en-US"/>
        </w:rPr>
        <w:endnoteReference w:id="16"/>
      </w:r>
      <w:r>
        <w:rPr>
          <w:rFonts w:ascii="Arial" w:hAnsi="Arial"/>
          <w:sz w:val="26"/>
        </w:rPr>
        <w:t xml:space="preserve"> : une monnaie numérique de banque centrale, la possibilité d’une monnaie commerciale </w:t>
      </w:r>
      <w:proofErr w:type="spellStart"/>
      <w:r>
        <w:rPr>
          <w:rFonts w:ascii="Arial" w:hAnsi="Arial"/>
          <w:sz w:val="26"/>
        </w:rPr>
        <w:t>tokenisée</w:t>
      </w:r>
      <w:proofErr w:type="spellEnd"/>
      <w:r>
        <w:rPr>
          <w:rFonts w:ascii="Arial" w:hAnsi="Arial"/>
          <w:sz w:val="26"/>
        </w:rPr>
        <w:t xml:space="preserve"> et la réglementation. Je salue le fait que les autorités américaines commencent également à se pencher sur le sujet, avec la récente loi GENIUS. </w:t>
      </w:r>
      <w:r w:rsidR="005F78E9">
        <w:rPr>
          <w:rFonts w:ascii="Arial" w:hAnsi="Arial"/>
          <w:sz w:val="26"/>
        </w:rPr>
        <w:t xml:space="preserve">Si nos </w:t>
      </w:r>
      <w:r>
        <w:rPr>
          <w:rFonts w:ascii="Arial" w:hAnsi="Arial"/>
          <w:sz w:val="26"/>
        </w:rPr>
        <w:t xml:space="preserve">approches peuvent parfois différer, il est essentiel de poursuivre la coopération réglementaire et le soutien aux actifs de règlement interopérables afin de tirer pleinement parti du potentiel de la révolution </w:t>
      </w:r>
      <w:r w:rsidR="00921BDA">
        <w:rPr>
          <w:rFonts w:ascii="Arial" w:hAnsi="Arial"/>
          <w:sz w:val="26"/>
        </w:rPr>
        <w:t>de</w:t>
      </w:r>
      <w:r>
        <w:rPr>
          <w:rFonts w:ascii="Arial" w:hAnsi="Arial"/>
          <w:sz w:val="26"/>
        </w:rPr>
        <w:t xml:space="preserve"> la tokenisation. </w:t>
      </w:r>
    </w:p>
    <w:p w14:paraId="1DA2C51E" w14:textId="402CBEC8" w:rsidR="00875318" w:rsidRPr="00F81F9E" w:rsidRDefault="00875318" w:rsidP="00875318">
      <w:pPr>
        <w:spacing w:before="120" w:after="120" w:line="360" w:lineRule="auto"/>
        <w:jc w:val="both"/>
        <w:rPr>
          <w:rFonts w:ascii="Arial" w:hAnsi="Arial" w:cs="Arial"/>
          <w:i/>
          <w:iCs/>
          <w:sz w:val="26"/>
          <w:szCs w:val="26"/>
        </w:rPr>
      </w:pPr>
      <w:r>
        <w:rPr>
          <w:rFonts w:ascii="Arial" w:hAnsi="Arial"/>
          <w:i/>
          <w:sz w:val="26"/>
        </w:rPr>
        <w:t xml:space="preserve">Dette publique et vieillissement </w:t>
      </w:r>
      <w:r w:rsidR="007521A3">
        <w:rPr>
          <w:rFonts w:ascii="Arial" w:hAnsi="Arial"/>
          <w:i/>
          <w:sz w:val="26"/>
        </w:rPr>
        <w:t>démographique</w:t>
      </w:r>
    </w:p>
    <w:p w14:paraId="3B9089DD" w14:textId="3305AAC5" w:rsidR="00B85C3B" w:rsidRDefault="00733F00" w:rsidP="00875318">
      <w:pPr>
        <w:spacing w:before="120" w:after="120" w:line="360" w:lineRule="auto"/>
        <w:jc w:val="both"/>
        <w:rPr>
          <w:rFonts w:ascii="Arial" w:hAnsi="Arial"/>
          <w:sz w:val="26"/>
        </w:rPr>
      </w:pPr>
      <w:r>
        <w:rPr>
          <w:rFonts w:ascii="Arial" w:hAnsi="Arial"/>
          <w:sz w:val="26"/>
        </w:rPr>
        <w:t>Le troisième enjeu</w:t>
      </w:r>
      <w:r w:rsidR="00875318">
        <w:rPr>
          <w:rFonts w:ascii="Arial" w:hAnsi="Arial"/>
          <w:sz w:val="26"/>
        </w:rPr>
        <w:t xml:space="preserve"> mondial est </w:t>
      </w:r>
      <w:r>
        <w:rPr>
          <w:rFonts w:ascii="Arial" w:hAnsi="Arial"/>
          <w:sz w:val="26"/>
        </w:rPr>
        <w:t xml:space="preserve">celui </w:t>
      </w:r>
      <w:r w:rsidR="00875318">
        <w:rPr>
          <w:rFonts w:ascii="Arial" w:hAnsi="Arial"/>
          <w:sz w:val="26"/>
        </w:rPr>
        <w:t xml:space="preserve">de la dette publique et du vieillissement </w:t>
      </w:r>
      <w:r w:rsidR="004A1D97">
        <w:rPr>
          <w:rFonts w:ascii="Arial" w:hAnsi="Arial"/>
          <w:sz w:val="26"/>
        </w:rPr>
        <w:t>démographique</w:t>
      </w:r>
      <w:r w:rsidR="00875318">
        <w:rPr>
          <w:rFonts w:ascii="Arial" w:hAnsi="Arial"/>
          <w:sz w:val="26"/>
        </w:rPr>
        <w:t xml:space="preserve">. Un Français n’est </w:t>
      </w:r>
      <w:r w:rsidR="00273809">
        <w:rPr>
          <w:rFonts w:ascii="Arial" w:hAnsi="Arial"/>
          <w:sz w:val="26"/>
        </w:rPr>
        <w:t>certes pas en mesure actuellement de donner des leçons à ce sujet</w:t>
      </w:r>
      <w:r w:rsidR="00875318">
        <w:rPr>
          <w:rFonts w:ascii="Arial" w:hAnsi="Arial"/>
          <w:sz w:val="26"/>
        </w:rPr>
        <w:t xml:space="preserve"> – même si la Banque de France </w:t>
      </w:r>
      <w:r w:rsidR="00C26B64">
        <w:rPr>
          <w:rFonts w:ascii="Arial" w:hAnsi="Arial"/>
          <w:sz w:val="26"/>
        </w:rPr>
        <w:t>plaide constamment et fortement pour la réduction des déficits</w:t>
      </w:r>
      <w:r w:rsidR="00921BDA">
        <w:rPr>
          <w:rFonts w:ascii="Arial" w:hAnsi="Arial"/>
          <w:sz w:val="26"/>
        </w:rPr>
        <w:t>,</w:t>
      </w:r>
      <w:r w:rsidR="00875318">
        <w:rPr>
          <w:rFonts w:ascii="Arial" w:hAnsi="Arial"/>
          <w:sz w:val="26"/>
        </w:rPr>
        <w:t xml:space="preserve"> </w:t>
      </w:r>
      <w:r w:rsidR="00C26B64">
        <w:rPr>
          <w:rFonts w:ascii="Arial" w:hAnsi="Arial"/>
          <w:sz w:val="26"/>
        </w:rPr>
        <w:t xml:space="preserve">y compris </w:t>
      </w:r>
      <w:r w:rsidR="00875318">
        <w:rPr>
          <w:rFonts w:ascii="Arial" w:hAnsi="Arial"/>
          <w:sz w:val="26"/>
        </w:rPr>
        <w:t xml:space="preserve">en 2026. Mais je peux </w:t>
      </w:r>
      <w:r w:rsidR="00093C87">
        <w:rPr>
          <w:rFonts w:ascii="Arial" w:hAnsi="Arial"/>
          <w:sz w:val="26"/>
        </w:rPr>
        <w:t xml:space="preserve">relever </w:t>
      </w:r>
      <w:r w:rsidR="00875318">
        <w:rPr>
          <w:rFonts w:ascii="Arial" w:hAnsi="Arial"/>
          <w:sz w:val="26"/>
        </w:rPr>
        <w:t>que c’est</w:t>
      </w:r>
      <w:r w:rsidR="00B418D1">
        <w:rPr>
          <w:rFonts w:ascii="Arial" w:hAnsi="Arial"/>
          <w:sz w:val="26"/>
        </w:rPr>
        <w:t>, malheureusement,</w:t>
      </w:r>
      <w:r w:rsidR="00875318">
        <w:rPr>
          <w:rFonts w:ascii="Arial" w:hAnsi="Arial"/>
          <w:sz w:val="26"/>
        </w:rPr>
        <w:t xml:space="preserve"> un défi commun </w:t>
      </w:r>
      <w:r w:rsidR="00D20867">
        <w:rPr>
          <w:rFonts w:ascii="Arial" w:hAnsi="Arial"/>
          <w:sz w:val="26"/>
        </w:rPr>
        <w:t xml:space="preserve">pour </w:t>
      </w:r>
      <w:r w:rsidR="00875318">
        <w:rPr>
          <w:rFonts w:ascii="Arial" w:hAnsi="Arial"/>
          <w:sz w:val="26"/>
        </w:rPr>
        <w:t>la plupart des économies avancées. La dette publique représente plus de 120 % du PIB aux États-Unis, et se situe autour de 90 % dans la zone euro </w:t>
      </w:r>
      <w:r w:rsidR="00875318">
        <w:rPr>
          <w:rStyle w:val="Appeldenotedefin"/>
          <w:rFonts w:ascii="Arial" w:hAnsi="Arial" w:cs="Arial"/>
          <w:sz w:val="26"/>
          <w:szCs w:val="26"/>
          <w:lang w:val="en-US"/>
        </w:rPr>
        <w:endnoteReference w:id="17"/>
      </w:r>
      <w:r w:rsidR="00875318">
        <w:rPr>
          <w:rFonts w:ascii="Arial" w:hAnsi="Arial"/>
          <w:sz w:val="26"/>
        </w:rPr>
        <w:t> – mais elle dépasse les 100 % dans de nombreux pays</w:t>
      </w:r>
      <w:r w:rsidR="00B85C3B">
        <w:rPr>
          <w:rFonts w:ascii="Arial" w:hAnsi="Arial"/>
          <w:sz w:val="26"/>
        </w:rPr>
        <w:t>.</w:t>
      </w:r>
    </w:p>
    <w:p w14:paraId="537353C9" w14:textId="69FFE5D3" w:rsidR="00B85C3B" w:rsidRDefault="00B85C3B" w:rsidP="00B85C3B">
      <w:pPr>
        <w:spacing w:before="120" w:after="120" w:line="360" w:lineRule="auto"/>
        <w:jc w:val="center"/>
        <w:rPr>
          <w:rFonts w:ascii="Arial" w:hAnsi="Arial"/>
          <w:sz w:val="26"/>
        </w:rPr>
      </w:pPr>
      <w:r>
        <w:rPr>
          <w:noProof/>
        </w:rPr>
        <w:lastRenderedPageBreak/>
        <w:drawing>
          <wp:inline distT="0" distB="0" distL="0" distR="0" wp14:anchorId="1920B927" wp14:editId="42299D2A">
            <wp:extent cx="3787200" cy="2131200"/>
            <wp:effectExtent l="0" t="0" r="3810" b="2540"/>
            <wp:docPr id="161076707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6707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787200" cy="2131200"/>
                    </a:xfrm>
                    <a:prstGeom prst="rect">
                      <a:avLst/>
                    </a:prstGeom>
                  </pic:spPr>
                </pic:pic>
              </a:graphicData>
            </a:graphic>
          </wp:inline>
        </w:drawing>
      </w:r>
    </w:p>
    <w:p w14:paraId="0870CF4B" w14:textId="334AA08D" w:rsidR="00875318" w:rsidRDefault="00875318" w:rsidP="00875318">
      <w:pPr>
        <w:spacing w:before="120" w:after="120" w:line="360" w:lineRule="auto"/>
        <w:jc w:val="both"/>
        <w:rPr>
          <w:rFonts w:ascii="Arial" w:hAnsi="Arial"/>
          <w:sz w:val="26"/>
        </w:rPr>
      </w:pPr>
      <w:r>
        <w:rPr>
          <w:rFonts w:ascii="Arial" w:hAnsi="Arial"/>
          <w:sz w:val="26"/>
        </w:rPr>
        <w:t xml:space="preserve">C’est à l’évidence un problème de long terme et intergénérationnel : la politique budgétaire doit tout d’abord stabiliser, puis réduire le poids de la dette publique. Dans ce contexte, il </w:t>
      </w:r>
      <w:r w:rsidR="00A64571">
        <w:rPr>
          <w:rFonts w:ascii="Arial" w:hAnsi="Arial"/>
          <w:sz w:val="26"/>
        </w:rPr>
        <w:t>y a un</w:t>
      </w:r>
      <w:r>
        <w:rPr>
          <w:rFonts w:ascii="Arial" w:hAnsi="Arial"/>
          <w:sz w:val="26"/>
        </w:rPr>
        <w:t xml:space="preserve"> intérêt </w:t>
      </w:r>
      <w:r w:rsidR="00A64571">
        <w:rPr>
          <w:rFonts w:ascii="Arial" w:hAnsi="Arial"/>
          <w:sz w:val="26"/>
        </w:rPr>
        <w:t>commun à</w:t>
      </w:r>
      <w:r>
        <w:rPr>
          <w:rFonts w:ascii="Arial" w:hAnsi="Arial"/>
          <w:sz w:val="26"/>
        </w:rPr>
        <w:t xml:space="preserve"> lutter contre l’évasion et </w:t>
      </w:r>
      <w:r w:rsidR="008A2F8D">
        <w:rPr>
          <w:rFonts w:ascii="Arial" w:hAnsi="Arial"/>
          <w:sz w:val="26"/>
        </w:rPr>
        <w:t>l’optimisation</w:t>
      </w:r>
      <w:r>
        <w:rPr>
          <w:rFonts w:ascii="Arial" w:hAnsi="Arial"/>
          <w:sz w:val="26"/>
        </w:rPr>
        <w:t xml:space="preserve"> fiscales internationales, et </w:t>
      </w:r>
      <w:r w:rsidR="00921BDA">
        <w:rPr>
          <w:rFonts w:ascii="Arial" w:hAnsi="Arial"/>
          <w:sz w:val="26"/>
        </w:rPr>
        <w:t xml:space="preserve">à </w:t>
      </w:r>
      <w:r>
        <w:rPr>
          <w:rFonts w:ascii="Arial" w:hAnsi="Arial"/>
          <w:sz w:val="26"/>
        </w:rPr>
        <w:t xml:space="preserve">établir un comparatif des solutions les plus efficaces en termes de </w:t>
      </w:r>
      <w:r w:rsidR="003153FC">
        <w:rPr>
          <w:rFonts w:ascii="Arial" w:hAnsi="Arial"/>
          <w:sz w:val="26"/>
        </w:rPr>
        <w:t>rapport qualité/coût</w:t>
      </w:r>
      <w:r>
        <w:rPr>
          <w:rFonts w:ascii="Arial" w:hAnsi="Arial"/>
          <w:sz w:val="26"/>
        </w:rPr>
        <w:t xml:space="preserve"> dans </w:t>
      </w:r>
      <w:r w:rsidR="008A2F8D">
        <w:rPr>
          <w:rFonts w:ascii="Arial" w:hAnsi="Arial"/>
          <w:sz w:val="26"/>
        </w:rPr>
        <w:t>beaucoup de domaines</w:t>
      </w:r>
      <w:r>
        <w:rPr>
          <w:rFonts w:ascii="Arial" w:hAnsi="Arial"/>
          <w:sz w:val="26"/>
        </w:rPr>
        <w:t xml:space="preserve">, de l’éducation à la santé. En outre, les déficits publics sont partiellement responsables des déséquilibres mondiaux, parallèlement au manque d’investissement dans </w:t>
      </w:r>
      <w:r w:rsidRPr="00F64961">
        <w:rPr>
          <w:rFonts w:ascii="Arial" w:hAnsi="Arial"/>
          <w:sz w:val="26"/>
        </w:rPr>
        <w:t>certaines juridictions</w:t>
      </w:r>
      <w:r w:rsidR="000200D1" w:rsidRPr="00F64961">
        <w:rPr>
          <w:rFonts w:ascii="Arial" w:hAnsi="Arial"/>
          <w:sz w:val="26"/>
        </w:rPr>
        <w:t xml:space="preserve"> et à des pratiques spécifiques dans certains pays comme la Chine</w:t>
      </w:r>
      <w:r w:rsidRPr="00F64961">
        <w:rPr>
          <w:rFonts w:ascii="Arial" w:hAnsi="Arial"/>
          <w:sz w:val="26"/>
        </w:rPr>
        <w:t>. Plutôt</w:t>
      </w:r>
      <w:r>
        <w:rPr>
          <w:rFonts w:ascii="Arial" w:hAnsi="Arial"/>
          <w:sz w:val="26"/>
        </w:rPr>
        <w:t xml:space="preserve"> que d’opposer ces explications, nous devons reconnaître qu’elles sont toutes deux valables, et progresser dans notre dialogue transatlantique d’ici à l’année prochaine – lorsque les États-Unis assureront la présidence du G20, et la France celle du G7. Ce n’est qu’avec plus d’efficacité budgétaire que nous serons en mesure de financer les investissements nécessaires pour répondre aux besoins structurels de nos économies, tels que le vieillissement démographique, les dépenses de défense et, bien sûr, la transition climatique. </w:t>
      </w:r>
    </w:p>
    <w:p w14:paraId="6ACD16FB" w14:textId="77777777" w:rsidR="00875318" w:rsidRPr="008309BE" w:rsidRDefault="00875318" w:rsidP="00875318">
      <w:pPr>
        <w:spacing w:before="120" w:after="120" w:line="360" w:lineRule="auto"/>
        <w:jc w:val="center"/>
        <w:rPr>
          <w:rFonts w:ascii="Arial" w:hAnsi="Arial"/>
          <w:sz w:val="26"/>
        </w:rPr>
      </w:pPr>
      <w:r>
        <w:rPr>
          <w:rFonts w:ascii="Arial" w:hAnsi="Arial"/>
          <w:sz w:val="26"/>
        </w:rPr>
        <w:t>*</w:t>
      </w:r>
    </w:p>
    <w:p w14:paraId="58F797DD" w14:textId="77777777" w:rsidR="00875318" w:rsidRDefault="00875318" w:rsidP="00875318">
      <w:pPr>
        <w:spacing w:after="0" w:line="360" w:lineRule="auto"/>
        <w:jc w:val="both"/>
        <w:rPr>
          <w:rFonts w:ascii="Arial" w:hAnsi="Arial" w:cs="Arial"/>
          <w:sz w:val="26"/>
          <w:szCs w:val="26"/>
        </w:rPr>
      </w:pPr>
      <w:r>
        <w:rPr>
          <w:rFonts w:ascii="Arial" w:hAnsi="Arial"/>
          <w:sz w:val="26"/>
        </w:rPr>
        <w:t>Permettez-moi de conclure par ces mots du président George Washington : « La véritable amitié est une plante qui pousse lentement, et qui doit subir et surmonter les chocs de l’adversité avant de pouvoir en mériter le nom » </w:t>
      </w:r>
      <w:r>
        <w:rPr>
          <w:rStyle w:val="Appeldenotedefin"/>
          <w:rFonts w:ascii="Arial" w:hAnsi="Arial" w:cs="Arial"/>
          <w:sz w:val="26"/>
          <w:szCs w:val="26"/>
          <w:lang w:val="en-US"/>
        </w:rPr>
        <w:endnoteReference w:id="18"/>
      </w:r>
      <w:r>
        <w:rPr>
          <w:rFonts w:ascii="Arial" w:hAnsi="Arial"/>
          <w:sz w:val="26"/>
        </w:rPr>
        <w:t xml:space="preserve">. Si l’Europe et les États-Unis sont aujourd’hui confrontés à de réelles divergences, ils partagent néanmoins des intérêts profonds et durables qui appellent un </w:t>
      </w:r>
      <w:r>
        <w:rPr>
          <w:rFonts w:ascii="Arial" w:hAnsi="Arial"/>
          <w:sz w:val="26"/>
        </w:rPr>
        <w:lastRenderedPageBreak/>
        <w:t>dialogue exigeant mais pragmatique. En parallèle, l’Europe dispose désormais des moyens de renforcer sa souveraineté économique et financière et de devenir un partenaire encore plus vigoureux des États-Unis. Je vous remercie de votre attention.</w:t>
      </w:r>
    </w:p>
    <w:p w14:paraId="4A7E789C" w14:textId="77777777" w:rsidR="00875318" w:rsidRDefault="00875318" w:rsidP="00DF10E2">
      <w:pPr>
        <w:spacing w:after="0" w:line="360" w:lineRule="auto"/>
        <w:jc w:val="both"/>
        <w:rPr>
          <w:rFonts w:ascii="Arial" w:hAnsi="Arial" w:cs="Arial"/>
          <w:sz w:val="26"/>
          <w:szCs w:val="26"/>
        </w:rPr>
      </w:pPr>
    </w:p>
    <w:p w14:paraId="49D92868" w14:textId="77777777" w:rsidR="00622984" w:rsidRDefault="00622984" w:rsidP="00DF10E2">
      <w:pPr>
        <w:spacing w:after="0" w:line="360" w:lineRule="auto"/>
        <w:jc w:val="both"/>
        <w:rPr>
          <w:rFonts w:ascii="Arial" w:hAnsi="Arial" w:cs="Arial"/>
          <w:sz w:val="26"/>
          <w:szCs w:val="26"/>
        </w:rPr>
      </w:pPr>
    </w:p>
    <w:p w14:paraId="03B363F8" w14:textId="77777777" w:rsidR="00622984" w:rsidRDefault="00622984" w:rsidP="00DF10E2">
      <w:pPr>
        <w:spacing w:after="0" w:line="360" w:lineRule="auto"/>
        <w:jc w:val="both"/>
        <w:rPr>
          <w:rFonts w:ascii="Arial" w:hAnsi="Arial" w:cs="Arial"/>
          <w:sz w:val="26"/>
          <w:szCs w:val="26"/>
        </w:rPr>
      </w:pPr>
    </w:p>
    <w:p w14:paraId="2FBAD4D9" w14:textId="77777777" w:rsidR="00622984" w:rsidRDefault="00622984" w:rsidP="00DF10E2">
      <w:pPr>
        <w:spacing w:after="0" w:line="360" w:lineRule="auto"/>
        <w:jc w:val="both"/>
        <w:rPr>
          <w:rFonts w:ascii="Arial" w:hAnsi="Arial" w:cs="Arial"/>
          <w:sz w:val="26"/>
          <w:szCs w:val="26"/>
        </w:rPr>
      </w:pPr>
    </w:p>
    <w:p w14:paraId="37425890" w14:textId="77777777" w:rsidR="004052F6" w:rsidRDefault="004052F6" w:rsidP="00DF10E2">
      <w:pPr>
        <w:spacing w:after="0" w:line="360" w:lineRule="auto"/>
        <w:jc w:val="both"/>
        <w:rPr>
          <w:rFonts w:ascii="Arial" w:hAnsi="Arial" w:cs="Arial"/>
          <w:sz w:val="26"/>
          <w:szCs w:val="26"/>
        </w:rPr>
      </w:pPr>
    </w:p>
    <w:p w14:paraId="18B2BAF2" w14:textId="77777777" w:rsidR="004052F6" w:rsidRDefault="004052F6" w:rsidP="00DF10E2">
      <w:pPr>
        <w:spacing w:after="0" w:line="360" w:lineRule="auto"/>
        <w:jc w:val="both"/>
        <w:rPr>
          <w:rFonts w:ascii="Arial" w:hAnsi="Arial" w:cs="Arial"/>
          <w:sz w:val="26"/>
          <w:szCs w:val="26"/>
        </w:rPr>
      </w:pPr>
    </w:p>
    <w:p w14:paraId="61772D7E" w14:textId="77777777" w:rsidR="004052F6" w:rsidRDefault="004052F6" w:rsidP="00DF10E2">
      <w:pPr>
        <w:spacing w:after="0" w:line="360" w:lineRule="auto"/>
        <w:jc w:val="both"/>
        <w:rPr>
          <w:rFonts w:ascii="Arial" w:hAnsi="Arial" w:cs="Arial"/>
          <w:sz w:val="26"/>
          <w:szCs w:val="26"/>
        </w:rPr>
      </w:pPr>
    </w:p>
    <w:p w14:paraId="1E2863AC" w14:textId="77777777" w:rsidR="00B85C3B" w:rsidRDefault="00B85C3B" w:rsidP="00DF10E2">
      <w:pPr>
        <w:spacing w:after="0" w:line="360" w:lineRule="auto"/>
        <w:jc w:val="both"/>
        <w:rPr>
          <w:rFonts w:ascii="Arial" w:hAnsi="Arial" w:cs="Arial"/>
          <w:sz w:val="26"/>
          <w:szCs w:val="26"/>
        </w:rPr>
      </w:pPr>
    </w:p>
    <w:p w14:paraId="0BF98781" w14:textId="77777777" w:rsidR="00B85C3B" w:rsidRDefault="00B85C3B" w:rsidP="00DF10E2">
      <w:pPr>
        <w:spacing w:after="0" w:line="360" w:lineRule="auto"/>
        <w:jc w:val="both"/>
        <w:rPr>
          <w:rFonts w:ascii="Arial" w:hAnsi="Arial" w:cs="Arial"/>
          <w:sz w:val="26"/>
          <w:szCs w:val="26"/>
        </w:rPr>
      </w:pPr>
    </w:p>
    <w:p w14:paraId="1206A550" w14:textId="77777777" w:rsidR="00B85C3B" w:rsidRDefault="00B85C3B" w:rsidP="00DF10E2">
      <w:pPr>
        <w:spacing w:after="0" w:line="360" w:lineRule="auto"/>
        <w:jc w:val="both"/>
        <w:rPr>
          <w:rFonts w:ascii="Arial" w:hAnsi="Arial" w:cs="Arial"/>
          <w:sz w:val="26"/>
          <w:szCs w:val="26"/>
        </w:rPr>
      </w:pPr>
    </w:p>
    <w:p w14:paraId="46DA8176" w14:textId="77777777" w:rsidR="00B85C3B" w:rsidRDefault="00B85C3B" w:rsidP="00DF10E2">
      <w:pPr>
        <w:spacing w:after="0" w:line="360" w:lineRule="auto"/>
        <w:jc w:val="both"/>
        <w:rPr>
          <w:rFonts w:ascii="Arial" w:hAnsi="Arial" w:cs="Arial"/>
          <w:sz w:val="26"/>
          <w:szCs w:val="26"/>
        </w:rPr>
      </w:pPr>
    </w:p>
    <w:p w14:paraId="2E66EBFF" w14:textId="77777777" w:rsidR="00B85C3B" w:rsidRDefault="00B85C3B" w:rsidP="00DF10E2">
      <w:pPr>
        <w:spacing w:after="0" w:line="360" w:lineRule="auto"/>
        <w:jc w:val="both"/>
        <w:rPr>
          <w:rFonts w:ascii="Arial" w:hAnsi="Arial" w:cs="Arial"/>
          <w:sz w:val="26"/>
          <w:szCs w:val="26"/>
        </w:rPr>
      </w:pPr>
    </w:p>
    <w:p w14:paraId="4FFD7121" w14:textId="77777777" w:rsidR="00B85C3B" w:rsidRDefault="00B85C3B" w:rsidP="00DF10E2">
      <w:pPr>
        <w:spacing w:after="0" w:line="360" w:lineRule="auto"/>
        <w:jc w:val="both"/>
        <w:rPr>
          <w:rFonts w:ascii="Arial" w:hAnsi="Arial" w:cs="Arial"/>
          <w:sz w:val="26"/>
          <w:szCs w:val="26"/>
        </w:rPr>
      </w:pPr>
    </w:p>
    <w:p w14:paraId="50A2B27E" w14:textId="77777777" w:rsidR="00B85C3B" w:rsidRDefault="00B85C3B" w:rsidP="00DF10E2">
      <w:pPr>
        <w:spacing w:after="0" w:line="360" w:lineRule="auto"/>
        <w:jc w:val="both"/>
        <w:rPr>
          <w:rFonts w:ascii="Arial" w:hAnsi="Arial" w:cs="Arial"/>
          <w:sz w:val="26"/>
          <w:szCs w:val="26"/>
        </w:rPr>
      </w:pPr>
    </w:p>
    <w:p w14:paraId="69DC63F1" w14:textId="77777777" w:rsidR="00B85C3B" w:rsidRDefault="00B85C3B" w:rsidP="00DF10E2">
      <w:pPr>
        <w:spacing w:after="0" w:line="360" w:lineRule="auto"/>
        <w:jc w:val="both"/>
        <w:rPr>
          <w:rFonts w:ascii="Arial" w:hAnsi="Arial" w:cs="Arial"/>
          <w:sz w:val="26"/>
          <w:szCs w:val="26"/>
        </w:rPr>
      </w:pPr>
    </w:p>
    <w:p w14:paraId="74425ADF" w14:textId="77777777" w:rsidR="00B85C3B" w:rsidRDefault="00B85C3B" w:rsidP="00DF10E2">
      <w:pPr>
        <w:spacing w:after="0" w:line="360" w:lineRule="auto"/>
        <w:jc w:val="both"/>
        <w:rPr>
          <w:rFonts w:ascii="Arial" w:hAnsi="Arial" w:cs="Arial"/>
          <w:sz w:val="26"/>
          <w:szCs w:val="26"/>
        </w:rPr>
      </w:pPr>
    </w:p>
    <w:p w14:paraId="4861A41C" w14:textId="77777777" w:rsidR="00B85C3B" w:rsidRDefault="00B85C3B" w:rsidP="00DF10E2">
      <w:pPr>
        <w:spacing w:after="0" w:line="360" w:lineRule="auto"/>
        <w:jc w:val="both"/>
        <w:rPr>
          <w:rFonts w:ascii="Arial" w:hAnsi="Arial" w:cs="Arial"/>
          <w:sz w:val="26"/>
          <w:szCs w:val="26"/>
        </w:rPr>
      </w:pPr>
    </w:p>
    <w:p w14:paraId="3C999DB9" w14:textId="77777777" w:rsidR="00B85C3B" w:rsidRDefault="00B85C3B" w:rsidP="00DF10E2">
      <w:pPr>
        <w:spacing w:after="0" w:line="360" w:lineRule="auto"/>
        <w:jc w:val="both"/>
        <w:rPr>
          <w:rFonts w:ascii="Arial" w:hAnsi="Arial" w:cs="Arial"/>
          <w:sz w:val="26"/>
          <w:szCs w:val="26"/>
        </w:rPr>
      </w:pPr>
    </w:p>
    <w:p w14:paraId="1D883C87" w14:textId="77777777" w:rsidR="00B85C3B" w:rsidRDefault="00B85C3B" w:rsidP="00DF10E2">
      <w:pPr>
        <w:spacing w:after="0" w:line="360" w:lineRule="auto"/>
        <w:jc w:val="both"/>
        <w:rPr>
          <w:rFonts w:ascii="Arial" w:hAnsi="Arial" w:cs="Arial"/>
          <w:sz w:val="26"/>
          <w:szCs w:val="26"/>
        </w:rPr>
      </w:pPr>
    </w:p>
    <w:p w14:paraId="63B3BAB5" w14:textId="77777777" w:rsidR="00B85C3B" w:rsidRDefault="00B85C3B" w:rsidP="00DF10E2">
      <w:pPr>
        <w:spacing w:after="0" w:line="360" w:lineRule="auto"/>
        <w:jc w:val="both"/>
        <w:rPr>
          <w:rFonts w:ascii="Arial" w:hAnsi="Arial" w:cs="Arial"/>
          <w:sz w:val="26"/>
          <w:szCs w:val="26"/>
        </w:rPr>
      </w:pPr>
    </w:p>
    <w:p w14:paraId="29CE2CB3" w14:textId="77777777" w:rsidR="00B85C3B" w:rsidRDefault="00B85C3B" w:rsidP="00DF10E2">
      <w:pPr>
        <w:spacing w:after="0" w:line="360" w:lineRule="auto"/>
        <w:jc w:val="both"/>
        <w:rPr>
          <w:rFonts w:ascii="Arial" w:hAnsi="Arial" w:cs="Arial"/>
          <w:sz w:val="26"/>
          <w:szCs w:val="26"/>
        </w:rPr>
      </w:pPr>
    </w:p>
    <w:p w14:paraId="345D64CC" w14:textId="77777777" w:rsidR="00B85C3B" w:rsidRDefault="00B85C3B" w:rsidP="00DF10E2">
      <w:pPr>
        <w:spacing w:after="0" w:line="360" w:lineRule="auto"/>
        <w:jc w:val="both"/>
        <w:rPr>
          <w:rFonts w:ascii="Arial" w:hAnsi="Arial" w:cs="Arial"/>
          <w:sz w:val="26"/>
          <w:szCs w:val="26"/>
        </w:rPr>
      </w:pPr>
    </w:p>
    <w:p w14:paraId="144929C2" w14:textId="77777777" w:rsidR="00B85C3B" w:rsidRDefault="00B85C3B" w:rsidP="00DF10E2">
      <w:pPr>
        <w:spacing w:after="0" w:line="360" w:lineRule="auto"/>
        <w:jc w:val="both"/>
        <w:rPr>
          <w:rFonts w:ascii="Arial" w:hAnsi="Arial" w:cs="Arial"/>
          <w:sz w:val="26"/>
          <w:szCs w:val="26"/>
        </w:rPr>
      </w:pPr>
    </w:p>
    <w:p w14:paraId="3777001A" w14:textId="77777777" w:rsidR="00B85C3B" w:rsidRDefault="00B85C3B" w:rsidP="00DF10E2">
      <w:pPr>
        <w:spacing w:after="0" w:line="360" w:lineRule="auto"/>
        <w:jc w:val="both"/>
        <w:rPr>
          <w:rFonts w:ascii="Arial" w:hAnsi="Arial" w:cs="Arial"/>
          <w:sz w:val="26"/>
          <w:szCs w:val="26"/>
        </w:rPr>
      </w:pPr>
    </w:p>
    <w:p w14:paraId="4606E55B" w14:textId="77777777" w:rsidR="004052F6" w:rsidRDefault="004052F6" w:rsidP="00DF10E2">
      <w:pPr>
        <w:spacing w:after="0" w:line="360" w:lineRule="auto"/>
        <w:jc w:val="both"/>
        <w:rPr>
          <w:rFonts w:ascii="Arial" w:hAnsi="Arial" w:cs="Arial"/>
          <w:sz w:val="26"/>
          <w:szCs w:val="26"/>
        </w:rPr>
      </w:pPr>
    </w:p>
    <w:p w14:paraId="6E65324E" w14:textId="77777777" w:rsidR="004052F6" w:rsidRPr="00E928CD" w:rsidRDefault="004052F6" w:rsidP="00DF10E2">
      <w:pPr>
        <w:spacing w:after="0" w:line="360" w:lineRule="auto"/>
        <w:jc w:val="both"/>
        <w:rPr>
          <w:rFonts w:ascii="Arial" w:hAnsi="Arial" w:cs="Arial"/>
          <w:sz w:val="26"/>
          <w:szCs w:val="26"/>
        </w:rPr>
      </w:pPr>
    </w:p>
    <w:sectPr w:rsidR="004052F6" w:rsidRPr="00E928CD" w:rsidSect="00AE02A0">
      <w:headerReference w:type="default" r:id="rId21"/>
      <w:pgSz w:w="11906" w:h="16838"/>
      <w:pgMar w:top="1417" w:right="1417" w:bottom="127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12A62" w14:textId="77777777" w:rsidR="007F2CFF" w:rsidRDefault="007F2CFF" w:rsidP="00703373">
      <w:pPr>
        <w:spacing w:after="0" w:line="240" w:lineRule="auto"/>
      </w:pPr>
      <w:r>
        <w:separator/>
      </w:r>
    </w:p>
  </w:endnote>
  <w:endnote w:type="continuationSeparator" w:id="0">
    <w:p w14:paraId="3871515F" w14:textId="77777777" w:rsidR="007F2CFF" w:rsidRDefault="007F2CFF" w:rsidP="00703373">
      <w:pPr>
        <w:spacing w:after="0" w:line="240" w:lineRule="auto"/>
      </w:pPr>
      <w:r>
        <w:continuationSeparator/>
      </w:r>
    </w:p>
  </w:endnote>
  <w:endnote w:id="1">
    <w:p w14:paraId="18A0042C" w14:textId="26C4AE2D" w:rsidR="00F41C33" w:rsidRPr="00D1640F" w:rsidRDefault="00F41C33" w:rsidP="004C6151">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Commission européenne (2025), Eurobaromètre – printemps 2025.</w:t>
      </w:r>
    </w:p>
  </w:endnote>
  <w:endnote w:id="2">
    <w:p w14:paraId="66108B2F" w14:textId="23640AA3" w:rsidR="00F41C33" w:rsidRPr="00D1640F" w:rsidRDefault="00F41C33" w:rsidP="004C6151">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Villeroy de Galhau (F.) (2025), « </w:t>
      </w:r>
      <w:hyperlink r:id="rId1" w:history="1">
        <w:r w:rsidRPr="00D1640F">
          <w:rPr>
            <w:rStyle w:val="Lienhypertexte"/>
            <w:rFonts w:ascii="Arial" w:hAnsi="Arial" w:cs="Arial"/>
            <w:i/>
            <w:sz w:val="18"/>
            <w:szCs w:val="18"/>
          </w:rPr>
          <w:t>Une date mobilisatrice, pour saisir « le moment de l’Europe</w:t>
        </w:r>
      </w:hyperlink>
      <w:r w:rsidRPr="00D1640F">
        <w:rPr>
          <w:rFonts w:ascii="Arial" w:hAnsi="Arial" w:cs="Arial"/>
          <w:sz w:val="18"/>
          <w:szCs w:val="18"/>
        </w:rPr>
        <w:t> », discours, 14 mai.</w:t>
      </w:r>
    </w:p>
  </w:endnote>
  <w:endnote w:id="3">
    <w:p w14:paraId="2E5F4F2D" w14:textId="195CA36B" w:rsidR="005530B2" w:rsidRPr="00D1640F" w:rsidRDefault="005530B2" w:rsidP="005530B2">
      <w:pPr>
        <w:pStyle w:val="Notedefin"/>
        <w:jc w:val="both"/>
        <w:rPr>
          <w:rFonts w:ascii="Arial" w:hAnsi="Arial" w:cs="Arial"/>
          <w:sz w:val="18"/>
          <w:szCs w:val="18"/>
          <w:lang w:val="en-US"/>
        </w:rPr>
      </w:pPr>
      <w:r w:rsidRPr="00D1640F">
        <w:rPr>
          <w:rStyle w:val="Appeldenotedefin"/>
          <w:rFonts w:ascii="Arial" w:hAnsi="Arial" w:cs="Arial"/>
          <w:sz w:val="18"/>
          <w:szCs w:val="18"/>
        </w:rPr>
        <w:endnoteRef/>
      </w:r>
      <w:r w:rsidRPr="00D1640F">
        <w:rPr>
          <w:rFonts w:ascii="Arial" w:hAnsi="Arial" w:cs="Arial"/>
          <w:sz w:val="18"/>
          <w:szCs w:val="18"/>
          <w:lang w:val="en-US"/>
        </w:rPr>
        <w:t> Draghi (M.) (2024), « </w:t>
      </w:r>
      <w:hyperlink r:id="rId2" w:history="1">
        <w:r w:rsidRPr="00D1640F">
          <w:rPr>
            <w:rStyle w:val="Lienhypertexte"/>
            <w:rFonts w:ascii="Arial" w:hAnsi="Arial" w:cs="Arial"/>
            <w:i/>
            <w:sz w:val="18"/>
            <w:szCs w:val="18"/>
            <w:lang w:val="en-US"/>
          </w:rPr>
          <w:t>The Future of European competitiveness</w:t>
        </w:r>
      </w:hyperlink>
      <w:r w:rsidRPr="00D1640F">
        <w:rPr>
          <w:rFonts w:ascii="Arial" w:hAnsi="Arial" w:cs="Arial"/>
          <w:sz w:val="18"/>
          <w:szCs w:val="18"/>
          <w:lang w:val="en-US"/>
        </w:rPr>
        <w:t> », septembre.</w:t>
      </w:r>
    </w:p>
  </w:endnote>
  <w:endnote w:id="4">
    <w:p w14:paraId="196D329D" w14:textId="27E84F43" w:rsidR="005530B2" w:rsidRPr="00D1640F" w:rsidRDefault="005530B2" w:rsidP="005530B2">
      <w:pPr>
        <w:pStyle w:val="Notedefin"/>
        <w:jc w:val="both"/>
        <w:rPr>
          <w:rFonts w:ascii="Arial" w:hAnsi="Arial" w:cs="Arial"/>
          <w:sz w:val="18"/>
          <w:szCs w:val="18"/>
          <w:lang w:val="en-US"/>
        </w:rPr>
      </w:pPr>
      <w:r w:rsidRPr="00D1640F">
        <w:rPr>
          <w:rStyle w:val="Appeldenotedefin"/>
          <w:rFonts w:ascii="Arial" w:hAnsi="Arial" w:cs="Arial"/>
          <w:sz w:val="18"/>
          <w:szCs w:val="18"/>
        </w:rPr>
        <w:endnoteRef/>
      </w:r>
      <w:r w:rsidRPr="00D1640F">
        <w:rPr>
          <w:rFonts w:ascii="Arial" w:hAnsi="Arial" w:cs="Arial"/>
          <w:sz w:val="18"/>
          <w:szCs w:val="18"/>
          <w:lang w:val="en-US"/>
        </w:rPr>
        <w:t xml:space="preserve"> Letta (E.) (2024), </w:t>
      </w:r>
      <w:hyperlink r:id="rId3" w:history="1">
        <w:r w:rsidRPr="00D1640F">
          <w:rPr>
            <w:rStyle w:val="Lienhypertexte"/>
            <w:rFonts w:ascii="Arial" w:hAnsi="Arial" w:cs="Arial"/>
            <w:i/>
            <w:sz w:val="18"/>
            <w:szCs w:val="18"/>
            <w:lang w:val="en-US"/>
          </w:rPr>
          <w:t>Much more than a market</w:t>
        </w:r>
      </w:hyperlink>
      <w:r w:rsidRPr="00D1640F">
        <w:rPr>
          <w:rFonts w:ascii="Arial" w:hAnsi="Arial" w:cs="Arial"/>
          <w:sz w:val="18"/>
          <w:szCs w:val="18"/>
          <w:lang w:val="en-US"/>
        </w:rPr>
        <w:t>, avril.</w:t>
      </w:r>
    </w:p>
  </w:endnote>
  <w:endnote w:id="5">
    <w:p w14:paraId="3BBF596D" w14:textId="77777777" w:rsidR="005530B2" w:rsidRPr="00D1640F" w:rsidRDefault="005530B2" w:rsidP="005530B2">
      <w:pPr>
        <w:pStyle w:val="Notedefin"/>
        <w:jc w:val="both"/>
        <w:rPr>
          <w:rFonts w:ascii="Arial" w:hAnsi="Arial" w:cs="Arial"/>
          <w:sz w:val="18"/>
          <w:szCs w:val="18"/>
          <w:lang w:val="en-US"/>
        </w:rPr>
      </w:pPr>
      <w:r w:rsidRPr="00D1640F">
        <w:rPr>
          <w:rStyle w:val="Appeldenotedefin"/>
          <w:rFonts w:ascii="Arial" w:hAnsi="Arial" w:cs="Arial"/>
          <w:sz w:val="18"/>
          <w:szCs w:val="18"/>
        </w:rPr>
        <w:endnoteRef/>
      </w:r>
      <w:r w:rsidRPr="00D1640F">
        <w:rPr>
          <w:rFonts w:ascii="Arial" w:hAnsi="Arial" w:cs="Arial"/>
          <w:sz w:val="18"/>
          <w:szCs w:val="18"/>
          <w:lang w:val="en-US"/>
        </w:rPr>
        <w:t> Coste (O.), Coatanlem (Y.) (2024), « </w:t>
      </w:r>
      <w:r w:rsidRPr="00D1640F">
        <w:rPr>
          <w:rFonts w:ascii="Arial" w:hAnsi="Arial" w:cs="Arial"/>
          <w:i/>
          <w:iCs/>
          <w:sz w:val="18"/>
          <w:szCs w:val="18"/>
          <w:lang w:val="en-US"/>
        </w:rPr>
        <w:t>The Cost of Failure and the Quest for Competitiveness:</w:t>
      </w:r>
      <w:r w:rsidRPr="00D1640F">
        <w:rPr>
          <w:rFonts w:ascii="Arial" w:hAnsi="Arial" w:cs="Arial"/>
          <w:sz w:val="18"/>
          <w:szCs w:val="18"/>
          <w:lang w:val="en-US"/>
        </w:rPr>
        <w:t xml:space="preserve"> </w:t>
      </w:r>
      <w:r w:rsidRPr="00D1640F">
        <w:rPr>
          <w:rFonts w:ascii="Arial" w:hAnsi="Arial" w:cs="Arial"/>
          <w:i/>
          <w:iCs/>
          <w:sz w:val="18"/>
          <w:szCs w:val="18"/>
          <w:lang w:val="en-US"/>
        </w:rPr>
        <w:t>Disruptive Innovation as a Catalyst</w:t>
      </w:r>
      <w:r w:rsidRPr="00D1640F">
        <w:rPr>
          <w:rFonts w:ascii="Arial" w:hAnsi="Arial" w:cs="Arial"/>
          <w:sz w:val="18"/>
          <w:szCs w:val="18"/>
          <w:lang w:val="en-US"/>
        </w:rPr>
        <w:t> ». </w:t>
      </w:r>
      <w:r w:rsidRPr="00D1640F">
        <w:rPr>
          <w:rFonts w:ascii="Arial" w:hAnsi="Arial" w:cs="Arial"/>
          <w:i/>
          <w:sz w:val="18"/>
          <w:szCs w:val="18"/>
          <w:lang w:val="en-US"/>
        </w:rPr>
        <w:t>IEP Policy Brief</w:t>
      </w:r>
      <w:r w:rsidRPr="00D1640F">
        <w:rPr>
          <w:rFonts w:ascii="Arial" w:hAnsi="Arial" w:cs="Arial"/>
          <w:sz w:val="18"/>
          <w:szCs w:val="18"/>
          <w:lang w:val="en-US"/>
        </w:rPr>
        <w:t> n 24, IEP Bocconi</w:t>
      </w:r>
    </w:p>
  </w:endnote>
  <w:endnote w:id="6">
    <w:p w14:paraId="36D67108" w14:textId="26A10853" w:rsidR="005530B2" w:rsidRPr="00D1640F" w:rsidRDefault="005530B2" w:rsidP="005530B2">
      <w:pPr>
        <w:pStyle w:val="Notedefin"/>
        <w:jc w:val="both"/>
        <w:rPr>
          <w:rFonts w:ascii="Arial" w:hAnsi="Arial" w:cs="Arial"/>
          <w:sz w:val="18"/>
          <w:szCs w:val="18"/>
          <w:lang w:val="en-US"/>
        </w:rPr>
      </w:pPr>
      <w:r w:rsidRPr="00D1640F">
        <w:rPr>
          <w:rStyle w:val="Appeldenotedefin"/>
          <w:rFonts w:ascii="Arial" w:hAnsi="Arial" w:cs="Arial"/>
          <w:sz w:val="18"/>
          <w:szCs w:val="18"/>
        </w:rPr>
        <w:endnoteRef/>
      </w:r>
      <w:r w:rsidRPr="00D1640F">
        <w:rPr>
          <w:rFonts w:ascii="Arial" w:hAnsi="Arial" w:cs="Arial"/>
          <w:sz w:val="18"/>
          <w:szCs w:val="18"/>
          <w:lang w:val="en-US"/>
        </w:rPr>
        <w:t xml:space="preserve"> Commission </w:t>
      </w:r>
      <w:proofErr w:type="spellStart"/>
      <w:r w:rsidRPr="00D1640F">
        <w:rPr>
          <w:rFonts w:ascii="Arial" w:hAnsi="Arial" w:cs="Arial"/>
          <w:sz w:val="18"/>
          <w:szCs w:val="18"/>
          <w:lang w:val="en-US"/>
        </w:rPr>
        <w:t>européenne</w:t>
      </w:r>
      <w:proofErr w:type="spellEnd"/>
      <w:r w:rsidRPr="00D1640F">
        <w:rPr>
          <w:rFonts w:ascii="Arial" w:hAnsi="Arial" w:cs="Arial"/>
          <w:sz w:val="18"/>
          <w:szCs w:val="18"/>
          <w:lang w:val="en-US"/>
        </w:rPr>
        <w:t xml:space="preserve"> (2025), «</w:t>
      </w:r>
      <w:hyperlink r:id="rId4" w:history="1">
        <w:r w:rsidRPr="00D1640F">
          <w:rPr>
            <w:rStyle w:val="Lienhypertexte"/>
            <w:rFonts w:ascii="Arial" w:hAnsi="Arial" w:cs="Arial"/>
            <w:i/>
            <w:iCs/>
            <w:sz w:val="18"/>
            <w:szCs w:val="18"/>
            <w:lang w:val="en-US"/>
          </w:rPr>
          <w:t>SIU strategy to enhance financial opportunities for EU citizens and businesses</w:t>
        </w:r>
      </w:hyperlink>
      <w:r w:rsidRPr="00D1640F">
        <w:rPr>
          <w:rFonts w:ascii="Arial" w:hAnsi="Arial" w:cs="Arial"/>
          <w:sz w:val="18"/>
          <w:szCs w:val="18"/>
          <w:lang w:val="en-US"/>
        </w:rPr>
        <w:t> », 19 mars</w:t>
      </w:r>
    </w:p>
  </w:endnote>
  <w:endnote w:id="7">
    <w:p w14:paraId="6CC8FD12" w14:textId="63A6ADE9" w:rsidR="003B2D5F" w:rsidRPr="00D1640F" w:rsidRDefault="003B2D5F" w:rsidP="004C6151">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Villeroy de Galhau (F.) (2025), « </w:t>
      </w:r>
      <w:hyperlink r:id="rId5" w:history="1">
        <w:r w:rsidRPr="00D1640F">
          <w:rPr>
            <w:rStyle w:val="Lienhypertexte"/>
            <w:rFonts w:ascii="Arial" w:hAnsi="Arial" w:cs="Arial"/>
            <w:i/>
            <w:sz w:val="18"/>
            <w:szCs w:val="18"/>
          </w:rPr>
          <w:t>Une date mobilisatrice, pour saisir « le moment de l’Europe »</w:t>
        </w:r>
      </w:hyperlink>
      <w:r w:rsidRPr="00D1640F">
        <w:rPr>
          <w:rFonts w:ascii="Arial" w:hAnsi="Arial" w:cs="Arial"/>
          <w:sz w:val="18"/>
          <w:szCs w:val="18"/>
        </w:rPr>
        <w:t> », discours, 14 mai.</w:t>
      </w:r>
    </w:p>
  </w:endnote>
  <w:endnote w:id="8">
    <w:p w14:paraId="7F1AAE07" w14:textId="37F37AB7" w:rsidR="002E6AC7" w:rsidRPr="00D1640F" w:rsidRDefault="002E6AC7" w:rsidP="004C6151">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Règlement (UE) 2023/1114 sur les marchés de crypto-actifs</w:t>
      </w:r>
    </w:p>
  </w:endnote>
  <w:endnote w:id="9">
    <w:p w14:paraId="1FFEE302" w14:textId="77777777" w:rsidR="00875318" w:rsidRPr="00D1640F" w:rsidRDefault="00875318" w:rsidP="00875318">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xml:space="preserve"> Villeroy de Galhau (F.) (2025), « </w:t>
      </w:r>
      <w:hyperlink r:id="rId6" w:history="1">
        <w:r w:rsidRPr="00D1640F">
          <w:rPr>
            <w:rStyle w:val="Lienhypertexte"/>
            <w:rFonts w:ascii="Arial" w:hAnsi="Arial" w:cs="Arial"/>
            <w:sz w:val="18"/>
            <w:szCs w:val="18"/>
          </w:rPr>
          <w:t>Préserver nos valeurs transatlantiques, au-delà de l’imprévisibilité actuelle</w:t>
        </w:r>
      </w:hyperlink>
      <w:r w:rsidRPr="00D1640F">
        <w:rPr>
          <w:rFonts w:ascii="Arial" w:hAnsi="Arial" w:cs="Arial"/>
          <w:sz w:val="18"/>
          <w:szCs w:val="18"/>
        </w:rPr>
        <w:t> », discours, New York, 22 avril.</w:t>
      </w:r>
    </w:p>
  </w:endnote>
  <w:endnote w:id="10">
    <w:p w14:paraId="1057752F" w14:textId="77777777" w:rsidR="00875318" w:rsidRPr="00D1640F" w:rsidRDefault="00875318" w:rsidP="00875318">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xml:space="preserve"> Villeroy de Galhau (F.) (2025), « </w:t>
      </w:r>
      <w:hyperlink r:id="rId7" w:history="1">
        <w:r w:rsidRPr="00D1640F">
          <w:rPr>
            <w:rStyle w:val="Lienhypertexte"/>
            <w:rFonts w:ascii="Arial" w:hAnsi="Arial" w:cs="Arial"/>
            <w:sz w:val="18"/>
            <w:szCs w:val="18"/>
          </w:rPr>
          <w:t>Sur les marchés et dans les esprits : préserver le partenariat transatlantique</w:t>
        </w:r>
      </w:hyperlink>
      <w:r w:rsidRPr="00D1640F">
        <w:rPr>
          <w:rFonts w:ascii="Arial" w:hAnsi="Arial" w:cs="Arial"/>
          <w:sz w:val="18"/>
          <w:szCs w:val="18"/>
        </w:rPr>
        <w:t> », discours, Atlantic Council, Washington, 23 avril.</w:t>
      </w:r>
    </w:p>
  </w:endnote>
  <w:endnote w:id="11">
    <w:p w14:paraId="06373B0F" w14:textId="77777777" w:rsidR="00875318" w:rsidRPr="00D1640F" w:rsidRDefault="00875318" w:rsidP="00875318">
      <w:pPr>
        <w:pStyle w:val="Notedefin"/>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xml:space="preserve"> G7 (2025), </w:t>
      </w:r>
      <w:hyperlink r:id="rId8" w:history="1">
        <w:r w:rsidRPr="00D1640F">
          <w:rPr>
            <w:rStyle w:val="Lienhypertexte"/>
            <w:rFonts w:ascii="Arial" w:hAnsi="Arial" w:cs="Arial"/>
            <w:sz w:val="18"/>
            <w:szCs w:val="18"/>
          </w:rPr>
          <w:t>Communiqué MFGBC</w:t>
        </w:r>
      </w:hyperlink>
      <w:r w:rsidRPr="00D1640F">
        <w:rPr>
          <w:rFonts w:ascii="Arial" w:hAnsi="Arial" w:cs="Arial"/>
          <w:sz w:val="18"/>
          <w:szCs w:val="18"/>
        </w:rPr>
        <w:t>, Banff, 22 mai</w:t>
      </w:r>
    </w:p>
  </w:endnote>
  <w:endnote w:id="12">
    <w:p w14:paraId="0FE15DA8" w14:textId="77777777" w:rsidR="00875318" w:rsidRPr="00D1640F" w:rsidRDefault="00875318" w:rsidP="00875318">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xml:space="preserve"> L’IFNB désigne un système de collecte de fonds et d’octroi de financements qui implique des acteurs extérieurs au système bancaire traditionnel. Source : Saillard (M.), Schwenninger (A.) et Watel (A.) (2023), « </w:t>
      </w:r>
      <w:hyperlink r:id="rId9" w:history="1">
        <w:r w:rsidRPr="00D1640F">
          <w:rPr>
            <w:rStyle w:val="Lienhypertexte"/>
            <w:rFonts w:ascii="Arial" w:hAnsi="Arial" w:cs="Arial"/>
            <w:sz w:val="18"/>
            <w:szCs w:val="18"/>
          </w:rPr>
          <w:t>Intermédiation financière non-bancaire : vulnérabilités et enjeux</w:t>
        </w:r>
      </w:hyperlink>
      <w:r w:rsidRPr="00D1640F">
        <w:rPr>
          <w:rFonts w:ascii="Arial" w:hAnsi="Arial" w:cs="Arial"/>
          <w:sz w:val="18"/>
          <w:szCs w:val="18"/>
        </w:rPr>
        <w:t> », Bloc-notes Éco, Banque de France, septembre.         </w:t>
      </w:r>
    </w:p>
  </w:endnote>
  <w:endnote w:id="13">
    <w:p w14:paraId="53D2BA24" w14:textId="77777777" w:rsidR="00875318" w:rsidRPr="00D1640F" w:rsidRDefault="00875318" w:rsidP="00875318">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xml:space="preserve"> Villeroy de Galhau (F.) (2025), « </w:t>
      </w:r>
      <w:hyperlink r:id="rId10" w:history="1">
        <w:r w:rsidRPr="00D1640F">
          <w:rPr>
            <w:rStyle w:val="Lienhypertexte"/>
            <w:rFonts w:ascii="Arial" w:hAnsi="Arial" w:cs="Arial"/>
            <w:sz w:val="18"/>
            <w:szCs w:val="18"/>
          </w:rPr>
          <w:t>Là où croît le danger, croît aussi ce qui sauve</w:t>
        </w:r>
      </w:hyperlink>
      <w:r w:rsidRPr="00D1640F">
        <w:rPr>
          <w:rFonts w:ascii="Arial" w:hAnsi="Arial" w:cs="Arial"/>
          <w:sz w:val="18"/>
          <w:szCs w:val="18"/>
        </w:rPr>
        <w:t> », discours, 10 juin</w:t>
      </w:r>
    </w:p>
  </w:endnote>
  <w:endnote w:id="14">
    <w:p w14:paraId="563BD530" w14:textId="77777777" w:rsidR="00875318" w:rsidRPr="00D1640F" w:rsidRDefault="00875318" w:rsidP="00875318">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xml:space="preserve"> En 2024, le total des actifs sous gestion en Europe a atteint 430 milliards d’euros, contre 150 milliards en 2014. </w:t>
      </w:r>
      <w:r w:rsidRPr="00D1640F">
        <w:rPr>
          <w:rFonts w:ascii="Arial" w:hAnsi="Arial" w:cs="Arial"/>
          <w:sz w:val="18"/>
          <w:szCs w:val="18"/>
          <w:lang w:val="en-GB"/>
        </w:rPr>
        <w:t>Source : Buch (C.) (2025), « </w:t>
      </w:r>
      <w:hyperlink r:id="rId11" w:history="1">
        <w:r w:rsidRPr="00D1640F">
          <w:rPr>
            <w:rStyle w:val="Lienhypertexte"/>
            <w:rFonts w:ascii="Arial" w:hAnsi="Arial" w:cs="Arial"/>
            <w:i/>
            <w:iCs/>
            <w:sz w:val="18"/>
            <w:szCs w:val="18"/>
            <w:lang w:val="en-GB"/>
          </w:rPr>
          <w:t>Hidden leverage and blind spots: addressing banks’ exposures to private market funds</w:t>
        </w:r>
      </w:hyperlink>
      <w:r w:rsidRPr="00D1640F">
        <w:rPr>
          <w:rFonts w:ascii="Arial" w:hAnsi="Arial" w:cs="Arial"/>
          <w:sz w:val="18"/>
          <w:szCs w:val="18"/>
          <w:lang w:val="en-GB"/>
        </w:rPr>
        <w:t xml:space="preserve"> », </w:t>
      </w:r>
      <w:r w:rsidRPr="00D1640F">
        <w:rPr>
          <w:rFonts w:ascii="Arial" w:hAnsi="Arial" w:cs="Arial"/>
          <w:i/>
          <w:iCs/>
          <w:sz w:val="18"/>
          <w:szCs w:val="18"/>
          <w:lang w:val="en-GB"/>
        </w:rPr>
        <w:t>The Supervision Blog</w:t>
      </w:r>
      <w:r w:rsidRPr="00D1640F">
        <w:rPr>
          <w:rFonts w:ascii="Arial" w:hAnsi="Arial" w:cs="Arial"/>
          <w:sz w:val="18"/>
          <w:szCs w:val="18"/>
          <w:lang w:val="en-GB"/>
        </w:rPr>
        <w:t xml:space="preserve">, 3 juin. </w:t>
      </w:r>
      <w:r w:rsidRPr="00D1640F">
        <w:rPr>
          <w:rFonts w:ascii="Arial" w:hAnsi="Arial" w:cs="Arial"/>
          <w:sz w:val="18"/>
          <w:szCs w:val="18"/>
        </w:rPr>
        <w:t>Il convient de noter que ces estimations sont fondées sur des données de marché en raison d’un manque de sources de données officielles sur ce marché.   </w:t>
      </w:r>
    </w:p>
  </w:endnote>
  <w:endnote w:id="15">
    <w:p w14:paraId="506E71AC" w14:textId="77777777" w:rsidR="00875318" w:rsidRPr="00D1640F" w:rsidRDefault="00875318" w:rsidP="00875318">
      <w:pPr>
        <w:pStyle w:val="Notedefin"/>
        <w:jc w:val="both"/>
        <w:rPr>
          <w:rFonts w:ascii="Arial" w:hAnsi="Arial" w:cs="Arial"/>
          <w:sz w:val="18"/>
          <w:szCs w:val="18"/>
          <w:lang w:val="en-GB"/>
        </w:rPr>
      </w:pPr>
      <w:r w:rsidRPr="00D1640F">
        <w:rPr>
          <w:rStyle w:val="Appeldenotedefin"/>
          <w:rFonts w:ascii="Arial" w:hAnsi="Arial" w:cs="Arial"/>
          <w:sz w:val="18"/>
          <w:szCs w:val="18"/>
        </w:rPr>
        <w:endnoteRef/>
      </w:r>
      <w:r w:rsidRPr="00D1640F">
        <w:rPr>
          <w:rFonts w:ascii="Arial" w:hAnsi="Arial" w:cs="Arial"/>
          <w:sz w:val="18"/>
          <w:szCs w:val="18"/>
          <w:lang w:val="en-GB"/>
        </w:rPr>
        <w:t xml:space="preserve"> J.P. Morgan (2025), « </w:t>
      </w:r>
      <w:hyperlink r:id="rId12" w:history="1">
        <w:r w:rsidRPr="00D1640F">
          <w:rPr>
            <w:rStyle w:val="Lienhypertexte"/>
            <w:rFonts w:ascii="Arial" w:hAnsi="Arial" w:cs="Arial"/>
            <w:i/>
            <w:iCs/>
            <w:sz w:val="18"/>
            <w:szCs w:val="18"/>
            <w:lang w:val="en-GB"/>
          </w:rPr>
          <w:t>What to know about stablecoins</w:t>
        </w:r>
      </w:hyperlink>
      <w:r w:rsidRPr="00D1640F">
        <w:rPr>
          <w:rFonts w:ascii="Arial" w:hAnsi="Arial" w:cs="Arial"/>
          <w:sz w:val="18"/>
          <w:szCs w:val="18"/>
          <w:lang w:val="en-GB"/>
        </w:rPr>
        <w:t> », Global Research, 4 </w:t>
      </w:r>
      <w:proofErr w:type="spellStart"/>
      <w:r w:rsidRPr="00D1640F">
        <w:rPr>
          <w:rFonts w:ascii="Arial" w:hAnsi="Arial" w:cs="Arial"/>
          <w:sz w:val="18"/>
          <w:szCs w:val="18"/>
          <w:lang w:val="en-GB"/>
        </w:rPr>
        <w:t>septembre</w:t>
      </w:r>
      <w:proofErr w:type="spellEnd"/>
      <w:r w:rsidRPr="00D1640F">
        <w:rPr>
          <w:rFonts w:ascii="Arial" w:hAnsi="Arial" w:cs="Arial"/>
          <w:sz w:val="18"/>
          <w:szCs w:val="18"/>
          <w:lang w:val="en-GB"/>
        </w:rPr>
        <w:t> </w:t>
      </w:r>
      <w:r w:rsidRPr="00D1640F">
        <w:rPr>
          <w:rFonts w:ascii="Arial" w:hAnsi="Arial" w:cs="Arial"/>
          <w:sz w:val="18"/>
          <w:szCs w:val="18"/>
          <w:lang w:val="en-US"/>
        </w:rPr>
        <w:t xml:space="preserve">; Bloomberg (2025), </w:t>
      </w:r>
      <w:r w:rsidRPr="00D1640F">
        <w:rPr>
          <w:rFonts w:ascii="Arial" w:hAnsi="Arial" w:cs="Arial"/>
          <w:sz w:val="18"/>
          <w:szCs w:val="18"/>
          <w:lang w:val="en-GB"/>
        </w:rPr>
        <w:t>« </w:t>
      </w:r>
      <w:hyperlink r:id="rId13" w:history="1">
        <w:r w:rsidRPr="00D1640F">
          <w:rPr>
            <w:rStyle w:val="Lienhypertexte"/>
            <w:rFonts w:ascii="Arial" w:hAnsi="Arial" w:cs="Arial"/>
            <w:i/>
            <w:iCs/>
            <w:sz w:val="18"/>
            <w:szCs w:val="18"/>
            <w:lang w:val="en-US"/>
          </w:rPr>
          <w:t>Stablecoin Sector May Reach $2 Trillion: Standard Chartered</w:t>
        </w:r>
      </w:hyperlink>
      <w:r w:rsidRPr="00D1640F">
        <w:rPr>
          <w:rFonts w:ascii="Arial" w:hAnsi="Arial" w:cs="Arial"/>
          <w:sz w:val="18"/>
          <w:szCs w:val="18"/>
          <w:lang w:val="en-GB"/>
        </w:rPr>
        <w:t> »</w:t>
      </w:r>
      <w:r w:rsidRPr="00D1640F">
        <w:rPr>
          <w:rFonts w:ascii="Arial" w:hAnsi="Arial" w:cs="Arial"/>
          <w:sz w:val="18"/>
          <w:szCs w:val="18"/>
          <w:lang w:val="en-US"/>
        </w:rPr>
        <w:t>, 15 avril</w:t>
      </w:r>
    </w:p>
  </w:endnote>
  <w:endnote w:id="16">
    <w:p w14:paraId="380BA827" w14:textId="77777777" w:rsidR="00875318" w:rsidRPr="00D1640F" w:rsidRDefault="00875318" w:rsidP="00875318">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xml:space="preserve"> Villeroy de Galhau, (F.) (2025), « </w:t>
      </w:r>
      <w:hyperlink r:id="rId14" w:history="1">
        <w:r w:rsidRPr="00D1640F">
          <w:rPr>
            <w:rStyle w:val="Lienhypertexte"/>
            <w:rFonts w:ascii="Arial" w:hAnsi="Arial" w:cs="Arial"/>
            <w:i/>
            <w:sz w:val="18"/>
            <w:szCs w:val="18"/>
          </w:rPr>
          <w:t>L’Europe a les moyens de la bonne réponse stratégique à la révolution de la monnaie</w:t>
        </w:r>
      </w:hyperlink>
      <w:r w:rsidRPr="00D1640F">
        <w:rPr>
          <w:rFonts w:ascii="Arial" w:hAnsi="Arial" w:cs="Arial"/>
          <w:sz w:val="18"/>
          <w:szCs w:val="18"/>
        </w:rPr>
        <w:t> »,</w:t>
      </w:r>
      <w:r w:rsidRPr="00D1640F">
        <w:rPr>
          <w:rFonts w:ascii="Arial" w:hAnsi="Arial" w:cs="Arial"/>
          <w:i/>
          <w:iCs/>
          <w:sz w:val="18"/>
          <w:szCs w:val="18"/>
        </w:rPr>
        <w:t xml:space="preserve"> Le Grand Continent</w:t>
      </w:r>
      <w:r w:rsidRPr="00D1640F">
        <w:rPr>
          <w:rFonts w:ascii="Arial" w:hAnsi="Arial" w:cs="Arial"/>
          <w:sz w:val="18"/>
          <w:szCs w:val="18"/>
        </w:rPr>
        <w:t>, 25 septembre</w:t>
      </w:r>
    </w:p>
  </w:endnote>
  <w:endnote w:id="17">
    <w:p w14:paraId="323EC3C0" w14:textId="77777777" w:rsidR="00875318" w:rsidRPr="00D1640F" w:rsidRDefault="00875318" w:rsidP="00875318">
      <w:pPr>
        <w:pStyle w:val="Notedefin"/>
        <w:jc w:val="both"/>
        <w:rPr>
          <w:rFonts w:ascii="Arial" w:hAnsi="Arial" w:cs="Arial"/>
          <w:sz w:val="18"/>
          <w:szCs w:val="18"/>
        </w:rPr>
      </w:pPr>
      <w:r w:rsidRPr="00D1640F">
        <w:rPr>
          <w:rStyle w:val="Appeldenotedefin"/>
          <w:rFonts w:ascii="Arial" w:hAnsi="Arial" w:cs="Arial"/>
          <w:sz w:val="18"/>
          <w:szCs w:val="18"/>
        </w:rPr>
        <w:endnoteRef/>
      </w:r>
      <w:r w:rsidRPr="00D1640F">
        <w:rPr>
          <w:rFonts w:ascii="Arial" w:hAnsi="Arial" w:cs="Arial"/>
          <w:sz w:val="18"/>
          <w:szCs w:val="18"/>
        </w:rPr>
        <w:t xml:space="preserve"> FMI (2025)</w:t>
      </w:r>
    </w:p>
  </w:endnote>
  <w:endnote w:id="18">
    <w:p w14:paraId="2CE85F96" w14:textId="77777777" w:rsidR="00875318" w:rsidRPr="00E74BA1" w:rsidRDefault="00875318" w:rsidP="00875318">
      <w:pPr>
        <w:pStyle w:val="Notedefin"/>
        <w:jc w:val="both"/>
      </w:pPr>
      <w:r w:rsidRPr="00D1640F">
        <w:rPr>
          <w:rStyle w:val="Appeldenotedefin"/>
          <w:rFonts w:ascii="Arial" w:hAnsi="Arial" w:cs="Arial"/>
          <w:sz w:val="18"/>
          <w:szCs w:val="18"/>
        </w:rPr>
        <w:endnoteRef/>
      </w:r>
      <w:r w:rsidRPr="00D1640F">
        <w:rPr>
          <w:rFonts w:ascii="Arial" w:hAnsi="Arial" w:cs="Arial"/>
          <w:sz w:val="18"/>
          <w:szCs w:val="18"/>
        </w:rPr>
        <w:t xml:space="preserve"> Washington (G.) (1783), Lettre de George Washington à son neveu, Bushrod Washington, 15 janvier.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68D17" w14:textId="77777777" w:rsidR="007F2CFF" w:rsidRDefault="007F2CFF" w:rsidP="00703373">
      <w:pPr>
        <w:spacing w:after="0" w:line="240" w:lineRule="auto"/>
      </w:pPr>
      <w:r>
        <w:separator/>
      </w:r>
    </w:p>
  </w:footnote>
  <w:footnote w:type="continuationSeparator" w:id="0">
    <w:p w14:paraId="36115C62" w14:textId="77777777" w:rsidR="007F2CFF" w:rsidRDefault="007F2CFF" w:rsidP="007033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48756"/>
    </w:sdtPr>
    <w:sdtEndPr/>
    <w:sdtContent>
      <w:p w14:paraId="62D27BAA" w14:textId="1AFD3877" w:rsidR="007F2CFF" w:rsidRDefault="007F2CFF">
        <w:pPr>
          <w:pStyle w:val="En-tte"/>
          <w:jc w:val="right"/>
        </w:pPr>
        <w:r>
          <w:t xml:space="preserve">Page </w:t>
        </w:r>
        <w:r>
          <w:rPr>
            <w:b/>
            <w:sz w:val="24"/>
          </w:rPr>
          <w:fldChar w:fldCharType="begin"/>
        </w:r>
        <w:r>
          <w:rPr>
            <w:b/>
          </w:rPr>
          <w:instrText>PAGE</w:instrText>
        </w:r>
        <w:r>
          <w:rPr>
            <w:b/>
            <w:sz w:val="24"/>
          </w:rPr>
          <w:fldChar w:fldCharType="separate"/>
        </w:r>
        <w:r>
          <w:rPr>
            <w:b/>
          </w:rPr>
          <w:t>2</w:t>
        </w:r>
        <w:r>
          <w:rPr>
            <w:b/>
            <w:sz w:val="24"/>
          </w:rPr>
          <w:fldChar w:fldCharType="end"/>
        </w:r>
        <w:r>
          <w:t xml:space="preserve"> sur </w:t>
        </w:r>
        <w:r>
          <w:rPr>
            <w:b/>
            <w:sz w:val="24"/>
          </w:rPr>
          <w:fldChar w:fldCharType="begin"/>
        </w:r>
        <w:r>
          <w:rPr>
            <w:b/>
          </w:rPr>
          <w:instrText>NUMPAGES</w:instrText>
        </w:r>
        <w:r>
          <w:rPr>
            <w:b/>
            <w:sz w:val="24"/>
          </w:rPr>
          <w:fldChar w:fldCharType="separate"/>
        </w:r>
        <w:r w:rsidR="00035FC7">
          <w:rPr>
            <w:b/>
          </w:rPr>
          <w:t>6</w:t>
        </w:r>
        <w:r>
          <w:rPr>
            <w:b/>
            <w:sz w:val="24"/>
          </w:rPr>
          <w:fldChar w:fldCharType="end"/>
        </w:r>
      </w:p>
    </w:sdtContent>
  </w:sdt>
  <w:p w14:paraId="3FDF266A" w14:textId="77777777" w:rsidR="007F2CFF" w:rsidRDefault="007F2CF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0BCC6149" w14:textId="122DA903" w:rsidR="00D15B8D" w:rsidRDefault="007F2CFF">
        <w:pPr>
          <w:pStyle w:val="En-tte"/>
          <w:jc w:val="right"/>
          <w:rPr>
            <w:b/>
            <w:bCs/>
            <w:sz w:val="24"/>
            <w:szCs w:val="24"/>
          </w:rPr>
        </w:pPr>
        <w:r>
          <w:t xml:space="preserve">Page </w:t>
        </w:r>
        <w:r>
          <w:rPr>
            <w:b/>
            <w:sz w:val="24"/>
          </w:rPr>
          <w:fldChar w:fldCharType="begin"/>
        </w:r>
        <w:r>
          <w:rPr>
            <w:b/>
          </w:rPr>
          <w:instrText>PAGE</w:instrText>
        </w:r>
        <w:r>
          <w:rPr>
            <w:b/>
            <w:sz w:val="24"/>
          </w:rPr>
          <w:fldChar w:fldCharType="separate"/>
        </w:r>
        <w:r w:rsidR="00035FC7">
          <w:rPr>
            <w:b/>
          </w:rPr>
          <w:t>5</w:t>
        </w:r>
        <w:r>
          <w:rPr>
            <w:b/>
            <w:sz w:val="24"/>
          </w:rPr>
          <w:fldChar w:fldCharType="end"/>
        </w:r>
        <w:r>
          <w:t xml:space="preserve"> sur </w:t>
        </w:r>
        <w:r w:rsidR="00B85C3B">
          <w:rPr>
            <w:b/>
            <w:sz w:val="24"/>
          </w:rPr>
          <w:t>9</w:t>
        </w:r>
      </w:p>
      <w:p w14:paraId="7AA935A8" w14:textId="77777777" w:rsidR="00BE678E" w:rsidRDefault="00BE678E">
        <w:pPr>
          <w:pStyle w:val="En-tte"/>
          <w:jc w:val="right"/>
          <w:rPr>
            <w:b/>
            <w:bCs/>
            <w:sz w:val="24"/>
            <w:szCs w:val="24"/>
          </w:rPr>
        </w:pPr>
      </w:p>
      <w:p w14:paraId="0E7E49AD" w14:textId="7BD0940B" w:rsidR="007F2CFF" w:rsidRDefault="00B330C9" w:rsidP="00D15B8D">
        <w:pPr>
          <w:pStyle w:val="En-tte"/>
          <w:jc w:val="center"/>
        </w:pPr>
      </w:p>
    </w:sdtContent>
  </w:sdt>
  <w:p w14:paraId="48289196" w14:textId="77777777" w:rsidR="007F2CFF" w:rsidRPr="001C7652" w:rsidRDefault="007F2CFF">
    <w:pPr>
      <w:pStyle w:val="En-tte"/>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44CC"/>
    <w:multiLevelType w:val="hybridMultilevel"/>
    <w:tmpl w:val="2176F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8A2D75"/>
    <w:multiLevelType w:val="hybridMultilevel"/>
    <w:tmpl w:val="1A6605FC"/>
    <w:lvl w:ilvl="0" w:tplc="0C463BC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F00170"/>
    <w:multiLevelType w:val="hybridMultilevel"/>
    <w:tmpl w:val="B6AEABB2"/>
    <w:lvl w:ilvl="0" w:tplc="18942646">
      <w:start w:val="1"/>
      <w:numFmt w:val="upperRoman"/>
      <w:lvlText w:val="%1."/>
      <w:lvlJc w:val="left"/>
      <w:pPr>
        <w:ind w:left="2130" w:hanging="720"/>
      </w:pPr>
    </w:lvl>
    <w:lvl w:ilvl="1" w:tplc="040C0019">
      <w:start w:val="1"/>
      <w:numFmt w:val="lowerLetter"/>
      <w:lvlText w:val="%2."/>
      <w:lvlJc w:val="left"/>
      <w:pPr>
        <w:ind w:left="2490" w:hanging="360"/>
      </w:pPr>
    </w:lvl>
    <w:lvl w:ilvl="2" w:tplc="040C001B">
      <w:start w:val="1"/>
      <w:numFmt w:val="lowerRoman"/>
      <w:lvlText w:val="%3."/>
      <w:lvlJc w:val="right"/>
      <w:pPr>
        <w:ind w:left="3210" w:hanging="180"/>
      </w:pPr>
    </w:lvl>
    <w:lvl w:ilvl="3" w:tplc="040C000F">
      <w:start w:val="1"/>
      <w:numFmt w:val="decimal"/>
      <w:lvlText w:val="%4."/>
      <w:lvlJc w:val="left"/>
      <w:pPr>
        <w:ind w:left="3930" w:hanging="360"/>
      </w:pPr>
    </w:lvl>
    <w:lvl w:ilvl="4" w:tplc="040C0019">
      <w:start w:val="1"/>
      <w:numFmt w:val="lowerLetter"/>
      <w:lvlText w:val="%5."/>
      <w:lvlJc w:val="left"/>
      <w:pPr>
        <w:ind w:left="4650" w:hanging="360"/>
      </w:pPr>
    </w:lvl>
    <w:lvl w:ilvl="5" w:tplc="040C001B">
      <w:start w:val="1"/>
      <w:numFmt w:val="lowerRoman"/>
      <w:lvlText w:val="%6."/>
      <w:lvlJc w:val="right"/>
      <w:pPr>
        <w:ind w:left="5370" w:hanging="180"/>
      </w:pPr>
    </w:lvl>
    <w:lvl w:ilvl="6" w:tplc="040C000F">
      <w:start w:val="1"/>
      <w:numFmt w:val="decimal"/>
      <w:lvlText w:val="%7."/>
      <w:lvlJc w:val="left"/>
      <w:pPr>
        <w:ind w:left="6090" w:hanging="360"/>
      </w:pPr>
    </w:lvl>
    <w:lvl w:ilvl="7" w:tplc="040C0019">
      <w:start w:val="1"/>
      <w:numFmt w:val="lowerLetter"/>
      <w:lvlText w:val="%8."/>
      <w:lvlJc w:val="left"/>
      <w:pPr>
        <w:ind w:left="6810" w:hanging="360"/>
      </w:pPr>
    </w:lvl>
    <w:lvl w:ilvl="8" w:tplc="040C001B">
      <w:start w:val="1"/>
      <w:numFmt w:val="lowerRoman"/>
      <w:lvlText w:val="%9."/>
      <w:lvlJc w:val="right"/>
      <w:pPr>
        <w:ind w:left="7530" w:hanging="180"/>
      </w:pPr>
    </w:lvl>
  </w:abstractNum>
  <w:abstractNum w:abstractNumId="3" w15:restartNumberingAfterBreak="0">
    <w:nsid w:val="11BB5F7D"/>
    <w:multiLevelType w:val="hybridMultilevel"/>
    <w:tmpl w:val="E85CB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BD331E"/>
    <w:multiLevelType w:val="hybridMultilevel"/>
    <w:tmpl w:val="D20E09D0"/>
    <w:lvl w:ilvl="0" w:tplc="4DB4773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3262D6"/>
    <w:multiLevelType w:val="hybridMultilevel"/>
    <w:tmpl w:val="04FC75E0"/>
    <w:lvl w:ilvl="0" w:tplc="306E61F0">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8076E6"/>
    <w:multiLevelType w:val="hybridMultilevel"/>
    <w:tmpl w:val="867A592E"/>
    <w:lvl w:ilvl="0" w:tplc="5BE6DB9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1D62130"/>
    <w:multiLevelType w:val="multilevel"/>
    <w:tmpl w:val="31D62130"/>
    <w:lvl w:ilvl="0">
      <w:start w:val="1"/>
      <w:numFmt w:val="decimal"/>
      <w:pStyle w:val="Titre1"/>
      <w:lvlText w:val="%1"/>
      <w:lvlJc w:val="left"/>
      <w:pPr>
        <w:ind w:left="1992" w:hanging="432"/>
      </w:pPr>
    </w:lvl>
    <w:lvl w:ilvl="1">
      <w:start w:val="1"/>
      <w:numFmt w:val="decimal"/>
      <w:pStyle w:val="Titre2"/>
      <w:lvlText w:val="%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41A80857"/>
    <w:multiLevelType w:val="hybridMultilevel"/>
    <w:tmpl w:val="E182E5F4"/>
    <w:lvl w:ilvl="0" w:tplc="5C72F8B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690000"/>
    <w:multiLevelType w:val="hybridMultilevel"/>
    <w:tmpl w:val="A810E1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1C83E93"/>
    <w:multiLevelType w:val="hybridMultilevel"/>
    <w:tmpl w:val="3340654E"/>
    <w:lvl w:ilvl="0" w:tplc="68D67288">
      <w:start w:val="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70C016B"/>
    <w:multiLevelType w:val="hybridMultilevel"/>
    <w:tmpl w:val="475289A6"/>
    <w:lvl w:ilvl="0" w:tplc="ED0EBEFC">
      <w:start w:val="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E7E241C"/>
    <w:multiLevelType w:val="hybridMultilevel"/>
    <w:tmpl w:val="10AE63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0723EA"/>
    <w:multiLevelType w:val="hybridMultilevel"/>
    <w:tmpl w:val="E02ECF58"/>
    <w:lvl w:ilvl="0" w:tplc="EEE0D062">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7607973">
    <w:abstractNumId w:val="7"/>
  </w:num>
  <w:num w:numId="2" w16cid:durableId="471488592">
    <w:abstractNumId w:val="5"/>
  </w:num>
  <w:num w:numId="3" w16cid:durableId="977301883">
    <w:abstractNumId w:val="0"/>
  </w:num>
  <w:num w:numId="4" w16cid:durableId="1537305926">
    <w:abstractNumId w:val="3"/>
  </w:num>
  <w:num w:numId="5" w16cid:durableId="1546133961">
    <w:abstractNumId w:val="6"/>
  </w:num>
  <w:num w:numId="6" w16cid:durableId="7121971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3432407">
    <w:abstractNumId w:val="8"/>
  </w:num>
  <w:num w:numId="8" w16cid:durableId="916599716">
    <w:abstractNumId w:val="4"/>
  </w:num>
  <w:num w:numId="9" w16cid:durableId="2001545409">
    <w:abstractNumId w:val="9"/>
  </w:num>
  <w:num w:numId="10" w16cid:durableId="621619940">
    <w:abstractNumId w:val="13"/>
  </w:num>
  <w:num w:numId="11" w16cid:durableId="1336226188">
    <w:abstractNumId w:val="10"/>
  </w:num>
  <w:num w:numId="12" w16cid:durableId="291910684">
    <w:abstractNumId w:val="2"/>
  </w:num>
  <w:num w:numId="13" w16cid:durableId="109056126">
    <w:abstractNumId w:val="11"/>
  </w:num>
  <w:num w:numId="14" w16cid:durableId="291864230">
    <w:abstractNumId w:val="12"/>
  </w:num>
  <w:num w:numId="15" w16cid:durableId="811409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96B"/>
    <w:rsid w:val="000003D9"/>
    <w:rsid w:val="0000237F"/>
    <w:rsid w:val="00002F12"/>
    <w:rsid w:val="000057BA"/>
    <w:rsid w:val="0000752F"/>
    <w:rsid w:val="0001007A"/>
    <w:rsid w:val="0001035D"/>
    <w:rsid w:val="000112FD"/>
    <w:rsid w:val="00011454"/>
    <w:rsid w:val="000115C6"/>
    <w:rsid w:val="00011D15"/>
    <w:rsid w:val="0001266A"/>
    <w:rsid w:val="0001291E"/>
    <w:rsid w:val="00013589"/>
    <w:rsid w:val="00013E69"/>
    <w:rsid w:val="00013EEB"/>
    <w:rsid w:val="00013F80"/>
    <w:rsid w:val="000143DC"/>
    <w:rsid w:val="000173BD"/>
    <w:rsid w:val="00017C30"/>
    <w:rsid w:val="000200D1"/>
    <w:rsid w:val="00020F12"/>
    <w:rsid w:val="00021F6B"/>
    <w:rsid w:val="0002236A"/>
    <w:rsid w:val="000228AA"/>
    <w:rsid w:val="000231A7"/>
    <w:rsid w:val="00030799"/>
    <w:rsid w:val="00030964"/>
    <w:rsid w:val="00031696"/>
    <w:rsid w:val="00034EDB"/>
    <w:rsid w:val="00034EEB"/>
    <w:rsid w:val="00035FC7"/>
    <w:rsid w:val="00036A4B"/>
    <w:rsid w:val="00036BFD"/>
    <w:rsid w:val="0003716D"/>
    <w:rsid w:val="00037538"/>
    <w:rsid w:val="00040226"/>
    <w:rsid w:val="00041069"/>
    <w:rsid w:val="00042ECB"/>
    <w:rsid w:val="00043815"/>
    <w:rsid w:val="000438A9"/>
    <w:rsid w:val="000441C9"/>
    <w:rsid w:val="000447DD"/>
    <w:rsid w:val="0004585B"/>
    <w:rsid w:val="00046015"/>
    <w:rsid w:val="00050C3D"/>
    <w:rsid w:val="00050C40"/>
    <w:rsid w:val="00051A03"/>
    <w:rsid w:val="00054D45"/>
    <w:rsid w:val="00055B10"/>
    <w:rsid w:val="00055BDC"/>
    <w:rsid w:val="00057199"/>
    <w:rsid w:val="000578DB"/>
    <w:rsid w:val="000605FB"/>
    <w:rsid w:val="00060E72"/>
    <w:rsid w:val="00061321"/>
    <w:rsid w:val="00061C24"/>
    <w:rsid w:val="000632F9"/>
    <w:rsid w:val="00064FBA"/>
    <w:rsid w:val="000650B7"/>
    <w:rsid w:val="000655D3"/>
    <w:rsid w:val="00065ACB"/>
    <w:rsid w:val="00065CF3"/>
    <w:rsid w:val="000703F3"/>
    <w:rsid w:val="00070673"/>
    <w:rsid w:val="00071BE7"/>
    <w:rsid w:val="00073445"/>
    <w:rsid w:val="00073B31"/>
    <w:rsid w:val="00075410"/>
    <w:rsid w:val="00076CD7"/>
    <w:rsid w:val="00077050"/>
    <w:rsid w:val="00081FD2"/>
    <w:rsid w:val="00082297"/>
    <w:rsid w:val="0008309B"/>
    <w:rsid w:val="0008396B"/>
    <w:rsid w:val="00083E05"/>
    <w:rsid w:val="000862D3"/>
    <w:rsid w:val="00091A38"/>
    <w:rsid w:val="00093209"/>
    <w:rsid w:val="00093C87"/>
    <w:rsid w:val="0009438D"/>
    <w:rsid w:val="00095204"/>
    <w:rsid w:val="00096997"/>
    <w:rsid w:val="000A04F3"/>
    <w:rsid w:val="000A070C"/>
    <w:rsid w:val="000A177D"/>
    <w:rsid w:val="000A5033"/>
    <w:rsid w:val="000A5B41"/>
    <w:rsid w:val="000B087E"/>
    <w:rsid w:val="000B09F7"/>
    <w:rsid w:val="000B1F40"/>
    <w:rsid w:val="000B2A4E"/>
    <w:rsid w:val="000B4CFC"/>
    <w:rsid w:val="000B54C5"/>
    <w:rsid w:val="000B5FC3"/>
    <w:rsid w:val="000C02C8"/>
    <w:rsid w:val="000C0868"/>
    <w:rsid w:val="000C08C4"/>
    <w:rsid w:val="000C0B68"/>
    <w:rsid w:val="000C1319"/>
    <w:rsid w:val="000C3013"/>
    <w:rsid w:val="000C3D42"/>
    <w:rsid w:val="000C3ED2"/>
    <w:rsid w:val="000C6CCC"/>
    <w:rsid w:val="000C7E89"/>
    <w:rsid w:val="000D1050"/>
    <w:rsid w:val="000D1092"/>
    <w:rsid w:val="000D1A6C"/>
    <w:rsid w:val="000D2D1B"/>
    <w:rsid w:val="000D31E5"/>
    <w:rsid w:val="000D3E1E"/>
    <w:rsid w:val="000D48E2"/>
    <w:rsid w:val="000D5443"/>
    <w:rsid w:val="000E003B"/>
    <w:rsid w:val="000E14B8"/>
    <w:rsid w:val="000E2205"/>
    <w:rsid w:val="000E337F"/>
    <w:rsid w:val="000E38B2"/>
    <w:rsid w:val="000E3A6C"/>
    <w:rsid w:val="000F1466"/>
    <w:rsid w:val="000F2523"/>
    <w:rsid w:val="000F2B77"/>
    <w:rsid w:val="000F2BE5"/>
    <w:rsid w:val="000F3846"/>
    <w:rsid w:val="000F4E42"/>
    <w:rsid w:val="000F54D1"/>
    <w:rsid w:val="000F57DF"/>
    <w:rsid w:val="000F68D8"/>
    <w:rsid w:val="000F7701"/>
    <w:rsid w:val="000F7A21"/>
    <w:rsid w:val="000F7DE0"/>
    <w:rsid w:val="00100572"/>
    <w:rsid w:val="00100E63"/>
    <w:rsid w:val="00101D81"/>
    <w:rsid w:val="00102580"/>
    <w:rsid w:val="00102DE4"/>
    <w:rsid w:val="0010434F"/>
    <w:rsid w:val="00105D8A"/>
    <w:rsid w:val="00106132"/>
    <w:rsid w:val="00111428"/>
    <w:rsid w:val="00111444"/>
    <w:rsid w:val="00111A65"/>
    <w:rsid w:val="0011288D"/>
    <w:rsid w:val="00114F2A"/>
    <w:rsid w:val="00114F9F"/>
    <w:rsid w:val="00116CBE"/>
    <w:rsid w:val="001170D5"/>
    <w:rsid w:val="00117BE1"/>
    <w:rsid w:val="00123352"/>
    <w:rsid w:val="00123BBF"/>
    <w:rsid w:val="00123E3F"/>
    <w:rsid w:val="00123F6F"/>
    <w:rsid w:val="00125726"/>
    <w:rsid w:val="00126234"/>
    <w:rsid w:val="00131BB9"/>
    <w:rsid w:val="0013317B"/>
    <w:rsid w:val="001358BD"/>
    <w:rsid w:val="00135CD2"/>
    <w:rsid w:val="00136114"/>
    <w:rsid w:val="00136398"/>
    <w:rsid w:val="00140971"/>
    <w:rsid w:val="00140B63"/>
    <w:rsid w:val="00141852"/>
    <w:rsid w:val="00143B37"/>
    <w:rsid w:val="00143DD9"/>
    <w:rsid w:val="0014484A"/>
    <w:rsid w:val="0014663D"/>
    <w:rsid w:val="0014763F"/>
    <w:rsid w:val="001509AE"/>
    <w:rsid w:val="00151015"/>
    <w:rsid w:val="001520A2"/>
    <w:rsid w:val="001523C1"/>
    <w:rsid w:val="00152B43"/>
    <w:rsid w:val="00153A57"/>
    <w:rsid w:val="00154F1A"/>
    <w:rsid w:val="00157B4A"/>
    <w:rsid w:val="001607AF"/>
    <w:rsid w:val="00161252"/>
    <w:rsid w:val="001627A6"/>
    <w:rsid w:val="00163465"/>
    <w:rsid w:val="00163D08"/>
    <w:rsid w:val="00165192"/>
    <w:rsid w:val="0016536E"/>
    <w:rsid w:val="00165486"/>
    <w:rsid w:val="00165709"/>
    <w:rsid w:val="00165A07"/>
    <w:rsid w:val="001660B6"/>
    <w:rsid w:val="0016719B"/>
    <w:rsid w:val="001674A0"/>
    <w:rsid w:val="00167C40"/>
    <w:rsid w:val="0017087F"/>
    <w:rsid w:val="00172C8D"/>
    <w:rsid w:val="00173F9F"/>
    <w:rsid w:val="001745D1"/>
    <w:rsid w:val="00174784"/>
    <w:rsid w:val="00176491"/>
    <w:rsid w:val="00177E50"/>
    <w:rsid w:val="00181965"/>
    <w:rsid w:val="001834EF"/>
    <w:rsid w:val="0018392C"/>
    <w:rsid w:val="00185B25"/>
    <w:rsid w:val="00185B7C"/>
    <w:rsid w:val="001866F2"/>
    <w:rsid w:val="001901A2"/>
    <w:rsid w:val="001901CF"/>
    <w:rsid w:val="00190264"/>
    <w:rsid w:val="00190596"/>
    <w:rsid w:val="001914A4"/>
    <w:rsid w:val="00191800"/>
    <w:rsid w:val="00192BE1"/>
    <w:rsid w:val="001930FD"/>
    <w:rsid w:val="00193459"/>
    <w:rsid w:val="0019396A"/>
    <w:rsid w:val="00194199"/>
    <w:rsid w:val="00194D68"/>
    <w:rsid w:val="0019575F"/>
    <w:rsid w:val="001958A9"/>
    <w:rsid w:val="001971E0"/>
    <w:rsid w:val="001A2391"/>
    <w:rsid w:val="001A4664"/>
    <w:rsid w:val="001B026D"/>
    <w:rsid w:val="001B16CC"/>
    <w:rsid w:val="001B2FC7"/>
    <w:rsid w:val="001B3029"/>
    <w:rsid w:val="001B36D6"/>
    <w:rsid w:val="001B3C3E"/>
    <w:rsid w:val="001B43B4"/>
    <w:rsid w:val="001B4DEA"/>
    <w:rsid w:val="001B792E"/>
    <w:rsid w:val="001B7A29"/>
    <w:rsid w:val="001C18C4"/>
    <w:rsid w:val="001C20FE"/>
    <w:rsid w:val="001C231B"/>
    <w:rsid w:val="001C2927"/>
    <w:rsid w:val="001C4C01"/>
    <w:rsid w:val="001C6CC7"/>
    <w:rsid w:val="001D0281"/>
    <w:rsid w:val="001D066B"/>
    <w:rsid w:val="001D0742"/>
    <w:rsid w:val="001D1173"/>
    <w:rsid w:val="001D24BC"/>
    <w:rsid w:val="001D24D6"/>
    <w:rsid w:val="001D31D0"/>
    <w:rsid w:val="001D4972"/>
    <w:rsid w:val="001D7198"/>
    <w:rsid w:val="001D7769"/>
    <w:rsid w:val="001E0318"/>
    <w:rsid w:val="001E1293"/>
    <w:rsid w:val="001E1EA2"/>
    <w:rsid w:val="001E2995"/>
    <w:rsid w:val="001E33F1"/>
    <w:rsid w:val="001E3E39"/>
    <w:rsid w:val="001E629E"/>
    <w:rsid w:val="001E655D"/>
    <w:rsid w:val="001E673F"/>
    <w:rsid w:val="001E6B97"/>
    <w:rsid w:val="001E6F80"/>
    <w:rsid w:val="001E7857"/>
    <w:rsid w:val="001F0500"/>
    <w:rsid w:val="001F0FC7"/>
    <w:rsid w:val="001F3652"/>
    <w:rsid w:val="001F3BF3"/>
    <w:rsid w:val="001F43E2"/>
    <w:rsid w:val="001F4CC1"/>
    <w:rsid w:val="001F7095"/>
    <w:rsid w:val="001F71C4"/>
    <w:rsid w:val="001F7CD4"/>
    <w:rsid w:val="001F7F7B"/>
    <w:rsid w:val="00202026"/>
    <w:rsid w:val="00203BA3"/>
    <w:rsid w:val="00203DF6"/>
    <w:rsid w:val="00205D59"/>
    <w:rsid w:val="0020642B"/>
    <w:rsid w:val="002078AC"/>
    <w:rsid w:val="00207C98"/>
    <w:rsid w:val="00211060"/>
    <w:rsid w:val="00212351"/>
    <w:rsid w:val="00212D0D"/>
    <w:rsid w:val="00213E9C"/>
    <w:rsid w:val="0021469A"/>
    <w:rsid w:val="00215589"/>
    <w:rsid w:val="002168B9"/>
    <w:rsid w:val="00217F01"/>
    <w:rsid w:val="00220289"/>
    <w:rsid w:val="002205A1"/>
    <w:rsid w:val="00221476"/>
    <w:rsid w:val="00222082"/>
    <w:rsid w:val="00222B11"/>
    <w:rsid w:val="002239A1"/>
    <w:rsid w:val="00223A84"/>
    <w:rsid w:val="00223E3A"/>
    <w:rsid w:val="002242D9"/>
    <w:rsid w:val="002244AD"/>
    <w:rsid w:val="00224635"/>
    <w:rsid w:val="002246BC"/>
    <w:rsid w:val="00226832"/>
    <w:rsid w:val="00226F64"/>
    <w:rsid w:val="002271C5"/>
    <w:rsid w:val="00227A3B"/>
    <w:rsid w:val="00227B4B"/>
    <w:rsid w:val="00232F46"/>
    <w:rsid w:val="0023350D"/>
    <w:rsid w:val="0023372C"/>
    <w:rsid w:val="002346A0"/>
    <w:rsid w:val="002364D5"/>
    <w:rsid w:val="00236EAA"/>
    <w:rsid w:val="002419AE"/>
    <w:rsid w:val="00242389"/>
    <w:rsid w:val="002432A1"/>
    <w:rsid w:val="00246FD7"/>
    <w:rsid w:val="0025123C"/>
    <w:rsid w:val="00251851"/>
    <w:rsid w:val="00252657"/>
    <w:rsid w:val="00255920"/>
    <w:rsid w:val="00255F47"/>
    <w:rsid w:val="00261C93"/>
    <w:rsid w:val="0026216E"/>
    <w:rsid w:val="00263326"/>
    <w:rsid w:val="002634B7"/>
    <w:rsid w:val="00263C0A"/>
    <w:rsid w:val="00264520"/>
    <w:rsid w:val="002652AE"/>
    <w:rsid w:val="0026552C"/>
    <w:rsid w:val="00265992"/>
    <w:rsid w:val="0026604C"/>
    <w:rsid w:val="0027071A"/>
    <w:rsid w:val="00271038"/>
    <w:rsid w:val="0027172F"/>
    <w:rsid w:val="00271870"/>
    <w:rsid w:val="0027195D"/>
    <w:rsid w:val="002722B1"/>
    <w:rsid w:val="0027282C"/>
    <w:rsid w:val="0027332F"/>
    <w:rsid w:val="00273809"/>
    <w:rsid w:val="00274F89"/>
    <w:rsid w:val="002756E7"/>
    <w:rsid w:val="002768D1"/>
    <w:rsid w:val="002802CF"/>
    <w:rsid w:val="00281200"/>
    <w:rsid w:val="0028145F"/>
    <w:rsid w:val="00282104"/>
    <w:rsid w:val="00282D58"/>
    <w:rsid w:val="00284F36"/>
    <w:rsid w:val="00285743"/>
    <w:rsid w:val="002862AE"/>
    <w:rsid w:val="00286677"/>
    <w:rsid w:val="0028765D"/>
    <w:rsid w:val="0028788E"/>
    <w:rsid w:val="00291279"/>
    <w:rsid w:val="002916FC"/>
    <w:rsid w:val="00291861"/>
    <w:rsid w:val="00291EB4"/>
    <w:rsid w:val="002922A2"/>
    <w:rsid w:val="002922F9"/>
    <w:rsid w:val="00293212"/>
    <w:rsid w:val="002947D8"/>
    <w:rsid w:val="00296D5A"/>
    <w:rsid w:val="002A0648"/>
    <w:rsid w:val="002A28BE"/>
    <w:rsid w:val="002A2B77"/>
    <w:rsid w:val="002A6B4D"/>
    <w:rsid w:val="002A72D9"/>
    <w:rsid w:val="002B0748"/>
    <w:rsid w:val="002B21D5"/>
    <w:rsid w:val="002B3D84"/>
    <w:rsid w:val="002B42B5"/>
    <w:rsid w:val="002B59C7"/>
    <w:rsid w:val="002B5C7A"/>
    <w:rsid w:val="002B6222"/>
    <w:rsid w:val="002B79CB"/>
    <w:rsid w:val="002C0DD8"/>
    <w:rsid w:val="002C107A"/>
    <w:rsid w:val="002C1845"/>
    <w:rsid w:val="002C3701"/>
    <w:rsid w:val="002C4A89"/>
    <w:rsid w:val="002C5811"/>
    <w:rsid w:val="002C7184"/>
    <w:rsid w:val="002D103B"/>
    <w:rsid w:val="002D220D"/>
    <w:rsid w:val="002D296B"/>
    <w:rsid w:val="002D2DC2"/>
    <w:rsid w:val="002D348F"/>
    <w:rsid w:val="002D4287"/>
    <w:rsid w:val="002D4D0F"/>
    <w:rsid w:val="002D5541"/>
    <w:rsid w:val="002D67D9"/>
    <w:rsid w:val="002E00CB"/>
    <w:rsid w:val="002E3811"/>
    <w:rsid w:val="002E45F0"/>
    <w:rsid w:val="002E6AC7"/>
    <w:rsid w:val="002F381C"/>
    <w:rsid w:val="002F4A8B"/>
    <w:rsid w:val="002F4EF3"/>
    <w:rsid w:val="002F53FD"/>
    <w:rsid w:val="002F7492"/>
    <w:rsid w:val="002F7C86"/>
    <w:rsid w:val="002F7F18"/>
    <w:rsid w:val="00300C86"/>
    <w:rsid w:val="00302503"/>
    <w:rsid w:val="003030A1"/>
    <w:rsid w:val="00304B5E"/>
    <w:rsid w:val="003066CA"/>
    <w:rsid w:val="00307C3F"/>
    <w:rsid w:val="00310E71"/>
    <w:rsid w:val="00311787"/>
    <w:rsid w:val="0031266C"/>
    <w:rsid w:val="003153FC"/>
    <w:rsid w:val="0031608B"/>
    <w:rsid w:val="003167B1"/>
    <w:rsid w:val="00316C01"/>
    <w:rsid w:val="00316EBD"/>
    <w:rsid w:val="00320568"/>
    <w:rsid w:val="00320F88"/>
    <w:rsid w:val="00320FD8"/>
    <w:rsid w:val="003224A8"/>
    <w:rsid w:val="00324938"/>
    <w:rsid w:val="00327006"/>
    <w:rsid w:val="003303EE"/>
    <w:rsid w:val="00331327"/>
    <w:rsid w:val="00334591"/>
    <w:rsid w:val="003349A8"/>
    <w:rsid w:val="00334B7D"/>
    <w:rsid w:val="00334E6E"/>
    <w:rsid w:val="00335E4B"/>
    <w:rsid w:val="00336FE4"/>
    <w:rsid w:val="00337632"/>
    <w:rsid w:val="00341307"/>
    <w:rsid w:val="00341338"/>
    <w:rsid w:val="0034225B"/>
    <w:rsid w:val="003444CB"/>
    <w:rsid w:val="00344848"/>
    <w:rsid w:val="00344964"/>
    <w:rsid w:val="00345F33"/>
    <w:rsid w:val="003473E3"/>
    <w:rsid w:val="0035021B"/>
    <w:rsid w:val="003510BE"/>
    <w:rsid w:val="0035144B"/>
    <w:rsid w:val="00351F95"/>
    <w:rsid w:val="003523AC"/>
    <w:rsid w:val="003525C0"/>
    <w:rsid w:val="003536FD"/>
    <w:rsid w:val="003573FC"/>
    <w:rsid w:val="00357680"/>
    <w:rsid w:val="00360258"/>
    <w:rsid w:val="00360620"/>
    <w:rsid w:val="00362104"/>
    <w:rsid w:val="0036243F"/>
    <w:rsid w:val="003635F1"/>
    <w:rsid w:val="0036393C"/>
    <w:rsid w:val="00364477"/>
    <w:rsid w:val="003655BB"/>
    <w:rsid w:val="00365714"/>
    <w:rsid w:val="00366C5F"/>
    <w:rsid w:val="003679E3"/>
    <w:rsid w:val="00367FAC"/>
    <w:rsid w:val="00370584"/>
    <w:rsid w:val="00370879"/>
    <w:rsid w:val="00372A14"/>
    <w:rsid w:val="00373CB7"/>
    <w:rsid w:val="0037414E"/>
    <w:rsid w:val="003743C4"/>
    <w:rsid w:val="003756CB"/>
    <w:rsid w:val="003765AE"/>
    <w:rsid w:val="00376C16"/>
    <w:rsid w:val="00376C87"/>
    <w:rsid w:val="003806C1"/>
    <w:rsid w:val="0038521D"/>
    <w:rsid w:val="00385FD2"/>
    <w:rsid w:val="0038701C"/>
    <w:rsid w:val="003877F7"/>
    <w:rsid w:val="00392AE8"/>
    <w:rsid w:val="00392B76"/>
    <w:rsid w:val="003939F3"/>
    <w:rsid w:val="00394679"/>
    <w:rsid w:val="00395570"/>
    <w:rsid w:val="00396A65"/>
    <w:rsid w:val="00396C3E"/>
    <w:rsid w:val="00397861"/>
    <w:rsid w:val="0039786C"/>
    <w:rsid w:val="003A5025"/>
    <w:rsid w:val="003A5372"/>
    <w:rsid w:val="003A7D1B"/>
    <w:rsid w:val="003B0B71"/>
    <w:rsid w:val="003B1E4F"/>
    <w:rsid w:val="003B2449"/>
    <w:rsid w:val="003B2D5F"/>
    <w:rsid w:val="003B4A8C"/>
    <w:rsid w:val="003B5264"/>
    <w:rsid w:val="003B6E2D"/>
    <w:rsid w:val="003C25E4"/>
    <w:rsid w:val="003C2989"/>
    <w:rsid w:val="003C63C6"/>
    <w:rsid w:val="003D058D"/>
    <w:rsid w:val="003D05DA"/>
    <w:rsid w:val="003D1191"/>
    <w:rsid w:val="003D1E5D"/>
    <w:rsid w:val="003D3967"/>
    <w:rsid w:val="003D41F3"/>
    <w:rsid w:val="003D4DBA"/>
    <w:rsid w:val="003D6077"/>
    <w:rsid w:val="003E016E"/>
    <w:rsid w:val="003E3A99"/>
    <w:rsid w:val="003E5C21"/>
    <w:rsid w:val="003E75F2"/>
    <w:rsid w:val="003E7C00"/>
    <w:rsid w:val="003F1658"/>
    <w:rsid w:val="003F25A6"/>
    <w:rsid w:val="003F290A"/>
    <w:rsid w:val="003F30DA"/>
    <w:rsid w:val="003F388C"/>
    <w:rsid w:val="003F4BDF"/>
    <w:rsid w:val="003F5E1A"/>
    <w:rsid w:val="003F6B9B"/>
    <w:rsid w:val="00400982"/>
    <w:rsid w:val="00401DD3"/>
    <w:rsid w:val="0040218D"/>
    <w:rsid w:val="004024F5"/>
    <w:rsid w:val="0040367D"/>
    <w:rsid w:val="00403EB1"/>
    <w:rsid w:val="00403F71"/>
    <w:rsid w:val="004052F6"/>
    <w:rsid w:val="00405308"/>
    <w:rsid w:val="00407174"/>
    <w:rsid w:val="00407DAD"/>
    <w:rsid w:val="004103BD"/>
    <w:rsid w:val="00411BA8"/>
    <w:rsid w:val="0041380F"/>
    <w:rsid w:val="00414DE3"/>
    <w:rsid w:val="004152F5"/>
    <w:rsid w:val="0041599E"/>
    <w:rsid w:val="00415D91"/>
    <w:rsid w:val="00416761"/>
    <w:rsid w:val="004170AE"/>
    <w:rsid w:val="00417519"/>
    <w:rsid w:val="004203BC"/>
    <w:rsid w:val="00420477"/>
    <w:rsid w:val="004222C4"/>
    <w:rsid w:val="004236F8"/>
    <w:rsid w:val="00423D49"/>
    <w:rsid w:val="004250AB"/>
    <w:rsid w:val="00426DA4"/>
    <w:rsid w:val="0042746D"/>
    <w:rsid w:val="00427676"/>
    <w:rsid w:val="00427D22"/>
    <w:rsid w:val="00427D60"/>
    <w:rsid w:val="00432615"/>
    <w:rsid w:val="00432F6B"/>
    <w:rsid w:val="0043371C"/>
    <w:rsid w:val="00433DBE"/>
    <w:rsid w:val="00433E22"/>
    <w:rsid w:val="00433FAB"/>
    <w:rsid w:val="00434213"/>
    <w:rsid w:val="004361AA"/>
    <w:rsid w:val="00441237"/>
    <w:rsid w:val="0044229A"/>
    <w:rsid w:val="004423A1"/>
    <w:rsid w:val="00443018"/>
    <w:rsid w:val="0044376B"/>
    <w:rsid w:val="00444053"/>
    <w:rsid w:val="004455A5"/>
    <w:rsid w:val="00445F91"/>
    <w:rsid w:val="004476A3"/>
    <w:rsid w:val="0045063B"/>
    <w:rsid w:val="00450682"/>
    <w:rsid w:val="0045117D"/>
    <w:rsid w:val="00452380"/>
    <w:rsid w:val="004528CA"/>
    <w:rsid w:val="00452E82"/>
    <w:rsid w:val="0045425C"/>
    <w:rsid w:val="004558BC"/>
    <w:rsid w:val="0045604A"/>
    <w:rsid w:val="00456B48"/>
    <w:rsid w:val="00460425"/>
    <w:rsid w:val="0046284B"/>
    <w:rsid w:val="004630D6"/>
    <w:rsid w:val="004652C2"/>
    <w:rsid w:val="004661D1"/>
    <w:rsid w:val="00466564"/>
    <w:rsid w:val="00466EF1"/>
    <w:rsid w:val="004671B4"/>
    <w:rsid w:val="00471E9D"/>
    <w:rsid w:val="004731B9"/>
    <w:rsid w:val="0047642E"/>
    <w:rsid w:val="00476D61"/>
    <w:rsid w:val="0047770B"/>
    <w:rsid w:val="0047776D"/>
    <w:rsid w:val="00480B61"/>
    <w:rsid w:val="00480E7B"/>
    <w:rsid w:val="00482A3B"/>
    <w:rsid w:val="00483386"/>
    <w:rsid w:val="0048363B"/>
    <w:rsid w:val="0048427D"/>
    <w:rsid w:val="0048610B"/>
    <w:rsid w:val="004866FB"/>
    <w:rsid w:val="004874B2"/>
    <w:rsid w:val="004879B4"/>
    <w:rsid w:val="004906B7"/>
    <w:rsid w:val="004910A2"/>
    <w:rsid w:val="00491571"/>
    <w:rsid w:val="00491A8B"/>
    <w:rsid w:val="00491B0E"/>
    <w:rsid w:val="0049358A"/>
    <w:rsid w:val="004940F1"/>
    <w:rsid w:val="00495A00"/>
    <w:rsid w:val="00495FDB"/>
    <w:rsid w:val="00496601"/>
    <w:rsid w:val="00497621"/>
    <w:rsid w:val="00497884"/>
    <w:rsid w:val="004A0368"/>
    <w:rsid w:val="004A09E6"/>
    <w:rsid w:val="004A1031"/>
    <w:rsid w:val="004A125F"/>
    <w:rsid w:val="004A1D97"/>
    <w:rsid w:val="004A2917"/>
    <w:rsid w:val="004A2FF2"/>
    <w:rsid w:val="004A5DFC"/>
    <w:rsid w:val="004A7732"/>
    <w:rsid w:val="004B25EC"/>
    <w:rsid w:val="004B261F"/>
    <w:rsid w:val="004B39F3"/>
    <w:rsid w:val="004B3C85"/>
    <w:rsid w:val="004B4835"/>
    <w:rsid w:val="004B585C"/>
    <w:rsid w:val="004C10AD"/>
    <w:rsid w:val="004C3C48"/>
    <w:rsid w:val="004C6151"/>
    <w:rsid w:val="004C6492"/>
    <w:rsid w:val="004C7C5E"/>
    <w:rsid w:val="004C7F09"/>
    <w:rsid w:val="004D0A1D"/>
    <w:rsid w:val="004D24D6"/>
    <w:rsid w:val="004D4288"/>
    <w:rsid w:val="004D441B"/>
    <w:rsid w:val="004D6495"/>
    <w:rsid w:val="004D6E97"/>
    <w:rsid w:val="004D7018"/>
    <w:rsid w:val="004D78E4"/>
    <w:rsid w:val="004D7F19"/>
    <w:rsid w:val="004E23C1"/>
    <w:rsid w:val="004E2BD4"/>
    <w:rsid w:val="004E2C1C"/>
    <w:rsid w:val="004E3500"/>
    <w:rsid w:val="004E409B"/>
    <w:rsid w:val="004E5230"/>
    <w:rsid w:val="004F1D8A"/>
    <w:rsid w:val="004F206C"/>
    <w:rsid w:val="004F2185"/>
    <w:rsid w:val="004F3F4B"/>
    <w:rsid w:val="004F41A5"/>
    <w:rsid w:val="004F5540"/>
    <w:rsid w:val="004F6169"/>
    <w:rsid w:val="004F666C"/>
    <w:rsid w:val="00500C3A"/>
    <w:rsid w:val="005011F9"/>
    <w:rsid w:val="00501347"/>
    <w:rsid w:val="00501FD6"/>
    <w:rsid w:val="00502068"/>
    <w:rsid w:val="0050227A"/>
    <w:rsid w:val="00502AA9"/>
    <w:rsid w:val="005032A8"/>
    <w:rsid w:val="005035FA"/>
    <w:rsid w:val="00503631"/>
    <w:rsid w:val="005042DA"/>
    <w:rsid w:val="00505C4E"/>
    <w:rsid w:val="00507F83"/>
    <w:rsid w:val="00511678"/>
    <w:rsid w:val="005127E8"/>
    <w:rsid w:val="00516FFB"/>
    <w:rsid w:val="005202CC"/>
    <w:rsid w:val="00521226"/>
    <w:rsid w:val="00521396"/>
    <w:rsid w:val="00521C79"/>
    <w:rsid w:val="00523C5C"/>
    <w:rsid w:val="00524604"/>
    <w:rsid w:val="00525B53"/>
    <w:rsid w:val="00525DCA"/>
    <w:rsid w:val="005302DE"/>
    <w:rsid w:val="00531A47"/>
    <w:rsid w:val="005331E1"/>
    <w:rsid w:val="005331F8"/>
    <w:rsid w:val="00536B06"/>
    <w:rsid w:val="00537122"/>
    <w:rsid w:val="00537C1B"/>
    <w:rsid w:val="0054033B"/>
    <w:rsid w:val="00541AD9"/>
    <w:rsid w:val="00541ADA"/>
    <w:rsid w:val="005427A7"/>
    <w:rsid w:val="0054326C"/>
    <w:rsid w:val="00544286"/>
    <w:rsid w:val="005447AA"/>
    <w:rsid w:val="00546533"/>
    <w:rsid w:val="00547F78"/>
    <w:rsid w:val="0055010B"/>
    <w:rsid w:val="005504B5"/>
    <w:rsid w:val="00550B9F"/>
    <w:rsid w:val="005522C2"/>
    <w:rsid w:val="005523CC"/>
    <w:rsid w:val="005530B2"/>
    <w:rsid w:val="00553C92"/>
    <w:rsid w:val="00553E7B"/>
    <w:rsid w:val="00555B1A"/>
    <w:rsid w:val="005563AD"/>
    <w:rsid w:val="00556A43"/>
    <w:rsid w:val="00557845"/>
    <w:rsid w:val="00561CC9"/>
    <w:rsid w:val="00562881"/>
    <w:rsid w:val="00563123"/>
    <w:rsid w:val="005632FA"/>
    <w:rsid w:val="00563F8C"/>
    <w:rsid w:val="00564BD6"/>
    <w:rsid w:val="00564F0F"/>
    <w:rsid w:val="00565059"/>
    <w:rsid w:val="00565FA4"/>
    <w:rsid w:val="00566126"/>
    <w:rsid w:val="00567176"/>
    <w:rsid w:val="00567E6E"/>
    <w:rsid w:val="00571932"/>
    <w:rsid w:val="00571C1B"/>
    <w:rsid w:val="00571E63"/>
    <w:rsid w:val="005755EF"/>
    <w:rsid w:val="00576264"/>
    <w:rsid w:val="0057628E"/>
    <w:rsid w:val="00576658"/>
    <w:rsid w:val="00576991"/>
    <w:rsid w:val="00576DD8"/>
    <w:rsid w:val="0057793C"/>
    <w:rsid w:val="0058108A"/>
    <w:rsid w:val="00581875"/>
    <w:rsid w:val="00583965"/>
    <w:rsid w:val="00584A4C"/>
    <w:rsid w:val="00585036"/>
    <w:rsid w:val="005864CB"/>
    <w:rsid w:val="005865B9"/>
    <w:rsid w:val="00590729"/>
    <w:rsid w:val="005907F6"/>
    <w:rsid w:val="00591200"/>
    <w:rsid w:val="0059148D"/>
    <w:rsid w:val="00594E5B"/>
    <w:rsid w:val="005952B5"/>
    <w:rsid w:val="00595608"/>
    <w:rsid w:val="00595E8C"/>
    <w:rsid w:val="00596623"/>
    <w:rsid w:val="005A18F1"/>
    <w:rsid w:val="005A2DB0"/>
    <w:rsid w:val="005A40EC"/>
    <w:rsid w:val="005A4690"/>
    <w:rsid w:val="005A4FE5"/>
    <w:rsid w:val="005A5111"/>
    <w:rsid w:val="005A64E8"/>
    <w:rsid w:val="005B2A04"/>
    <w:rsid w:val="005B2A87"/>
    <w:rsid w:val="005B2BD8"/>
    <w:rsid w:val="005B40C0"/>
    <w:rsid w:val="005B5C92"/>
    <w:rsid w:val="005B6E7C"/>
    <w:rsid w:val="005B7E3E"/>
    <w:rsid w:val="005C16D5"/>
    <w:rsid w:val="005C1C78"/>
    <w:rsid w:val="005C1CF9"/>
    <w:rsid w:val="005C247F"/>
    <w:rsid w:val="005C30E2"/>
    <w:rsid w:val="005C31FA"/>
    <w:rsid w:val="005C44ED"/>
    <w:rsid w:val="005C46DB"/>
    <w:rsid w:val="005C50FB"/>
    <w:rsid w:val="005C5936"/>
    <w:rsid w:val="005C6656"/>
    <w:rsid w:val="005C75BE"/>
    <w:rsid w:val="005C7E5B"/>
    <w:rsid w:val="005D05AE"/>
    <w:rsid w:val="005D0E9C"/>
    <w:rsid w:val="005D1F08"/>
    <w:rsid w:val="005D2606"/>
    <w:rsid w:val="005D2CD4"/>
    <w:rsid w:val="005D31FF"/>
    <w:rsid w:val="005D368A"/>
    <w:rsid w:val="005D3FAF"/>
    <w:rsid w:val="005D4CA4"/>
    <w:rsid w:val="005D5352"/>
    <w:rsid w:val="005D6E62"/>
    <w:rsid w:val="005D75EA"/>
    <w:rsid w:val="005D7FD6"/>
    <w:rsid w:val="005E1912"/>
    <w:rsid w:val="005E1B2E"/>
    <w:rsid w:val="005E1C0A"/>
    <w:rsid w:val="005E2E61"/>
    <w:rsid w:val="005E2EF1"/>
    <w:rsid w:val="005E318B"/>
    <w:rsid w:val="005E349A"/>
    <w:rsid w:val="005E41C9"/>
    <w:rsid w:val="005E5029"/>
    <w:rsid w:val="005E6E8F"/>
    <w:rsid w:val="005E6F0A"/>
    <w:rsid w:val="005F0011"/>
    <w:rsid w:val="005F01B9"/>
    <w:rsid w:val="005F092A"/>
    <w:rsid w:val="005F0F76"/>
    <w:rsid w:val="005F11B8"/>
    <w:rsid w:val="005F2291"/>
    <w:rsid w:val="005F39DD"/>
    <w:rsid w:val="005F71D9"/>
    <w:rsid w:val="005F78E9"/>
    <w:rsid w:val="005F7931"/>
    <w:rsid w:val="005F7C10"/>
    <w:rsid w:val="005F7E3E"/>
    <w:rsid w:val="00601574"/>
    <w:rsid w:val="0060183E"/>
    <w:rsid w:val="006019F7"/>
    <w:rsid w:val="00601BCE"/>
    <w:rsid w:val="006050E3"/>
    <w:rsid w:val="00605B28"/>
    <w:rsid w:val="00607143"/>
    <w:rsid w:val="00607765"/>
    <w:rsid w:val="0061058B"/>
    <w:rsid w:val="00611A1B"/>
    <w:rsid w:val="00613CDF"/>
    <w:rsid w:val="00615B97"/>
    <w:rsid w:val="00615E60"/>
    <w:rsid w:val="00616E3E"/>
    <w:rsid w:val="00617370"/>
    <w:rsid w:val="00617816"/>
    <w:rsid w:val="00617D21"/>
    <w:rsid w:val="00617DAF"/>
    <w:rsid w:val="00620B51"/>
    <w:rsid w:val="0062134F"/>
    <w:rsid w:val="00621B7E"/>
    <w:rsid w:val="00621D70"/>
    <w:rsid w:val="00622984"/>
    <w:rsid w:val="00622AD4"/>
    <w:rsid w:val="00623C36"/>
    <w:rsid w:val="00624BC4"/>
    <w:rsid w:val="00624C81"/>
    <w:rsid w:val="006258BE"/>
    <w:rsid w:val="00625C79"/>
    <w:rsid w:val="00627C50"/>
    <w:rsid w:val="0063295C"/>
    <w:rsid w:val="0063375C"/>
    <w:rsid w:val="006339DC"/>
    <w:rsid w:val="00637AFC"/>
    <w:rsid w:val="00640A35"/>
    <w:rsid w:val="006420C8"/>
    <w:rsid w:val="00642B67"/>
    <w:rsid w:val="00645BC3"/>
    <w:rsid w:val="00646D57"/>
    <w:rsid w:val="00650471"/>
    <w:rsid w:val="0065082D"/>
    <w:rsid w:val="00651018"/>
    <w:rsid w:val="006516A3"/>
    <w:rsid w:val="006526C6"/>
    <w:rsid w:val="0065312F"/>
    <w:rsid w:val="006537F1"/>
    <w:rsid w:val="006545FB"/>
    <w:rsid w:val="00654B4F"/>
    <w:rsid w:val="00655986"/>
    <w:rsid w:val="00657D89"/>
    <w:rsid w:val="006630FC"/>
    <w:rsid w:val="0066424D"/>
    <w:rsid w:val="0066429A"/>
    <w:rsid w:val="006704F8"/>
    <w:rsid w:val="00671045"/>
    <w:rsid w:val="006715B8"/>
    <w:rsid w:val="00673E70"/>
    <w:rsid w:val="006751FD"/>
    <w:rsid w:val="0067547B"/>
    <w:rsid w:val="00675867"/>
    <w:rsid w:val="006758E5"/>
    <w:rsid w:val="0067707A"/>
    <w:rsid w:val="00677360"/>
    <w:rsid w:val="006776FB"/>
    <w:rsid w:val="00677AFC"/>
    <w:rsid w:val="006800D5"/>
    <w:rsid w:val="006823C5"/>
    <w:rsid w:val="00682615"/>
    <w:rsid w:val="00682D8D"/>
    <w:rsid w:val="0068356F"/>
    <w:rsid w:val="0068366B"/>
    <w:rsid w:val="00683849"/>
    <w:rsid w:val="0068404C"/>
    <w:rsid w:val="006846EE"/>
    <w:rsid w:val="0068583A"/>
    <w:rsid w:val="006858B5"/>
    <w:rsid w:val="00687896"/>
    <w:rsid w:val="00687BF8"/>
    <w:rsid w:val="00690832"/>
    <w:rsid w:val="00691599"/>
    <w:rsid w:val="0069224C"/>
    <w:rsid w:val="006927CD"/>
    <w:rsid w:val="00692DF4"/>
    <w:rsid w:val="0069302B"/>
    <w:rsid w:val="006950DF"/>
    <w:rsid w:val="00695297"/>
    <w:rsid w:val="006958E2"/>
    <w:rsid w:val="00695C8D"/>
    <w:rsid w:val="00696AC4"/>
    <w:rsid w:val="006A0536"/>
    <w:rsid w:val="006A11B8"/>
    <w:rsid w:val="006A1253"/>
    <w:rsid w:val="006A1438"/>
    <w:rsid w:val="006A251C"/>
    <w:rsid w:val="006A2DFD"/>
    <w:rsid w:val="006A48EB"/>
    <w:rsid w:val="006A4CA3"/>
    <w:rsid w:val="006A6006"/>
    <w:rsid w:val="006A7277"/>
    <w:rsid w:val="006B0675"/>
    <w:rsid w:val="006B2FB9"/>
    <w:rsid w:val="006B329F"/>
    <w:rsid w:val="006B3550"/>
    <w:rsid w:val="006B4D6E"/>
    <w:rsid w:val="006B4E12"/>
    <w:rsid w:val="006B5B2F"/>
    <w:rsid w:val="006B7079"/>
    <w:rsid w:val="006C1368"/>
    <w:rsid w:val="006C1CAD"/>
    <w:rsid w:val="006C33CC"/>
    <w:rsid w:val="006C3614"/>
    <w:rsid w:val="006C5290"/>
    <w:rsid w:val="006C54C2"/>
    <w:rsid w:val="006C6F87"/>
    <w:rsid w:val="006D1530"/>
    <w:rsid w:val="006D1764"/>
    <w:rsid w:val="006D1D2B"/>
    <w:rsid w:val="006D2666"/>
    <w:rsid w:val="006D3896"/>
    <w:rsid w:val="006D48FD"/>
    <w:rsid w:val="006D4E34"/>
    <w:rsid w:val="006D52B2"/>
    <w:rsid w:val="006D5511"/>
    <w:rsid w:val="006D5B71"/>
    <w:rsid w:val="006D7DF7"/>
    <w:rsid w:val="006E21F9"/>
    <w:rsid w:val="006E2A52"/>
    <w:rsid w:val="006E30F3"/>
    <w:rsid w:val="006E3E42"/>
    <w:rsid w:val="006E4564"/>
    <w:rsid w:val="006E4DE1"/>
    <w:rsid w:val="006E68E1"/>
    <w:rsid w:val="006E6FB1"/>
    <w:rsid w:val="006E7E9C"/>
    <w:rsid w:val="006F14B6"/>
    <w:rsid w:val="006F17D8"/>
    <w:rsid w:val="006F3AD6"/>
    <w:rsid w:val="006F47E3"/>
    <w:rsid w:val="006F49C7"/>
    <w:rsid w:val="006F4B9D"/>
    <w:rsid w:val="006F6117"/>
    <w:rsid w:val="006F6E15"/>
    <w:rsid w:val="006F7541"/>
    <w:rsid w:val="006F7DE8"/>
    <w:rsid w:val="006F7FB0"/>
    <w:rsid w:val="00701494"/>
    <w:rsid w:val="007025CF"/>
    <w:rsid w:val="00702A2A"/>
    <w:rsid w:val="0070313C"/>
    <w:rsid w:val="00703373"/>
    <w:rsid w:val="00704536"/>
    <w:rsid w:val="007056A2"/>
    <w:rsid w:val="00705C9B"/>
    <w:rsid w:val="007108EE"/>
    <w:rsid w:val="0071392E"/>
    <w:rsid w:val="00714CA4"/>
    <w:rsid w:val="007155B6"/>
    <w:rsid w:val="00715C45"/>
    <w:rsid w:val="007160E3"/>
    <w:rsid w:val="0071626A"/>
    <w:rsid w:val="0071686D"/>
    <w:rsid w:val="00716BB9"/>
    <w:rsid w:val="00716CA6"/>
    <w:rsid w:val="00716D2E"/>
    <w:rsid w:val="007211A9"/>
    <w:rsid w:val="00722181"/>
    <w:rsid w:val="007223DB"/>
    <w:rsid w:val="00725DA0"/>
    <w:rsid w:val="007269DD"/>
    <w:rsid w:val="007271F5"/>
    <w:rsid w:val="00730BB6"/>
    <w:rsid w:val="0073116D"/>
    <w:rsid w:val="007316F5"/>
    <w:rsid w:val="007325C7"/>
    <w:rsid w:val="00732C8A"/>
    <w:rsid w:val="00733F00"/>
    <w:rsid w:val="00734D2F"/>
    <w:rsid w:val="00736989"/>
    <w:rsid w:val="0074167F"/>
    <w:rsid w:val="00746FD2"/>
    <w:rsid w:val="00751A7E"/>
    <w:rsid w:val="007521A3"/>
    <w:rsid w:val="007523E5"/>
    <w:rsid w:val="00752507"/>
    <w:rsid w:val="00752CFF"/>
    <w:rsid w:val="00752DE1"/>
    <w:rsid w:val="00753CBD"/>
    <w:rsid w:val="00755AA2"/>
    <w:rsid w:val="007577EF"/>
    <w:rsid w:val="00760DAC"/>
    <w:rsid w:val="00763872"/>
    <w:rsid w:val="007639EB"/>
    <w:rsid w:val="00765EFB"/>
    <w:rsid w:val="00767483"/>
    <w:rsid w:val="00767D08"/>
    <w:rsid w:val="00770DB8"/>
    <w:rsid w:val="0077101E"/>
    <w:rsid w:val="0077190E"/>
    <w:rsid w:val="00771DFC"/>
    <w:rsid w:val="00773202"/>
    <w:rsid w:val="007737C0"/>
    <w:rsid w:val="00773BDD"/>
    <w:rsid w:val="00773C0D"/>
    <w:rsid w:val="00773C2C"/>
    <w:rsid w:val="00773F9B"/>
    <w:rsid w:val="00774E22"/>
    <w:rsid w:val="0077692A"/>
    <w:rsid w:val="007770A9"/>
    <w:rsid w:val="00780D4F"/>
    <w:rsid w:val="007819F1"/>
    <w:rsid w:val="0078336F"/>
    <w:rsid w:val="007833E4"/>
    <w:rsid w:val="0078388A"/>
    <w:rsid w:val="0078462F"/>
    <w:rsid w:val="00784EA2"/>
    <w:rsid w:val="00785558"/>
    <w:rsid w:val="007862BD"/>
    <w:rsid w:val="0078649D"/>
    <w:rsid w:val="0078729E"/>
    <w:rsid w:val="00787E3D"/>
    <w:rsid w:val="00790C65"/>
    <w:rsid w:val="00790DF8"/>
    <w:rsid w:val="00790F7D"/>
    <w:rsid w:val="00792836"/>
    <w:rsid w:val="0079316D"/>
    <w:rsid w:val="00793271"/>
    <w:rsid w:val="00794930"/>
    <w:rsid w:val="0079541F"/>
    <w:rsid w:val="007960E7"/>
    <w:rsid w:val="00796BFE"/>
    <w:rsid w:val="00796D00"/>
    <w:rsid w:val="00796F4F"/>
    <w:rsid w:val="00796F61"/>
    <w:rsid w:val="00797649"/>
    <w:rsid w:val="007A0395"/>
    <w:rsid w:val="007A04C7"/>
    <w:rsid w:val="007A08BC"/>
    <w:rsid w:val="007A1272"/>
    <w:rsid w:val="007A20BA"/>
    <w:rsid w:val="007A23C5"/>
    <w:rsid w:val="007A518E"/>
    <w:rsid w:val="007B02D1"/>
    <w:rsid w:val="007B0B63"/>
    <w:rsid w:val="007B16BC"/>
    <w:rsid w:val="007B3098"/>
    <w:rsid w:val="007B383E"/>
    <w:rsid w:val="007B502F"/>
    <w:rsid w:val="007C053A"/>
    <w:rsid w:val="007C0883"/>
    <w:rsid w:val="007C08B2"/>
    <w:rsid w:val="007C4362"/>
    <w:rsid w:val="007C58BA"/>
    <w:rsid w:val="007C66F6"/>
    <w:rsid w:val="007C7694"/>
    <w:rsid w:val="007D07AB"/>
    <w:rsid w:val="007D10B8"/>
    <w:rsid w:val="007D1EBB"/>
    <w:rsid w:val="007D2D09"/>
    <w:rsid w:val="007D3829"/>
    <w:rsid w:val="007D4D54"/>
    <w:rsid w:val="007D6DF6"/>
    <w:rsid w:val="007E143D"/>
    <w:rsid w:val="007E2E62"/>
    <w:rsid w:val="007E300F"/>
    <w:rsid w:val="007E34E3"/>
    <w:rsid w:val="007E35EF"/>
    <w:rsid w:val="007E4F74"/>
    <w:rsid w:val="007E7953"/>
    <w:rsid w:val="007E7968"/>
    <w:rsid w:val="007F0C6B"/>
    <w:rsid w:val="007F13E1"/>
    <w:rsid w:val="007F14DD"/>
    <w:rsid w:val="007F2CFF"/>
    <w:rsid w:val="007F3240"/>
    <w:rsid w:val="007F393E"/>
    <w:rsid w:val="007F42DF"/>
    <w:rsid w:val="007F462A"/>
    <w:rsid w:val="007F4DB4"/>
    <w:rsid w:val="007F53EA"/>
    <w:rsid w:val="007F6D38"/>
    <w:rsid w:val="0080069E"/>
    <w:rsid w:val="00800F19"/>
    <w:rsid w:val="00801042"/>
    <w:rsid w:val="00801D10"/>
    <w:rsid w:val="00802592"/>
    <w:rsid w:val="008027EE"/>
    <w:rsid w:val="0080328E"/>
    <w:rsid w:val="008041E6"/>
    <w:rsid w:val="00804E88"/>
    <w:rsid w:val="0080583B"/>
    <w:rsid w:val="00805D17"/>
    <w:rsid w:val="00805F28"/>
    <w:rsid w:val="0080690F"/>
    <w:rsid w:val="00807B63"/>
    <w:rsid w:val="00812504"/>
    <w:rsid w:val="008142B1"/>
    <w:rsid w:val="0081439B"/>
    <w:rsid w:val="00814EF2"/>
    <w:rsid w:val="008173A8"/>
    <w:rsid w:val="00817B63"/>
    <w:rsid w:val="0082208A"/>
    <w:rsid w:val="00824A29"/>
    <w:rsid w:val="00824E44"/>
    <w:rsid w:val="00825D3B"/>
    <w:rsid w:val="008265E4"/>
    <w:rsid w:val="00826D2B"/>
    <w:rsid w:val="008309BE"/>
    <w:rsid w:val="00830CF1"/>
    <w:rsid w:val="00831CEF"/>
    <w:rsid w:val="00831E79"/>
    <w:rsid w:val="008320BD"/>
    <w:rsid w:val="00832F73"/>
    <w:rsid w:val="00835B2B"/>
    <w:rsid w:val="00835D3D"/>
    <w:rsid w:val="008363BF"/>
    <w:rsid w:val="0084069E"/>
    <w:rsid w:val="00840B9F"/>
    <w:rsid w:val="00841CD3"/>
    <w:rsid w:val="00843241"/>
    <w:rsid w:val="00843F13"/>
    <w:rsid w:val="00844FF3"/>
    <w:rsid w:val="00845D7A"/>
    <w:rsid w:val="00846A7D"/>
    <w:rsid w:val="0084715C"/>
    <w:rsid w:val="0085013B"/>
    <w:rsid w:val="008508BC"/>
    <w:rsid w:val="00850C54"/>
    <w:rsid w:val="00850D5A"/>
    <w:rsid w:val="008511E8"/>
    <w:rsid w:val="00852E41"/>
    <w:rsid w:val="00853130"/>
    <w:rsid w:val="008532AA"/>
    <w:rsid w:val="00854EBC"/>
    <w:rsid w:val="008551BD"/>
    <w:rsid w:val="0085589C"/>
    <w:rsid w:val="0085730D"/>
    <w:rsid w:val="00860503"/>
    <w:rsid w:val="00863198"/>
    <w:rsid w:val="00863A2A"/>
    <w:rsid w:val="00863E45"/>
    <w:rsid w:val="00864174"/>
    <w:rsid w:val="008651CB"/>
    <w:rsid w:val="008665BB"/>
    <w:rsid w:val="00866864"/>
    <w:rsid w:val="008678B2"/>
    <w:rsid w:val="00870406"/>
    <w:rsid w:val="00870EC3"/>
    <w:rsid w:val="0087119D"/>
    <w:rsid w:val="00871316"/>
    <w:rsid w:val="00871DA4"/>
    <w:rsid w:val="00872808"/>
    <w:rsid w:val="008751E7"/>
    <w:rsid w:val="00875318"/>
    <w:rsid w:val="0087561F"/>
    <w:rsid w:val="00875FF6"/>
    <w:rsid w:val="00876726"/>
    <w:rsid w:val="008778B6"/>
    <w:rsid w:val="008808B9"/>
    <w:rsid w:val="00882A23"/>
    <w:rsid w:val="0088388B"/>
    <w:rsid w:val="00883C95"/>
    <w:rsid w:val="00883EF8"/>
    <w:rsid w:val="0088496E"/>
    <w:rsid w:val="00884C7A"/>
    <w:rsid w:val="00884D8F"/>
    <w:rsid w:val="0088730E"/>
    <w:rsid w:val="008875F8"/>
    <w:rsid w:val="00887713"/>
    <w:rsid w:val="00891471"/>
    <w:rsid w:val="00891668"/>
    <w:rsid w:val="00893531"/>
    <w:rsid w:val="00894ED0"/>
    <w:rsid w:val="00895BB7"/>
    <w:rsid w:val="00895E5E"/>
    <w:rsid w:val="00896304"/>
    <w:rsid w:val="008A00ED"/>
    <w:rsid w:val="008A033B"/>
    <w:rsid w:val="008A2DE0"/>
    <w:rsid w:val="008A2F8D"/>
    <w:rsid w:val="008A322A"/>
    <w:rsid w:val="008A5120"/>
    <w:rsid w:val="008A5857"/>
    <w:rsid w:val="008A7962"/>
    <w:rsid w:val="008A7DDC"/>
    <w:rsid w:val="008B1C97"/>
    <w:rsid w:val="008B3804"/>
    <w:rsid w:val="008B417D"/>
    <w:rsid w:val="008B686D"/>
    <w:rsid w:val="008B693E"/>
    <w:rsid w:val="008B73C5"/>
    <w:rsid w:val="008C0024"/>
    <w:rsid w:val="008C08A5"/>
    <w:rsid w:val="008C10F6"/>
    <w:rsid w:val="008C1655"/>
    <w:rsid w:val="008C1ED0"/>
    <w:rsid w:val="008C2F8C"/>
    <w:rsid w:val="008C3836"/>
    <w:rsid w:val="008C559C"/>
    <w:rsid w:val="008C5801"/>
    <w:rsid w:val="008C6131"/>
    <w:rsid w:val="008C61F3"/>
    <w:rsid w:val="008C7362"/>
    <w:rsid w:val="008C7427"/>
    <w:rsid w:val="008C7C28"/>
    <w:rsid w:val="008D4771"/>
    <w:rsid w:val="008D49F3"/>
    <w:rsid w:val="008D4BCD"/>
    <w:rsid w:val="008D4EC7"/>
    <w:rsid w:val="008D5CAA"/>
    <w:rsid w:val="008D63E9"/>
    <w:rsid w:val="008D6852"/>
    <w:rsid w:val="008D69E3"/>
    <w:rsid w:val="008D770F"/>
    <w:rsid w:val="008E0939"/>
    <w:rsid w:val="008E1A00"/>
    <w:rsid w:val="008E4109"/>
    <w:rsid w:val="008E5A6B"/>
    <w:rsid w:val="008F054C"/>
    <w:rsid w:val="008F13F3"/>
    <w:rsid w:val="008F1437"/>
    <w:rsid w:val="008F2396"/>
    <w:rsid w:val="008F258D"/>
    <w:rsid w:val="008F3530"/>
    <w:rsid w:val="008F3B90"/>
    <w:rsid w:val="008F5EFA"/>
    <w:rsid w:val="008F667A"/>
    <w:rsid w:val="008F6A47"/>
    <w:rsid w:val="008F75E2"/>
    <w:rsid w:val="00900241"/>
    <w:rsid w:val="00901491"/>
    <w:rsid w:val="009014E2"/>
    <w:rsid w:val="009025D8"/>
    <w:rsid w:val="00902D3C"/>
    <w:rsid w:val="009037E4"/>
    <w:rsid w:val="00903F02"/>
    <w:rsid w:val="00904C40"/>
    <w:rsid w:val="0090574C"/>
    <w:rsid w:val="00907A88"/>
    <w:rsid w:val="009106D6"/>
    <w:rsid w:val="00910722"/>
    <w:rsid w:val="00911F48"/>
    <w:rsid w:val="00914C9F"/>
    <w:rsid w:val="00915C71"/>
    <w:rsid w:val="00920C93"/>
    <w:rsid w:val="00921BDA"/>
    <w:rsid w:val="009222B7"/>
    <w:rsid w:val="0092385B"/>
    <w:rsid w:val="00923BAD"/>
    <w:rsid w:val="0092416D"/>
    <w:rsid w:val="00924886"/>
    <w:rsid w:val="00926A1A"/>
    <w:rsid w:val="00930B02"/>
    <w:rsid w:val="009318CB"/>
    <w:rsid w:val="00931FD6"/>
    <w:rsid w:val="0093219B"/>
    <w:rsid w:val="009331DC"/>
    <w:rsid w:val="00933A16"/>
    <w:rsid w:val="009344E8"/>
    <w:rsid w:val="00935116"/>
    <w:rsid w:val="00935229"/>
    <w:rsid w:val="009369CD"/>
    <w:rsid w:val="00937DE9"/>
    <w:rsid w:val="00940631"/>
    <w:rsid w:val="00943034"/>
    <w:rsid w:val="00943F41"/>
    <w:rsid w:val="0094547B"/>
    <w:rsid w:val="00945DC9"/>
    <w:rsid w:val="009509ED"/>
    <w:rsid w:val="00950A42"/>
    <w:rsid w:val="00951D80"/>
    <w:rsid w:val="009523F9"/>
    <w:rsid w:val="009527B7"/>
    <w:rsid w:val="00952A36"/>
    <w:rsid w:val="0095352E"/>
    <w:rsid w:val="00953808"/>
    <w:rsid w:val="00953C67"/>
    <w:rsid w:val="0095596B"/>
    <w:rsid w:val="00957C9A"/>
    <w:rsid w:val="009608F8"/>
    <w:rsid w:val="0096153D"/>
    <w:rsid w:val="00962C40"/>
    <w:rsid w:val="00964804"/>
    <w:rsid w:val="0096503C"/>
    <w:rsid w:val="00965206"/>
    <w:rsid w:val="00967574"/>
    <w:rsid w:val="00970F26"/>
    <w:rsid w:val="00971A40"/>
    <w:rsid w:val="00972923"/>
    <w:rsid w:val="009729BF"/>
    <w:rsid w:val="00972B75"/>
    <w:rsid w:val="00973E6E"/>
    <w:rsid w:val="00974378"/>
    <w:rsid w:val="00980339"/>
    <w:rsid w:val="0098172C"/>
    <w:rsid w:val="009823DF"/>
    <w:rsid w:val="00982823"/>
    <w:rsid w:val="00982BFB"/>
    <w:rsid w:val="009833B2"/>
    <w:rsid w:val="009860AA"/>
    <w:rsid w:val="00986A3B"/>
    <w:rsid w:val="0099058D"/>
    <w:rsid w:val="00990A71"/>
    <w:rsid w:val="00990DF9"/>
    <w:rsid w:val="00991D6D"/>
    <w:rsid w:val="00991FF4"/>
    <w:rsid w:val="009933C5"/>
    <w:rsid w:val="00993C7D"/>
    <w:rsid w:val="00994803"/>
    <w:rsid w:val="00995D26"/>
    <w:rsid w:val="00995EC0"/>
    <w:rsid w:val="00996F52"/>
    <w:rsid w:val="009A018A"/>
    <w:rsid w:val="009A1041"/>
    <w:rsid w:val="009A1980"/>
    <w:rsid w:val="009A1E55"/>
    <w:rsid w:val="009A3419"/>
    <w:rsid w:val="009A43D9"/>
    <w:rsid w:val="009A4A9E"/>
    <w:rsid w:val="009A4EA6"/>
    <w:rsid w:val="009A5A17"/>
    <w:rsid w:val="009B010A"/>
    <w:rsid w:val="009B015C"/>
    <w:rsid w:val="009B068E"/>
    <w:rsid w:val="009B103E"/>
    <w:rsid w:val="009B1ADA"/>
    <w:rsid w:val="009B28A2"/>
    <w:rsid w:val="009B2FC0"/>
    <w:rsid w:val="009B36F2"/>
    <w:rsid w:val="009B376C"/>
    <w:rsid w:val="009B3FF1"/>
    <w:rsid w:val="009B5370"/>
    <w:rsid w:val="009B71E6"/>
    <w:rsid w:val="009C0CC3"/>
    <w:rsid w:val="009C0E37"/>
    <w:rsid w:val="009C1B9F"/>
    <w:rsid w:val="009C38F4"/>
    <w:rsid w:val="009C3F1C"/>
    <w:rsid w:val="009C4060"/>
    <w:rsid w:val="009C4706"/>
    <w:rsid w:val="009C6D0B"/>
    <w:rsid w:val="009C7642"/>
    <w:rsid w:val="009D03B2"/>
    <w:rsid w:val="009D0D7B"/>
    <w:rsid w:val="009D16DE"/>
    <w:rsid w:val="009D1AEE"/>
    <w:rsid w:val="009D1F78"/>
    <w:rsid w:val="009D220A"/>
    <w:rsid w:val="009D34F6"/>
    <w:rsid w:val="009D4399"/>
    <w:rsid w:val="009D44F9"/>
    <w:rsid w:val="009D79F4"/>
    <w:rsid w:val="009E2255"/>
    <w:rsid w:val="009E2E02"/>
    <w:rsid w:val="009E2E33"/>
    <w:rsid w:val="009E3B13"/>
    <w:rsid w:val="009E40F4"/>
    <w:rsid w:val="009E4DFB"/>
    <w:rsid w:val="009E6DD2"/>
    <w:rsid w:val="009E6DD3"/>
    <w:rsid w:val="009E72CF"/>
    <w:rsid w:val="009E7E47"/>
    <w:rsid w:val="009F065B"/>
    <w:rsid w:val="009F160E"/>
    <w:rsid w:val="009F3861"/>
    <w:rsid w:val="009F53A6"/>
    <w:rsid w:val="009F5B9E"/>
    <w:rsid w:val="009F749F"/>
    <w:rsid w:val="009F7573"/>
    <w:rsid w:val="009F7812"/>
    <w:rsid w:val="009F7F09"/>
    <w:rsid w:val="00A019C7"/>
    <w:rsid w:val="00A04294"/>
    <w:rsid w:val="00A05BE9"/>
    <w:rsid w:val="00A06DD5"/>
    <w:rsid w:val="00A07F53"/>
    <w:rsid w:val="00A14AC0"/>
    <w:rsid w:val="00A163F9"/>
    <w:rsid w:val="00A1652A"/>
    <w:rsid w:val="00A1677C"/>
    <w:rsid w:val="00A17313"/>
    <w:rsid w:val="00A1734F"/>
    <w:rsid w:val="00A176D0"/>
    <w:rsid w:val="00A20535"/>
    <w:rsid w:val="00A20BE6"/>
    <w:rsid w:val="00A21DAB"/>
    <w:rsid w:val="00A226B0"/>
    <w:rsid w:val="00A2773C"/>
    <w:rsid w:val="00A27980"/>
    <w:rsid w:val="00A3016F"/>
    <w:rsid w:val="00A306EA"/>
    <w:rsid w:val="00A3338F"/>
    <w:rsid w:val="00A335D9"/>
    <w:rsid w:val="00A33D02"/>
    <w:rsid w:val="00A34FEE"/>
    <w:rsid w:val="00A35606"/>
    <w:rsid w:val="00A37A3C"/>
    <w:rsid w:val="00A37FAF"/>
    <w:rsid w:val="00A41A7F"/>
    <w:rsid w:val="00A45E17"/>
    <w:rsid w:val="00A46077"/>
    <w:rsid w:val="00A46B61"/>
    <w:rsid w:val="00A479DC"/>
    <w:rsid w:val="00A51E5C"/>
    <w:rsid w:val="00A52701"/>
    <w:rsid w:val="00A53189"/>
    <w:rsid w:val="00A537AE"/>
    <w:rsid w:val="00A53BFD"/>
    <w:rsid w:val="00A54132"/>
    <w:rsid w:val="00A54A29"/>
    <w:rsid w:val="00A55918"/>
    <w:rsid w:val="00A56BB5"/>
    <w:rsid w:val="00A57FE0"/>
    <w:rsid w:val="00A609F3"/>
    <w:rsid w:val="00A60B87"/>
    <w:rsid w:val="00A61DF3"/>
    <w:rsid w:val="00A62397"/>
    <w:rsid w:val="00A63A03"/>
    <w:rsid w:val="00A64571"/>
    <w:rsid w:val="00A65128"/>
    <w:rsid w:val="00A65E92"/>
    <w:rsid w:val="00A669BD"/>
    <w:rsid w:val="00A66BB6"/>
    <w:rsid w:val="00A66BBC"/>
    <w:rsid w:val="00A6712E"/>
    <w:rsid w:val="00A70471"/>
    <w:rsid w:val="00A71E73"/>
    <w:rsid w:val="00A730B2"/>
    <w:rsid w:val="00A7346C"/>
    <w:rsid w:val="00A73945"/>
    <w:rsid w:val="00A73A69"/>
    <w:rsid w:val="00A741B6"/>
    <w:rsid w:val="00A75A35"/>
    <w:rsid w:val="00A7667E"/>
    <w:rsid w:val="00A77104"/>
    <w:rsid w:val="00A802E4"/>
    <w:rsid w:val="00A81C81"/>
    <w:rsid w:val="00A83004"/>
    <w:rsid w:val="00A8367D"/>
    <w:rsid w:val="00A84114"/>
    <w:rsid w:val="00A8585B"/>
    <w:rsid w:val="00A8638A"/>
    <w:rsid w:val="00A9043A"/>
    <w:rsid w:val="00A90B3C"/>
    <w:rsid w:val="00A9108D"/>
    <w:rsid w:val="00A92875"/>
    <w:rsid w:val="00A92A5C"/>
    <w:rsid w:val="00A92AE2"/>
    <w:rsid w:val="00A92E43"/>
    <w:rsid w:val="00A95158"/>
    <w:rsid w:val="00A95335"/>
    <w:rsid w:val="00A96413"/>
    <w:rsid w:val="00A96FF3"/>
    <w:rsid w:val="00A970DF"/>
    <w:rsid w:val="00AA003C"/>
    <w:rsid w:val="00AA0364"/>
    <w:rsid w:val="00AA0AF4"/>
    <w:rsid w:val="00AA13CF"/>
    <w:rsid w:val="00AA2E11"/>
    <w:rsid w:val="00AA3242"/>
    <w:rsid w:val="00AA327D"/>
    <w:rsid w:val="00AA38E4"/>
    <w:rsid w:val="00AA662D"/>
    <w:rsid w:val="00AB063D"/>
    <w:rsid w:val="00AB0B0F"/>
    <w:rsid w:val="00AB169E"/>
    <w:rsid w:val="00AB3D83"/>
    <w:rsid w:val="00AB7FDA"/>
    <w:rsid w:val="00AC016A"/>
    <w:rsid w:val="00AC0B91"/>
    <w:rsid w:val="00AC1D7B"/>
    <w:rsid w:val="00AC49C7"/>
    <w:rsid w:val="00AC64CA"/>
    <w:rsid w:val="00AC7838"/>
    <w:rsid w:val="00AD1990"/>
    <w:rsid w:val="00AD1AB7"/>
    <w:rsid w:val="00AD1CFD"/>
    <w:rsid w:val="00AD3502"/>
    <w:rsid w:val="00AD3B2E"/>
    <w:rsid w:val="00AD3BFF"/>
    <w:rsid w:val="00AD50B3"/>
    <w:rsid w:val="00AD54BB"/>
    <w:rsid w:val="00AD54C1"/>
    <w:rsid w:val="00AD5BB9"/>
    <w:rsid w:val="00AD69A4"/>
    <w:rsid w:val="00AD7E04"/>
    <w:rsid w:val="00AE028B"/>
    <w:rsid w:val="00AE02A0"/>
    <w:rsid w:val="00AE2ACC"/>
    <w:rsid w:val="00AE4EC9"/>
    <w:rsid w:val="00AE7118"/>
    <w:rsid w:val="00AE7193"/>
    <w:rsid w:val="00AE7986"/>
    <w:rsid w:val="00AF09B6"/>
    <w:rsid w:val="00AF0A2A"/>
    <w:rsid w:val="00AF2339"/>
    <w:rsid w:val="00AF2A0F"/>
    <w:rsid w:val="00AF4D12"/>
    <w:rsid w:val="00AF5C34"/>
    <w:rsid w:val="00B00C68"/>
    <w:rsid w:val="00B016D2"/>
    <w:rsid w:val="00B0258A"/>
    <w:rsid w:val="00B02B90"/>
    <w:rsid w:val="00B02C66"/>
    <w:rsid w:val="00B030EA"/>
    <w:rsid w:val="00B03BF7"/>
    <w:rsid w:val="00B0546A"/>
    <w:rsid w:val="00B06C77"/>
    <w:rsid w:val="00B07033"/>
    <w:rsid w:val="00B10EF9"/>
    <w:rsid w:val="00B10FA1"/>
    <w:rsid w:val="00B11D6E"/>
    <w:rsid w:val="00B14778"/>
    <w:rsid w:val="00B16840"/>
    <w:rsid w:val="00B175DE"/>
    <w:rsid w:val="00B20C65"/>
    <w:rsid w:val="00B21FA3"/>
    <w:rsid w:val="00B228FC"/>
    <w:rsid w:val="00B241A7"/>
    <w:rsid w:val="00B24A47"/>
    <w:rsid w:val="00B2543B"/>
    <w:rsid w:val="00B268BF"/>
    <w:rsid w:val="00B26D1B"/>
    <w:rsid w:val="00B26E82"/>
    <w:rsid w:val="00B30629"/>
    <w:rsid w:val="00B31338"/>
    <w:rsid w:val="00B3207C"/>
    <w:rsid w:val="00B3733E"/>
    <w:rsid w:val="00B3752F"/>
    <w:rsid w:val="00B3788C"/>
    <w:rsid w:val="00B41281"/>
    <w:rsid w:val="00B418D1"/>
    <w:rsid w:val="00B44D50"/>
    <w:rsid w:val="00B451D2"/>
    <w:rsid w:val="00B457F8"/>
    <w:rsid w:val="00B45E4A"/>
    <w:rsid w:val="00B46306"/>
    <w:rsid w:val="00B46D68"/>
    <w:rsid w:val="00B479F4"/>
    <w:rsid w:val="00B5060D"/>
    <w:rsid w:val="00B540A3"/>
    <w:rsid w:val="00B57642"/>
    <w:rsid w:val="00B620E1"/>
    <w:rsid w:val="00B62721"/>
    <w:rsid w:val="00B62EDA"/>
    <w:rsid w:val="00B633DB"/>
    <w:rsid w:val="00B641CA"/>
    <w:rsid w:val="00B64CCC"/>
    <w:rsid w:val="00B70AD7"/>
    <w:rsid w:val="00B71E93"/>
    <w:rsid w:val="00B72538"/>
    <w:rsid w:val="00B73226"/>
    <w:rsid w:val="00B73828"/>
    <w:rsid w:val="00B74613"/>
    <w:rsid w:val="00B75D18"/>
    <w:rsid w:val="00B75DFC"/>
    <w:rsid w:val="00B764FD"/>
    <w:rsid w:val="00B76B21"/>
    <w:rsid w:val="00B76D98"/>
    <w:rsid w:val="00B76E70"/>
    <w:rsid w:val="00B81138"/>
    <w:rsid w:val="00B812E3"/>
    <w:rsid w:val="00B81BC1"/>
    <w:rsid w:val="00B81E93"/>
    <w:rsid w:val="00B823F7"/>
    <w:rsid w:val="00B83C7A"/>
    <w:rsid w:val="00B84B03"/>
    <w:rsid w:val="00B84C90"/>
    <w:rsid w:val="00B84E55"/>
    <w:rsid w:val="00B85145"/>
    <w:rsid w:val="00B85C3B"/>
    <w:rsid w:val="00B87A26"/>
    <w:rsid w:val="00B87A4F"/>
    <w:rsid w:val="00B9010D"/>
    <w:rsid w:val="00B928DF"/>
    <w:rsid w:val="00B94B7D"/>
    <w:rsid w:val="00B94C05"/>
    <w:rsid w:val="00B95271"/>
    <w:rsid w:val="00B9557B"/>
    <w:rsid w:val="00B96504"/>
    <w:rsid w:val="00B9672C"/>
    <w:rsid w:val="00BA27EC"/>
    <w:rsid w:val="00BA45C1"/>
    <w:rsid w:val="00BA4ADB"/>
    <w:rsid w:val="00BA57E5"/>
    <w:rsid w:val="00BA5B42"/>
    <w:rsid w:val="00BA5DBA"/>
    <w:rsid w:val="00BA7B82"/>
    <w:rsid w:val="00BB0371"/>
    <w:rsid w:val="00BB0A7F"/>
    <w:rsid w:val="00BB0CD2"/>
    <w:rsid w:val="00BB1360"/>
    <w:rsid w:val="00BB2DBC"/>
    <w:rsid w:val="00BB39FE"/>
    <w:rsid w:val="00BB40DB"/>
    <w:rsid w:val="00BB47E7"/>
    <w:rsid w:val="00BB494D"/>
    <w:rsid w:val="00BB6C3D"/>
    <w:rsid w:val="00BB776C"/>
    <w:rsid w:val="00BC3812"/>
    <w:rsid w:val="00BC3B7C"/>
    <w:rsid w:val="00BD067F"/>
    <w:rsid w:val="00BD622C"/>
    <w:rsid w:val="00BE102F"/>
    <w:rsid w:val="00BE1E42"/>
    <w:rsid w:val="00BE3E0E"/>
    <w:rsid w:val="00BE3F25"/>
    <w:rsid w:val="00BE5F3C"/>
    <w:rsid w:val="00BE678E"/>
    <w:rsid w:val="00BE79C0"/>
    <w:rsid w:val="00BE7D80"/>
    <w:rsid w:val="00BF2129"/>
    <w:rsid w:val="00BF27B7"/>
    <w:rsid w:val="00BF3A6E"/>
    <w:rsid w:val="00BF3F77"/>
    <w:rsid w:val="00BF42C0"/>
    <w:rsid w:val="00BF4DF6"/>
    <w:rsid w:val="00BF599F"/>
    <w:rsid w:val="00BF7A24"/>
    <w:rsid w:val="00BF7A98"/>
    <w:rsid w:val="00C006CE"/>
    <w:rsid w:val="00C00F35"/>
    <w:rsid w:val="00C0152F"/>
    <w:rsid w:val="00C037A8"/>
    <w:rsid w:val="00C053AA"/>
    <w:rsid w:val="00C058AD"/>
    <w:rsid w:val="00C05C97"/>
    <w:rsid w:val="00C0709F"/>
    <w:rsid w:val="00C10359"/>
    <w:rsid w:val="00C10562"/>
    <w:rsid w:val="00C10BC4"/>
    <w:rsid w:val="00C128DC"/>
    <w:rsid w:val="00C12989"/>
    <w:rsid w:val="00C12CAC"/>
    <w:rsid w:val="00C139F3"/>
    <w:rsid w:val="00C13D44"/>
    <w:rsid w:val="00C14CE7"/>
    <w:rsid w:val="00C16BFA"/>
    <w:rsid w:val="00C17EFE"/>
    <w:rsid w:val="00C20A55"/>
    <w:rsid w:val="00C21641"/>
    <w:rsid w:val="00C2266F"/>
    <w:rsid w:val="00C24055"/>
    <w:rsid w:val="00C24A51"/>
    <w:rsid w:val="00C252D7"/>
    <w:rsid w:val="00C26491"/>
    <w:rsid w:val="00C26820"/>
    <w:rsid w:val="00C26B64"/>
    <w:rsid w:val="00C2773A"/>
    <w:rsid w:val="00C32D34"/>
    <w:rsid w:val="00C33B07"/>
    <w:rsid w:val="00C3510F"/>
    <w:rsid w:val="00C37328"/>
    <w:rsid w:val="00C40AF7"/>
    <w:rsid w:val="00C41092"/>
    <w:rsid w:val="00C41C07"/>
    <w:rsid w:val="00C427DC"/>
    <w:rsid w:val="00C42E0B"/>
    <w:rsid w:val="00C43051"/>
    <w:rsid w:val="00C43999"/>
    <w:rsid w:val="00C4492A"/>
    <w:rsid w:val="00C477C8"/>
    <w:rsid w:val="00C50640"/>
    <w:rsid w:val="00C50E57"/>
    <w:rsid w:val="00C51EA3"/>
    <w:rsid w:val="00C51F8F"/>
    <w:rsid w:val="00C52035"/>
    <w:rsid w:val="00C520D6"/>
    <w:rsid w:val="00C533C3"/>
    <w:rsid w:val="00C55ABB"/>
    <w:rsid w:val="00C5614A"/>
    <w:rsid w:val="00C56D12"/>
    <w:rsid w:val="00C57340"/>
    <w:rsid w:val="00C57344"/>
    <w:rsid w:val="00C57349"/>
    <w:rsid w:val="00C61049"/>
    <w:rsid w:val="00C6185F"/>
    <w:rsid w:val="00C61A98"/>
    <w:rsid w:val="00C61B12"/>
    <w:rsid w:val="00C62B77"/>
    <w:rsid w:val="00C62C12"/>
    <w:rsid w:val="00C63333"/>
    <w:rsid w:val="00C6365A"/>
    <w:rsid w:val="00C63A5B"/>
    <w:rsid w:val="00C63BB2"/>
    <w:rsid w:val="00C63BB9"/>
    <w:rsid w:val="00C651C4"/>
    <w:rsid w:val="00C673EE"/>
    <w:rsid w:val="00C70362"/>
    <w:rsid w:val="00C71DE4"/>
    <w:rsid w:val="00C721AB"/>
    <w:rsid w:val="00C7230C"/>
    <w:rsid w:val="00C728C1"/>
    <w:rsid w:val="00C73FBD"/>
    <w:rsid w:val="00C74BFC"/>
    <w:rsid w:val="00C74E83"/>
    <w:rsid w:val="00C75845"/>
    <w:rsid w:val="00C7619E"/>
    <w:rsid w:val="00C76920"/>
    <w:rsid w:val="00C76D8D"/>
    <w:rsid w:val="00C804F7"/>
    <w:rsid w:val="00C80784"/>
    <w:rsid w:val="00C809CF"/>
    <w:rsid w:val="00C82151"/>
    <w:rsid w:val="00C821F0"/>
    <w:rsid w:val="00C8236D"/>
    <w:rsid w:val="00C82448"/>
    <w:rsid w:val="00C832A0"/>
    <w:rsid w:val="00C838FF"/>
    <w:rsid w:val="00C83FDB"/>
    <w:rsid w:val="00C851CC"/>
    <w:rsid w:val="00C87CDB"/>
    <w:rsid w:val="00C9094E"/>
    <w:rsid w:val="00C928D9"/>
    <w:rsid w:val="00C92A72"/>
    <w:rsid w:val="00C936D8"/>
    <w:rsid w:val="00C9446C"/>
    <w:rsid w:val="00C96273"/>
    <w:rsid w:val="00CA058F"/>
    <w:rsid w:val="00CA079B"/>
    <w:rsid w:val="00CA29E1"/>
    <w:rsid w:val="00CA2E3E"/>
    <w:rsid w:val="00CA30AF"/>
    <w:rsid w:val="00CA31D8"/>
    <w:rsid w:val="00CA3D1B"/>
    <w:rsid w:val="00CA476E"/>
    <w:rsid w:val="00CA4E37"/>
    <w:rsid w:val="00CA5650"/>
    <w:rsid w:val="00CA5CF1"/>
    <w:rsid w:val="00CA61A7"/>
    <w:rsid w:val="00CA6FBB"/>
    <w:rsid w:val="00CA778F"/>
    <w:rsid w:val="00CA7D8B"/>
    <w:rsid w:val="00CB0913"/>
    <w:rsid w:val="00CB4335"/>
    <w:rsid w:val="00CB7AAA"/>
    <w:rsid w:val="00CC0C3E"/>
    <w:rsid w:val="00CC18C9"/>
    <w:rsid w:val="00CC2293"/>
    <w:rsid w:val="00CC2B50"/>
    <w:rsid w:val="00CC4DBE"/>
    <w:rsid w:val="00CC5F9C"/>
    <w:rsid w:val="00CC6BCA"/>
    <w:rsid w:val="00CC701B"/>
    <w:rsid w:val="00CC7A99"/>
    <w:rsid w:val="00CC7BC1"/>
    <w:rsid w:val="00CD0A1C"/>
    <w:rsid w:val="00CD110A"/>
    <w:rsid w:val="00CD1A99"/>
    <w:rsid w:val="00CD2A98"/>
    <w:rsid w:val="00CD32C6"/>
    <w:rsid w:val="00CD443A"/>
    <w:rsid w:val="00CD4532"/>
    <w:rsid w:val="00CD4C81"/>
    <w:rsid w:val="00CE0112"/>
    <w:rsid w:val="00CE3E4E"/>
    <w:rsid w:val="00CE593B"/>
    <w:rsid w:val="00CE758A"/>
    <w:rsid w:val="00CF0EBE"/>
    <w:rsid w:val="00CF13EF"/>
    <w:rsid w:val="00CF1BB2"/>
    <w:rsid w:val="00CF2866"/>
    <w:rsid w:val="00CF2B4F"/>
    <w:rsid w:val="00CF4270"/>
    <w:rsid w:val="00CF45B7"/>
    <w:rsid w:val="00CF4F79"/>
    <w:rsid w:val="00CF5F31"/>
    <w:rsid w:val="00CF609F"/>
    <w:rsid w:val="00CF6B7F"/>
    <w:rsid w:val="00CF6DB6"/>
    <w:rsid w:val="00CF6DFC"/>
    <w:rsid w:val="00CF7CB2"/>
    <w:rsid w:val="00D0056D"/>
    <w:rsid w:val="00D0137D"/>
    <w:rsid w:val="00D02D40"/>
    <w:rsid w:val="00D035BC"/>
    <w:rsid w:val="00D036F2"/>
    <w:rsid w:val="00D0591A"/>
    <w:rsid w:val="00D06057"/>
    <w:rsid w:val="00D06B4D"/>
    <w:rsid w:val="00D07382"/>
    <w:rsid w:val="00D11420"/>
    <w:rsid w:val="00D11488"/>
    <w:rsid w:val="00D11FB5"/>
    <w:rsid w:val="00D12D06"/>
    <w:rsid w:val="00D13CC1"/>
    <w:rsid w:val="00D14389"/>
    <w:rsid w:val="00D14F93"/>
    <w:rsid w:val="00D15B8D"/>
    <w:rsid w:val="00D16030"/>
    <w:rsid w:val="00D161CC"/>
    <w:rsid w:val="00D1640F"/>
    <w:rsid w:val="00D17B29"/>
    <w:rsid w:val="00D20867"/>
    <w:rsid w:val="00D20880"/>
    <w:rsid w:val="00D21CA5"/>
    <w:rsid w:val="00D222A3"/>
    <w:rsid w:val="00D23000"/>
    <w:rsid w:val="00D23658"/>
    <w:rsid w:val="00D255D0"/>
    <w:rsid w:val="00D3051A"/>
    <w:rsid w:val="00D30ACF"/>
    <w:rsid w:val="00D31BD4"/>
    <w:rsid w:val="00D327E1"/>
    <w:rsid w:val="00D32B62"/>
    <w:rsid w:val="00D338A6"/>
    <w:rsid w:val="00D37292"/>
    <w:rsid w:val="00D3784E"/>
    <w:rsid w:val="00D40187"/>
    <w:rsid w:val="00D4189A"/>
    <w:rsid w:val="00D42430"/>
    <w:rsid w:val="00D4311C"/>
    <w:rsid w:val="00D43578"/>
    <w:rsid w:val="00D43C93"/>
    <w:rsid w:val="00D44971"/>
    <w:rsid w:val="00D45B70"/>
    <w:rsid w:val="00D4680E"/>
    <w:rsid w:val="00D50A7B"/>
    <w:rsid w:val="00D52E16"/>
    <w:rsid w:val="00D54731"/>
    <w:rsid w:val="00D601C1"/>
    <w:rsid w:val="00D60620"/>
    <w:rsid w:val="00D60D62"/>
    <w:rsid w:val="00D60F90"/>
    <w:rsid w:val="00D61213"/>
    <w:rsid w:val="00D61779"/>
    <w:rsid w:val="00D61AD7"/>
    <w:rsid w:val="00D631CF"/>
    <w:rsid w:val="00D634FD"/>
    <w:rsid w:val="00D64172"/>
    <w:rsid w:val="00D64733"/>
    <w:rsid w:val="00D64ABA"/>
    <w:rsid w:val="00D6505F"/>
    <w:rsid w:val="00D65B94"/>
    <w:rsid w:val="00D671D7"/>
    <w:rsid w:val="00D70466"/>
    <w:rsid w:val="00D70579"/>
    <w:rsid w:val="00D70FA0"/>
    <w:rsid w:val="00D71EFE"/>
    <w:rsid w:val="00D7364D"/>
    <w:rsid w:val="00D75CA2"/>
    <w:rsid w:val="00D7674D"/>
    <w:rsid w:val="00D810D0"/>
    <w:rsid w:val="00D81FC2"/>
    <w:rsid w:val="00D83700"/>
    <w:rsid w:val="00D839ED"/>
    <w:rsid w:val="00D83CC7"/>
    <w:rsid w:val="00D848D2"/>
    <w:rsid w:val="00D84D46"/>
    <w:rsid w:val="00D86254"/>
    <w:rsid w:val="00D86E52"/>
    <w:rsid w:val="00D87D72"/>
    <w:rsid w:val="00D91695"/>
    <w:rsid w:val="00D91E73"/>
    <w:rsid w:val="00D91F2B"/>
    <w:rsid w:val="00D91F44"/>
    <w:rsid w:val="00D9240F"/>
    <w:rsid w:val="00D929DF"/>
    <w:rsid w:val="00D92D72"/>
    <w:rsid w:val="00D93246"/>
    <w:rsid w:val="00D94170"/>
    <w:rsid w:val="00D95FA9"/>
    <w:rsid w:val="00D965CD"/>
    <w:rsid w:val="00DA1F01"/>
    <w:rsid w:val="00DA236B"/>
    <w:rsid w:val="00DA6537"/>
    <w:rsid w:val="00DA6F42"/>
    <w:rsid w:val="00DB1A6B"/>
    <w:rsid w:val="00DB1B99"/>
    <w:rsid w:val="00DB30A3"/>
    <w:rsid w:val="00DB5A4E"/>
    <w:rsid w:val="00DB5CF3"/>
    <w:rsid w:val="00DB5E45"/>
    <w:rsid w:val="00DB6A47"/>
    <w:rsid w:val="00DC0647"/>
    <w:rsid w:val="00DC1D07"/>
    <w:rsid w:val="00DC22FC"/>
    <w:rsid w:val="00DC5256"/>
    <w:rsid w:val="00DC6607"/>
    <w:rsid w:val="00DC6B31"/>
    <w:rsid w:val="00DC79E9"/>
    <w:rsid w:val="00DC7AAC"/>
    <w:rsid w:val="00DD1803"/>
    <w:rsid w:val="00DD2046"/>
    <w:rsid w:val="00DD674C"/>
    <w:rsid w:val="00DD6A23"/>
    <w:rsid w:val="00DD72D1"/>
    <w:rsid w:val="00DD7586"/>
    <w:rsid w:val="00DE0FF8"/>
    <w:rsid w:val="00DE185D"/>
    <w:rsid w:val="00DE1CDB"/>
    <w:rsid w:val="00DE2CC5"/>
    <w:rsid w:val="00DE36BC"/>
    <w:rsid w:val="00DE3CF2"/>
    <w:rsid w:val="00DE47AD"/>
    <w:rsid w:val="00DE5477"/>
    <w:rsid w:val="00DE54EC"/>
    <w:rsid w:val="00DE6412"/>
    <w:rsid w:val="00DE68D2"/>
    <w:rsid w:val="00DF0641"/>
    <w:rsid w:val="00DF088E"/>
    <w:rsid w:val="00DF10E2"/>
    <w:rsid w:val="00DF1210"/>
    <w:rsid w:val="00DF2952"/>
    <w:rsid w:val="00DF3757"/>
    <w:rsid w:val="00DF4EA5"/>
    <w:rsid w:val="00DF533F"/>
    <w:rsid w:val="00DF61FF"/>
    <w:rsid w:val="00E00840"/>
    <w:rsid w:val="00E00B9F"/>
    <w:rsid w:val="00E01F26"/>
    <w:rsid w:val="00E023AD"/>
    <w:rsid w:val="00E023E8"/>
    <w:rsid w:val="00E028E5"/>
    <w:rsid w:val="00E0469E"/>
    <w:rsid w:val="00E061D2"/>
    <w:rsid w:val="00E065A9"/>
    <w:rsid w:val="00E06BC4"/>
    <w:rsid w:val="00E0726A"/>
    <w:rsid w:val="00E079ED"/>
    <w:rsid w:val="00E07F22"/>
    <w:rsid w:val="00E107DE"/>
    <w:rsid w:val="00E10E52"/>
    <w:rsid w:val="00E11884"/>
    <w:rsid w:val="00E13218"/>
    <w:rsid w:val="00E132E9"/>
    <w:rsid w:val="00E136D1"/>
    <w:rsid w:val="00E16166"/>
    <w:rsid w:val="00E168CF"/>
    <w:rsid w:val="00E16926"/>
    <w:rsid w:val="00E16961"/>
    <w:rsid w:val="00E174D1"/>
    <w:rsid w:val="00E1762E"/>
    <w:rsid w:val="00E17C5E"/>
    <w:rsid w:val="00E208A3"/>
    <w:rsid w:val="00E20B6B"/>
    <w:rsid w:val="00E236B5"/>
    <w:rsid w:val="00E24578"/>
    <w:rsid w:val="00E262EE"/>
    <w:rsid w:val="00E26AE2"/>
    <w:rsid w:val="00E27562"/>
    <w:rsid w:val="00E3046C"/>
    <w:rsid w:val="00E307D2"/>
    <w:rsid w:val="00E32702"/>
    <w:rsid w:val="00E33168"/>
    <w:rsid w:val="00E33C97"/>
    <w:rsid w:val="00E357F0"/>
    <w:rsid w:val="00E4037B"/>
    <w:rsid w:val="00E40C1C"/>
    <w:rsid w:val="00E40F38"/>
    <w:rsid w:val="00E413C3"/>
    <w:rsid w:val="00E41CA8"/>
    <w:rsid w:val="00E428E3"/>
    <w:rsid w:val="00E42AA5"/>
    <w:rsid w:val="00E4342F"/>
    <w:rsid w:val="00E43AD7"/>
    <w:rsid w:val="00E43C49"/>
    <w:rsid w:val="00E43FC4"/>
    <w:rsid w:val="00E4410B"/>
    <w:rsid w:val="00E447EA"/>
    <w:rsid w:val="00E4482B"/>
    <w:rsid w:val="00E44CF6"/>
    <w:rsid w:val="00E453B2"/>
    <w:rsid w:val="00E46604"/>
    <w:rsid w:val="00E5020D"/>
    <w:rsid w:val="00E51BB2"/>
    <w:rsid w:val="00E52636"/>
    <w:rsid w:val="00E53C54"/>
    <w:rsid w:val="00E55D9F"/>
    <w:rsid w:val="00E56820"/>
    <w:rsid w:val="00E571C7"/>
    <w:rsid w:val="00E578EF"/>
    <w:rsid w:val="00E602D1"/>
    <w:rsid w:val="00E62571"/>
    <w:rsid w:val="00E62AF7"/>
    <w:rsid w:val="00E62BA2"/>
    <w:rsid w:val="00E63DB5"/>
    <w:rsid w:val="00E63F61"/>
    <w:rsid w:val="00E6449C"/>
    <w:rsid w:val="00E65592"/>
    <w:rsid w:val="00E663B3"/>
    <w:rsid w:val="00E66841"/>
    <w:rsid w:val="00E675D1"/>
    <w:rsid w:val="00E67EE3"/>
    <w:rsid w:val="00E7095A"/>
    <w:rsid w:val="00E70E5E"/>
    <w:rsid w:val="00E71E7D"/>
    <w:rsid w:val="00E7207C"/>
    <w:rsid w:val="00E73999"/>
    <w:rsid w:val="00E742CF"/>
    <w:rsid w:val="00E74BA1"/>
    <w:rsid w:val="00E74D16"/>
    <w:rsid w:val="00E75069"/>
    <w:rsid w:val="00E76721"/>
    <w:rsid w:val="00E76937"/>
    <w:rsid w:val="00E76D5C"/>
    <w:rsid w:val="00E776DE"/>
    <w:rsid w:val="00E77A87"/>
    <w:rsid w:val="00E83B45"/>
    <w:rsid w:val="00E84EC7"/>
    <w:rsid w:val="00E85216"/>
    <w:rsid w:val="00E87926"/>
    <w:rsid w:val="00E87D01"/>
    <w:rsid w:val="00E90503"/>
    <w:rsid w:val="00E90D1A"/>
    <w:rsid w:val="00E90DDD"/>
    <w:rsid w:val="00E923DB"/>
    <w:rsid w:val="00E9241E"/>
    <w:rsid w:val="00E928CD"/>
    <w:rsid w:val="00E9520B"/>
    <w:rsid w:val="00E95B3F"/>
    <w:rsid w:val="00EA0E56"/>
    <w:rsid w:val="00EA1EC3"/>
    <w:rsid w:val="00EA2FCC"/>
    <w:rsid w:val="00EA3ACD"/>
    <w:rsid w:val="00EA4EB7"/>
    <w:rsid w:val="00EA6217"/>
    <w:rsid w:val="00EA680F"/>
    <w:rsid w:val="00EB0141"/>
    <w:rsid w:val="00EB03CB"/>
    <w:rsid w:val="00EB1B9E"/>
    <w:rsid w:val="00EB21F4"/>
    <w:rsid w:val="00EB2FDA"/>
    <w:rsid w:val="00EB3699"/>
    <w:rsid w:val="00EB49B7"/>
    <w:rsid w:val="00EC2233"/>
    <w:rsid w:val="00EC252E"/>
    <w:rsid w:val="00EC2909"/>
    <w:rsid w:val="00EC3B37"/>
    <w:rsid w:val="00EC3BDE"/>
    <w:rsid w:val="00EC3DD4"/>
    <w:rsid w:val="00EC50D9"/>
    <w:rsid w:val="00EC511D"/>
    <w:rsid w:val="00EC639D"/>
    <w:rsid w:val="00EC6E2A"/>
    <w:rsid w:val="00EC7C21"/>
    <w:rsid w:val="00EC7FCA"/>
    <w:rsid w:val="00ED02B1"/>
    <w:rsid w:val="00ED0ECE"/>
    <w:rsid w:val="00ED197B"/>
    <w:rsid w:val="00ED274E"/>
    <w:rsid w:val="00ED2F32"/>
    <w:rsid w:val="00ED35DE"/>
    <w:rsid w:val="00EE1891"/>
    <w:rsid w:val="00EE1BCF"/>
    <w:rsid w:val="00EE2ABA"/>
    <w:rsid w:val="00EE64EC"/>
    <w:rsid w:val="00EE6D83"/>
    <w:rsid w:val="00EE6FC3"/>
    <w:rsid w:val="00EF141E"/>
    <w:rsid w:val="00EF1E59"/>
    <w:rsid w:val="00EF4426"/>
    <w:rsid w:val="00EF4739"/>
    <w:rsid w:val="00EF6574"/>
    <w:rsid w:val="00EF658E"/>
    <w:rsid w:val="00EF69FB"/>
    <w:rsid w:val="00EF6F3B"/>
    <w:rsid w:val="00EF7DA4"/>
    <w:rsid w:val="00EF7EE9"/>
    <w:rsid w:val="00F00A3F"/>
    <w:rsid w:val="00F00CF9"/>
    <w:rsid w:val="00F0136E"/>
    <w:rsid w:val="00F03242"/>
    <w:rsid w:val="00F04858"/>
    <w:rsid w:val="00F049CF"/>
    <w:rsid w:val="00F126B5"/>
    <w:rsid w:val="00F12FBC"/>
    <w:rsid w:val="00F130D6"/>
    <w:rsid w:val="00F15DE4"/>
    <w:rsid w:val="00F2032A"/>
    <w:rsid w:val="00F2268E"/>
    <w:rsid w:val="00F233E4"/>
    <w:rsid w:val="00F23417"/>
    <w:rsid w:val="00F2448D"/>
    <w:rsid w:val="00F25B66"/>
    <w:rsid w:val="00F25BE6"/>
    <w:rsid w:val="00F304F1"/>
    <w:rsid w:val="00F3179F"/>
    <w:rsid w:val="00F31A8D"/>
    <w:rsid w:val="00F33CB2"/>
    <w:rsid w:val="00F34DEC"/>
    <w:rsid w:val="00F35238"/>
    <w:rsid w:val="00F37BD0"/>
    <w:rsid w:val="00F410F5"/>
    <w:rsid w:val="00F41C33"/>
    <w:rsid w:val="00F429F4"/>
    <w:rsid w:val="00F45783"/>
    <w:rsid w:val="00F477B4"/>
    <w:rsid w:val="00F50EDA"/>
    <w:rsid w:val="00F52EC1"/>
    <w:rsid w:val="00F56D4A"/>
    <w:rsid w:val="00F56DEA"/>
    <w:rsid w:val="00F60377"/>
    <w:rsid w:val="00F60CC7"/>
    <w:rsid w:val="00F61408"/>
    <w:rsid w:val="00F61D63"/>
    <w:rsid w:val="00F634D3"/>
    <w:rsid w:val="00F64961"/>
    <w:rsid w:val="00F656B1"/>
    <w:rsid w:val="00F66643"/>
    <w:rsid w:val="00F70975"/>
    <w:rsid w:val="00F70C74"/>
    <w:rsid w:val="00F7127D"/>
    <w:rsid w:val="00F73990"/>
    <w:rsid w:val="00F74093"/>
    <w:rsid w:val="00F80576"/>
    <w:rsid w:val="00F80921"/>
    <w:rsid w:val="00F809EB"/>
    <w:rsid w:val="00F81386"/>
    <w:rsid w:val="00F8163E"/>
    <w:rsid w:val="00F81F9E"/>
    <w:rsid w:val="00F821B0"/>
    <w:rsid w:val="00F8258A"/>
    <w:rsid w:val="00F83419"/>
    <w:rsid w:val="00F83BE4"/>
    <w:rsid w:val="00F84BC8"/>
    <w:rsid w:val="00F85742"/>
    <w:rsid w:val="00F8602E"/>
    <w:rsid w:val="00F86933"/>
    <w:rsid w:val="00F92854"/>
    <w:rsid w:val="00F94C3A"/>
    <w:rsid w:val="00F94E5D"/>
    <w:rsid w:val="00F95FE3"/>
    <w:rsid w:val="00F966CB"/>
    <w:rsid w:val="00FA10C0"/>
    <w:rsid w:val="00FA1844"/>
    <w:rsid w:val="00FA23CD"/>
    <w:rsid w:val="00FA3C1B"/>
    <w:rsid w:val="00FA41A2"/>
    <w:rsid w:val="00FA4537"/>
    <w:rsid w:val="00FA4C77"/>
    <w:rsid w:val="00FA5A98"/>
    <w:rsid w:val="00FA65E8"/>
    <w:rsid w:val="00FA6B09"/>
    <w:rsid w:val="00FA6EC6"/>
    <w:rsid w:val="00FA704E"/>
    <w:rsid w:val="00FA71BC"/>
    <w:rsid w:val="00FA742A"/>
    <w:rsid w:val="00FB0CB0"/>
    <w:rsid w:val="00FB1842"/>
    <w:rsid w:val="00FB1F31"/>
    <w:rsid w:val="00FB2910"/>
    <w:rsid w:val="00FB337F"/>
    <w:rsid w:val="00FB46C8"/>
    <w:rsid w:val="00FB4CFE"/>
    <w:rsid w:val="00FB5C3C"/>
    <w:rsid w:val="00FB5D06"/>
    <w:rsid w:val="00FB6721"/>
    <w:rsid w:val="00FB7F0C"/>
    <w:rsid w:val="00FC07F9"/>
    <w:rsid w:val="00FC1B8F"/>
    <w:rsid w:val="00FC1C38"/>
    <w:rsid w:val="00FC265D"/>
    <w:rsid w:val="00FC4E57"/>
    <w:rsid w:val="00FC7CAC"/>
    <w:rsid w:val="00FD0ED5"/>
    <w:rsid w:val="00FD18B3"/>
    <w:rsid w:val="00FD2F02"/>
    <w:rsid w:val="00FD3B62"/>
    <w:rsid w:val="00FD675A"/>
    <w:rsid w:val="00FD695A"/>
    <w:rsid w:val="00FD6AA1"/>
    <w:rsid w:val="00FD70F7"/>
    <w:rsid w:val="00FD72B7"/>
    <w:rsid w:val="00FE0DC6"/>
    <w:rsid w:val="00FE0FE2"/>
    <w:rsid w:val="00FE13D5"/>
    <w:rsid w:val="00FE35A1"/>
    <w:rsid w:val="00FE391E"/>
    <w:rsid w:val="00FE3A61"/>
    <w:rsid w:val="00FE4603"/>
    <w:rsid w:val="00FE60C6"/>
    <w:rsid w:val="00FE7132"/>
    <w:rsid w:val="00FE7E39"/>
    <w:rsid w:val="00FF0114"/>
    <w:rsid w:val="00FF1135"/>
    <w:rsid w:val="00FF12DA"/>
    <w:rsid w:val="00FF1649"/>
    <w:rsid w:val="00FF30E0"/>
    <w:rsid w:val="00FF4097"/>
    <w:rsid w:val="00FF5493"/>
    <w:rsid w:val="00FF68E0"/>
    <w:rsid w:val="00FF6EC8"/>
    <w:rsid w:val="00FF7C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081BD15C"/>
  <w15:chartTrackingRefBased/>
  <w15:docId w15:val="{1F771B0E-6C94-4F9C-9746-678D585EB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373"/>
    <w:pPr>
      <w:spacing w:after="200" w:line="276" w:lineRule="auto"/>
    </w:pPr>
    <w:rPr>
      <w:lang w:eastAsia="fr-FR" w:bidi="fr-FR"/>
    </w:rPr>
  </w:style>
  <w:style w:type="paragraph" w:styleId="Titre1">
    <w:name w:val="heading 1"/>
    <w:basedOn w:val="Normal"/>
    <w:next w:val="Normal"/>
    <w:link w:val="Titre1Car"/>
    <w:qFormat/>
    <w:rsid w:val="00703373"/>
    <w:pPr>
      <w:keepNext/>
      <w:keepLines/>
      <w:numPr>
        <w:numId w:val="1"/>
      </w:numPr>
      <w:spacing w:before="480" w:after="240" w:line="240" w:lineRule="auto"/>
      <w:jc w:val="both"/>
      <w:outlineLvl w:val="0"/>
    </w:pPr>
    <w:rPr>
      <w:rFonts w:ascii="Arial" w:eastAsia="Times New Roman" w:hAnsi="Arial" w:cs="Arial"/>
      <w:b/>
      <w:bCs/>
      <w:sz w:val="32"/>
      <w:szCs w:val="32"/>
    </w:rPr>
  </w:style>
  <w:style w:type="paragraph" w:styleId="Titre2">
    <w:name w:val="heading 2"/>
    <w:basedOn w:val="Normal"/>
    <w:next w:val="Normal"/>
    <w:link w:val="Titre2Car"/>
    <w:unhideWhenUsed/>
    <w:qFormat/>
    <w:rsid w:val="00703373"/>
    <w:pPr>
      <w:keepNext/>
      <w:keepLines/>
      <w:numPr>
        <w:ilvl w:val="1"/>
        <w:numId w:val="1"/>
      </w:numPr>
      <w:spacing w:before="200" w:after="240" w:line="240" w:lineRule="auto"/>
      <w:jc w:val="both"/>
      <w:outlineLvl w:val="1"/>
    </w:pPr>
    <w:rPr>
      <w:rFonts w:ascii="Arial" w:eastAsiaTheme="majorEastAsia" w:hAnsi="Arial" w:cs="Arial"/>
      <w:b/>
      <w:bCs/>
      <w:sz w:val="24"/>
      <w:szCs w:val="28"/>
    </w:rPr>
  </w:style>
  <w:style w:type="paragraph" w:styleId="Titre3">
    <w:name w:val="heading 3"/>
    <w:basedOn w:val="Normal"/>
    <w:next w:val="Normal"/>
    <w:link w:val="Titre3Car"/>
    <w:unhideWhenUsed/>
    <w:qFormat/>
    <w:rsid w:val="00703373"/>
    <w:pPr>
      <w:keepNext/>
      <w:keepLines/>
      <w:numPr>
        <w:ilvl w:val="2"/>
        <w:numId w:val="1"/>
      </w:numPr>
      <w:spacing w:before="200" w:after="0" w:line="240" w:lineRule="auto"/>
      <w:jc w:val="both"/>
      <w:outlineLvl w:val="2"/>
    </w:pPr>
    <w:rPr>
      <w:rFonts w:ascii="Arial" w:eastAsiaTheme="majorEastAsia" w:hAnsi="Arial" w:cs="Arial"/>
      <w:b/>
      <w:bCs/>
      <w:color w:val="5B9BD5" w:themeColor="accent1"/>
      <w:sz w:val="20"/>
    </w:rPr>
  </w:style>
  <w:style w:type="paragraph" w:styleId="Titre4">
    <w:name w:val="heading 4"/>
    <w:basedOn w:val="Normal"/>
    <w:next w:val="Normal"/>
    <w:link w:val="Titre4Car"/>
    <w:unhideWhenUsed/>
    <w:qFormat/>
    <w:rsid w:val="00703373"/>
    <w:pPr>
      <w:keepNext/>
      <w:keepLines/>
      <w:numPr>
        <w:ilvl w:val="3"/>
        <w:numId w:val="1"/>
      </w:numPr>
      <w:spacing w:before="200" w:after="0" w:line="240" w:lineRule="auto"/>
      <w:jc w:val="both"/>
      <w:outlineLvl w:val="3"/>
    </w:pPr>
    <w:rPr>
      <w:rFonts w:asciiTheme="majorHAnsi" w:eastAsiaTheme="majorEastAsia" w:hAnsiTheme="majorHAnsi" w:cstheme="majorBidi"/>
      <w:b/>
      <w:bCs/>
      <w:i/>
      <w:iCs/>
      <w:color w:val="5B9BD5" w:themeColor="accent1"/>
      <w:sz w:val="20"/>
      <w:szCs w:val="24"/>
    </w:rPr>
  </w:style>
  <w:style w:type="paragraph" w:styleId="Titre5">
    <w:name w:val="heading 5"/>
    <w:basedOn w:val="Normal"/>
    <w:next w:val="Normal"/>
    <w:link w:val="Titre5Car"/>
    <w:unhideWhenUsed/>
    <w:qFormat/>
    <w:rsid w:val="00703373"/>
    <w:pPr>
      <w:keepNext/>
      <w:keepLines/>
      <w:numPr>
        <w:ilvl w:val="4"/>
        <w:numId w:val="1"/>
      </w:numPr>
      <w:spacing w:before="200" w:after="0" w:line="240" w:lineRule="auto"/>
      <w:jc w:val="both"/>
      <w:outlineLvl w:val="4"/>
    </w:pPr>
    <w:rPr>
      <w:rFonts w:asciiTheme="majorHAnsi" w:eastAsiaTheme="majorEastAsia" w:hAnsiTheme="majorHAnsi" w:cstheme="majorBidi"/>
      <w:color w:val="1F4E79" w:themeColor="accent1" w:themeShade="80"/>
      <w:sz w:val="20"/>
      <w:szCs w:val="24"/>
    </w:rPr>
  </w:style>
  <w:style w:type="paragraph" w:styleId="Titre6">
    <w:name w:val="heading 6"/>
    <w:basedOn w:val="Normal"/>
    <w:next w:val="Normal"/>
    <w:link w:val="Titre6Car"/>
    <w:unhideWhenUsed/>
    <w:qFormat/>
    <w:rsid w:val="00703373"/>
    <w:pPr>
      <w:keepNext/>
      <w:keepLines/>
      <w:numPr>
        <w:ilvl w:val="5"/>
        <w:numId w:val="1"/>
      </w:numPr>
      <w:spacing w:before="200" w:after="0" w:line="240" w:lineRule="auto"/>
      <w:jc w:val="both"/>
      <w:outlineLvl w:val="5"/>
    </w:pPr>
    <w:rPr>
      <w:rFonts w:asciiTheme="majorHAnsi" w:eastAsiaTheme="majorEastAsia" w:hAnsiTheme="majorHAnsi" w:cstheme="majorBidi"/>
      <w:i/>
      <w:iCs/>
      <w:color w:val="1F4E79" w:themeColor="accent1" w:themeShade="80"/>
      <w:sz w:val="20"/>
      <w:szCs w:val="24"/>
    </w:rPr>
  </w:style>
  <w:style w:type="paragraph" w:styleId="Titre7">
    <w:name w:val="heading 7"/>
    <w:basedOn w:val="Normal"/>
    <w:next w:val="Normal"/>
    <w:link w:val="Titre7Car"/>
    <w:unhideWhenUsed/>
    <w:qFormat/>
    <w:rsid w:val="00703373"/>
    <w:pPr>
      <w:keepNext/>
      <w:keepLines/>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sz w:val="20"/>
      <w:szCs w:val="24"/>
    </w:rPr>
  </w:style>
  <w:style w:type="paragraph" w:styleId="Titre8">
    <w:name w:val="heading 8"/>
    <w:basedOn w:val="Normal"/>
    <w:next w:val="Normal"/>
    <w:link w:val="Titre8Car"/>
    <w:unhideWhenUsed/>
    <w:qFormat/>
    <w:rsid w:val="00703373"/>
    <w:pPr>
      <w:keepNext/>
      <w:keepLines/>
      <w:numPr>
        <w:ilvl w:val="7"/>
        <w:numId w:val="1"/>
      </w:numPr>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703373"/>
    <w:pPr>
      <w:keepNext/>
      <w:keepLines/>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703373"/>
    <w:rPr>
      <w:rFonts w:ascii="Arial" w:eastAsia="Times New Roman" w:hAnsi="Arial" w:cs="Arial"/>
      <w:b/>
      <w:bCs/>
      <w:sz w:val="32"/>
      <w:szCs w:val="32"/>
      <w:lang w:eastAsia="fr-FR" w:bidi="fr-FR"/>
    </w:rPr>
  </w:style>
  <w:style w:type="character" w:customStyle="1" w:styleId="Titre2Car">
    <w:name w:val="Titre 2 Car"/>
    <w:basedOn w:val="Policepardfaut"/>
    <w:link w:val="Titre2"/>
    <w:rsid w:val="00703373"/>
    <w:rPr>
      <w:rFonts w:ascii="Arial" w:eastAsiaTheme="majorEastAsia" w:hAnsi="Arial" w:cs="Arial"/>
      <w:b/>
      <w:bCs/>
      <w:sz w:val="24"/>
      <w:szCs w:val="28"/>
      <w:lang w:eastAsia="fr-FR" w:bidi="fr-FR"/>
    </w:rPr>
  </w:style>
  <w:style w:type="character" w:customStyle="1" w:styleId="Titre3Car">
    <w:name w:val="Titre 3 Car"/>
    <w:basedOn w:val="Policepardfaut"/>
    <w:link w:val="Titre3"/>
    <w:rsid w:val="00703373"/>
    <w:rPr>
      <w:rFonts w:ascii="Arial" w:eastAsiaTheme="majorEastAsia" w:hAnsi="Arial" w:cs="Arial"/>
      <w:b/>
      <w:bCs/>
      <w:color w:val="5B9BD5" w:themeColor="accent1"/>
      <w:sz w:val="20"/>
      <w:lang w:eastAsia="fr-FR" w:bidi="fr-FR"/>
    </w:rPr>
  </w:style>
  <w:style w:type="character" w:customStyle="1" w:styleId="Titre4Car">
    <w:name w:val="Titre 4 Car"/>
    <w:basedOn w:val="Policepardfaut"/>
    <w:link w:val="Titre4"/>
    <w:rsid w:val="00703373"/>
    <w:rPr>
      <w:rFonts w:asciiTheme="majorHAnsi" w:eastAsiaTheme="majorEastAsia" w:hAnsiTheme="majorHAnsi" w:cstheme="majorBidi"/>
      <w:b/>
      <w:bCs/>
      <w:i/>
      <w:iCs/>
      <w:color w:val="5B9BD5" w:themeColor="accent1"/>
      <w:sz w:val="20"/>
      <w:szCs w:val="24"/>
      <w:lang w:eastAsia="fr-FR" w:bidi="fr-FR"/>
    </w:rPr>
  </w:style>
  <w:style w:type="character" w:customStyle="1" w:styleId="Titre5Car">
    <w:name w:val="Titre 5 Car"/>
    <w:basedOn w:val="Policepardfaut"/>
    <w:link w:val="Titre5"/>
    <w:rsid w:val="00703373"/>
    <w:rPr>
      <w:rFonts w:asciiTheme="majorHAnsi" w:eastAsiaTheme="majorEastAsia" w:hAnsiTheme="majorHAnsi" w:cstheme="majorBidi"/>
      <w:color w:val="1F4E79" w:themeColor="accent1" w:themeShade="80"/>
      <w:sz w:val="20"/>
      <w:szCs w:val="24"/>
      <w:lang w:eastAsia="fr-FR" w:bidi="fr-FR"/>
    </w:rPr>
  </w:style>
  <w:style w:type="character" w:customStyle="1" w:styleId="Titre6Car">
    <w:name w:val="Titre 6 Car"/>
    <w:basedOn w:val="Policepardfaut"/>
    <w:link w:val="Titre6"/>
    <w:rsid w:val="00703373"/>
    <w:rPr>
      <w:rFonts w:asciiTheme="majorHAnsi" w:eastAsiaTheme="majorEastAsia" w:hAnsiTheme="majorHAnsi" w:cstheme="majorBidi"/>
      <w:i/>
      <w:iCs/>
      <w:color w:val="1F4E79" w:themeColor="accent1" w:themeShade="80"/>
      <w:sz w:val="20"/>
      <w:szCs w:val="24"/>
      <w:lang w:eastAsia="fr-FR" w:bidi="fr-FR"/>
    </w:rPr>
  </w:style>
  <w:style w:type="character" w:customStyle="1" w:styleId="Titre7Car">
    <w:name w:val="Titre 7 Car"/>
    <w:basedOn w:val="Policepardfaut"/>
    <w:link w:val="Titre7"/>
    <w:rsid w:val="00703373"/>
    <w:rPr>
      <w:rFonts w:asciiTheme="majorHAnsi" w:eastAsiaTheme="majorEastAsia" w:hAnsiTheme="majorHAnsi" w:cstheme="majorBidi"/>
      <w:i/>
      <w:iCs/>
      <w:color w:val="404040" w:themeColor="text1" w:themeTint="BF"/>
      <w:sz w:val="20"/>
      <w:szCs w:val="24"/>
      <w:lang w:eastAsia="fr-FR" w:bidi="fr-FR"/>
    </w:rPr>
  </w:style>
  <w:style w:type="character" w:customStyle="1" w:styleId="Titre8Car">
    <w:name w:val="Titre 8 Car"/>
    <w:basedOn w:val="Policepardfaut"/>
    <w:link w:val="Titre8"/>
    <w:rsid w:val="00703373"/>
    <w:rPr>
      <w:rFonts w:asciiTheme="majorHAnsi" w:eastAsiaTheme="majorEastAsia" w:hAnsiTheme="majorHAnsi" w:cstheme="majorBidi"/>
      <w:color w:val="404040" w:themeColor="text1" w:themeTint="BF"/>
      <w:sz w:val="20"/>
      <w:szCs w:val="20"/>
      <w:lang w:eastAsia="fr-FR" w:bidi="fr-FR"/>
    </w:rPr>
  </w:style>
  <w:style w:type="character" w:customStyle="1" w:styleId="Titre9Car">
    <w:name w:val="Titre 9 Car"/>
    <w:basedOn w:val="Policepardfaut"/>
    <w:link w:val="Titre9"/>
    <w:rsid w:val="00703373"/>
    <w:rPr>
      <w:rFonts w:asciiTheme="majorHAnsi" w:eastAsiaTheme="majorEastAsia" w:hAnsiTheme="majorHAnsi" w:cstheme="majorBidi"/>
      <w:i/>
      <w:iCs/>
      <w:color w:val="404040" w:themeColor="text1" w:themeTint="BF"/>
      <w:sz w:val="20"/>
      <w:szCs w:val="20"/>
      <w:lang w:eastAsia="fr-FR" w:bidi="fr-FR"/>
    </w:rPr>
  </w:style>
  <w:style w:type="paragraph" w:styleId="En-tte">
    <w:name w:val="header"/>
    <w:basedOn w:val="Normal"/>
    <w:link w:val="En-tteCar"/>
    <w:uiPriority w:val="99"/>
    <w:unhideWhenUsed/>
    <w:qFormat/>
    <w:rsid w:val="00703373"/>
    <w:pPr>
      <w:tabs>
        <w:tab w:val="center" w:pos="4536"/>
        <w:tab w:val="right" w:pos="9072"/>
      </w:tabs>
      <w:spacing w:after="0" w:line="240" w:lineRule="auto"/>
    </w:pPr>
  </w:style>
  <w:style w:type="character" w:customStyle="1" w:styleId="En-tteCar">
    <w:name w:val="En-tête Car"/>
    <w:basedOn w:val="Policepardfaut"/>
    <w:link w:val="En-tte"/>
    <w:uiPriority w:val="99"/>
    <w:qFormat/>
    <w:rsid w:val="00703373"/>
    <w:rPr>
      <w:lang w:eastAsia="fr-FR" w:bidi="fr-FR"/>
    </w:rPr>
  </w:style>
  <w:style w:type="character" w:styleId="Lienhypertexte">
    <w:name w:val="Hyperlink"/>
    <w:basedOn w:val="Policepardfaut"/>
    <w:uiPriority w:val="99"/>
    <w:unhideWhenUsed/>
    <w:rsid w:val="00703373"/>
    <w:rPr>
      <w:color w:val="0563C1" w:themeColor="hyperlink"/>
      <w:u w:val="single"/>
    </w:rPr>
  </w:style>
  <w:style w:type="paragraph" w:styleId="Notedefin">
    <w:name w:val="endnote text"/>
    <w:basedOn w:val="Normal"/>
    <w:link w:val="NotedefinCar"/>
    <w:uiPriority w:val="99"/>
    <w:semiHidden/>
    <w:unhideWhenUsed/>
    <w:rsid w:val="00703373"/>
    <w:pPr>
      <w:spacing w:after="0" w:line="240" w:lineRule="auto"/>
    </w:pPr>
    <w:rPr>
      <w:sz w:val="20"/>
      <w:szCs w:val="20"/>
    </w:rPr>
  </w:style>
  <w:style w:type="character" w:customStyle="1" w:styleId="NotedefinCar">
    <w:name w:val="Note de fin Car"/>
    <w:basedOn w:val="Policepardfaut"/>
    <w:link w:val="Notedefin"/>
    <w:uiPriority w:val="99"/>
    <w:semiHidden/>
    <w:rsid w:val="00703373"/>
    <w:rPr>
      <w:sz w:val="20"/>
      <w:szCs w:val="20"/>
      <w:lang w:eastAsia="fr-FR" w:bidi="fr-FR"/>
    </w:rPr>
  </w:style>
  <w:style w:type="character" w:styleId="Appeldenotedefin">
    <w:name w:val="endnote reference"/>
    <w:basedOn w:val="Policepardfaut"/>
    <w:uiPriority w:val="99"/>
    <w:semiHidden/>
    <w:unhideWhenUsed/>
    <w:rsid w:val="00703373"/>
    <w:rPr>
      <w:vertAlign w:val="superscript"/>
    </w:rPr>
  </w:style>
  <w:style w:type="paragraph" w:styleId="Paragraphedeliste">
    <w:name w:val="List Paragraph"/>
    <w:aliases w:val="Paragraphe EI,Paragraphe de liste1,EC,Colorful List Accent 1,Paragraphe de liste11,Liste couleur - Accent 11,Paragraphe de liste2,Liste couleur - Accent 111,Policy_Paragraph,List Paragraph1,Issue Action POC,3,Dot pt,b,List Paragraph"/>
    <w:basedOn w:val="Normal"/>
    <w:link w:val="ParagraphedelisteCar"/>
    <w:uiPriority w:val="34"/>
    <w:qFormat/>
    <w:rsid w:val="00D3784E"/>
    <w:pPr>
      <w:ind w:left="720"/>
      <w:contextualSpacing/>
    </w:p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sid w:val="0028788E"/>
    <w:rPr>
      <w:sz w:val="20"/>
      <w:szCs w:val="20"/>
      <w:lang w:eastAsia="fr-FR" w:bidi="fr-FR"/>
    </w:rPr>
  </w:style>
  <w:style w:type="paragraph" w:styleId="Objetducommentaire">
    <w:name w:val="annotation subject"/>
    <w:basedOn w:val="Commentaire"/>
    <w:next w:val="Commentaire"/>
    <w:link w:val="ObjetducommentaireCar"/>
    <w:uiPriority w:val="99"/>
    <w:semiHidden/>
    <w:unhideWhenUsed/>
    <w:rsid w:val="0028788E"/>
    <w:rPr>
      <w:b/>
      <w:bCs/>
    </w:rPr>
  </w:style>
  <w:style w:type="character" w:customStyle="1" w:styleId="ObjetducommentaireCar">
    <w:name w:val="Objet du commentaire Car"/>
    <w:basedOn w:val="CommentaireCar"/>
    <w:link w:val="Objetducommentaire"/>
    <w:uiPriority w:val="99"/>
    <w:semiHidden/>
    <w:rsid w:val="0028788E"/>
    <w:rPr>
      <w:b/>
      <w:bCs/>
      <w:sz w:val="20"/>
      <w:szCs w:val="20"/>
      <w:lang w:eastAsia="fr-FR" w:bidi="fr-FR"/>
    </w:rPr>
  </w:style>
  <w:style w:type="paragraph" w:styleId="Textedebulles">
    <w:name w:val="Balloon Text"/>
    <w:basedOn w:val="Normal"/>
    <w:link w:val="TextedebullesCar"/>
    <w:uiPriority w:val="99"/>
    <w:semiHidden/>
    <w:unhideWhenUsed/>
    <w:rsid w:val="002878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788E"/>
    <w:rPr>
      <w:rFonts w:ascii="Segoe UI" w:hAnsi="Segoe UI" w:cs="Segoe UI"/>
      <w:sz w:val="18"/>
      <w:szCs w:val="18"/>
      <w:lang w:eastAsia="fr-FR" w:bidi="fr-FR"/>
    </w:rPr>
  </w:style>
  <w:style w:type="character" w:customStyle="1" w:styleId="ParagraphedelisteCar">
    <w:name w:val="Paragraphe de liste Car"/>
    <w:aliases w:val="Paragraphe EI Car,Paragraphe de liste1 Car,EC Car,Colorful List Accent 1 Car,Paragraphe de liste11 Car,Liste couleur - Accent 11 Car,Paragraphe de liste2 Car,Liste couleur - Accent 111 Car,Policy_Paragraph Car,List Paragraph1 Car"/>
    <w:basedOn w:val="Policepardfaut"/>
    <w:link w:val="Paragraphedeliste"/>
    <w:uiPriority w:val="34"/>
    <w:qFormat/>
    <w:rsid w:val="00FA1844"/>
    <w:rPr>
      <w:lang w:eastAsia="fr-FR" w:bidi="fr-FR"/>
    </w:rPr>
  </w:style>
  <w:style w:type="paragraph" w:styleId="Rvision">
    <w:name w:val="Revision"/>
    <w:hidden/>
    <w:uiPriority w:val="99"/>
    <w:semiHidden/>
    <w:rsid w:val="00C62C12"/>
    <w:pPr>
      <w:spacing w:after="0" w:line="240" w:lineRule="auto"/>
    </w:pPr>
    <w:rPr>
      <w:lang w:eastAsia="fr-FR" w:bidi="fr-FR"/>
    </w:rPr>
  </w:style>
  <w:style w:type="character" w:styleId="Lienhypertextesuivivisit">
    <w:name w:val="FollowedHyperlink"/>
    <w:basedOn w:val="Policepardfaut"/>
    <w:uiPriority w:val="99"/>
    <w:semiHidden/>
    <w:unhideWhenUsed/>
    <w:rsid w:val="00F429F4"/>
    <w:rPr>
      <w:color w:val="954F72" w:themeColor="followedHyperlink"/>
      <w:u w:val="single"/>
    </w:rPr>
  </w:style>
  <w:style w:type="paragraph" w:styleId="Notedebasdepage">
    <w:name w:val="footnote text"/>
    <w:basedOn w:val="Normal"/>
    <w:link w:val="NotedebasdepageCar"/>
    <w:uiPriority w:val="99"/>
    <w:unhideWhenUsed/>
    <w:rsid w:val="00D14389"/>
    <w:pPr>
      <w:spacing w:after="0" w:line="240" w:lineRule="auto"/>
    </w:pPr>
    <w:rPr>
      <w:sz w:val="20"/>
      <w:szCs w:val="20"/>
    </w:rPr>
  </w:style>
  <w:style w:type="character" w:customStyle="1" w:styleId="NotedebasdepageCar">
    <w:name w:val="Note de bas de page Car"/>
    <w:basedOn w:val="Policepardfaut"/>
    <w:link w:val="Notedebasdepage"/>
    <w:uiPriority w:val="99"/>
    <w:rsid w:val="00D14389"/>
    <w:rPr>
      <w:sz w:val="20"/>
      <w:szCs w:val="20"/>
      <w:lang w:eastAsia="fr-FR" w:bidi="fr-FR"/>
    </w:rPr>
  </w:style>
  <w:style w:type="character" w:styleId="Appelnotedebasdep">
    <w:name w:val="footnote reference"/>
    <w:basedOn w:val="Policepardfaut"/>
    <w:uiPriority w:val="99"/>
    <w:semiHidden/>
    <w:unhideWhenUsed/>
    <w:rsid w:val="00D14389"/>
    <w:rPr>
      <w:vertAlign w:val="superscript"/>
    </w:rPr>
  </w:style>
  <w:style w:type="paragraph" w:styleId="Pieddepage">
    <w:name w:val="footer"/>
    <w:basedOn w:val="Normal"/>
    <w:link w:val="PieddepageCar"/>
    <w:uiPriority w:val="99"/>
    <w:unhideWhenUsed/>
    <w:rsid w:val="003D60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6077"/>
    <w:rPr>
      <w:lang w:eastAsia="fr-FR" w:bidi="fr-FR"/>
    </w:rPr>
  </w:style>
  <w:style w:type="paragraph" w:customStyle="1" w:styleId="default">
    <w:name w:val="default"/>
    <w:basedOn w:val="Normal"/>
    <w:rsid w:val="00AF2A0F"/>
    <w:pPr>
      <w:autoSpaceDE w:val="0"/>
      <w:autoSpaceDN w:val="0"/>
      <w:spacing w:after="0" w:line="240" w:lineRule="auto"/>
    </w:pPr>
    <w:rPr>
      <w:rFonts w:ascii="Times New Roman" w:hAnsi="Times New Roman" w:cs="Times New Roman"/>
      <w:color w:val="000000"/>
      <w:sz w:val="24"/>
      <w:szCs w:val="24"/>
      <w:lang w:bidi="ar-SA"/>
    </w:rPr>
  </w:style>
  <w:style w:type="character" w:styleId="lev">
    <w:name w:val="Strong"/>
    <w:basedOn w:val="Policepardfaut"/>
    <w:uiPriority w:val="22"/>
    <w:qFormat/>
    <w:rsid w:val="00CB7AAA"/>
    <w:rPr>
      <w:b/>
      <w:bCs/>
    </w:rPr>
  </w:style>
  <w:style w:type="paragraph" w:styleId="NormalWeb">
    <w:name w:val="Normal (Web)"/>
    <w:basedOn w:val="Normal"/>
    <w:uiPriority w:val="99"/>
    <w:semiHidden/>
    <w:unhideWhenUsed/>
    <w:rsid w:val="000C6CCC"/>
    <w:rPr>
      <w:rFonts w:ascii="Times New Roman" w:hAnsi="Times New Roman" w:cs="Times New Roman"/>
      <w:sz w:val="24"/>
      <w:szCs w:val="24"/>
    </w:rPr>
  </w:style>
  <w:style w:type="character" w:styleId="Mentionnonrsolue">
    <w:name w:val="Unresolved Mention"/>
    <w:basedOn w:val="Policepardfaut"/>
    <w:uiPriority w:val="99"/>
    <w:semiHidden/>
    <w:unhideWhenUsed/>
    <w:rsid w:val="00B26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739363">
      <w:bodyDiv w:val="1"/>
      <w:marLeft w:val="0"/>
      <w:marRight w:val="0"/>
      <w:marTop w:val="0"/>
      <w:marBottom w:val="0"/>
      <w:divBdr>
        <w:top w:val="none" w:sz="0" w:space="0" w:color="auto"/>
        <w:left w:val="none" w:sz="0" w:space="0" w:color="auto"/>
        <w:bottom w:val="none" w:sz="0" w:space="0" w:color="auto"/>
        <w:right w:val="none" w:sz="0" w:space="0" w:color="auto"/>
      </w:divBdr>
    </w:div>
    <w:div w:id="465439182">
      <w:bodyDiv w:val="1"/>
      <w:marLeft w:val="0"/>
      <w:marRight w:val="0"/>
      <w:marTop w:val="0"/>
      <w:marBottom w:val="0"/>
      <w:divBdr>
        <w:top w:val="none" w:sz="0" w:space="0" w:color="auto"/>
        <w:left w:val="none" w:sz="0" w:space="0" w:color="auto"/>
        <w:bottom w:val="none" w:sz="0" w:space="0" w:color="auto"/>
        <w:right w:val="none" w:sz="0" w:space="0" w:color="auto"/>
      </w:divBdr>
    </w:div>
    <w:div w:id="591427902">
      <w:bodyDiv w:val="1"/>
      <w:marLeft w:val="0"/>
      <w:marRight w:val="0"/>
      <w:marTop w:val="0"/>
      <w:marBottom w:val="0"/>
      <w:divBdr>
        <w:top w:val="none" w:sz="0" w:space="0" w:color="auto"/>
        <w:left w:val="none" w:sz="0" w:space="0" w:color="auto"/>
        <w:bottom w:val="none" w:sz="0" w:space="0" w:color="auto"/>
        <w:right w:val="none" w:sz="0" w:space="0" w:color="auto"/>
      </w:divBdr>
    </w:div>
    <w:div w:id="919948203">
      <w:bodyDiv w:val="1"/>
      <w:marLeft w:val="0"/>
      <w:marRight w:val="0"/>
      <w:marTop w:val="0"/>
      <w:marBottom w:val="0"/>
      <w:divBdr>
        <w:top w:val="none" w:sz="0" w:space="0" w:color="auto"/>
        <w:left w:val="none" w:sz="0" w:space="0" w:color="auto"/>
        <w:bottom w:val="none" w:sz="0" w:space="0" w:color="auto"/>
        <w:right w:val="none" w:sz="0" w:space="0" w:color="auto"/>
      </w:divBdr>
    </w:div>
    <w:div w:id="944969730">
      <w:bodyDiv w:val="1"/>
      <w:marLeft w:val="0"/>
      <w:marRight w:val="0"/>
      <w:marTop w:val="0"/>
      <w:marBottom w:val="0"/>
      <w:divBdr>
        <w:top w:val="none" w:sz="0" w:space="0" w:color="auto"/>
        <w:left w:val="none" w:sz="0" w:space="0" w:color="auto"/>
        <w:bottom w:val="none" w:sz="0" w:space="0" w:color="auto"/>
        <w:right w:val="none" w:sz="0" w:space="0" w:color="auto"/>
      </w:divBdr>
    </w:div>
    <w:div w:id="1023744014">
      <w:bodyDiv w:val="1"/>
      <w:marLeft w:val="0"/>
      <w:marRight w:val="0"/>
      <w:marTop w:val="0"/>
      <w:marBottom w:val="0"/>
      <w:divBdr>
        <w:top w:val="none" w:sz="0" w:space="0" w:color="auto"/>
        <w:left w:val="none" w:sz="0" w:space="0" w:color="auto"/>
        <w:bottom w:val="none" w:sz="0" w:space="0" w:color="auto"/>
        <w:right w:val="none" w:sz="0" w:space="0" w:color="auto"/>
      </w:divBdr>
    </w:div>
    <w:div w:id="1088230909">
      <w:bodyDiv w:val="1"/>
      <w:marLeft w:val="0"/>
      <w:marRight w:val="0"/>
      <w:marTop w:val="0"/>
      <w:marBottom w:val="0"/>
      <w:divBdr>
        <w:top w:val="none" w:sz="0" w:space="0" w:color="auto"/>
        <w:left w:val="none" w:sz="0" w:space="0" w:color="auto"/>
        <w:bottom w:val="none" w:sz="0" w:space="0" w:color="auto"/>
        <w:right w:val="none" w:sz="0" w:space="0" w:color="auto"/>
      </w:divBdr>
    </w:div>
    <w:div w:id="1265192194">
      <w:bodyDiv w:val="1"/>
      <w:marLeft w:val="0"/>
      <w:marRight w:val="0"/>
      <w:marTop w:val="0"/>
      <w:marBottom w:val="0"/>
      <w:divBdr>
        <w:top w:val="none" w:sz="0" w:space="0" w:color="auto"/>
        <w:left w:val="none" w:sz="0" w:space="0" w:color="auto"/>
        <w:bottom w:val="none" w:sz="0" w:space="0" w:color="auto"/>
        <w:right w:val="none" w:sz="0" w:space="0" w:color="auto"/>
      </w:divBdr>
    </w:div>
    <w:div w:id="1523978938">
      <w:bodyDiv w:val="1"/>
      <w:marLeft w:val="0"/>
      <w:marRight w:val="0"/>
      <w:marTop w:val="0"/>
      <w:marBottom w:val="0"/>
      <w:divBdr>
        <w:top w:val="none" w:sz="0" w:space="0" w:color="auto"/>
        <w:left w:val="none" w:sz="0" w:space="0" w:color="auto"/>
        <w:bottom w:val="none" w:sz="0" w:space="0" w:color="auto"/>
        <w:right w:val="none" w:sz="0" w:space="0" w:color="auto"/>
      </w:divBdr>
    </w:div>
    <w:div w:id="1778478115">
      <w:bodyDiv w:val="1"/>
      <w:marLeft w:val="0"/>
      <w:marRight w:val="0"/>
      <w:marTop w:val="0"/>
      <w:marBottom w:val="0"/>
      <w:divBdr>
        <w:top w:val="none" w:sz="0" w:space="0" w:color="auto"/>
        <w:left w:val="none" w:sz="0" w:space="0" w:color="auto"/>
        <w:bottom w:val="none" w:sz="0" w:space="0" w:color="auto"/>
        <w:right w:val="none" w:sz="0" w:space="0" w:color="auto"/>
      </w:divBdr>
    </w:div>
    <w:div w:id="1942446922">
      <w:bodyDiv w:val="1"/>
      <w:marLeft w:val="0"/>
      <w:marRight w:val="0"/>
      <w:marTop w:val="0"/>
      <w:marBottom w:val="0"/>
      <w:divBdr>
        <w:top w:val="none" w:sz="0" w:space="0" w:color="auto"/>
        <w:left w:val="none" w:sz="0" w:space="0" w:color="auto"/>
        <w:bottom w:val="none" w:sz="0" w:space="0" w:color="auto"/>
        <w:right w:val="none" w:sz="0" w:space="0" w:color="auto"/>
      </w:divBdr>
    </w:div>
    <w:div w:id="20491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delphine.cuny@banque-france.f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sv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g7.canada.ca/fr/nouvelles-medias/nouvelles/declaration-ministres-finances-gouverneurs-banques-centrales-g7/" TargetMode="External"/><Relationship Id="rId13" Type="http://schemas.openxmlformats.org/officeDocument/2006/relationships/hyperlink" Target="https://www.bloomberg.com/news/articles/2025-04-15/stablecoin-sector-may-reach-2-trillion-standard-chartered-says" TargetMode="External"/><Relationship Id="rId3" Type="http://schemas.openxmlformats.org/officeDocument/2006/relationships/hyperlink" Target="https://www.consilium.europa.eu/media/ny3j24sm/much-more-than-a-market-report-by-enrico-letta.pdf" TargetMode="External"/><Relationship Id="rId7" Type="http://schemas.openxmlformats.org/officeDocument/2006/relationships/hyperlink" Target="https://www.banque-france.fr/fr/interventions-gouverneur/sur-les-marches-et-dans-les-esprits-preserver-le-partenariat-transatlantique" TargetMode="External"/><Relationship Id="rId12" Type="http://schemas.openxmlformats.org/officeDocument/2006/relationships/hyperlink" Target="https://www.jpmorgan.com/insights/global-research/currencies/stablecoins" TargetMode="External"/><Relationship Id="rId2" Type="http://schemas.openxmlformats.org/officeDocument/2006/relationships/hyperlink" Target="Draghi&#160;(M.)%20(2024),%20The%20future%20of%20European%20competitiveness,%20septembre." TargetMode="External"/><Relationship Id="rId1" Type="http://schemas.openxmlformats.org/officeDocument/2006/relationships/hyperlink" Target="https://www.banque-france.fr/fr/interventions-gouverneur/une-date-mobilisatrice-pour-saisir-le-moment-de-leurope" TargetMode="External"/><Relationship Id="rId6" Type="http://schemas.openxmlformats.org/officeDocument/2006/relationships/hyperlink" Target="https://www.banque-france.fr/fr/interventions-gouverneur/preserver-nos-valeurs-transatlantiques-au-dela-de-limprevisibilite-actuelle" TargetMode="External"/><Relationship Id="rId11" Type="http://schemas.openxmlformats.org/officeDocument/2006/relationships/hyperlink" Target="https://www.bankingsupervision.europa.eu/press/blog/2025/html/ssm.blog20250603~7af4ffc2d7.en.html" TargetMode="External"/><Relationship Id="rId5" Type="http://schemas.openxmlformats.org/officeDocument/2006/relationships/hyperlink" Target="https://www.banque-france.fr/fr/interventions-gouverneur/une-date-mobilisatrice-pour-saisir-le-moment-de-leurope" TargetMode="External"/><Relationship Id="rId10" Type="http://schemas.openxmlformats.org/officeDocument/2006/relationships/hyperlink" Target="https://www.banque-france.fr/fr/interventions-gouverneur/la-ou-croit-le-danger-croit-aussi-ce-qui-sauve" TargetMode="External"/><Relationship Id="rId4" Type="http://schemas.openxmlformats.org/officeDocument/2006/relationships/hyperlink" Target="https://finance.ec.europa.eu/publications/savings-and-investments-union-strategy-enhance-financial-opportunities-eu-citizens-and-businesses_en" TargetMode="External"/><Relationship Id="rId9" Type="http://schemas.openxmlformats.org/officeDocument/2006/relationships/hyperlink" Target="https://www.banque-france.fr/fr/publications-et-statistiques/publications/intermediation-financiere-non-bancaire-vulnerabilites-et-enjeux" TargetMode="External"/><Relationship Id="rId14" Type="http://schemas.openxmlformats.org/officeDocument/2006/relationships/hyperlink" Target="https://www.banque-france.fr/fr/interventions-gouverneur/le-grand-continent-leurope-les-moyens-de-la-bonne-reponse-strategique-la-revolution-de-la-monnai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4F3C8-45C5-473F-A9E8-21173056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2243</Words>
  <Characters>12341</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 Paul</dc:creator>
  <cp:keywords/>
  <dc:description/>
  <cp:lastModifiedBy>Quentin Paul</cp:lastModifiedBy>
  <cp:revision>15</cp:revision>
  <cp:lastPrinted>2025-10-14T15:17:00Z</cp:lastPrinted>
  <dcterms:created xsi:type="dcterms:W3CDTF">2025-10-14T08:00:00Z</dcterms:created>
  <dcterms:modified xsi:type="dcterms:W3CDTF">2025-10-14T15:17:00Z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4caeef-21ee-4ca7-84b8-6f5702ffdbc6_Enabled">
    <vt:lpwstr>true</vt:lpwstr>
  </property>
  <property fmtid="{D5CDD505-2E9C-101B-9397-08002B2CF9AE}" pid="3" name="MSIP_Label_9d4caeef-21ee-4ca7-84b8-6f5702ffdbc6_SetDate">
    <vt:lpwstr>2025-09-26T14:44:05Z</vt:lpwstr>
  </property>
  <property fmtid="{D5CDD505-2E9C-101B-9397-08002B2CF9AE}" pid="4" name="MSIP_Label_9d4caeef-21ee-4ca7-84b8-6f5702ffdbc6_Method">
    <vt:lpwstr>Privileged</vt:lpwstr>
  </property>
  <property fmtid="{D5CDD505-2E9C-101B-9397-08002B2CF9AE}" pid="5" name="MSIP_Label_9d4caeef-21ee-4ca7-84b8-6f5702ffdbc6_Name">
    <vt:lpwstr>BDF-INTERNE-Sans-Marquage</vt:lpwstr>
  </property>
  <property fmtid="{D5CDD505-2E9C-101B-9397-08002B2CF9AE}" pid="6" name="MSIP_Label_9d4caeef-21ee-4ca7-84b8-6f5702ffdbc6_SiteId">
    <vt:lpwstr>e6599448-62a0-418e-8930-d00d8d5682c2</vt:lpwstr>
  </property>
  <property fmtid="{D5CDD505-2E9C-101B-9397-08002B2CF9AE}" pid="7" name="MSIP_Label_9d4caeef-21ee-4ca7-84b8-6f5702ffdbc6_ActionId">
    <vt:lpwstr>18abbf8e-b965-4a58-a149-3c99fb7bab2a</vt:lpwstr>
  </property>
  <property fmtid="{D5CDD505-2E9C-101B-9397-08002B2CF9AE}" pid="8" name="MSIP_Label_9d4caeef-21ee-4ca7-84b8-6f5702ffdbc6_ContentBits">
    <vt:lpwstr>0</vt:lpwstr>
  </property>
  <property fmtid="{D5CDD505-2E9C-101B-9397-08002B2CF9AE}" pid="9" name="MSIP_Label_9d4caeef-21ee-4ca7-84b8-6f5702ffdbc6_Tag">
    <vt:lpwstr>10, 0, 1, 1</vt:lpwstr>
  </property>
</Properties>
</file>