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90" w:rsidRDefault="007848E6" w:rsidP="007848E6">
      <w:pPr>
        <w:pStyle w:val="Default"/>
        <w:jc w:val="center"/>
        <w:rPr>
          <w:b/>
          <w:bCs/>
          <w:sz w:val="23"/>
          <w:szCs w:val="23"/>
        </w:rPr>
      </w:pPr>
      <w:r>
        <w:rPr>
          <w:b/>
          <w:bCs/>
          <w:sz w:val="23"/>
          <w:szCs w:val="23"/>
        </w:rPr>
        <w:t>Annexe B à l’article 3 paragraphe I de l’instruction n°</w:t>
      </w:r>
      <w:r w:rsidR="00AF0052">
        <w:rPr>
          <w:b/>
          <w:bCs/>
          <w:sz w:val="23"/>
          <w:szCs w:val="23"/>
        </w:rPr>
        <w:t xml:space="preserve"> </w:t>
      </w:r>
      <w:r>
        <w:rPr>
          <w:b/>
          <w:bCs/>
          <w:sz w:val="23"/>
          <w:szCs w:val="23"/>
        </w:rPr>
        <w:t>20</w:t>
      </w:r>
      <w:r w:rsidR="00B05A47">
        <w:rPr>
          <w:b/>
          <w:bCs/>
          <w:sz w:val="23"/>
          <w:szCs w:val="23"/>
        </w:rPr>
        <w:t>23</w:t>
      </w:r>
      <w:r>
        <w:rPr>
          <w:b/>
          <w:bCs/>
          <w:sz w:val="23"/>
          <w:szCs w:val="23"/>
        </w:rPr>
        <w:t>-I-</w:t>
      </w:r>
      <w:r w:rsidR="00182190">
        <w:rPr>
          <w:b/>
          <w:bCs/>
          <w:sz w:val="23"/>
          <w:szCs w:val="23"/>
        </w:rPr>
        <w:t>02</w:t>
      </w:r>
      <w:r>
        <w:rPr>
          <w:b/>
          <w:bCs/>
          <w:sz w:val="23"/>
          <w:szCs w:val="23"/>
        </w:rPr>
        <w:t xml:space="preserve"> </w:t>
      </w:r>
      <w:bookmarkStart w:id="0" w:name="_GoBack"/>
      <w:bookmarkEnd w:id="0"/>
    </w:p>
    <w:p w:rsidR="00182190" w:rsidRDefault="007848E6" w:rsidP="007848E6">
      <w:pPr>
        <w:pStyle w:val="Default"/>
        <w:jc w:val="center"/>
        <w:rPr>
          <w:b/>
          <w:bCs/>
          <w:sz w:val="23"/>
          <w:szCs w:val="23"/>
        </w:rPr>
      </w:pPr>
      <w:proofErr w:type="gramStart"/>
      <w:r>
        <w:rPr>
          <w:b/>
          <w:bCs/>
          <w:sz w:val="23"/>
          <w:szCs w:val="23"/>
        </w:rPr>
        <w:t>de</w:t>
      </w:r>
      <w:proofErr w:type="gramEnd"/>
      <w:r>
        <w:rPr>
          <w:b/>
          <w:bCs/>
          <w:sz w:val="23"/>
          <w:szCs w:val="23"/>
        </w:rPr>
        <w:t xml:space="preserve"> l’Autorité de contrôle prudentiel et de résolution </w:t>
      </w:r>
    </w:p>
    <w:p w:rsidR="00182190" w:rsidRDefault="007848E6" w:rsidP="007848E6">
      <w:pPr>
        <w:pStyle w:val="Default"/>
        <w:jc w:val="center"/>
        <w:rPr>
          <w:b/>
          <w:bCs/>
          <w:sz w:val="23"/>
          <w:szCs w:val="23"/>
        </w:rPr>
      </w:pPr>
      <w:proofErr w:type="gramStart"/>
      <w:r>
        <w:rPr>
          <w:b/>
          <w:bCs/>
          <w:sz w:val="23"/>
          <w:szCs w:val="23"/>
        </w:rPr>
        <w:t>relative</w:t>
      </w:r>
      <w:proofErr w:type="gramEnd"/>
      <w:r>
        <w:rPr>
          <w:b/>
          <w:bCs/>
          <w:sz w:val="23"/>
          <w:szCs w:val="23"/>
        </w:rPr>
        <w:t xml:space="preserve"> aux documents prudentiels annuels à communiquer par les organismes assujettis </w:t>
      </w:r>
    </w:p>
    <w:p w:rsidR="007848E6" w:rsidRDefault="007848E6" w:rsidP="007848E6">
      <w:pPr>
        <w:pStyle w:val="Default"/>
        <w:jc w:val="center"/>
        <w:rPr>
          <w:sz w:val="23"/>
          <w:szCs w:val="23"/>
        </w:rPr>
      </w:pPr>
      <w:proofErr w:type="gramStart"/>
      <w:r>
        <w:rPr>
          <w:b/>
          <w:bCs/>
          <w:sz w:val="23"/>
          <w:szCs w:val="23"/>
        </w:rPr>
        <w:t>au</w:t>
      </w:r>
      <w:proofErr w:type="gramEnd"/>
      <w:r>
        <w:rPr>
          <w:b/>
          <w:bCs/>
          <w:sz w:val="23"/>
          <w:szCs w:val="23"/>
        </w:rPr>
        <w:t xml:space="preserve"> contrôle de l’ACPR relevant du régime dit « Solvabilité II »</w:t>
      </w:r>
    </w:p>
    <w:p w:rsidR="007848E6" w:rsidRDefault="007848E6" w:rsidP="007848E6">
      <w:pPr>
        <w:pStyle w:val="Default"/>
        <w:jc w:val="center"/>
        <w:rPr>
          <w:sz w:val="22"/>
          <w:szCs w:val="22"/>
        </w:rPr>
      </w:pPr>
      <w:r>
        <w:rPr>
          <w:b/>
          <w:bCs/>
          <w:sz w:val="22"/>
          <w:szCs w:val="22"/>
        </w:rPr>
        <w:t>-</w:t>
      </w:r>
    </w:p>
    <w:p w:rsidR="007848E6" w:rsidRDefault="007848E6" w:rsidP="007848E6">
      <w:pPr>
        <w:pStyle w:val="Default"/>
        <w:jc w:val="center"/>
        <w:rPr>
          <w:b/>
          <w:bCs/>
          <w:sz w:val="22"/>
          <w:szCs w:val="22"/>
        </w:rPr>
      </w:pPr>
      <w:r>
        <w:rPr>
          <w:b/>
          <w:bCs/>
          <w:sz w:val="22"/>
          <w:szCs w:val="22"/>
        </w:rPr>
        <w:t>Définition des renseignements généraux à communiquer</w:t>
      </w:r>
    </w:p>
    <w:p w:rsidR="007848E6" w:rsidRDefault="007848E6" w:rsidP="007848E6">
      <w:pPr>
        <w:pStyle w:val="Default"/>
        <w:rPr>
          <w:sz w:val="22"/>
          <w:szCs w:val="22"/>
        </w:rPr>
      </w:pPr>
    </w:p>
    <w:p w:rsidR="007848E6" w:rsidRDefault="007848E6" w:rsidP="007848E6">
      <w:pPr>
        <w:pStyle w:val="Default"/>
        <w:numPr>
          <w:ilvl w:val="0"/>
          <w:numId w:val="1"/>
        </w:numPr>
        <w:rPr>
          <w:sz w:val="23"/>
          <w:szCs w:val="23"/>
        </w:rPr>
      </w:pPr>
      <w:r>
        <w:rPr>
          <w:b/>
          <w:bCs/>
          <w:sz w:val="23"/>
          <w:szCs w:val="23"/>
        </w:rPr>
        <w:t xml:space="preserve">Renseignements généraux pour les organismes visés au </w:t>
      </w:r>
      <w:proofErr w:type="spellStart"/>
      <w:r>
        <w:rPr>
          <w:b/>
          <w:bCs/>
          <w:sz w:val="23"/>
          <w:szCs w:val="23"/>
        </w:rPr>
        <w:t>I.a</w:t>
      </w:r>
      <w:proofErr w:type="spellEnd"/>
      <w:r>
        <w:rPr>
          <w:b/>
          <w:bCs/>
          <w:sz w:val="23"/>
          <w:szCs w:val="23"/>
        </w:rPr>
        <w:t xml:space="preserve"> de l’article 1 et relevant du code des assurances </w:t>
      </w:r>
    </w:p>
    <w:p w:rsidR="007848E6" w:rsidRDefault="007848E6" w:rsidP="007848E6">
      <w:pPr>
        <w:pStyle w:val="Default"/>
        <w:rPr>
          <w:sz w:val="23"/>
          <w:szCs w:val="23"/>
        </w:rPr>
      </w:pPr>
    </w:p>
    <w:p w:rsidR="007848E6" w:rsidRDefault="007848E6" w:rsidP="007848E6">
      <w:pPr>
        <w:pStyle w:val="Default"/>
        <w:rPr>
          <w:sz w:val="23"/>
          <w:szCs w:val="23"/>
        </w:rPr>
      </w:pPr>
      <w:r>
        <w:rPr>
          <w:sz w:val="23"/>
          <w:szCs w:val="23"/>
        </w:rPr>
        <w:t xml:space="preserve">Au titre des renseignements généraux, les organismes doivent communiquer : </w:t>
      </w:r>
    </w:p>
    <w:p w:rsidR="007848E6" w:rsidRDefault="007848E6" w:rsidP="007848E6">
      <w:pPr>
        <w:pStyle w:val="Default"/>
        <w:rPr>
          <w:sz w:val="23"/>
          <w:szCs w:val="23"/>
        </w:rPr>
      </w:pPr>
    </w:p>
    <w:p w:rsidR="007848E6" w:rsidRDefault="007848E6" w:rsidP="003D7AF2">
      <w:pPr>
        <w:pStyle w:val="Default"/>
        <w:numPr>
          <w:ilvl w:val="0"/>
          <w:numId w:val="4"/>
        </w:numPr>
        <w:spacing w:after="47"/>
        <w:jc w:val="both"/>
        <w:rPr>
          <w:sz w:val="23"/>
          <w:szCs w:val="23"/>
        </w:rPr>
      </w:pPr>
      <w:r>
        <w:rPr>
          <w:sz w:val="23"/>
          <w:szCs w:val="23"/>
        </w:rPr>
        <w:t xml:space="preserve">La raison sociale de l'entreprise, son adresse, la date de sa constitution, les modifications apportées aux statuts en cours de l'exercice et, si de telles modifications sont intervenues, un exemplaire à jour des statuts ; </w:t>
      </w:r>
    </w:p>
    <w:p w:rsidR="007848E6" w:rsidRDefault="007848E6" w:rsidP="003D7AF2">
      <w:pPr>
        <w:pStyle w:val="Default"/>
        <w:numPr>
          <w:ilvl w:val="0"/>
          <w:numId w:val="3"/>
        </w:numPr>
        <w:spacing w:after="47"/>
        <w:jc w:val="both"/>
        <w:rPr>
          <w:sz w:val="23"/>
          <w:szCs w:val="23"/>
        </w:rPr>
      </w:pPr>
      <w:r>
        <w:rPr>
          <w:sz w:val="23"/>
          <w:szCs w:val="23"/>
        </w:rPr>
        <w:t xml:space="preserve">Les noms, dates et lieux de naissance, nationalités, domiciles et professions des membres du Conseil d'administration ou du conseil de surveillance ; </w:t>
      </w:r>
    </w:p>
    <w:p w:rsidR="007848E6" w:rsidRDefault="007848E6" w:rsidP="003D7AF2">
      <w:pPr>
        <w:pStyle w:val="Default"/>
        <w:numPr>
          <w:ilvl w:val="0"/>
          <w:numId w:val="3"/>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rsidR="007848E6" w:rsidRDefault="007848E6" w:rsidP="003D7AF2">
      <w:pPr>
        <w:pStyle w:val="Default"/>
        <w:numPr>
          <w:ilvl w:val="0"/>
          <w:numId w:val="3"/>
        </w:numPr>
        <w:spacing w:after="47"/>
        <w:jc w:val="both"/>
        <w:rPr>
          <w:sz w:val="23"/>
          <w:szCs w:val="23"/>
        </w:rPr>
      </w:pPr>
      <w:r>
        <w:rPr>
          <w:sz w:val="23"/>
          <w:szCs w:val="23"/>
        </w:rPr>
        <w:t xml:space="preserve">Les noms, adresses et dates de désignation des commissaires aux comptes titulaires et suppléants ; </w:t>
      </w:r>
    </w:p>
    <w:p w:rsidR="007848E6" w:rsidRDefault="007848E6" w:rsidP="003D7AF2">
      <w:pPr>
        <w:pStyle w:val="Default"/>
        <w:numPr>
          <w:ilvl w:val="0"/>
          <w:numId w:val="3"/>
        </w:numPr>
        <w:spacing w:after="47"/>
        <w:jc w:val="both"/>
        <w:rPr>
          <w:sz w:val="23"/>
          <w:szCs w:val="23"/>
        </w:rPr>
      </w:pPr>
      <w:r>
        <w:rPr>
          <w:sz w:val="23"/>
          <w:szCs w:val="23"/>
        </w:rPr>
        <w:t xml:space="preserve">La liste des branches pratiquées en France et, pour chaque branche, la date de l'agrément administratif dans les termes de l'article L. 321-1 et l'année de début d'exploitation ; </w:t>
      </w:r>
    </w:p>
    <w:p w:rsidR="007848E6" w:rsidRDefault="007848E6" w:rsidP="003D7AF2">
      <w:pPr>
        <w:pStyle w:val="Default"/>
        <w:numPr>
          <w:ilvl w:val="0"/>
          <w:numId w:val="3"/>
        </w:numPr>
        <w:spacing w:after="47"/>
        <w:jc w:val="both"/>
        <w:rPr>
          <w:sz w:val="23"/>
          <w:szCs w:val="23"/>
        </w:rPr>
      </w:pPr>
      <w:r>
        <w:rPr>
          <w:sz w:val="23"/>
          <w:szCs w:val="23"/>
        </w:rPr>
        <w:t xml:space="preserve">La liste des pays où l'entreprise exerce son activité, d'une part en régime d'établissement, d'autre part en libre prestation de services et, pour chaque pays et chaque régime, des branches qu'elle y pratique, avec, pour chaque branche, la date de l'acte administratif ayant autorisé les opérations, lorsque l'exercice de l'activité d'assurance est soumis à une telle formalité, ainsi que l'année de début d'exploitation ; </w:t>
      </w:r>
    </w:p>
    <w:p w:rsidR="007848E6" w:rsidRDefault="007848E6" w:rsidP="003D7AF2">
      <w:pPr>
        <w:pStyle w:val="Default"/>
        <w:numPr>
          <w:ilvl w:val="0"/>
          <w:numId w:val="3"/>
        </w:numPr>
        <w:spacing w:after="47"/>
        <w:jc w:val="both"/>
        <w:rPr>
          <w:sz w:val="23"/>
          <w:szCs w:val="23"/>
        </w:rPr>
      </w:pPr>
      <w:r>
        <w:rPr>
          <w:sz w:val="23"/>
          <w:szCs w:val="23"/>
        </w:rPr>
        <w:t xml:space="preserve">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 l'indication de l'effectif moyen annualisé : </w:t>
      </w:r>
    </w:p>
    <w:p w:rsidR="007848E6" w:rsidRDefault="007848E6" w:rsidP="003D7AF2">
      <w:pPr>
        <w:pStyle w:val="Default"/>
        <w:numPr>
          <w:ilvl w:val="1"/>
          <w:numId w:val="3"/>
        </w:numPr>
        <w:spacing w:after="47"/>
        <w:jc w:val="both"/>
        <w:rPr>
          <w:sz w:val="23"/>
          <w:szCs w:val="23"/>
        </w:rPr>
      </w:pPr>
      <w:proofErr w:type="gramStart"/>
      <w:r>
        <w:rPr>
          <w:sz w:val="23"/>
          <w:szCs w:val="23"/>
        </w:rPr>
        <w:t>des</w:t>
      </w:r>
      <w:proofErr w:type="gramEnd"/>
      <w:r>
        <w:rPr>
          <w:sz w:val="23"/>
          <w:szCs w:val="23"/>
        </w:rPr>
        <w:t xml:space="preserve"> agents généraux d'assurances ; </w:t>
      </w:r>
    </w:p>
    <w:p w:rsidR="007848E6" w:rsidRDefault="007848E6" w:rsidP="003D7AF2">
      <w:pPr>
        <w:pStyle w:val="Default"/>
        <w:numPr>
          <w:ilvl w:val="1"/>
          <w:numId w:val="3"/>
        </w:numPr>
        <w:spacing w:after="47"/>
        <w:jc w:val="both"/>
        <w:rPr>
          <w:sz w:val="23"/>
          <w:szCs w:val="23"/>
        </w:rPr>
      </w:pPr>
      <w:proofErr w:type="gramStart"/>
      <w:r>
        <w:rPr>
          <w:sz w:val="23"/>
          <w:szCs w:val="23"/>
        </w:rPr>
        <w:t>des</w:t>
      </w:r>
      <w:proofErr w:type="gramEnd"/>
      <w:r>
        <w:rPr>
          <w:sz w:val="23"/>
          <w:szCs w:val="23"/>
        </w:rPr>
        <w:t xml:space="preserve"> autres intermédiaires de l'entreprise auxquels elle a recours pour la commercialisation ou la gestion de ses contrats ; </w:t>
      </w:r>
    </w:p>
    <w:p w:rsidR="007848E6" w:rsidRDefault="007848E6" w:rsidP="003D7AF2">
      <w:pPr>
        <w:pStyle w:val="Default"/>
        <w:numPr>
          <w:ilvl w:val="0"/>
          <w:numId w:val="3"/>
        </w:numPr>
        <w:jc w:val="both"/>
        <w:rPr>
          <w:sz w:val="23"/>
          <w:szCs w:val="23"/>
        </w:rPr>
      </w:pPr>
      <w:r>
        <w:rPr>
          <w:sz w:val="23"/>
          <w:szCs w:val="23"/>
        </w:rPr>
        <w:t>La liste des contrats types d'assurance directe dont la commercialisation a commencé au cours de l'exercice. Chaque contrat type est identifié par son nom commercial et l'indication de la catégorie ou sous-catégorie, à laquelle il appartient. Les différentes versions d'un contrat type commercialisé sous une même dénomination sont à considérer comme des contrats distincts. La liste des tables mentionnées au b de l'article A. 335-1 et établies durant l'année. A l'appui de cette liste, l'entreprise conserve à la disposition des services de l’Autorité de contrôle prudentiel et de résolution un dossier relatif à chacun des contrats types en cours. Ce dossier comprend :</w:t>
      </w:r>
    </w:p>
    <w:p w:rsidR="007848E6" w:rsidRPr="007848E6" w:rsidRDefault="007848E6" w:rsidP="003D7AF2">
      <w:pPr>
        <w:pStyle w:val="Default"/>
        <w:numPr>
          <w:ilvl w:val="1"/>
          <w:numId w:val="3"/>
        </w:numPr>
        <w:jc w:val="both"/>
        <w:rPr>
          <w:sz w:val="23"/>
          <w:szCs w:val="23"/>
        </w:rPr>
      </w:pPr>
      <w:proofErr w:type="gramStart"/>
      <w:r w:rsidRPr="007848E6">
        <w:rPr>
          <w:sz w:val="23"/>
          <w:szCs w:val="23"/>
        </w:rPr>
        <w:t>un</w:t>
      </w:r>
      <w:proofErr w:type="gramEnd"/>
      <w:r w:rsidRPr="007848E6">
        <w:rPr>
          <w:sz w:val="23"/>
          <w:szCs w:val="23"/>
        </w:rPr>
        <w:t xml:space="preserve"> spécimen des conditions contractuelles (y compris la notice d'information visée à l'article L. 112-2 et, le cas échéant, à l'article L. 141-4),</w:t>
      </w:r>
    </w:p>
    <w:p w:rsidR="007848E6" w:rsidRPr="007848E6" w:rsidRDefault="007848E6" w:rsidP="003D7AF2">
      <w:pPr>
        <w:pStyle w:val="Default"/>
        <w:numPr>
          <w:ilvl w:val="1"/>
          <w:numId w:val="3"/>
        </w:numPr>
        <w:jc w:val="both"/>
        <w:rPr>
          <w:sz w:val="23"/>
          <w:szCs w:val="23"/>
        </w:rPr>
      </w:pPr>
      <w:proofErr w:type="gramStart"/>
      <w:r w:rsidRPr="007848E6">
        <w:rPr>
          <w:sz w:val="23"/>
          <w:szCs w:val="23"/>
        </w:rPr>
        <w:t>un</w:t>
      </w:r>
      <w:proofErr w:type="gramEnd"/>
      <w:r w:rsidRPr="007848E6">
        <w:rPr>
          <w:sz w:val="23"/>
          <w:szCs w:val="23"/>
        </w:rPr>
        <w:t xml:space="preserve"> spécimen de proposition d'assurance et / ou, en assurance collective, de bulletin d'adhésion,</w:t>
      </w:r>
    </w:p>
    <w:p w:rsidR="007848E6" w:rsidRDefault="007848E6" w:rsidP="003D7AF2">
      <w:pPr>
        <w:pStyle w:val="Default"/>
        <w:numPr>
          <w:ilvl w:val="1"/>
          <w:numId w:val="3"/>
        </w:numPr>
        <w:jc w:val="both"/>
        <w:rPr>
          <w:sz w:val="23"/>
          <w:szCs w:val="23"/>
        </w:rPr>
      </w:pPr>
      <w:proofErr w:type="gramStart"/>
      <w:r w:rsidRPr="007848E6">
        <w:rPr>
          <w:sz w:val="23"/>
          <w:szCs w:val="23"/>
        </w:rPr>
        <w:t>un</w:t>
      </w:r>
      <w:proofErr w:type="gramEnd"/>
      <w:r w:rsidRPr="007848E6">
        <w:rPr>
          <w:sz w:val="23"/>
          <w:szCs w:val="23"/>
        </w:rPr>
        <w:t xml:space="preserve"> spécimen de la fiche d'information visée à l'article L. 112-2.</w:t>
      </w:r>
    </w:p>
    <w:p w:rsidR="007848E6" w:rsidRPr="007848E6" w:rsidRDefault="007848E6" w:rsidP="003D7AF2">
      <w:pPr>
        <w:pStyle w:val="Default"/>
        <w:ind w:left="720"/>
        <w:jc w:val="both"/>
        <w:rPr>
          <w:sz w:val="23"/>
          <w:szCs w:val="23"/>
        </w:rPr>
      </w:pPr>
      <w:r>
        <w:rPr>
          <w:sz w:val="23"/>
          <w:szCs w:val="23"/>
        </w:rPr>
        <w:t>En assurance vie et capitalisation, le dossier comprend, en outre :</w:t>
      </w:r>
    </w:p>
    <w:p w:rsidR="007848E6" w:rsidRPr="007848E6" w:rsidRDefault="007848E6" w:rsidP="003D7AF2">
      <w:pPr>
        <w:pStyle w:val="Paragraphedeliste"/>
        <w:numPr>
          <w:ilvl w:val="1"/>
          <w:numId w:val="3"/>
        </w:numPr>
        <w:autoSpaceDE w:val="0"/>
        <w:autoSpaceDN w:val="0"/>
        <w:adjustRightInd w:val="0"/>
        <w:spacing w:after="27" w:line="240" w:lineRule="auto"/>
        <w:jc w:val="both"/>
        <w:rPr>
          <w:rFonts w:ascii="Times New Roman" w:hAnsi="Times New Roman" w:cs="Times New Roman"/>
          <w:color w:val="000000"/>
          <w:sz w:val="23"/>
          <w:szCs w:val="23"/>
        </w:rPr>
      </w:pPr>
      <w:proofErr w:type="gramStart"/>
      <w:r w:rsidRPr="007848E6">
        <w:rPr>
          <w:rFonts w:ascii="Times New Roman" w:hAnsi="Times New Roman" w:cs="Times New Roman"/>
          <w:color w:val="000000"/>
          <w:sz w:val="23"/>
          <w:szCs w:val="23"/>
        </w:rPr>
        <w:lastRenderedPageBreak/>
        <w:t>un</w:t>
      </w:r>
      <w:proofErr w:type="gramEnd"/>
      <w:r w:rsidRPr="007848E6">
        <w:rPr>
          <w:rFonts w:ascii="Times New Roman" w:hAnsi="Times New Roman" w:cs="Times New Roman"/>
          <w:color w:val="000000"/>
          <w:sz w:val="23"/>
          <w:szCs w:val="23"/>
        </w:rPr>
        <w:t xml:space="preserve"> spécimen de la note d'information visée à l'article L. 132-5-2 et dont le modèle est fixé à l'article A. 132-4, </w:t>
      </w:r>
    </w:p>
    <w:p w:rsidR="007848E6" w:rsidRPr="007848E6" w:rsidRDefault="007848E6" w:rsidP="003D7AF2">
      <w:pPr>
        <w:pStyle w:val="Paragraphedeliste"/>
        <w:numPr>
          <w:ilvl w:val="1"/>
          <w:numId w:val="3"/>
        </w:numPr>
        <w:autoSpaceDE w:val="0"/>
        <w:autoSpaceDN w:val="0"/>
        <w:adjustRightInd w:val="0"/>
        <w:spacing w:after="27" w:line="240" w:lineRule="auto"/>
        <w:jc w:val="both"/>
        <w:rPr>
          <w:rFonts w:ascii="Times New Roman" w:hAnsi="Times New Roman" w:cs="Times New Roman"/>
          <w:color w:val="000000"/>
          <w:sz w:val="23"/>
          <w:szCs w:val="23"/>
        </w:rPr>
      </w:pPr>
      <w:proofErr w:type="gramStart"/>
      <w:r w:rsidRPr="007848E6">
        <w:rPr>
          <w:rFonts w:ascii="Times New Roman" w:hAnsi="Times New Roman" w:cs="Times New Roman"/>
          <w:color w:val="000000"/>
          <w:sz w:val="23"/>
          <w:szCs w:val="23"/>
        </w:rPr>
        <w:t>un</w:t>
      </w:r>
      <w:proofErr w:type="gramEnd"/>
      <w:r w:rsidRPr="007848E6">
        <w:rPr>
          <w:rFonts w:ascii="Times New Roman" w:hAnsi="Times New Roman" w:cs="Times New Roman"/>
          <w:color w:val="000000"/>
          <w:sz w:val="23"/>
          <w:szCs w:val="23"/>
        </w:rPr>
        <w:t xml:space="preserve"> spécimen du document d'information annuelle visé à l'article L. 132-22, </w:t>
      </w:r>
    </w:p>
    <w:p w:rsidR="007848E6" w:rsidRPr="007848E6" w:rsidRDefault="007848E6" w:rsidP="003D7AF2">
      <w:pPr>
        <w:pStyle w:val="Paragraphedeliste"/>
        <w:numPr>
          <w:ilvl w:val="1"/>
          <w:numId w:val="3"/>
        </w:numPr>
        <w:autoSpaceDE w:val="0"/>
        <w:autoSpaceDN w:val="0"/>
        <w:adjustRightInd w:val="0"/>
        <w:spacing w:after="0" w:line="240" w:lineRule="auto"/>
        <w:jc w:val="both"/>
        <w:rPr>
          <w:rFonts w:ascii="Times New Roman" w:hAnsi="Times New Roman" w:cs="Times New Roman"/>
          <w:color w:val="000000"/>
          <w:sz w:val="23"/>
          <w:szCs w:val="23"/>
        </w:rPr>
      </w:pPr>
      <w:proofErr w:type="gramStart"/>
      <w:r w:rsidRPr="007848E6">
        <w:rPr>
          <w:rFonts w:ascii="Times New Roman" w:hAnsi="Times New Roman" w:cs="Times New Roman"/>
          <w:color w:val="000000"/>
          <w:sz w:val="23"/>
          <w:szCs w:val="23"/>
        </w:rPr>
        <w:t>une</w:t>
      </w:r>
      <w:proofErr w:type="gramEnd"/>
      <w:r w:rsidRPr="007848E6">
        <w:rPr>
          <w:rFonts w:ascii="Times New Roman" w:hAnsi="Times New Roman" w:cs="Times New Roman"/>
          <w:color w:val="000000"/>
          <w:sz w:val="23"/>
          <w:szCs w:val="23"/>
        </w:rPr>
        <w:t xml:space="preserve"> fiche technique explicitant les garanties accordées, le tarif appliqué (avec justification de sa suffisance), les modalités de fixation à toute époque de la valeur de rachat et de la valeur de réduction-si le contrat comporte-, la méthode de calcul de la charge annuelle de participation aux bénéfices ainsi que le mode de répartition de cette participation entre les assurés (quotité et délai), et le calcul des provisions mathématiques. </w:t>
      </w:r>
    </w:p>
    <w:p w:rsidR="00824983" w:rsidRDefault="00824983"/>
    <w:p w:rsidR="007848E6" w:rsidRDefault="007848E6" w:rsidP="007848E6">
      <w:pPr>
        <w:pStyle w:val="Default"/>
      </w:pPr>
    </w:p>
    <w:p w:rsidR="007848E6" w:rsidRDefault="007848E6" w:rsidP="007848E6">
      <w:pPr>
        <w:pStyle w:val="Default"/>
        <w:numPr>
          <w:ilvl w:val="0"/>
          <w:numId w:val="1"/>
        </w:numPr>
        <w:rPr>
          <w:sz w:val="22"/>
          <w:szCs w:val="22"/>
        </w:rPr>
      </w:pPr>
      <w:r>
        <w:rPr>
          <w:b/>
          <w:bCs/>
          <w:sz w:val="22"/>
          <w:szCs w:val="22"/>
        </w:rPr>
        <w:t xml:space="preserve">Renseignements généraux pour les organismes </w:t>
      </w:r>
      <w:r>
        <w:rPr>
          <w:b/>
          <w:bCs/>
          <w:sz w:val="23"/>
          <w:szCs w:val="23"/>
        </w:rPr>
        <w:t xml:space="preserve">visés au </w:t>
      </w:r>
      <w:proofErr w:type="spellStart"/>
      <w:r>
        <w:rPr>
          <w:b/>
          <w:bCs/>
          <w:sz w:val="23"/>
          <w:szCs w:val="23"/>
        </w:rPr>
        <w:t>I.a</w:t>
      </w:r>
      <w:proofErr w:type="spellEnd"/>
      <w:r>
        <w:rPr>
          <w:b/>
          <w:bCs/>
          <w:sz w:val="23"/>
          <w:szCs w:val="23"/>
        </w:rPr>
        <w:t xml:space="preserve"> de l’article 1 et </w:t>
      </w:r>
      <w:r>
        <w:rPr>
          <w:b/>
          <w:bCs/>
          <w:sz w:val="22"/>
          <w:szCs w:val="22"/>
        </w:rPr>
        <w:t xml:space="preserve">relevant du Code de la mutualité </w:t>
      </w:r>
    </w:p>
    <w:p w:rsidR="007848E6" w:rsidRDefault="007848E6"/>
    <w:p w:rsidR="00A30B6C" w:rsidRDefault="00A30B6C" w:rsidP="003D7AF2">
      <w:pPr>
        <w:pStyle w:val="Default"/>
        <w:jc w:val="both"/>
        <w:rPr>
          <w:sz w:val="23"/>
          <w:szCs w:val="23"/>
        </w:rPr>
      </w:pPr>
      <w:r>
        <w:rPr>
          <w:sz w:val="23"/>
          <w:szCs w:val="23"/>
        </w:rPr>
        <w:t xml:space="preserve">Au titre des renseignements généraux, les organismes relevant du code de la mutualité doivent communiquer : </w:t>
      </w:r>
    </w:p>
    <w:p w:rsidR="00A30B6C" w:rsidRDefault="00A30B6C" w:rsidP="003D7AF2">
      <w:pPr>
        <w:pStyle w:val="Default"/>
        <w:jc w:val="both"/>
        <w:rPr>
          <w:sz w:val="23"/>
          <w:szCs w:val="23"/>
        </w:rPr>
      </w:pPr>
    </w:p>
    <w:p w:rsidR="00A30B6C" w:rsidRDefault="00A30B6C" w:rsidP="003D7AF2">
      <w:pPr>
        <w:pStyle w:val="Default"/>
        <w:numPr>
          <w:ilvl w:val="0"/>
          <w:numId w:val="7"/>
        </w:numPr>
        <w:spacing w:after="47"/>
        <w:jc w:val="both"/>
        <w:rPr>
          <w:sz w:val="23"/>
          <w:szCs w:val="23"/>
        </w:rPr>
      </w:pPr>
      <w:r>
        <w:rPr>
          <w:sz w:val="23"/>
          <w:szCs w:val="23"/>
        </w:rPr>
        <w:t xml:space="preserve">La raison sociale de la mutuelle ou de l'union, son adresse, la date de sa constitution et un exemplaire à jour des statuts lorsque ceux-ci ont été modifiés ; </w:t>
      </w:r>
    </w:p>
    <w:p w:rsidR="00A30B6C" w:rsidRDefault="00A30B6C" w:rsidP="003D7AF2">
      <w:pPr>
        <w:pStyle w:val="Default"/>
        <w:numPr>
          <w:ilvl w:val="0"/>
          <w:numId w:val="7"/>
        </w:numPr>
        <w:spacing w:after="47"/>
        <w:jc w:val="both"/>
        <w:rPr>
          <w:sz w:val="23"/>
          <w:szCs w:val="23"/>
        </w:rPr>
      </w:pPr>
      <w:r>
        <w:rPr>
          <w:sz w:val="23"/>
          <w:szCs w:val="23"/>
        </w:rPr>
        <w:t xml:space="preserve">Les noms, dates et lieux de naissance, nationalités, domiciles et professions des membres du Conseil d'administration ; </w:t>
      </w:r>
    </w:p>
    <w:p w:rsidR="00A30B6C" w:rsidRDefault="00A30B6C" w:rsidP="003D7AF2">
      <w:pPr>
        <w:pStyle w:val="Default"/>
        <w:numPr>
          <w:ilvl w:val="0"/>
          <w:numId w:val="7"/>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rsidR="00A30B6C" w:rsidRDefault="00A30B6C" w:rsidP="003D7AF2">
      <w:pPr>
        <w:pStyle w:val="Default"/>
        <w:numPr>
          <w:ilvl w:val="0"/>
          <w:numId w:val="7"/>
        </w:numPr>
        <w:spacing w:after="47"/>
        <w:jc w:val="both"/>
        <w:rPr>
          <w:sz w:val="23"/>
          <w:szCs w:val="23"/>
        </w:rPr>
      </w:pPr>
      <w:r>
        <w:rPr>
          <w:sz w:val="23"/>
          <w:szCs w:val="23"/>
        </w:rPr>
        <w:t xml:space="preserve">Les noms, adresses et dates de désignation des Commissaires aux comptes titulaires et suppléants ; </w:t>
      </w:r>
    </w:p>
    <w:p w:rsidR="00A30B6C" w:rsidRDefault="00A30B6C" w:rsidP="003D7AF2">
      <w:pPr>
        <w:pStyle w:val="Default"/>
        <w:numPr>
          <w:ilvl w:val="0"/>
          <w:numId w:val="7"/>
        </w:numPr>
        <w:spacing w:after="47"/>
        <w:jc w:val="both"/>
        <w:rPr>
          <w:sz w:val="23"/>
          <w:szCs w:val="23"/>
        </w:rPr>
      </w:pPr>
      <w:r>
        <w:rPr>
          <w:sz w:val="23"/>
          <w:szCs w:val="23"/>
        </w:rPr>
        <w:t xml:space="preserve">La liste des branches pratiquées en France et, pour chaque branche, la date de l'agrément administratif dans les termes de l'article L. 211-8 et l'année de début d'exercice des opérations relevant de chaque branche ; </w:t>
      </w:r>
    </w:p>
    <w:p w:rsidR="00A30B6C" w:rsidRDefault="00A30B6C" w:rsidP="003D7AF2">
      <w:pPr>
        <w:pStyle w:val="Default"/>
        <w:numPr>
          <w:ilvl w:val="0"/>
          <w:numId w:val="7"/>
        </w:numPr>
        <w:spacing w:after="47"/>
        <w:jc w:val="both"/>
        <w:rPr>
          <w:sz w:val="23"/>
          <w:szCs w:val="23"/>
        </w:rPr>
      </w:pPr>
      <w:r>
        <w:rPr>
          <w:sz w:val="23"/>
          <w:szCs w:val="23"/>
        </w:rPr>
        <w:t xml:space="preserve">La liste des pays où la mutuelle ou l'union exerce son activité, d'une part en régime d'établissement et, d'autre part en libre prestation de service et, pour chaque pays et chaque régime, des branches qu'elle y pratique, avec, pour chaque branche, la date de l'acte administratif ayant autorisé les opérations, lorsque l'exercice de l'activité d'assurance est soumis à une telle formalité, ainsi que l'année de début d'exercice des opérations relevant de chaque branche ; </w:t>
      </w:r>
    </w:p>
    <w:p w:rsidR="00A30B6C" w:rsidRDefault="00A30B6C" w:rsidP="003D7AF2">
      <w:pPr>
        <w:pStyle w:val="Default"/>
        <w:numPr>
          <w:ilvl w:val="0"/>
          <w:numId w:val="7"/>
        </w:numPr>
        <w:spacing w:after="47"/>
        <w:jc w:val="both"/>
        <w:rPr>
          <w:sz w:val="23"/>
          <w:szCs w:val="23"/>
        </w:rPr>
      </w:pPr>
      <w:r>
        <w:rPr>
          <w:sz w:val="23"/>
          <w:szCs w:val="23"/>
        </w:rPr>
        <w:t xml:space="preserve">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 l'indication de l'effectif moyen annualisé des intermédiaires de la mutuelle ou de l'union auxquels elle a recours pour la commercialisation ou la gestion des contrats. </w:t>
      </w:r>
    </w:p>
    <w:p w:rsidR="00A30B6C" w:rsidRDefault="00A30B6C" w:rsidP="003D7AF2">
      <w:pPr>
        <w:pStyle w:val="Default"/>
        <w:numPr>
          <w:ilvl w:val="0"/>
          <w:numId w:val="7"/>
        </w:numPr>
        <w:jc w:val="both"/>
      </w:pPr>
      <w:r>
        <w:rPr>
          <w:sz w:val="23"/>
          <w:szCs w:val="23"/>
        </w:rPr>
        <w:t xml:space="preserve">La liste des règlements dont la commercialisation a commencé au cours de l'exercice. Chaque règlement est identifié par son nom commercial et l'indication de la catégorie </w:t>
      </w:r>
    </w:p>
    <w:p w:rsidR="00A30B6C" w:rsidRDefault="00A30B6C" w:rsidP="003D7AF2">
      <w:pPr>
        <w:pStyle w:val="Default"/>
        <w:numPr>
          <w:ilvl w:val="0"/>
          <w:numId w:val="7"/>
        </w:numPr>
        <w:spacing w:after="47"/>
        <w:jc w:val="both"/>
        <w:rPr>
          <w:sz w:val="23"/>
          <w:szCs w:val="23"/>
        </w:rPr>
      </w:pPr>
      <w:proofErr w:type="gramStart"/>
      <w:r>
        <w:rPr>
          <w:sz w:val="23"/>
          <w:szCs w:val="23"/>
        </w:rPr>
        <w:t>ou</w:t>
      </w:r>
      <w:proofErr w:type="gramEnd"/>
      <w:r>
        <w:rPr>
          <w:sz w:val="23"/>
          <w:szCs w:val="23"/>
        </w:rPr>
        <w:t xml:space="preserve"> sous-catégorie à laquelle il appartient. Les différentes versions d'un règlement commercialisé sous une même dénomination sont à considérer comme des règlements distincts. </w:t>
      </w:r>
    </w:p>
    <w:p w:rsidR="00A30B6C" w:rsidRDefault="00A30B6C" w:rsidP="003D7AF2">
      <w:pPr>
        <w:pStyle w:val="Default"/>
        <w:numPr>
          <w:ilvl w:val="0"/>
          <w:numId w:val="7"/>
        </w:numPr>
        <w:spacing w:after="47"/>
        <w:jc w:val="both"/>
        <w:rPr>
          <w:sz w:val="23"/>
          <w:szCs w:val="23"/>
        </w:rPr>
      </w:pPr>
      <w:r>
        <w:rPr>
          <w:sz w:val="23"/>
          <w:szCs w:val="23"/>
        </w:rPr>
        <w:t xml:space="preserve">La liste des tables mentionnées au 2° de l’article A. 223-8 établies durant l'année. A l'appui de cette liste, la mutuelle ou l'union conserve à la disposition des services de l’Autorité de contrôle prudentiel et de résolution un dossier relatif à chacune des prestations en cours. Ce dossier comprend : </w:t>
      </w:r>
    </w:p>
    <w:p w:rsidR="00A30B6C" w:rsidRDefault="00A30B6C" w:rsidP="003D7AF2">
      <w:pPr>
        <w:pStyle w:val="Default"/>
        <w:numPr>
          <w:ilvl w:val="1"/>
          <w:numId w:val="7"/>
        </w:numPr>
        <w:spacing w:after="47"/>
        <w:jc w:val="both"/>
        <w:rPr>
          <w:sz w:val="23"/>
          <w:szCs w:val="23"/>
        </w:rPr>
      </w:pPr>
      <w:proofErr w:type="gramStart"/>
      <w:r>
        <w:rPr>
          <w:sz w:val="23"/>
          <w:szCs w:val="23"/>
        </w:rPr>
        <w:t>un</w:t>
      </w:r>
      <w:proofErr w:type="gramEnd"/>
      <w:r>
        <w:rPr>
          <w:sz w:val="23"/>
          <w:szCs w:val="23"/>
        </w:rPr>
        <w:t xml:space="preserve"> spécimen du règlement mutualiste ; </w:t>
      </w:r>
    </w:p>
    <w:p w:rsidR="00A30B6C" w:rsidRDefault="00A30B6C" w:rsidP="003D7AF2">
      <w:pPr>
        <w:pStyle w:val="Default"/>
        <w:numPr>
          <w:ilvl w:val="1"/>
          <w:numId w:val="7"/>
        </w:numPr>
        <w:spacing w:after="47"/>
        <w:jc w:val="both"/>
        <w:rPr>
          <w:sz w:val="23"/>
          <w:szCs w:val="23"/>
        </w:rPr>
      </w:pPr>
      <w:proofErr w:type="gramStart"/>
      <w:r>
        <w:rPr>
          <w:sz w:val="23"/>
          <w:szCs w:val="23"/>
        </w:rPr>
        <w:lastRenderedPageBreak/>
        <w:t>un</w:t>
      </w:r>
      <w:proofErr w:type="gramEnd"/>
      <w:r>
        <w:rPr>
          <w:sz w:val="23"/>
          <w:szCs w:val="23"/>
        </w:rPr>
        <w:t xml:space="preserve"> spécimen du contrat collectif ou du bulletin d'adhésion ; </w:t>
      </w:r>
    </w:p>
    <w:p w:rsidR="00A30B6C" w:rsidRDefault="00A30B6C" w:rsidP="003D7AF2">
      <w:pPr>
        <w:pStyle w:val="Default"/>
        <w:numPr>
          <w:ilvl w:val="1"/>
          <w:numId w:val="7"/>
        </w:numPr>
        <w:jc w:val="both"/>
        <w:rPr>
          <w:sz w:val="23"/>
          <w:szCs w:val="23"/>
        </w:rPr>
      </w:pPr>
      <w:proofErr w:type="gramStart"/>
      <w:r>
        <w:rPr>
          <w:sz w:val="23"/>
          <w:szCs w:val="23"/>
        </w:rPr>
        <w:t>un</w:t>
      </w:r>
      <w:proofErr w:type="gramEnd"/>
      <w:r>
        <w:rPr>
          <w:sz w:val="23"/>
          <w:szCs w:val="23"/>
        </w:rPr>
        <w:t xml:space="preserve"> spécimen de la note d'information. </w:t>
      </w:r>
    </w:p>
    <w:p w:rsidR="00A30B6C" w:rsidRDefault="00A30B6C" w:rsidP="003D7AF2">
      <w:pPr>
        <w:pStyle w:val="Default"/>
        <w:ind w:left="720"/>
        <w:jc w:val="both"/>
        <w:rPr>
          <w:sz w:val="23"/>
          <w:szCs w:val="23"/>
        </w:rPr>
      </w:pPr>
      <w:r>
        <w:rPr>
          <w:sz w:val="23"/>
          <w:szCs w:val="23"/>
        </w:rPr>
        <w:t>En assurance vie et capitalisation, le dossier comprend, en outre, une fiche technique explicitant les garanties accordées, le tarif appliqué (avec justification de sa suffisance), les modalités de fixation à toute époque de la valeur de rachat et de la valeur de réduction-si le contrat le comporte-, la méthode de calcul de la charge annuelle de participation aux bénéfices ainsi que le mode de répartition de cette participation entre les assurés (quotité et délai), et le calcul des provisions mathématiques.</w:t>
      </w:r>
    </w:p>
    <w:p w:rsidR="00A30B6C" w:rsidRDefault="00A30B6C"/>
    <w:p w:rsidR="00A30B6C" w:rsidRDefault="00A30B6C"/>
    <w:p w:rsidR="00A30B6C" w:rsidRPr="00A30B6C" w:rsidRDefault="00A30B6C" w:rsidP="00A30B6C">
      <w:pPr>
        <w:pStyle w:val="Default"/>
        <w:numPr>
          <w:ilvl w:val="0"/>
          <w:numId w:val="1"/>
        </w:numPr>
        <w:rPr>
          <w:b/>
          <w:bCs/>
          <w:sz w:val="22"/>
          <w:szCs w:val="22"/>
        </w:rPr>
      </w:pPr>
      <w:r w:rsidRPr="00A30B6C">
        <w:rPr>
          <w:b/>
          <w:bCs/>
          <w:sz w:val="22"/>
          <w:szCs w:val="22"/>
        </w:rPr>
        <w:t xml:space="preserve">Renseignements généraux pour les organismes visés au </w:t>
      </w:r>
      <w:proofErr w:type="spellStart"/>
      <w:r w:rsidRPr="00A30B6C">
        <w:rPr>
          <w:b/>
          <w:bCs/>
          <w:sz w:val="22"/>
          <w:szCs w:val="22"/>
        </w:rPr>
        <w:t>I.a</w:t>
      </w:r>
      <w:proofErr w:type="spellEnd"/>
      <w:r w:rsidRPr="00A30B6C">
        <w:rPr>
          <w:b/>
          <w:bCs/>
          <w:sz w:val="22"/>
          <w:szCs w:val="22"/>
        </w:rPr>
        <w:t xml:space="preserve"> de l’article 1 et relevant du code de la sécurité sociale </w:t>
      </w:r>
    </w:p>
    <w:p w:rsidR="00A30B6C" w:rsidRDefault="00A30B6C"/>
    <w:p w:rsidR="00A30B6C" w:rsidRDefault="00A30B6C" w:rsidP="003D7AF2">
      <w:pPr>
        <w:pStyle w:val="Default"/>
        <w:jc w:val="both"/>
        <w:rPr>
          <w:sz w:val="23"/>
          <w:szCs w:val="23"/>
        </w:rPr>
      </w:pPr>
      <w:r>
        <w:rPr>
          <w:sz w:val="23"/>
          <w:szCs w:val="23"/>
        </w:rPr>
        <w:t xml:space="preserve">Au titre des renseignements généraux, les organismes relevant du code de la sécurité sociale doivent communiquer : </w:t>
      </w:r>
    </w:p>
    <w:p w:rsidR="00A30B6C" w:rsidRDefault="00A30B6C" w:rsidP="003D7AF2">
      <w:pPr>
        <w:pStyle w:val="Default"/>
        <w:jc w:val="both"/>
        <w:rPr>
          <w:sz w:val="23"/>
          <w:szCs w:val="23"/>
        </w:rPr>
      </w:pPr>
    </w:p>
    <w:p w:rsidR="00A30B6C" w:rsidRDefault="00A30B6C" w:rsidP="003D7AF2">
      <w:pPr>
        <w:pStyle w:val="Default"/>
        <w:numPr>
          <w:ilvl w:val="0"/>
          <w:numId w:val="6"/>
        </w:numPr>
        <w:spacing w:after="47"/>
        <w:jc w:val="both"/>
        <w:rPr>
          <w:sz w:val="23"/>
          <w:szCs w:val="23"/>
        </w:rPr>
      </w:pPr>
      <w:r>
        <w:rPr>
          <w:sz w:val="23"/>
          <w:szCs w:val="23"/>
        </w:rPr>
        <w:t xml:space="preserve">La dénomination sociale de l'institution ou de l'union, son adresse, la date de son agrément, les modifications apportées aux statuts en cours d'exercice et, si de telles modifications sont intervenues, un exemplaire à jour des statuts ; </w:t>
      </w:r>
    </w:p>
    <w:p w:rsidR="00A30B6C" w:rsidRDefault="00A30B6C" w:rsidP="003D7AF2">
      <w:pPr>
        <w:pStyle w:val="Default"/>
        <w:numPr>
          <w:ilvl w:val="0"/>
          <w:numId w:val="6"/>
        </w:numPr>
        <w:spacing w:after="47"/>
        <w:jc w:val="both"/>
        <w:rPr>
          <w:sz w:val="23"/>
          <w:szCs w:val="23"/>
        </w:rPr>
      </w:pPr>
      <w:r>
        <w:rPr>
          <w:sz w:val="23"/>
          <w:szCs w:val="23"/>
        </w:rPr>
        <w:t xml:space="preserve">Les noms, dates et lieux de naissance, nationalités, domiciles et professions des membres du Conseil d'administration ; </w:t>
      </w:r>
    </w:p>
    <w:p w:rsidR="00A30B6C" w:rsidRDefault="00A30B6C" w:rsidP="003D7AF2">
      <w:pPr>
        <w:pStyle w:val="Default"/>
        <w:numPr>
          <w:ilvl w:val="0"/>
          <w:numId w:val="6"/>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rsidR="00A30B6C" w:rsidRDefault="00A30B6C" w:rsidP="003D7AF2">
      <w:pPr>
        <w:pStyle w:val="Default"/>
        <w:numPr>
          <w:ilvl w:val="0"/>
          <w:numId w:val="6"/>
        </w:numPr>
        <w:spacing w:after="47"/>
        <w:jc w:val="both"/>
        <w:rPr>
          <w:sz w:val="23"/>
          <w:szCs w:val="23"/>
        </w:rPr>
      </w:pPr>
      <w:r>
        <w:rPr>
          <w:sz w:val="23"/>
          <w:szCs w:val="23"/>
        </w:rPr>
        <w:t xml:space="preserve">Les noms, adresses et dates de désignation des commissaires aux comptes titulaires et suppléants ; </w:t>
      </w:r>
    </w:p>
    <w:p w:rsidR="00A30B6C" w:rsidRDefault="00A30B6C" w:rsidP="003D7AF2">
      <w:pPr>
        <w:pStyle w:val="Default"/>
        <w:numPr>
          <w:ilvl w:val="0"/>
          <w:numId w:val="6"/>
        </w:numPr>
        <w:spacing w:after="47"/>
        <w:jc w:val="both"/>
        <w:rPr>
          <w:sz w:val="23"/>
          <w:szCs w:val="23"/>
        </w:rPr>
      </w:pPr>
      <w:r>
        <w:rPr>
          <w:sz w:val="23"/>
          <w:szCs w:val="23"/>
        </w:rPr>
        <w:t xml:space="preserve">La liste des branches pratiquées en France et, pour chaque branche, la date de l'agrément administratif dans les termes de l'article L. 931-4 et l'année de début d'activité. Les institutions et les unions en activité le 11 août 1994 précisent, de plus, la date de la première approbation de chacun des règlements en vigueur dans l'institution ou l'union à cette date ; </w:t>
      </w:r>
    </w:p>
    <w:p w:rsidR="00A30B6C" w:rsidRDefault="00A30B6C" w:rsidP="003D7AF2">
      <w:pPr>
        <w:pStyle w:val="Default"/>
        <w:numPr>
          <w:ilvl w:val="0"/>
          <w:numId w:val="6"/>
        </w:numPr>
        <w:spacing w:after="47"/>
        <w:jc w:val="both"/>
        <w:rPr>
          <w:sz w:val="23"/>
          <w:szCs w:val="23"/>
        </w:rPr>
      </w:pPr>
      <w:r>
        <w:rPr>
          <w:sz w:val="23"/>
          <w:szCs w:val="23"/>
        </w:rPr>
        <w:t xml:space="preserve">La liste des pays où l'institution ou l'union exerce son activité, d'une part, en régime d'établissement, d'autre part, en libre prestation de services et, pour chaque pays et chaque régime, des branches qu'elle y pratique, avec, pour chaque branche, la date de l'acte administratif ayant autorisé les opérations, lorsque l'exercice de l'activité d'assurance est soumis à une telle formalité, ainsi que l'année de début d'activité ; </w:t>
      </w:r>
    </w:p>
    <w:p w:rsidR="00A30B6C" w:rsidRDefault="00A30B6C" w:rsidP="003D7AF2">
      <w:pPr>
        <w:pStyle w:val="Default"/>
        <w:numPr>
          <w:ilvl w:val="0"/>
          <w:numId w:val="6"/>
        </w:numPr>
        <w:jc w:val="both"/>
        <w:rPr>
          <w:sz w:val="23"/>
          <w:szCs w:val="23"/>
        </w:rPr>
      </w:pPr>
      <w:r>
        <w:rPr>
          <w:sz w:val="23"/>
          <w:szCs w:val="23"/>
        </w:rPr>
        <w:t xml:space="preserve">Un tableau indiquant, par pays d'établissement, l'effectif moyen annualisé du personnel salarié en distinguant les personnels affectés à la proposition des règlements ou des contrats des autres personnels, et, au sein de chacun de ces deux ensembles, les catégories suivantes : personnels de direction, cadres, non-cadres ; </w:t>
      </w:r>
    </w:p>
    <w:p w:rsidR="00A30B6C" w:rsidRDefault="00A30B6C" w:rsidP="003D7AF2">
      <w:pPr>
        <w:pStyle w:val="Default"/>
        <w:numPr>
          <w:ilvl w:val="0"/>
          <w:numId w:val="6"/>
        </w:numPr>
        <w:jc w:val="both"/>
        <w:rPr>
          <w:sz w:val="23"/>
          <w:szCs w:val="23"/>
        </w:rPr>
      </w:pPr>
      <w:r>
        <w:rPr>
          <w:sz w:val="23"/>
          <w:szCs w:val="23"/>
        </w:rPr>
        <w:t xml:space="preserve">La liste des règlements ou des contrats types d'assurance directe nouvellement proposés au cours de l'exercice. Chaque règlement ou contrat type est identifié par sa dénomination et l'indication de la catégorie ou sous-catégorie à laquelle il appartient. Les différentes versions d'un règlement ou d'un contrat type proposés sous une même dénomination sont à considérer comme des règlements ou contrats distincts ; </w:t>
      </w:r>
    </w:p>
    <w:p w:rsidR="00A30B6C" w:rsidRDefault="00A30B6C" w:rsidP="003D7AF2">
      <w:pPr>
        <w:pStyle w:val="Default"/>
        <w:numPr>
          <w:ilvl w:val="0"/>
          <w:numId w:val="6"/>
        </w:numPr>
        <w:jc w:val="both"/>
        <w:rPr>
          <w:sz w:val="23"/>
          <w:szCs w:val="23"/>
        </w:rPr>
      </w:pPr>
      <w:r>
        <w:rPr>
          <w:sz w:val="23"/>
          <w:szCs w:val="23"/>
        </w:rPr>
        <w:t xml:space="preserve">A l'appui de cette liste, l'institution ou l'union conserve à la disposition des services de l’Autorité de contrôle prudentiel et de résolution un dossier relatif à chacun des règlements ou contrats types en cours. Ce dossier comprend un spécimen : </w:t>
      </w:r>
    </w:p>
    <w:p w:rsidR="00A30B6C" w:rsidRDefault="00A30B6C" w:rsidP="003D7AF2">
      <w:pPr>
        <w:pStyle w:val="Default"/>
        <w:numPr>
          <w:ilvl w:val="1"/>
          <w:numId w:val="6"/>
        </w:numPr>
        <w:spacing w:after="27"/>
        <w:jc w:val="both"/>
        <w:rPr>
          <w:sz w:val="23"/>
          <w:szCs w:val="23"/>
        </w:rPr>
      </w:pPr>
      <w:proofErr w:type="gramStart"/>
      <w:r>
        <w:rPr>
          <w:sz w:val="23"/>
          <w:szCs w:val="23"/>
        </w:rPr>
        <w:t>des</w:t>
      </w:r>
      <w:proofErr w:type="gramEnd"/>
      <w:r>
        <w:rPr>
          <w:sz w:val="23"/>
          <w:szCs w:val="23"/>
        </w:rPr>
        <w:t xml:space="preserve"> modifications du règlement, des avenants au contrat ou au bulletin d'adhésion mentionnés à l'article L. 932-3 pour les opérations collectives à adhésion obligatoire et à l'article L. 932-19 pour les opérations collectives à adhésion facultative et les </w:t>
      </w:r>
      <w:r>
        <w:rPr>
          <w:sz w:val="23"/>
          <w:szCs w:val="23"/>
        </w:rPr>
        <w:lastRenderedPageBreak/>
        <w:t xml:space="preserve">opérations individuelles ainsi qu'un spécimen de la notice d'information respectivement prévue aux articles L. 932-6 et L. 932-18 ; </w:t>
      </w:r>
    </w:p>
    <w:p w:rsidR="00A30B6C" w:rsidRDefault="00A30B6C" w:rsidP="003D7AF2">
      <w:pPr>
        <w:pStyle w:val="Default"/>
        <w:numPr>
          <w:ilvl w:val="1"/>
          <w:numId w:val="6"/>
        </w:numPr>
        <w:spacing w:after="27"/>
        <w:jc w:val="both"/>
        <w:rPr>
          <w:sz w:val="23"/>
          <w:szCs w:val="23"/>
        </w:rPr>
      </w:pPr>
      <w:proofErr w:type="gramStart"/>
      <w:r>
        <w:rPr>
          <w:sz w:val="23"/>
          <w:szCs w:val="23"/>
        </w:rPr>
        <w:t>de</w:t>
      </w:r>
      <w:proofErr w:type="gramEnd"/>
      <w:r>
        <w:rPr>
          <w:sz w:val="23"/>
          <w:szCs w:val="23"/>
        </w:rPr>
        <w:t xml:space="preserve"> la proposition d'adhésion ou de la proposition de contrat ainsi que leurs annexes respectives prévues aux articles L. 932-3 et L. 932-19 ; </w:t>
      </w:r>
    </w:p>
    <w:p w:rsidR="00A30B6C" w:rsidRDefault="00A30B6C" w:rsidP="003D7AF2">
      <w:pPr>
        <w:pStyle w:val="Default"/>
        <w:numPr>
          <w:ilvl w:val="1"/>
          <w:numId w:val="6"/>
        </w:numPr>
        <w:spacing w:after="27"/>
        <w:jc w:val="both"/>
        <w:rPr>
          <w:sz w:val="23"/>
          <w:szCs w:val="23"/>
        </w:rPr>
      </w:pPr>
      <w:proofErr w:type="gramStart"/>
      <w:r>
        <w:rPr>
          <w:sz w:val="23"/>
          <w:szCs w:val="23"/>
        </w:rPr>
        <w:t>de</w:t>
      </w:r>
      <w:proofErr w:type="gramEnd"/>
      <w:r>
        <w:rPr>
          <w:sz w:val="23"/>
          <w:szCs w:val="23"/>
        </w:rPr>
        <w:t xml:space="preserve"> la note d'information visée à l'article L. 932-15 et dont le modèle est fixé à l'article A. 932-3-5 ; </w:t>
      </w:r>
    </w:p>
    <w:p w:rsidR="00A30B6C" w:rsidRDefault="00A30B6C" w:rsidP="003D7AF2">
      <w:pPr>
        <w:pStyle w:val="Default"/>
        <w:numPr>
          <w:ilvl w:val="1"/>
          <w:numId w:val="6"/>
        </w:numPr>
        <w:spacing w:after="27"/>
        <w:jc w:val="both"/>
        <w:rPr>
          <w:sz w:val="23"/>
          <w:szCs w:val="23"/>
        </w:rPr>
      </w:pPr>
      <w:proofErr w:type="gramStart"/>
      <w:r>
        <w:rPr>
          <w:sz w:val="23"/>
          <w:szCs w:val="23"/>
        </w:rPr>
        <w:t>du</w:t>
      </w:r>
      <w:proofErr w:type="gramEnd"/>
      <w:r>
        <w:rPr>
          <w:sz w:val="23"/>
          <w:szCs w:val="23"/>
        </w:rPr>
        <w:t xml:space="preserve"> document d'information annuelle relatif au rachat et à la réduction des contrats d'assurance vie (article L. 132-22 du Code des assurances auquel renvoie l'article L. 932-23 du Code de la sécurité sociale), </w:t>
      </w:r>
    </w:p>
    <w:p w:rsidR="00A30B6C" w:rsidRDefault="00A30B6C" w:rsidP="003D7AF2">
      <w:pPr>
        <w:pStyle w:val="Default"/>
        <w:numPr>
          <w:ilvl w:val="1"/>
          <w:numId w:val="6"/>
        </w:numPr>
        <w:jc w:val="both"/>
        <w:rPr>
          <w:sz w:val="23"/>
          <w:szCs w:val="23"/>
        </w:rPr>
      </w:pPr>
      <w:r>
        <w:rPr>
          <w:sz w:val="23"/>
          <w:szCs w:val="23"/>
        </w:rPr>
        <w:t xml:space="preserve">et une fiche technique explicitant les garanties accordées, le tarif appliqué (avec justification de son caractère suffisant), les modalités de fixation à toute époque de la valeur de rachat et de la valeur de réduction-si le bulletin d'adhésion, le règlement ou le contrat en comporte-, la méthode de calcul de la charge annuelle de participation aux excédents ainsi que le mode de répartition de celle-ci entre les participants, ayants droit et bénéficiaires (quotité et délai), et le calcul des provisions mathématiques. </w:t>
      </w:r>
    </w:p>
    <w:p w:rsidR="00A30B6C" w:rsidRDefault="00A30B6C" w:rsidP="00A30B6C">
      <w:pPr>
        <w:pStyle w:val="Default"/>
        <w:rPr>
          <w:sz w:val="23"/>
          <w:szCs w:val="23"/>
        </w:rPr>
      </w:pPr>
    </w:p>
    <w:p w:rsidR="00A30B6C" w:rsidRDefault="00A30B6C" w:rsidP="00A30B6C">
      <w:pPr>
        <w:pStyle w:val="Default"/>
        <w:rPr>
          <w:sz w:val="23"/>
          <w:szCs w:val="23"/>
        </w:rPr>
      </w:pPr>
    </w:p>
    <w:p w:rsidR="00A30B6C" w:rsidRPr="00A30B6C" w:rsidRDefault="00A30B6C" w:rsidP="00A30B6C">
      <w:pPr>
        <w:pStyle w:val="Default"/>
        <w:numPr>
          <w:ilvl w:val="0"/>
          <w:numId w:val="1"/>
        </w:numPr>
        <w:rPr>
          <w:b/>
          <w:bCs/>
          <w:sz w:val="22"/>
          <w:szCs w:val="22"/>
        </w:rPr>
      </w:pPr>
      <w:r>
        <w:rPr>
          <w:b/>
          <w:bCs/>
          <w:sz w:val="22"/>
          <w:szCs w:val="22"/>
        </w:rPr>
        <w:t xml:space="preserve">Renseignements généraux pour les groupes visés au </w:t>
      </w:r>
      <w:proofErr w:type="spellStart"/>
      <w:r>
        <w:rPr>
          <w:b/>
          <w:bCs/>
          <w:sz w:val="22"/>
          <w:szCs w:val="22"/>
        </w:rPr>
        <w:t>I.b</w:t>
      </w:r>
      <w:proofErr w:type="spellEnd"/>
      <w:r>
        <w:rPr>
          <w:b/>
          <w:bCs/>
          <w:sz w:val="22"/>
          <w:szCs w:val="22"/>
        </w:rPr>
        <w:t xml:space="preserve"> de l’article 1 </w:t>
      </w:r>
    </w:p>
    <w:p w:rsidR="00A30B6C" w:rsidRDefault="00A30B6C" w:rsidP="00A30B6C">
      <w:pPr>
        <w:pStyle w:val="Default"/>
        <w:rPr>
          <w:sz w:val="22"/>
          <w:szCs w:val="22"/>
        </w:rPr>
      </w:pPr>
    </w:p>
    <w:p w:rsidR="00A30B6C" w:rsidRDefault="00A30B6C" w:rsidP="003D7AF2">
      <w:pPr>
        <w:pStyle w:val="Default"/>
        <w:jc w:val="both"/>
        <w:rPr>
          <w:sz w:val="23"/>
          <w:szCs w:val="23"/>
        </w:rPr>
      </w:pPr>
      <w:r>
        <w:rPr>
          <w:sz w:val="23"/>
          <w:szCs w:val="23"/>
        </w:rPr>
        <w:t xml:space="preserve">Au titre des renseignements généraux, les groupes doivent communiquer : </w:t>
      </w:r>
    </w:p>
    <w:p w:rsidR="003D7AF2" w:rsidRDefault="003D7AF2" w:rsidP="003D7AF2">
      <w:pPr>
        <w:pStyle w:val="Default"/>
        <w:jc w:val="both"/>
        <w:rPr>
          <w:sz w:val="23"/>
          <w:szCs w:val="23"/>
        </w:rPr>
      </w:pPr>
    </w:p>
    <w:p w:rsidR="00A30B6C" w:rsidRDefault="00A30B6C" w:rsidP="003D7AF2">
      <w:pPr>
        <w:pStyle w:val="Default"/>
        <w:numPr>
          <w:ilvl w:val="0"/>
          <w:numId w:val="8"/>
        </w:numPr>
        <w:spacing w:after="47"/>
        <w:jc w:val="both"/>
        <w:rPr>
          <w:sz w:val="23"/>
          <w:szCs w:val="23"/>
        </w:rPr>
      </w:pPr>
      <w:r>
        <w:rPr>
          <w:sz w:val="23"/>
          <w:szCs w:val="23"/>
        </w:rPr>
        <w:t xml:space="preserve">La raison sociale de l'entreprise </w:t>
      </w:r>
      <w:proofErr w:type="spellStart"/>
      <w:r>
        <w:rPr>
          <w:sz w:val="23"/>
          <w:szCs w:val="23"/>
        </w:rPr>
        <w:t>consolidante</w:t>
      </w:r>
      <w:proofErr w:type="spellEnd"/>
      <w:r>
        <w:rPr>
          <w:sz w:val="23"/>
          <w:szCs w:val="23"/>
        </w:rPr>
        <w:t xml:space="preserve"> ou </w:t>
      </w:r>
      <w:proofErr w:type="spellStart"/>
      <w:r>
        <w:rPr>
          <w:sz w:val="23"/>
          <w:szCs w:val="23"/>
        </w:rPr>
        <w:t>combinante</w:t>
      </w:r>
      <w:proofErr w:type="spellEnd"/>
      <w:r>
        <w:rPr>
          <w:sz w:val="23"/>
          <w:szCs w:val="23"/>
        </w:rPr>
        <w:t xml:space="preserve">, son adresse, la date de sa constitution. </w:t>
      </w:r>
    </w:p>
    <w:p w:rsidR="00A30B6C" w:rsidRDefault="00A30B6C" w:rsidP="003D7AF2">
      <w:pPr>
        <w:pStyle w:val="Default"/>
        <w:numPr>
          <w:ilvl w:val="0"/>
          <w:numId w:val="8"/>
        </w:numPr>
        <w:spacing w:after="47"/>
        <w:jc w:val="both"/>
        <w:rPr>
          <w:sz w:val="23"/>
          <w:szCs w:val="23"/>
        </w:rPr>
      </w:pPr>
      <w:r>
        <w:rPr>
          <w:sz w:val="23"/>
          <w:szCs w:val="23"/>
        </w:rPr>
        <w:t xml:space="preserve">Les noms, dates et lieux de naissance, nationalités, domiciles et professions des membres du conseil d'administration ou du conseil de surveillance de cette entreprise. </w:t>
      </w:r>
    </w:p>
    <w:p w:rsidR="00A30B6C" w:rsidRDefault="00A30B6C" w:rsidP="003D7AF2">
      <w:pPr>
        <w:pStyle w:val="Default"/>
        <w:numPr>
          <w:ilvl w:val="0"/>
          <w:numId w:val="8"/>
        </w:numPr>
        <w:spacing w:after="47"/>
        <w:jc w:val="both"/>
        <w:rPr>
          <w:sz w:val="23"/>
          <w:szCs w:val="23"/>
        </w:rPr>
      </w:pPr>
      <w:r>
        <w:rPr>
          <w:sz w:val="23"/>
          <w:szCs w:val="23"/>
        </w:rPr>
        <w:t xml:space="preserve">Les noms, dates et lieux de naissance, domiciles, grades et fonctions des personnels exerçant ces fonctions de direction au niveau du groupe. </w:t>
      </w:r>
    </w:p>
    <w:p w:rsidR="00A30B6C" w:rsidRDefault="00A30B6C" w:rsidP="003D7AF2">
      <w:pPr>
        <w:pStyle w:val="Default"/>
        <w:numPr>
          <w:ilvl w:val="0"/>
          <w:numId w:val="8"/>
        </w:numPr>
        <w:spacing w:after="47"/>
        <w:jc w:val="both"/>
        <w:rPr>
          <w:sz w:val="23"/>
          <w:szCs w:val="23"/>
        </w:rPr>
      </w:pPr>
      <w:r>
        <w:rPr>
          <w:sz w:val="23"/>
          <w:szCs w:val="23"/>
        </w:rPr>
        <w:t xml:space="preserve">Les noms, adresses et dates de désignation des commissaires aux comptes titulaires et suppléants de l'entreprise </w:t>
      </w:r>
      <w:proofErr w:type="spellStart"/>
      <w:r>
        <w:rPr>
          <w:sz w:val="23"/>
          <w:szCs w:val="23"/>
        </w:rPr>
        <w:t>consolidante</w:t>
      </w:r>
      <w:proofErr w:type="spellEnd"/>
      <w:r>
        <w:rPr>
          <w:sz w:val="23"/>
          <w:szCs w:val="23"/>
        </w:rPr>
        <w:t xml:space="preserve"> ou </w:t>
      </w:r>
      <w:proofErr w:type="spellStart"/>
      <w:r>
        <w:rPr>
          <w:sz w:val="23"/>
          <w:szCs w:val="23"/>
        </w:rPr>
        <w:t>combinante</w:t>
      </w:r>
      <w:proofErr w:type="spellEnd"/>
      <w:r>
        <w:rPr>
          <w:sz w:val="23"/>
          <w:szCs w:val="23"/>
        </w:rPr>
        <w:t xml:space="preserve">. </w:t>
      </w:r>
    </w:p>
    <w:p w:rsidR="00A30B6C" w:rsidRDefault="00A30B6C" w:rsidP="003D7AF2">
      <w:pPr>
        <w:pStyle w:val="Default"/>
        <w:numPr>
          <w:ilvl w:val="0"/>
          <w:numId w:val="8"/>
        </w:numPr>
        <w:spacing w:after="47"/>
        <w:jc w:val="both"/>
        <w:rPr>
          <w:sz w:val="23"/>
          <w:szCs w:val="23"/>
        </w:rPr>
      </w:pPr>
      <w:r>
        <w:rPr>
          <w:sz w:val="23"/>
          <w:szCs w:val="23"/>
        </w:rPr>
        <w:t xml:space="preserve">Le statut fiscal : bénéfice consolidé (France ou monde) ou non. </w:t>
      </w:r>
    </w:p>
    <w:p w:rsidR="00A30B6C" w:rsidRDefault="00A30B6C" w:rsidP="003D7AF2">
      <w:pPr>
        <w:pStyle w:val="Default"/>
        <w:numPr>
          <w:ilvl w:val="0"/>
          <w:numId w:val="8"/>
        </w:numPr>
        <w:spacing w:after="47"/>
        <w:jc w:val="both"/>
        <w:rPr>
          <w:sz w:val="23"/>
          <w:szCs w:val="23"/>
        </w:rPr>
      </w:pPr>
      <w:r>
        <w:rPr>
          <w:sz w:val="23"/>
          <w:szCs w:val="23"/>
        </w:rPr>
        <w:t xml:space="preserve">Liste des entreprises consolidées ou combinées avec indication lorsqu'elles appartiennent à une activité soumise à un contrôle (banques, assurances, gestion financière) des autorités au contrôle auxquelles elles sont soumises ainsi que de la part détenue et du montant des fonds propres. </w:t>
      </w:r>
    </w:p>
    <w:p w:rsidR="00A30B6C" w:rsidRDefault="00A30B6C" w:rsidP="003D7AF2">
      <w:pPr>
        <w:pStyle w:val="Default"/>
        <w:numPr>
          <w:ilvl w:val="0"/>
          <w:numId w:val="8"/>
        </w:numPr>
        <w:spacing w:after="47"/>
        <w:jc w:val="both"/>
        <w:rPr>
          <w:sz w:val="23"/>
          <w:szCs w:val="23"/>
        </w:rPr>
      </w:pPr>
      <w:r>
        <w:rPr>
          <w:sz w:val="23"/>
          <w:szCs w:val="23"/>
        </w:rPr>
        <w:t xml:space="preserve">L'organigramme du groupe avec les pourcentages de détention. </w:t>
      </w:r>
    </w:p>
    <w:p w:rsidR="00A30B6C" w:rsidRDefault="00A30B6C" w:rsidP="003D7AF2">
      <w:pPr>
        <w:pStyle w:val="Default"/>
        <w:numPr>
          <w:ilvl w:val="0"/>
          <w:numId w:val="8"/>
        </w:numPr>
        <w:jc w:val="both"/>
        <w:rPr>
          <w:sz w:val="23"/>
          <w:szCs w:val="23"/>
        </w:rPr>
      </w:pPr>
      <w:r>
        <w:rPr>
          <w:sz w:val="23"/>
          <w:szCs w:val="23"/>
        </w:rPr>
        <w:t xml:space="preserve">La liste des prêts intra-groupes. </w:t>
      </w:r>
    </w:p>
    <w:p w:rsidR="007848E6" w:rsidRDefault="007848E6"/>
    <w:sectPr w:rsidR="007848E6" w:rsidSect="00182190">
      <w:headerReference w:type="default" r:id="rId7"/>
      <w:pgSz w:w="11906" w:h="17338"/>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90" w:rsidRDefault="00182190" w:rsidP="00182190">
      <w:pPr>
        <w:spacing w:after="0" w:line="240" w:lineRule="auto"/>
      </w:pPr>
      <w:r>
        <w:separator/>
      </w:r>
    </w:p>
  </w:endnote>
  <w:endnote w:type="continuationSeparator" w:id="0">
    <w:p w:rsidR="00182190" w:rsidRDefault="00182190" w:rsidP="0018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90" w:rsidRDefault="00182190" w:rsidP="00182190">
      <w:pPr>
        <w:spacing w:after="0" w:line="240" w:lineRule="auto"/>
      </w:pPr>
      <w:r>
        <w:separator/>
      </w:r>
    </w:p>
  </w:footnote>
  <w:footnote w:type="continuationSeparator" w:id="0">
    <w:p w:rsidR="00182190" w:rsidRDefault="00182190" w:rsidP="00182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487746"/>
      <w:docPartObj>
        <w:docPartGallery w:val="Page Numbers (Top of Page)"/>
        <w:docPartUnique/>
      </w:docPartObj>
    </w:sdtPr>
    <w:sdtEndPr/>
    <w:sdtContent>
      <w:p w:rsidR="00182190" w:rsidRDefault="00182190">
        <w:pPr>
          <w:pStyle w:val="En-tte"/>
          <w:jc w:val="right"/>
        </w:pPr>
        <w:r>
          <w:fldChar w:fldCharType="begin"/>
        </w:r>
        <w:r>
          <w:instrText>PAGE   \* MERGEFORMAT</w:instrText>
        </w:r>
        <w:r>
          <w:fldChar w:fldCharType="separate"/>
        </w:r>
        <w:r w:rsidR="00AF0052">
          <w:rPr>
            <w:noProof/>
          </w:rPr>
          <w:t>2</w:t>
        </w:r>
        <w:r>
          <w:fldChar w:fldCharType="end"/>
        </w:r>
      </w:p>
    </w:sdtContent>
  </w:sdt>
  <w:p w:rsidR="00182190" w:rsidRDefault="001821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6382E"/>
    <w:multiLevelType w:val="hybridMultilevel"/>
    <w:tmpl w:val="168EA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4E783D"/>
    <w:multiLevelType w:val="hybridMultilevel"/>
    <w:tmpl w:val="36C6B38A"/>
    <w:lvl w:ilvl="0" w:tplc="50B0E08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8C2EC5"/>
    <w:multiLevelType w:val="hybridMultilevel"/>
    <w:tmpl w:val="E12AC72E"/>
    <w:lvl w:ilvl="0" w:tplc="654C866C">
      <w:start w:val="1"/>
      <w:numFmt w:val="upp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D021B7"/>
    <w:multiLevelType w:val="hybridMultilevel"/>
    <w:tmpl w:val="E9B09E0A"/>
    <w:lvl w:ilvl="0" w:tplc="654C866C">
      <w:start w:val="1"/>
      <w:numFmt w:val="upp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0436FF"/>
    <w:multiLevelType w:val="hybridMultilevel"/>
    <w:tmpl w:val="15326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320C96"/>
    <w:multiLevelType w:val="hybridMultilevel"/>
    <w:tmpl w:val="EAD0D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2927A6"/>
    <w:multiLevelType w:val="hybridMultilevel"/>
    <w:tmpl w:val="848453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01756D"/>
    <w:multiLevelType w:val="hybridMultilevel"/>
    <w:tmpl w:val="6074B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E6"/>
    <w:rsid w:val="00182190"/>
    <w:rsid w:val="003D7AF2"/>
    <w:rsid w:val="00514F38"/>
    <w:rsid w:val="007848E6"/>
    <w:rsid w:val="007D1A4B"/>
    <w:rsid w:val="00824983"/>
    <w:rsid w:val="00A30B6C"/>
    <w:rsid w:val="00AF0052"/>
    <w:rsid w:val="00B05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5BA9"/>
  <w15:chartTrackingRefBased/>
  <w15:docId w15:val="{FF7DB7F9-ED51-419A-8754-474C963A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848E6"/>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848E6"/>
    <w:pPr>
      <w:ind w:left="720"/>
      <w:contextualSpacing/>
    </w:pPr>
  </w:style>
  <w:style w:type="paragraph" w:styleId="En-tte">
    <w:name w:val="header"/>
    <w:basedOn w:val="Normal"/>
    <w:link w:val="En-tteCar"/>
    <w:uiPriority w:val="99"/>
    <w:unhideWhenUsed/>
    <w:rsid w:val="00182190"/>
    <w:pPr>
      <w:tabs>
        <w:tab w:val="center" w:pos="4536"/>
        <w:tab w:val="right" w:pos="9072"/>
      </w:tabs>
      <w:spacing w:after="0" w:line="240" w:lineRule="auto"/>
    </w:pPr>
  </w:style>
  <w:style w:type="character" w:customStyle="1" w:styleId="En-tteCar">
    <w:name w:val="En-tête Car"/>
    <w:basedOn w:val="Policepardfaut"/>
    <w:link w:val="En-tte"/>
    <w:uiPriority w:val="99"/>
    <w:rsid w:val="00182190"/>
  </w:style>
  <w:style w:type="paragraph" w:styleId="Pieddepage">
    <w:name w:val="footer"/>
    <w:basedOn w:val="Normal"/>
    <w:link w:val="PieddepageCar"/>
    <w:uiPriority w:val="99"/>
    <w:unhideWhenUsed/>
    <w:rsid w:val="001821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1925</Words>
  <Characters>10590</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Baptiste (UA 2775)</dc:creator>
  <cp:keywords/>
  <dc:description/>
  <cp:lastModifiedBy>PALLUAULT Marie-Odile (SGACPR DAJ)</cp:lastModifiedBy>
  <cp:revision>4</cp:revision>
  <dcterms:created xsi:type="dcterms:W3CDTF">2023-04-03T10:23:00Z</dcterms:created>
  <dcterms:modified xsi:type="dcterms:W3CDTF">2023-04-03T12:57:00Z</dcterms:modified>
</cp:coreProperties>
</file>