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DDAA04" w14:textId="01810D59" w:rsidR="00AC64B0" w:rsidRPr="001B62CE" w:rsidRDefault="00AC64B0" w:rsidP="00AC64B0">
      <w:pPr>
        <w:spacing w:after="120"/>
        <w:jc w:val="right"/>
        <w:rPr>
          <w:b/>
          <w:sz w:val="28"/>
        </w:rPr>
      </w:pPr>
      <w:r w:rsidRPr="001B62CE">
        <w:rPr>
          <w:b/>
          <w:sz w:val="28"/>
        </w:rPr>
        <w:t>Annexe 10</w:t>
      </w:r>
      <w:r w:rsidR="006C506E">
        <w:rPr>
          <w:b/>
          <w:sz w:val="28"/>
        </w:rPr>
        <w:t xml:space="preserve"> à l’instruction 2022-I-03</w:t>
      </w:r>
      <w:bookmarkStart w:id="0" w:name="_GoBack"/>
      <w:bookmarkEnd w:id="0"/>
    </w:p>
    <w:p w14:paraId="44D0185F" w14:textId="77777777" w:rsidR="00AC64B0" w:rsidRPr="00BB5FFB" w:rsidRDefault="00AC64B0" w:rsidP="00AC64B0">
      <w:pPr>
        <w:spacing w:after="120"/>
        <w:rPr>
          <w:b/>
        </w:rPr>
      </w:pPr>
      <w:r w:rsidRPr="00BB5FFB">
        <w:rPr>
          <w:b/>
        </w:rPr>
        <w:t>Éléments d’information sur les instruments à terme conformément aux article 12</w:t>
      </w:r>
      <w:r w:rsidR="000A43BD">
        <w:rPr>
          <w:b/>
        </w:rPr>
        <w:t xml:space="preserve"> </w:t>
      </w:r>
      <w:r w:rsidRPr="00BB5FFB">
        <w:rPr>
          <w:b/>
        </w:rPr>
        <w:t>bis et 12 ter du règlement 99-10</w:t>
      </w:r>
    </w:p>
    <w:p w14:paraId="7E43C1D6" w14:textId="1AD4B736" w:rsidR="00AC64B0" w:rsidRDefault="00AC64B0" w:rsidP="00AC64B0">
      <w:pPr>
        <w:spacing w:after="120"/>
        <w:jc w:val="both"/>
      </w:pPr>
      <w:r>
        <w:t xml:space="preserve">Conformément aux articles 12 bis et 12 ter du règlement 99-10, </w:t>
      </w:r>
      <w:r w:rsidR="00963C66">
        <w:t xml:space="preserve">les établissements doivent présenter </w:t>
      </w:r>
      <w:r>
        <w:t>un niveau d’information suffisant</w:t>
      </w:r>
      <w:r w:rsidR="00963C66">
        <w:t xml:space="preserve"> sur </w:t>
      </w:r>
      <w:r>
        <w:t xml:space="preserve">les instruments financiers à </w:t>
      </w:r>
      <w:proofErr w:type="gramStart"/>
      <w:r>
        <w:t xml:space="preserve">terme </w:t>
      </w:r>
      <w:r w:rsidR="004261C9">
        <w:t>.</w:t>
      </w:r>
      <w:proofErr w:type="gramEnd"/>
      <w:r w:rsidR="004261C9">
        <w:t xml:space="preserve"> À</w:t>
      </w:r>
      <w:r w:rsidR="00963C66">
        <w:t xml:space="preserve"> cette fin, les établissements se basent sur les éléments figurant dans les comptes sociaux, </w:t>
      </w:r>
      <w:r>
        <w:t xml:space="preserve">en </w:t>
      </w:r>
      <w:r w:rsidR="00832C3E">
        <w:t xml:space="preserve">utilisant </w:t>
      </w:r>
      <w:r>
        <w:t xml:space="preserve">notamment la </w:t>
      </w:r>
      <w:r w:rsidR="00963C66">
        <w:t xml:space="preserve">même </w:t>
      </w:r>
      <w:r>
        <w:t>catégorisation.</w:t>
      </w:r>
    </w:p>
    <w:p w14:paraId="087019F8" w14:textId="3314D701" w:rsidR="00AC64B0" w:rsidRDefault="00AC64B0" w:rsidP="00AC64B0">
      <w:pPr>
        <w:spacing w:after="120"/>
        <w:jc w:val="both"/>
      </w:pPr>
      <w:r>
        <w:rPr>
          <w:rFonts w:cstheme="minorHAnsi"/>
        </w:rPr>
        <w:t xml:space="preserve">Les instruments financiers à terme </w:t>
      </w:r>
      <w:r w:rsidRPr="008464A4">
        <w:rPr>
          <w:rFonts w:cstheme="minorHAnsi"/>
        </w:rPr>
        <w:t>s</w:t>
      </w:r>
      <w:r>
        <w:rPr>
          <w:rFonts w:cstheme="minorHAnsi"/>
        </w:rPr>
        <w:t>ont exprimé</w:t>
      </w:r>
      <w:r w:rsidRPr="008464A4">
        <w:rPr>
          <w:rFonts w:cstheme="minorHAnsi"/>
        </w:rPr>
        <w:t>s en valeur nominale, le cas échéant converties en euros au taux du swap de micro-couverture en devises</w:t>
      </w:r>
      <w:r w:rsidR="008008EE">
        <w:rPr>
          <w:rFonts w:cstheme="minorHAnsi"/>
        </w:rPr>
        <w:t>.</w:t>
      </w:r>
      <w:r>
        <w:rPr>
          <w:rFonts w:cstheme="minorHAnsi"/>
        </w:rPr>
        <w:t> </w:t>
      </w:r>
    </w:p>
    <w:p w14:paraId="4FA0EFDF" w14:textId="77777777" w:rsidR="007E064C" w:rsidRDefault="006C506E"/>
    <w:sectPr w:rsidR="007E06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9D031E" w16cex:dateUtc="2022-01-27T10:40:00Z"/>
  <w16cex:commentExtensible w16cex:durableId="259D03F2" w16cex:dateUtc="2022-01-27T10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74BA2FB" w16cid:durableId="259D031E"/>
  <w16cid:commentId w16cid:paraId="3CFA7989" w16cid:durableId="259D03F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4B0"/>
    <w:rsid w:val="0000679D"/>
    <w:rsid w:val="00027D42"/>
    <w:rsid w:val="000A43BD"/>
    <w:rsid w:val="0011603E"/>
    <w:rsid w:val="00373074"/>
    <w:rsid w:val="0038308C"/>
    <w:rsid w:val="004261C9"/>
    <w:rsid w:val="00497F7C"/>
    <w:rsid w:val="006C506E"/>
    <w:rsid w:val="007F0ADF"/>
    <w:rsid w:val="008008EE"/>
    <w:rsid w:val="00832C3E"/>
    <w:rsid w:val="00876221"/>
    <w:rsid w:val="009263D0"/>
    <w:rsid w:val="00963C66"/>
    <w:rsid w:val="00990706"/>
    <w:rsid w:val="009B758E"/>
    <w:rsid w:val="00AC64B0"/>
    <w:rsid w:val="00FE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FE772"/>
  <w15:chartTrackingRefBased/>
  <w15:docId w15:val="{2F6DF23F-F56C-49F6-B8B5-BB94BB1B7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64B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vision">
    <w:name w:val="Revision"/>
    <w:hidden/>
    <w:uiPriority w:val="99"/>
    <w:semiHidden/>
    <w:rsid w:val="009B758E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9B758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B758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B758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B758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B758E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F0A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0A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Banque de France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BONNASSIEUX Florent (UA 2773)</dc:creator>
  <cp:keywords/>
  <dc:description/>
  <cp:lastModifiedBy>ZOSI Marion (UA 2709)</cp:lastModifiedBy>
  <cp:revision>3</cp:revision>
  <dcterms:created xsi:type="dcterms:W3CDTF">2022-02-09T14:31:00Z</dcterms:created>
  <dcterms:modified xsi:type="dcterms:W3CDTF">2022-03-10T16:56:00Z</dcterms:modified>
</cp:coreProperties>
</file>