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65E19" w14:textId="77777777" w:rsidR="003430A3" w:rsidRDefault="00DA2E14">
      <w:r>
        <w:rPr>
          <w:noProof/>
          <w:lang w:eastAsia="fr-FR"/>
        </w:rPr>
        <w:drawing>
          <wp:inline distT="0" distB="0" distL="0" distR="0" wp14:anchorId="7655A94B" wp14:editId="4F4C987B">
            <wp:extent cx="886460" cy="876300"/>
            <wp:effectExtent l="0" t="0" r="889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bwMode="auto">
                    <a:xfrm>
                      <a:off x="0" y="0"/>
                      <a:ext cx="886460" cy="876300"/>
                    </a:xfrm>
                    <a:prstGeom prst="rect">
                      <a:avLst/>
                    </a:prstGeom>
                    <a:noFill/>
                    <a:ln>
                      <a:noFill/>
                    </a:ln>
                  </pic:spPr>
                </pic:pic>
              </a:graphicData>
            </a:graphic>
          </wp:inline>
        </w:drawing>
      </w:r>
      <w:bookmarkStart w:id="0" w:name="_GoBack"/>
      <w:bookmarkEnd w:id="0"/>
    </w:p>
    <w:p w14:paraId="2634CE49" w14:textId="77777777" w:rsidR="006720D4" w:rsidRDefault="006720D4"/>
    <w:p w14:paraId="52DA7AE5" w14:textId="77777777" w:rsidR="006720D4" w:rsidRDefault="00DA2E14" w:rsidP="006720D4">
      <w:pPr>
        <w:spacing w:line="240" w:lineRule="auto"/>
        <w:jc w:val="both"/>
        <w:rPr>
          <w:rFonts w:ascii="Arial" w:eastAsia="Times New Roman" w:hAnsi="Arial" w:cs="Arial"/>
          <w:b/>
          <w:color w:val="44546A" w:themeColor="text2"/>
          <w:u w:val="single"/>
          <w:lang w:eastAsia="fr-FR"/>
        </w:rPr>
      </w:pPr>
      <w:r>
        <w:rPr>
          <w:noProof/>
          <w:lang w:eastAsia="fr-FR"/>
        </w:rPr>
        <mc:AlternateContent>
          <mc:Choice Requires="wps">
            <w:drawing>
              <wp:anchor distT="91440" distB="91440" distL="114300" distR="114300" simplePos="0" relativeHeight="251659264" behindDoc="0" locked="0" layoutInCell="0" allowOverlap="1" wp14:anchorId="4B0BE7C2" wp14:editId="22C6DB84">
                <wp:simplePos x="0" y="0"/>
                <wp:positionH relativeFrom="margin">
                  <wp:posOffset>509270</wp:posOffset>
                </wp:positionH>
                <wp:positionV relativeFrom="margin">
                  <wp:posOffset>1253490</wp:posOffset>
                </wp:positionV>
                <wp:extent cx="4867275" cy="1494790"/>
                <wp:effectExtent l="38100" t="38100" r="142875" b="121920"/>
                <wp:wrapSquare wrapText="bothSides"/>
                <wp:docPr id="698" name="Rectangl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149479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55DFDC0D" w14:textId="77777777" w:rsidR="00BA5170" w:rsidRPr="00DA2E14" w:rsidRDefault="00BA5170" w:rsidP="006720D4">
                            <w:pPr>
                              <w:jc w:val="center"/>
                              <w:rPr>
                                <w:rFonts w:eastAsia="Times New Roman" w:cstheme="minorHAnsi"/>
                                <w:b/>
                                <w:color w:val="1F497D"/>
                                <w:sz w:val="32"/>
                                <w:szCs w:val="28"/>
                                <w:lang w:eastAsia="fr-FR"/>
                              </w:rPr>
                            </w:pPr>
                            <w:r w:rsidRPr="00DA2E14">
                              <w:rPr>
                                <w:rFonts w:eastAsia="Times New Roman" w:cstheme="minorHAnsi"/>
                                <w:b/>
                                <w:color w:val="1F497D"/>
                                <w:sz w:val="32"/>
                                <w:szCs w:val="28"/>
                                <w:lang w:eastAsia="fr-FR"/>
                              </w:rPr>
                              <w:t>Déclaration des services de paiement ou du service connexe fournis par un établissement de monnaie électronique en application de l’article 47 de l’arrêté du 2 mai 2013 portant sur la réglementation prudentielle des établissements de monnaie électronique</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4B0BE7C2" id="Rectangle 698" o:spid="_x0000_s1026" style="position:absolute;left:0;text-align:left;margin-left:40.1pt;margin-top:98.7pt;width:383.25pt;height:117.7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" o:allowincell="f" fillcolor="white [3212]" strokecolor="gray [1629]" strokeweight="1.5pt">
                <v:shadow on="t" type="perspective" color="black" opacity="26214f" origin="-.5,-.5" offset=".74836mm,.74836mm" matrix="65864f,,,65864f"/>
                <v:textbox style="mso-fit-shape-to-text:t" inset="21.6pt,21.6pt,21.6pt,21.6pt">
                  <w:txbxContent>
                    <w:p w14:paraId="55DFDC0D" w14:textId="77777777" w:rsidR="00BA5170" w:rsidRPr="00DA2E14" w:rsidRDefault="00BA5170" w:rsidP="006720D4">
                      <w:pPr>
                        <w:jc w:val="center"/>
                        <w:rPr>
                          <w:rFonts w:eastAsia="Times New Roman" w:cstheme="minorHAnsi"/>
                          <w:b/>
                          <w:color w:val="1F497D"/>
                          <w:sz w:val="32"/>
                          <w:szCs w:val="28"/>
                          <w:lang w:eastAsia="fr-FR"/>
                        </w:rPr>
                      </w:pPr>
                      <w:r w:rsidRPr="00DA2E14">
                        <w:rPr>
                          <w:rFonts w:eastAsia="Times New Roman" w:cstheme="minorHAnsi"/>
                          <w:b/>
                          <w:color w:val="1F497D"/>
                          <w:sz w:val="32"/>
                          <w:szCs w:val="28"/>
                          <w:lang w:eastAsia="fr-FR"/>
                        </w:rPr>
                        <w:t>Déclaration des services de paiement ou du service connexe fournis par un établissement de monnaie électronique en application de l’article 47 de l’arrêté du 2 mai 2013 portant sur la réglementation prudentielle des établissements de monnaie électronique</w:t>
                      </w:r>
                    </w:p>
                  </w:txbxContent>
                </v:textbox>
                <w10:wrap type="square" anchorx="margin" anchory="margin"/>
              </v:rect>
            </w:pict>
          </mc:Fallback>
        </mc:AlternateContent>
      </w:r>
    </w:p>
    <w:p w14:paraId="22A97BC2" w14:textId="77777777" w:rsidR="006720D4" w:rsidRDefault="006720D4" w:rsidP="006720D4">
      <w:pPr>
        <w:spacing w:line="240" w:lineRule="auto"/>
        <w:jc w:val="both"/>
        <w:rPr>
          <w:rFonts w:ascii="Arial" w:eastAsia="Times New Roman" w:hAnsi="Arial" w:cs="Arial"/>
          <w:b/>
          <w:color w:val="44546A" w:themeColor="text2"/>
          <w:u w:val="single"/>
          <w:lang w:eastAsia="fr-FR"/>
        </w:rPr>
      </w:pPr>
    </w:p>
    <w:p w14:paraId="5AFD8FC6" w14:textId="77777777" w:rsidR="006720D4" w:rsidRDefault="006720D4" w:rsidP="006720D4">
      <w:pPr>
        <w:rPr>
          <w:rFonts w:ascii="Arial" w:eastAsia="Times New Roman" w:hAnsi="Arial" w:cs="Arial"/>
          <w:b/>
          <w:sz w:val="20"/>
          <w:szCs w:val="20"/>
          <w:u w:val="single"/>
          <w:lang w:eastAsia="fr-FR"/>
        </w:rPr>
      </w:pPr>
    </w:p>
    <w:p w14:paraId="4C819803" w14:textId="77777777" w:rsidR="006720D4" w:rsidRDefault="006720D4" w:rsidP="006720D4">
      <w:pPr>
        <w:spacing w:line="240" w:lineRule="auto"/>
        <w:jc w:val="both"/>
        <w:rPr>
          <w:rFonts w:ascii="Arial" w:eastAsia="Times New Roman" w:hAnsi="Arial" w:cs="Arial"/>
          <w:b/>
          <w:sz w:val="20"/>
          <w:szCs w:val="20"/>
          <w:u w:val="single"/>
          <w:lang w:eastAsia="fr-FR"/>
        </w:rPr>
      </w:pPr>
    </w:p>
    <w:p w14:paraId="22B19950" w14:textId="77777777" w:rsidR="006720D4" w:rsidRDefault="006720D4" w:rsidP="006720D4">
      <w:pPr>
        <w:spacing w:line="240" w:lineRule="auto"/>
        <w:jc w:val="both"/>
        <w:rPr>
          <w:rFonts w:ascii="Arial" w:eastAsia="Times New Roman" w:hAnsi="Arial" w:cs="Arial"/>
          <w:b/>
          <w:sz w:val="20"/>
          <w:szCs w:val="20"/>
          <w:u w:val="single"/>
          <w:lang w:eastAsia="fr-FR"/>
        </w:rPr>
      </w:pPr>
    </w:p>
    <w:p w14:paraId="12534CF6" w14:textId="77777777" w:rsidR="006720D4" w:rsidRDefault="006720D4" w:rsidP="006720D4">
      <w:pPr>
        <w:spacing w:line="240" w:lineRule="auto"/>
        <w:jc w:val="both"/>
        <w:rPr>
          <w:rFonts w:ascii="Arial" w:eastAsia="Times New Roman" w:hAnsi="Arial" w:cs="Arial"/>
          <w:b/>
          <w:sz w:val="20"/>
          <w:szCs w:val="20"/>
          <w:u w:val="single"/>
          <w:lang w:eastAsia="fr-FR"/>
        </w:rPr>
      </w:pPr>
    </w:p>
    <w:p w14:paraId="20BC2401" w14:textId="77777777" w:rsidR="006720D4" w:rsidRDefault="006720D4" w:rsidP="006720D4">
      <w:pPr>
        <w:spacing w:line="240" w:lineRule="auto"/>
        <w:jc w:val="both"/>
        <w:rPr>
          <w:rFonts w:ascii="Arial" w:eastAsia="Times New Roman" w:hAnsi="Arial" w:cs="Arial"/>
          <w:b/>
          <w:sz w:val="20"/>
          <w:szCs w:val="20"/>
          <w:u w:val="single"/>
          <w:lang w:eastAsia="fr-FR"/>
        </w:rPr>
      </w:pPr>
    </w:p>
    <w:p w14:paraId="6CBDFB66" w14:textId="77777777" w:rsidR="006720D4" w:rsidRDefault="006720D4" w:rsidP="006720D4">
      <w:pPr>
        <w:spacing w:line="240" w:lineRule="auto"/>
        <w:jc w:val="both"/>
        <w:rPr>
          <w:rFonts w:ascii="Arial" w:eastAsia="Times New Roman" w:hAnsi="Arial" w:cs="Arial"/>
          <w:b/>
          <w:sz w:val="20"/>
          <w:szCs w:val="20"/>
          <w:u w:val="single"/>
          <w:lang w:eastAsia="fr-FR"/>
        </w:rPr>
      </w:pPr>
    </w:p>
    <w:p w14:paraId="4F626B5E" w14:textId="77777777" w:rsidR="006720D4" w:rsidRDefault="006720D4" w:rsidP="006720D4">
      <w:pPr>
        <w:spacing w:line="240" w:lineRule="auto"/>
        <w:jc w:val="both"/>
        <w:rPr>
          <w:rFonts w:ascii="Arial" w:eastAsia="Times New Roman" w:hAnsi="Arial" w:cs="Arial"/>
          <w:b/>
          <w:sz w:val="20"/>
          <w:szCs w:val="20"/>
          <w:u w:val="single"/>
          <w:lang w:eastAsia="fr-FR"/>
        </w:rPr>
      </w:pPr>
    </w:p>
    <w:p w14:paraId="0DBDE3F9" w14:textId="77777777" w:rsidR="006720D4" w:rsidRDefault="006720D4" w:rsidP="006720D4">
      <w:pPr>
        <w:spacing w:line="240" w:lineRule="auto"/>
        <w:jc w:val="both"/>
        <w:rPr>
          <w:rFonts w:ascii="Arial" w:eastAsia="Times New Roman" w:hAnsi="Arial" w:cs="Arial"/>
          <w:b/>
          <w:sz w:val="20"/>
          <w:szCs w:val="20"/>
          <w:u w:val="single"/>
          <w:lang w:eastAsia="fr-FR"/>
        </w:rPr>
      </w:pPr>
    </w:p>
    <w:p w14:paraId="48DF6D5F" w14:textId="77777777" w:rsidR="006720D4" w:rsidRDefault="006720D4" w:rsidP="006720D4">
      <w:pPr>
        <w:spacing w:line="240" w:lineRule="auto"/>
        <w:jc w:val="both"/>
        <w:rPr>
          <w:rFonts w:ascii="Arial" w:eastAsia="Times New Roman" w:hAnsi="Arial" w:cs="Arial"/>
          <w:b/>
          <w:sz w:val="20"/>
          <w:szCs w:val="20"/>
          <w:u w:val="single"/>
          <w:lang w:eastAsia="fr-FR"/>
        </w:rPr>
      </w:pPr>
    </w:p>
    <w:p w14:paraId="3E73ABE8" w14:textId="77777777" w:rsidR="006720D4" w:rsidRDefault="006720D4" w:rsidP="006720D4">
      <w:pPr>
        <w:spacing w:line="240" w:lineRule="auto"/>
        <w:jc w:val="both"/>
        <w:rPr>
          <w:rFonts w:ascii="Arial" w:eastAsia="Times New Roman" w:hAnsi="Arial" w:cs="Arial"/>
          <w:b/>
          <w:sz w:val="20"/>
          <w:szCs w:val="20"/>
          <w:u w:val="single"/>
          <w:lang w:eastAsia="fr-FR"/>
        </w:rPr>
      </w:pPr>
    </w:p>
    <w:p w14:paraId="7696A750" w14:textId="77777777" w:rsidR="006720D4" w:rsidRDefault="006720D4" w:rsidP="006720D4">
      <w:pPr>
        <w:spacing w:line="240" w:lineRule="auto"/>
        <w:jc w:val="both"/>
        <w:rPr>
          <w:rFonts w:ascii="Arial" w:eastAsia="Times New Roman" w:hAnsi="Arial" w:cs="Arial"/>
          <w:b/>
          <w:sz w:val="20"/>
          <w:szCs w:val="20"/>
          <w:u w:val="single"/>
          <w:lang w:eastAsia="fr-FR"/>
        </w:rPr>
      </w:pPr>
    </w:p>
    <w:p w14:paraId="0C9DA592" w14:textId="77777777" w:rsidR="006720D4" w:rsidRDefault="006720D4" w:rsidP="006720D4">
      <w:pPr>
        <w:spacing w:line="240" w:lineRule="auto"/>
        <w:jc w:val="both"/>
        <w:rPr>
          <w:rFonts w:ascii="Arial" w:eastAsia="Times New Roman" w:hAnsi="Arial" w:cs="Arial"/>
          <w:b/>
          <w:sz w:val="20"/>
          <w:szCs w:val="20"/>
          <w:u w:val="single"/>
          <w:lang w:eastAsia="fr-FR"/>
        </w:rPr>
      </w:pPr>
    </w:p>
    <w:p w14:paraId="16E58F1C" w14:textId="77777777" w:rsidR="006720D4" w:rsidRDefault="006720D4"/>
    <w:p w14:paraId="7FAFDA11" w14:textId="77777777" w:rsidR="006720D4" w:rsidRDefault="006720D4"/>
    <w:p w14:paraId="184DC786" w14:textId="77777777" w:rsidR="006720D4" w:rsidRDefault="006720D4"/>
    <w:p w14:paraId="7AEC1134" w14:textId="77777777" w:rsidR="006720D4" w:rsidRDefault="006720D4"/>
    <w:p w14:paraId="4D5CFA91" w14:textId="77777777" w:rsidR="006720D4" w:rsidRDefault="006720D4" w:rsidP="006720D4">
      <w:pPr>
        <w:spacing w:line="240" w:lineRule="auto"/>
        <w:jc w:val="both"/>
        <w:rPr>
          <w:rFonts w:ascii="Arial" w:eastAsia="Times New Roman" w:hAnsi="Arial" w:cs="Arial"/>
          <w:b/>
          <w:color w:val="44546A" w:themeColor="text2"/>
          <w:lang w:eastAsia="fr-FR"/>
        </w:rPr>
      </w:pPr>
    </w:p>
    <w:p w14:paraId="03055E20" w14:textId="77777777" w:rsidR="006720D4" w:rsidRPr="00DA2E14" w:rsidRDefault="006720D4" w:rsidP="006720D4">
      <w:pPr>
        <w:spacing w:line="240" w:lineRule="auto"/>
        <w:jc w:val="both"/>
        <w:rPr>
          <w:rFonts w:ascii="Arial" w:eastAsia="Times New Roman" w:hAnsi="Arial" w:cs="Arial"/>
          <w:b/>
          <w:color w:val="1F497D"/>
          <w:szCs w:val="28"/>
          <w:lang w:eastAsia="fr-FR"/>
        </w:rPr>
      </w:pPr>
      <w:r w:rsidRPr="00DA2E14">
        <w:rPr>
          <w:rFonts w:ascii="Arial" w:eastAsia="Times New Roman" w:hAnsi="Arial" w:cs="Arial"/>
          <w:b/>
          <w:color w:val="1F497D"/>
          <w:szCs w:val="28"/>
          <w:lang w:eastAsia="fr-FR"/>
        </w:rPr>
        <w:t>Pour être considéré comme complet, le dossier doit comporter l’ensemble des éléments mentionnés dans le formulaire et les annexes associées mentionnées explicitement ou implicitement.</w:t>
      </w:r>
    </w:p>
    <w:p w14:paraId="7FF8B61B" w14:textId="77777777" w:rsidR="006720D4" w:rsidRPr="00DA2E14" w:rsidRDefault="006720D4" w:rsidP="006720D4">
      <w:pPr>
        <w:spacing w:after="60" w:line="240" w:lineRule="auto"/>
        <w:ind w:left="426"/>
        <w:contextualSpacing/>
        <w:jc w:val="both"/>
        <w:rPr>
          <w:rFonts w:ascii="Arial" w:eastAsia="Times New Roman" w:hAnsi="Arial" w:cs="Arial"/>
          <w:b/>
          <w:color w:val="1F497D"/>
          <w:szCs w:val="28"/>
          <w:lang w:eastAsia="fr-FR"/>
        </w:rPr>
      </w:pPr>
    </w:p>
    <w:p w14:paraId="036F2AC4" w14:textId="77777777" w:rsidR="006720D4" w:rsidRPr="00DA2E14" w:rsidRDefault="006720D4" w:rsidP="006720D4">
      <w:pPr>
        <w:spacing w:line="240" w:lineRule="auto"/>
        <w:jc w:val="both"/>
        <w:rPr>
          <w:rFonts w:ascii="Arial" w:eastAsia="Times New Roman" w:hAnsi="Arial" w:cs="Arial"/>
          <w:b/>
          <w:color w:val="1F497D"/>
          <w:szCs w:val="28"/>
          <w:lang w:eastAsia="fr-FR"/>
        </w:rPr>
      </w:pPr>
      <w:r w:rsidRPr="00DA2E14">
        <w:rPr>
          <w:rFonts w:ascii="Arial" w:eastAsia="Times New Roman" w:hAnsi="Arial" w:cs="Arial"/>
          <w:b/>
          <w:color w:val="1F497D"/>
          <w:szCs w:val="28"/>
          <w:lang w:eastAsia="fr-FR"/>
        </w:rPr>
        <w:t>Des documents complémentaires ou précisions nécessaires à l’évaluation de la demande d’agrément sont susceptibles de vous être demandés, et pourront le cas échéant, ne pas faire courir le délai prévu aux articles L. 522-9 et R. 522-1 du Code monétaire et financier.</w:t>
      </w:r>
    </w:p>
    <w:p w14:paraId="5AC85C78" w14:textId="77777777" w:rsidR="006720D4" w:rsidRDefault="006720D4" w:rsidP="006720D4">
      <w:pPr>
        <w:spacing w:line="240" w:lineRule="auto"/>
        <w:jc w:val="both"/>
        <w:rPr>
          <w:rFonts w:ascii="Arial" w:eastAsia="Times New Roman" w:hAnsi="Arial" w:cs="Arial"/>
          <w:b/>
          <w:color w:val="44546A" w:themeColor="text2"/>
          <w:lang w:eastAsia="fr-FR"/>
        </w:rPr>
      </w:pPr>
    </w:p>
    <w:p w14:paraId="53905B6F" w14:textId="77777777" w:rsidR="006720D4" w:rsidRDefault="006720D4" w:rsidP="006720D4">
      <w:pPr>
        <w:spacing w:line="240" w:lineRule="auto"/>
        <w:jc w:val="both"/>
        <w:rPr>
          <w:rFonts w:ascii="Arial" w:eastAsia="Times New Roman" w:hAnsi="Arial" w:cs="Arial"/>
          <w:b/>
          <w:color w:val="44546A" w:themeColor="text2"/>
          <w:lang w:eastAsia="fr-FR"/>
        </w:rPr>
      </w:pPr>
    </w:p>
    <w:p w14:paraId="6410841E" w14:textId="77777777" w:rsidR="006720D4" w:rsidRDefault="006720D4" w:rsidP="006720D4">
      <w:pPr>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lang w:eastAsia="fr-FR"/>
        </w:rPr>
      </w:pPr>
    </w:p>
    <w:p w14:paraId="68A96816" w14:textId="77777777" w:rsidR="006720D4" w:rsidRDefault="006720D4" w:rsidP="006720D4">
      <w:pPr>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lang w:eastAsia="fr-FR"/>
        </w:rPr>
      </w:pPr>
      <w:r>
        <w:rPr>
          <w:rFonts w:ascii="Arial" w:eastAsia="Times New Roman" w:hAnsi="Arial" w:cs="Arial"/>
          <w:lang w:eastAsia="fr-FR"/>
        </w:rPr>
        <w:t>Le formulaire et les documents complémentaires, dûment remplis et signés, sont à adresser sous format électronique à l’Autorité de contrôle prudentiel et de résolution en les déposant sur le portail Autorisations à l’adresse:</w:t>
      </w:r>
    </w:p>
    <w:p w14:paraId="460AF121" w14:textId="77777777" w:rsidR="006720D4" w:rsidRDefault="006720D4" w:rsidP="006720D4">
      <w:pPr>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lang w:eastAsia="fr-FR"/>
        </w:rPr>
      </w:pPr>
    </w:p>
    <w:p w14:paraId="2CD1505D" w14:textId="77777777" w:rsidR="006720D4" w:rsidRDefault="00616F7D" w:rsidP="006720D4">
      <w:pPr>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lang w:eastAsia="fr-FR"/>
        </w:rPr>
      </w:pPr>
      <w:hyperlink r:id="rId9" w:history="1">
        <w:r w:rsidR="006720D4">
          <w:rPr>
            <w:rStyle w:val="Lienhypertexte"/>
            <w:rFonts w:ascii="Arial" w:eastAsia="Times New Roman" w:hAnsi="Arial" w:cs="Arial"/>
            <w:lang w:eastAsia="fr-FR"/>
          </w:rPr>
          <w:t>https://acpr-autorisations.banque-france.fr/</w:t>
        </w:r>
      </w:hyperlink>
    </w:p>
    <w:p w14:paraId="7504BD4C" w14:textId="77777777" w:rsidR="006720D4" w:rsidRDefault="006720D4" w:rsidP="006720D4">
      <w:pPr>
        <w:pBdr>
          <w:top w:val="single" w:sz="4" w:space="1" w:color="auto"/>
          <w:left w:val="single" w:sz="4" w:space="4" w:color="auto"/>
          <w:bottom w:val="single" w:sz="4" w:space="1" w:color="auto"/>
          <w:right w:val="single" w:sz="4" w:space="4" w:color="auto"/>
        </w:pBdr>
        <w:spacing w:line="240" w:lineRule="auto"/>
        <w:rPr>
          <w:rFonts w:ascii="Arial" w:eastAsia="Times New Roman" w:hAnsi="Arial" w:cs="Arial"/>
          <w:lang w:eastAsia="fr-FR"/>
        </w:rPr>
      </w:pPr>
    </w:p>
    <w:p w14:paraId="51DF11AE" w14:textId="77777777" w:rsidR="006720D4" w:rsidRDefault="006720D4" w:rsidP="006720D4">
      <w:pPr>
        <w:pBdr>
          <w:top w:val="single" w:sz="4" w:space="1" w:color="auto"/>
          <w:left w:val="single" w:sz="4" w:space="4" w:color="auto"/>
          <w:bottom w:val="single" w:sz="4" w:space="1" w:color="auto"/>
          <w:right w:val="single" w:sz="4" w:space="4" w:color="auto"/>
        </w:pBdr>
        <w:spacing w:line="240" w:lineRule="auto"/>
        <w:jc w:val="both"/>
        <w:rPr>
          <w:rFonts w:ascii="Arial" w:eastAsia="Times New Roman" w:hAnsi="Arial" w:cs="Arial"/>
          <w:sz w:val="20"/>
          <w:szCs w:val="24"/>
          <w:lang w:eastAsia="fr-FR"/>
        </w:rPr>
      </w:pPr>
    </w:p>
    <w:p w14:paraId="75B630D3" w14:textId="77777777" w:rsidR="006720D4" w:rsidRDefault="006720D4">
      <w:pPr>
        <w:spacing w:after="160" w:line="259" w:lineRule="auto"/>
        <w:rPr>
          <w:rFonts w:ascii="Arial" w:eastAsia="Times New Roman" w:hAnsi="Arial" w:cs="Arial"/>
          <w:b/>
          <w:color w:val="44546A" w:themeColor="text2"/>
          <w:sz w:val="24"/>
          <w:szCs w:val="24"/>
          <w:lang w:eastAsia="fr-FR"/>
        </w:rPr>
      </w:pPr>
      <w:r>
        <w:rPr>
          <w:rFonts w:ascii="Arial" w:eastAsia="Times New Roman" w:hAnsi="Arial" w:cs="Arial"/>
          <w:b/>
          <w:color w:val="44546A" w:themeColor="text2"/>
          <w:sz w:val="24"/>
          <w:szCs w:val="24"/>
          <w:lang w:eastAsia="fr-FR"/>
        </w:rPr>
        <w:br w:type="page"/>
      </w:r>
    </w:p>
    <w:p w14:paraId="697C0F14" w14:textId="77777777" w:rsidR="006720D4" w:rsidRDefault="006720D4" w:rsidP="006720D4">
      <w:pPr>
        <w:spacing w:line="240" w:lineRule="auto"/>
        <w:rPr>
          <w:rFonts w:ascii="Arial" w:eastAsia="Times New Roman" w:hAnsi="Arial" w:cs="Arial"/>
          <w:b/>
          <w:color w:val="44546A" w:themeColor="text2"/>
          <w:sz w:val="24"/>
          <w:szCs w:val="24"/>
          <w:lang w:eastAsia="fr-FR"/>
        </w:rPr>
      </w:pPr>
    </w:p>
    <w:p w14:paraId="575B58FE" w14:textId="77777777" w:rsidR="006720D4" w:rsidRPr="004F3D9B" w:rsidRDefault="006720D4" w:rsidP="006720D4">
      <w:pPr>
        <w:spacing w:line="240" w:lineRule="auto"/>
        <w:rPr>
          <w:rFonts w:ascii="Arial" w:eastAsia="Times New Roman" w:hAnsi="Arial" w:cs="Arial"/>
          <w:b/>
          <w:color w:val="44546A" w:themeColor="text2"/>
          <w:sz w:val="24"/>
          <w:szCs w:val="24"/>
          <w:lang w:eastAsia="fr-FR"/>
        </w:rPr>
      </w:pPr>
      <w:r w:rsidRPr="004F3D9B">
        <w:rPr>
          <w:rFonts w:ascii="Arial" w:eastAsia="Times New Roman" w:hAnsi="Arial" w:cs="Arial"/>
          <w:b/>
          <w:color w:val="44546A" w:themeColor="text2"/>
          <w:sz w:val="24"/>
          <w:szCs w:val="24"/>
          <w:lang w:eastAsia="fr-FR"/>
        </w:rPr>
        <w:t xml:space="preserve">Personne </w:t>
      </w:r>
      <w:r>
        <w:rPr>
          <w:rFonts w:ascii="Arial" w:eastAsia="Times New Roman" w:hAnsi="Arial" w:cs="Arial"/>
          <w:b/>
          <w:color w:val="44546A" w:themeColor="text2"/>
          <w:sz w:val="24"/>
          <w:szCs w:val="24"/>
          <w:lang w:eastAsia="fr-FR"/>
        </w:rPr>
        <w:t>qui assure la responsabilité du dossier :</w:t>
      </w:r>
    </w:p>
    <w:p w14:paraId="6671E33C" w14:textId="77777777" w:rsidR="006720D4" w:rsidRDefault="006720D4" w:rsidP="006720D4">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8"/>
        <w:gridCol w:w="2789"/>
        <w:gridCol w:w="1538"/>
        <w:gridCol w:w="3097"/>
      </w:tblGrid>
      <w:tr w:rsidR="006720D4" w:rsidRPr="00610094" w14:paraId="218B8173" w14:textId="77777777" w:rsidTr="006739F9">
        <w:tc>
          <w:tcPr>
            <w:tcW w:w="1668" w:type="dxa"/>
            <w:shd w:val="clear" w:color="auto" w:fill="auto"/>
          </w:tcPr>
          <w:p w14:paraId="3A276245"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D5DCE4" w:themeFill="text2" w:themeFillTint="33"/>
          </w:tcPr>
          <w:p w14:paraId="13F1B302"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3A6D0135"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D5DCE4" w:themeFill="text2" w:themeFillTint="33"/>
          </w:tcPr>
          <w:p w14:paraId="02D431EA"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6720D4" w:rsidRPr="00610094" w14:paraId="1448A8BB" w14:textId="77777777" w:rsidTr="006739F9">
        <w:tc>
          <w:tcPr>
            <w:tcW w:w="1668" w:type="dxa"/>
            <w:shd w:val="clear" w:color="auto" w:fill="auto"/>
          </w:tcPr>
          <w:p w14:paraId="7FF1EF65" w14:textId="77777777" w:rsidR="006720D4" w:rsidRPr="00610094" w:rsidRDefault="006720D4" w:rsidP="006739F9">
            <w:pPr>
              <w:spacing w:line="240" w:lineRule="auto"/>
              <w:rPr>
                <w:rFonts w:ascii="Arial" w:eastAsia="Times New Roman" w:hAnsi="Arial" w:cs="Arial"/>
                <w:sz w:val="20"/>
                <w:szCs w:val="24"/>
                <w:lang w:eastAsia="fr-FR"/>
              </w:rPr>
            </w:pPr>
          </w:p>
        </w:tc>
        <w:tc>
          <w:tcPr>
            <w:tcW w:w="2835" w:type="dxa"/>
            <w:shd w:val="clear" w:color="auto" w:fill="D5DCE4" w:themeFill="text2" w:themeFillTint="33"/>
          </w:tcPr>
          <w:p w14:paraId="7F79E5A1" w14:textId="77777777" w:rsidR="006720D4" w:rsidRPr="00610094" w:rsidRDefault="006720D4" w:rsidP="006739F9">
            <w:pPr>
              <w:spacing w:line="240" w:lineRule="auto"/>
              <w:rPr>
                <w:rFonts w:ascii="Arial" w:eastAsia="Times New Roman" w:hAnsi="Arial" w:cs="Arial"/>
                <w:sz w:val="20"/>
                <w:szCs w:val="24"/>
                <w:lang w:eastAsia="fr-FR"/>
              </w:rPr>
            </w:pPr>
          </w:p>
        </w:tc>
        <w:tc>
          <w:tcPr>
            <w:tcW w:w="1559" w:type="dxa"/>
            <w:shd w:val="clear" w:color="auto" w:fill="auto"/>
          </w:tcPr>
          <w:p w14:paraId="026B6015" w14:textId="77777777" w:rsidR="006720D4" w:rsidRPr="00610094" w:rsidRDefault="006720D4" w:rsidP="006739F9">
            <w:pPr>
              <w:spacing w:line="240" w:lineRule="auto"/>
              <w:rPr>
                <w:rFonts w:ascii="Arial" w:eastAsia="Times New Roman" w:hAnsi="Arial" w:cs="Arial"/>
                <w:sz w:val="20"/>
                <w:szCs w:val="24"/>
                <w:lang w:eastAsia="fr-FR"/>
              </w:rPr>
            </w:pPr>
          </w:p>
        </w:tc>
        <w:tc>
          <w:tcPr>
            <w:tcW w:w="3150" w:type="dxa"/>
            <w:shd w:val="clear" w:color="auto" w:fill="D5DCE4" w:themeFill="text2" w:themeFillTint="33"/>
          </w:tcPr>
          <w:p w14:paraId="6C51AC37" w14:textId="77777777" w:rsidR="006720D4" w:rsidRPr="00610094" w:rsidRDefault="006720D4" w:rsidP="006739F9">
            <w:pPr>
              <w:spacing w:line="240" w:lineRule="auto"/>
              <w:rPr>
                <w:rFonts w:ascii="Arial" w:eastAsia="Times New Roman" w:hAnsi="Arial" w:cs="Arial"/>
                <w:sz w:val="20"/>
                <w:szCs w:val="24"/>
                <w:lang w:eastAsia="fr-FR"/>
              </w:rPr>
            </w:pPr>
          </w:p>
        </w:tc>
      </w:tr>
    </w:tbl>
    <w:p w14:paraId="427DC3F5" w14:textId="77777777" w:rsidR="006720D4" w:rsidRPr="00610094" w:rsidRDefault="006720D4" w:rsidP="006720D4">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9"/>
        <w:gridCol w:w="2781"/>
        <w:gridCol w:w="1554"/>
        <w:gridCol w:w="3088"/>
      </w:tblGrid>
      <w:tr w:rsidR="006720D4" w:rsidRPr="00610094" w14:paraId="700A6BEB" w14:textId="77777777" w:rsidTr="006739F9">
        <w:tc>
          <w:tcPr>
            <w:tcW w:w="1668" w:type="dxa"/>
            <w:shd w:val="clear" w:color="auto" w:fill="auto"/>
          </w:tcPr>
          <w:p w14:paraId="6DD3666B"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D5DCE4" w:themeFill="text2" w:themeFillTint="33"/>
          </w:tcPr>
          <w:p w14:paraId="620CFD99"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2769B19F"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D5DCE4" w:themeFill="text2" w:themeFillTint="33"/>
          </w:tcPr>
          <w:p w14:paraId="1CCFEED7"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5ADB10F4" w14:textId="77777777" w:rsidR="006720D4" w:rsidRPr="00610094" w:rsidRDefault="006720D4" w:rsidP="006720D4">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5"/>
        <w:gridCol w:w="2787"/>
        <w:gridCol w:w="1536"/>
        <w:gridCol w:w="3094"/>
      </w:tblGrid>
      <w:tr w:rsidR="006720D4" w:rsidRPr="00610094" w14:paraId="53B8351C" w14:textId="77777777" w:rsidTr="006739F9">
        <w:tc>
          <w:tcPr>
            <w:tcW w:w="1668" w:type="dxa"/>
            <w:shd w:val="clear" w:color="auto" w:fill="auto"/>
          </w:tcPr>
          <w:p w14:paraId="212640C7"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D5DCE4" w:themeFill="text2" w:themeFillTint="33"/>
          </w:tcPr>
          <w:p w14:paraId="538FC77E"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4DE50543"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D5DCE4" w:themeFill="text2" w:themeFillTint="33"/>
          </w:tcPr>
          <w:p w14:paraId="6607C908"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5CDA6104" w14:textId="77777777" w:rsidR="006720D4" w:rsidRPr="00610094" w:rsidRDefault="006720D4" w:rsidP="006720D4">
      <w:pPr>
        <w:spacing w:line="240" w:lineRule="auto"/>
        <w:ind w:left="284" w:right="-1" w:hanging="284"/>
        <w:rPr>
          <w:rFonts w:ascii="Arial" w:eastAsia="Times New Roman" w:hAnsi="Arial" w:cs="Arial"/>
          <w:sz w:val="20"/>
          <w:szCs w:val="24"/>
          <w:lang w:eastAsia="fr-FR"/>
        </w:rPr>
      </w:pPr>
    </w:p>
    <w:p w14:paraId="40C8BB3B" w14:textId="77777777" w:rsidR="006720D4" w:rsidRDefault="006720D4" w:rsidP="006720D4">
      <w:pPr>
        <w:spacing w:line="240" w:lineRule="auto"/>
        <w:rPr>
          <w:rFonts w:ascii="Arial" w:eastAsia="Times New Roman" w:hAnsi="Arial" w:cs="Arial"/>
          <w:sz w:val="20"/>
          <w:szCs w:val="20"/>
          <w:lang w:eastAsia="fr-FR"/>
        </w:rPr>
      </w:pPr>
    </w:p>
    <w:p w14:paraId="6FC3AC09" w14:textId="77777777" w:rsidR="006720D4" w:rsidRDefault="006720D4" w:rsidP="006720D4">
      <w:pPr>
        <w:spacing w:line="240" w:lineRule="auto"/>
        <w:rPr>
          <w:rFonts w:ascii="Arial" w:eastAsia="Times New Roman" w:hAnsi="Arial" w:cs="Arial"/>
          <w:sz w:val="20"/>
          <w:szCs w:val="20"/>
          <w:lang w:eastAsia="fr-FR"/>
        </w:rPr>
      </w:pPr>
    </w:p>
    <w:p w14:paraId="40ABBACC" w14:textId="77777777" w:rsidR="006720D4" w:rsidRPr="004F3D9B" w:rsidRDefault="006720D4" w:rsidP="006720D4">
      <w:pPr>
        <w:spacing w:line="240" w:lineRule="auto"/>
        <w:rPr>
          <w:rFonts w:ascii="Arial" w:eastAsia="Times New Roman" w:hAnsi="Arial" w:cs="Arial"/>
          <w:b/>
          <w:color w:val="44546A" w:themeColor="text2"/>
          <w:sz w:val="24"/>
          <w:szCs w:val="24"/>
          <w:lang w:eastAsia="fr-FR"/>
        </w:rPr>
      </w:pPr>
      <w:r>
        <w:rPr>
          <w:rFonts w:ascii="Arial" w:eastAsia="Times New Roman" w:hAnsi="Arial" w:cs="Arial"/>
          <w:b/>
          <w:color w:val="44546A" w:themeColor="text2"/>
          <w:sz w:val="24"/>
          <w:szCs w:val="24"/>
          <w:lang w:eastAsia="fr-FR"/>
        </w:rPr>
        <w:t>Personne à contacter pour toute question sur le dossier :</w:t>
      </w:r>
    </w:p>
    <w:p w14:paraId="172A02BF" w14:textId="77777777" w:rsidR="006720D4" w:rsidRPr="00610094" w:rsidRDefault="006720D4" w:rsidP="006720D4">
      <w:pPr>
        <w:rPr>
          <w:lang w:eastAsia="fr-FR"/>
        </w:rPr>
      </w:pPr>
    </w:p>
    <w:tbl>
      <w:tblPr>
        <w:tblW w:w="0" w:type="auto"/>
        <w:shd w:val="clear" w:color="auto" w:fill="D9D9D9"/>
        <w:tblLook w:val="01E0" w:firstRow="1" w:lastRow="1" w:firstColumn="1" w:lastColumn="1" w:noHBand="0" w:noVBand="0"/>
      </w:tblPr>
      <w:tblGrid>
        <w:gridCol w:w="1644"/>
        <w:gridCol w:w="2788"/>
        <w:gridCol w:w="1544"/>
        <w:gridCol w:w="3096"/>
      </w:tblGrid>
      <w:tr w:rsidR="006720D4" w:rsidRPr="00610094" w14:paraId="0D753CFC" w14:textId="77777777" w:rsidTr="006739F9">
        <w:tc>
          <w:tcPr>
            <w:tcW w:w="1668" w:type="dxa"/>
            <w:shd w:val="clear" w:color="auto" w:fill="auto"/>
          </w:tcPr>
          <w:p w14:paraId="41B81CAC"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D5DCE4" w:themeFill="text2" w:themeFillTint="33"/>
          </w:tcPr>
          <w:p w14:paraId="4F30D0AB"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1EC21653"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D5DCE4" w:themeFill="text2" w:themeFillTint="33"/>
          </w:tcPr>
          <w:p w14:paraId="16DF3EB4"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65B14EDC" w14:textId="77777777" w:rsidR="006720D4" w:rsidRPr="00610094" w:rsidRDefault="006720D4" w:rsidP="006720D4">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6720D4" w:rsidRPr="00610094" w14:paraId="72E0B4C6" w14:textId="77777777" w:rsidTr="006739F9">
        <w:tc>
          <w:tcPr>
            <w:tcW w:w="1668" w:type="dxa"/>
            <w:shd w:val="clear" w:color="auto" w:fill="auto"/>
          </w:tcPr>
          <w:p w14:paraId="5E2B3A6B"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D5DCE4" w:themeFill="text2" w:themeFillTint="33"/>
          </w:tcPr>
          <w:p w14:paraId="3B6CF54F"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5E0BBAC1"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D5DCE4" w:themeFill="text2" w:themeFillTint="33"/>
          </w:tcPr>
          <w:p w14:paraId="03085CE7"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31840C3D" w14:textId="77777777" w:rsidR="006720D4" w:rsidRPr="00610094" w:rsidRDefault="006720D4" w:rsidP="006720D4">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6720D4" w:rsidRPr="00610094" w14:paraId="7152CE27" w14:textId="77777777" w:rsidTr="006739F9">
        <w:tc>
          <w:tcPr>
            <w:tcW w:w="1668" w:type="dxa"/>
            <w:shd w:val="clear" w:color="auto" w:fill="auto"/>
          </w:tcPr>
          <w:p w14:paraId="31D657C1"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D5DCE4" w:themeFill="text2" w:themeFillTint="33"/>
          </w:tcPr>
          <w:p w14:paraId="06F1478E"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10BB9785" w14:textId="77777777" w:rsidR="006720D4" w:rsidRPr="00610094" w:rsidRDefault="006720D4" w:rsidP="006720D4">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6720D4" w:rsidRPr="00610094" w14:paraId="65002164" w14:textId="77777777" w:rsidTr="006739F9">
        <w:trPr>
          <w:gridAfter w:val="2"/>
          <w:wAfter w:w="8330" w:type="dxa"/>
        </w:trPr>
        <w:tc>
          <w:tcPr>
            <w:tcW w:w="1668" w:type="dxa"/>
            <w:shd w:val="clear" w:color="auto" w:fill="auto"/>
          </w:tcPr>
          <w:p w14:paraId="07B08BC8"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D5DCE4" w:themeFill="text2" w:themeFillTint="33"/>
          </w:tcPr>
          <w:p w14:paraId="1AEF2F8E"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6720D4" w:rsidRPr="00610094" w14:paraId="70DE1992" w14:textId="77777777" w:rsidTr="006739F9">
        <w:trPr>
          <w:trHeight w:val="80"/>
        </w:trPr>
        <w:tc>
          <w:tcPr>
            <w:tcW w:w="7338" w:type="dxa"/>
            <w:gridSpan w:val="3"/>
            <w:shd w:val="clear" w:color="auto" w:fill="auto"/>
          </w:tcPr>
          <w:p w14:paraId="510DEC1E" w14:textId="77777777" w:rsidR="006720D4" w:rsidRDefault="006720D4" w:rsidP="006739F9">
            <w:pPr>
              <w:spacing w:before="120" w:after="120" w:line="240" w:lineRule="auto"/>
              <w:rPr>
                <w:rFonts w:ascii="Arial" w:eastAsia="Times New Roman" w:hAnsi="Arial" w:cs="Arial"/>
                <w:sz w:val="20"/>
                <w:szCs w:val="24"/>
                <w:lang w:eastAsia="fr-FR"/>
              </w:rPr>
            </w:pPr>
          </w:p>
          <w:p w14:paraId="1E281F3B" w14:textId="77777777" w:rsidR="006720D4" w:rsidRPr="00AE6481" w:rsidRDefault="006720D4" w:rsidP="006739F9">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14:paraId="0442D63B" w14:textId="77777777" w:rsidR="006720D4" w:rsidRPr="00AE6481" w:rsidRDefault="006720D4" w:rsidP="006739F9">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6720D4" w:rsidRPr="00AE6481" w14:paraId="60239432" w14:textId="77777777" w:rsidTr="006739F9">
              <w:tc>
                <w:tcPr>
                  <w:tcW w:w="1316" w:type="dxa"/>
                  <w:shd w:val="clear" w:color="auto" w:fill="auto"/>
                </w:tcPr>
                <w:p w14:paraId="132146F7" w14:textId="77777777" w:rsidR="006720D4" w:rsidRPr="00AE6481" w:rsidRDefault="006720D4" w:rsidP="006739F9">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D5DCE4" w:themeFill="text2" w:themeFillTint="33"/>
                </w:tcPr>
                <w:p w14:paraId="7EAC27AD" w14:textId="77777777" w:rsidR="006720D4" w:rsidRPr="00AE6481" w:rsidRDefault="006720D4" w:rsidP="006739F9">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14:paraId="2D7B0FA9" w14:textId="77777777" w:rsidR="006720D4" w:rsidRPr="00AE6481" w:rsidRDefault="006720D4" w:rsidP="006739F9">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D5DCE4" w:themeFill="text2" w:themeFillTint="33"/>
                </w:tcPr>
                <w:p w14:paraId="65148AF4" w14:textId="77777777" w:rsidR="006720D4" w:rsidRPr="00AE6481" w:rsidRDefault="006720D4" w:rsidP="006739F9">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4FF92F09" w14:textId="77777777" w:rsidR="006720D4" w:rsidRPr="00AE6481" w:rsidRDefault="006720D4" w:rsidP="006739F9">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6720D4" w:rsidRPr="00AE6481" w14:paraId="76B0002A" w14:textId="77777777" w:rsidTr="006739F9">
              <w:tc>
                <w:tcPr>
                  <w:tcW w:w="1668" w:type="dxa"/>
                  <w:shd w:val="clear" w:color="auto" w:fill="auto"/>
                </w:tcPr>
                <w:p w14:paraId="258E4330" w14:textId="77777777" w:rsidR="006720D4" w:rsidRPr="00AE6481" w:rsidRDefault="006720D4" w:rsidP="006739F9">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D5DCE4" w:themeFill="text2" w:themeFillTint="33"/>
                </w:tcPr>
                <w:p w14:paraId="5DB456E3" w14:textId="77777777" w:rsidR="006720D4" w:rsidRPr="00AE6481" w:rsidRDefault="006720D4" w:rsidP="006739F9">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14:paraId="6A76231F" w14:textId="77777777" w:rsidR="006720D4" w:rsidRPr="00AE6481" w:rsidRDefault="006720D4" w:rsidP="006739F9">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D5DCE4" w:themeFill="text2" w:themeFillTint="33"/>
                </w:tcPr>
                <w:p w14:paraId="512E423D" w14:textId="77777777" w:rsidR="006720D4" w:rsidRPr="00AE6481" w:rsidRDefault="006720D4" w:rsidP="006739F9">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59033B93" w14:textId="77777777" w:rsidR="006720D4" w:rsidRPr="00610094" w:rsidRDefault="006720D4" w:rsidP="006739F9">
            <w:pPr>
              <w:spacing w:before="120" w:after="120" w:line="240" w:lineRule="auto"/>
              <w:rPr>
                <w:rFonts w:ascii="Arial" w:eastAsia="Times New Roman" w:hAnsi="Arial" w:cs="Arial"/>
                <w:sz w:val="20"/>
                <w:szCs w:val="24"/>
                <w:lang w:eastAsia="fr-FR"/>
              </w:rPr>
            </w:pPr>
          </w:p>
        </w:tc>
        <w:tc>
          <w:tcPr>
            <w:tcW w:w="5495" w:type="dxa"/>
            <w:shd w:val="clear" w:color="auto" w:fill="auto"/>
          </w:tcPr>
          <w:p w14:paraId="6C115B07" w14:textId="77777777" w:rsidR="006720D4" w:rsidRPr="00610094" w:rsidRDefault="006720D4" w:rsidP="006739F9">
            <w:pPr>
              <w:spacing w:before="120" w:after="120" w:line="240" w:lineRule="auto"/>
              <w:rPr>
                <w:rFonts w:ascii="Arial" w:eastAsia="Times New Roman" w:hAnsi="Arial" w:cs="Arial"/>
                <w:sz w:val="20"/>
                <w:szCs w:val="24"/>
                <w:lang w:eastAsia="fr-FR"/>
              </w:rPr>
            </w:pPr>
          </w:p>
        </w:tc>
      </w:tr>
    </w:tbl>
    <w:p w14:paraId="1387E3F6" w14:textId="77777777" w:rsidR="006720D4" w:rsidRDefault="006720D4" w:rsidP="006720D4">
      <w:pPr>
        <w:spacing w:after="200"/>
        <w:rPr>
          <w:rFonts w:ascii="Arial" w:eastAsia="Times New Roman" w:hAnsi="Arial" w:cs="Arial"/>
          <w:b/>
          <w:bCs/>
          <w:color w:val="0070C1"/>
          <w:sz w:val="24"/>
          <w:szCs w:val="24"/>
          <w:lang w:eastAsia="fr-FR"/>
        </w:rPr>
      </w:pPr>
    </w:p>
    <w:p w14:paraId="5F4119D3" w14:textId="77777777" w:rsidR="006720D4" w:rsidRPr="00F11A47" w:rsidRDefault="006720D4" w:rsidP="006720D4">
      <w:pPr>
        <w:spacing w:after="200"/>
        <w:rPr>
          <w:rFonts w:ascii="Arial" w:eastAsia="Times New Roman" w:hAnsi="Arial" w:cs="Arial"/>
          <w:b/>
          <w:bCs/>
          <w:color w:val="0070C1"/>
          <w:sz w:val="20"/>
          <w:szCs w:val="20"/>
          <w:lang w:eastAsia="fr-FR"/>
        </w:rPr>
      </w:pPr>
      <w:r w:rsidRPr="00F11A47">
        <w:rPr>
          <w:rFonts w:ascii="Arial" w:eastAsia="Times New Roman" w:hAnsi="Arial" w:cs="Arial"/>
          <w:b/>
          <w:bCs/>
          <w:color w:val="0070C1"/>
          <w:sz w:val="20"/>
          <w:szCs w:val="20"/>
          <w:lang w:eastAsia="fr-FR"/>
        </w:rPr>
        <w:t>Signature :</w:t>
      </w:r>
    </w:p>
    <w:p w14:paraId="5F889C1A" w14:textId="77777777" w:rsidR="006720D4" w:rsidRPr="00004257" w:rsidRDefault="006720D4" w:rsidP="006720D4">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p w14:paraId="16D9733B" w14:textId="77777777" w:rsidR="006720D4" w:rsidRDefault="006720D4" w:rsidP="006720D4">
      <w:pPr>
        <w:spacing w:after="160" w:line="259" w:lineRule="auto"/>
        <w:rPr>
          <w:rFonts w:ascii="Arial" w:eastAsia="Times New Roman" w:hAnsi="Arial" w:cs="Arial"/>
          <w:b/>
          <w:color w:val="44546A" w:themeColor="text2"/>
          <w:sz w:val="24"/>
          <w:szCs w:val="24"/>
          <w:lang w:eastAsia="fr-FR"/>
        </w:rPr>
      </w:pP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rPr>
          <w:rFonts w:ascii="Arial" w:hAnsi="Arial" w:cs="Arial"/>
          <w:sz w:val="20"/>
        </w:rPr>
      </w:sdtEndPr>
      <w:sdtContent>
        <w:p w14:paraId="2F26537C" w14:textId="77777777" w:rsidR="006720D4" w:rsidRPr="00DA2E14" w:rsidRDefault="006720D4" w:rsidP="006720D4">
          <w:pPr>
            <w:pStyle w:val="En-ttedetabledesmatires"/>
            <w:jc w:val="center"/>
            <w:rPr>
              <w:rFonts w:ascii="Arial" w:hAnsi="Arial" w:cs="Arial"/>
            </w:rPr>
          </w:pPr>
          <w:r w:rsidRPr="00DA2E14">
            <w:rPr>
              <w:rFonts w:ascii="Arial" w:hAnsi="Arial" w:cs="Arial"/>
            </w:rPr>
            <w:t>SOMMAIRE</w:t>
          </w:r>
        </w:p>
        <w:p w14:paraId="6C5D8699" w14:textId="77777777" w:rsidR="00DA2E14" w:rsidRPr="00DA2E14" w:rsidRDefault="00DA2E14" w:rsidP="00DA2E14">
          <w:pPr>
            <w:rPr>
              <w:lang w:eastAsia="fr-FR"/>
            </w:rPr>
          </w:pPr>
        </w:p>
        <w:p w14:paraId="09008BA3" w14:textId="76F36127" w:rsidR="00695E59" w:rsidRDefault="006720D4">
          <w:pPr>
            <w:pStyle w:val="TM1"/>
            <w:rPr>
              <w:rFonts w:asciiTheme="minorHAnsi" w:eastAsiaTheme="minorEastAsia" w:hAnsiTheme="minorHAnsi" w:cstheme="minorBidi"/>
              <w:b w:val="0"/>
              <w:sz w:val="22"/>
              <w:lang w:val="en-GB" w:eastAsia="en-GB"/>
            </w:rPr>
          </w:pPr>
          <w:r w:rsidRPr="00DA2E14">
            <w:fldChar w:fldCharType="begin"/>
          </w:r>
          <w:r w:rsidRPr="00DA2E14">
            <w:instrText xml:space="preserve"> TOC \o "1-3" \h \z \u </w:instrText>
          </w:r>
          <w:r w:rsidRPr="00DA2E14">
            <w:fldChar w:fldCharType="separate"/>
          </w:r>
          <w:hyperlink w:anchor="_Toc78984780" w:history="1">
            <w:r w:rsidR="00695E59" w:rsidRPr="009A71EF">
              <w:rPr>
                <w:rStyle w:val="Lienhypertexte"/>
              </w:rPr>
              <w:t>1.</w:t>
            </w:r>
            <w:r w:rsidR="00695E59">
              <w:rPr>
                <w:rFonts w:asciiTheme="minorHAnsi" w:eastAsiaTheme="minorEastAsia" w:hAnsiTheme="minorHAnsi" w:cstheme="minorBidi"/>
                <w:b w:val="0"/>
                <w:sz w:val="22"/>
                <w:lang w:val="en-GB" w:eastAsia="en-GB"/>
              </w:rPr>
              <w:tab/>
            </w:r>
            <w:r w:rsidR="00695E59" w:rsidRPr="009A71EF">
              <w:rPr>
                <w:rStyle w:val="Lienhypertexte"/>
              </w:rPr>
              <w:t>Programme d’activité</w:t>
            </w:r>
            <w:r w:rsidR="00695E59">
              <w:rPr>
                <w:webHidden/>
              </w:rPr>
              <w:tab/>
            </w:r>
            <w:r w:rsidR="00695E59">
              <w:rPr>
                <w:webHidden/>
              </w:rPr>
              <w:fldChar w:fldCharType="begin"/>
            </w:r>
            <w:r w:rsidR="00695E59">
              <w:rPr>
                <w:webHidden/>
              </w:rPr>
              <w:instrText xml:space="preserve"> PAGEREF _Toc78984780 \h </w:instrText>
            </w:r>
            <w:r w:rsidR="00695E59">
              <w:rPr>
                <w:webHidden/>
              </w:rPr>
            </w:r>
            <w:r w:rsidR="00695E59">
              <w:rPr>
                <w:webHidden/>
              </w:rPr>
              <w:fldChar w:fldCharType="separate"/>
            </w:r>
            <w:r w:rsidR="00695E59">
              <w:rPr>
                <w:webHidden/>
              </w:rPr>
              <w:t>4</w:t>
            </w:r>
            <w:r w:rsidR="00695E59">
              <w:rPr>
                <w:webHidden/>
              </w:rPr>
              <w:fldChar w:fldCharType="end"/>
            </w:r>
          </w:hyperlink>
        </w:p>
        <w:p w14:paraId="74F99FB0" w14:textId="3B51E3E6" w:rsidR="00695E59" w:rsidRPr="00695E59" w:rsidRDefault="00616F7D" w:rsidP="00695E59">
          <w:pPr>
            <w:pStyle w:val="TM2"/>
            <w:rPr>
              <w:rFonts w:eastAsiaTheme="minorEastAsia"/>
              <w:lang w:val="en-GB" w:eastAsia="en-GB"/>
            </w:rPr>
          </w:pPr>
          <w:hyperlink w:anchor="_Toc78984781" w:history="1">
            <w:r w:rsidR="00695E59" w:rsidRPr="00695E59">
              <w:rPr>
                <w:rStyle w:val="Lienhypertexte"/>
              </w:rPr>
              <w:t>A.</w:t>
            </w:r>
            <w:r w:rsidR="00695E59" w:rsidRPr="00695E59">
              <w:rPr>
                <w:rFonts w:eastAsiaTheme="minorEastAsia"/>
                <w:lang w:val="en-GB" w:eastAsia="en-GB"/>
              </w:rPr>
              <w:tab/>
            </w:r>
            <w:r w:rsidR="00695E59" w:rsidRPr="00695E59">
              <w:rPr>
                <w:rStyle w:val="Lienhypertexte"/>
              </w:rPr>
              <w:t>Services de paiement</w:t>
            </w:r>
            <w:r w:rsidR="00695E59" w:rsidRPr="00695E59">
              <w:rPr>
                <w:webHidden/>
              </w:rPr>
              <w:tab/>
            </w:r>
            <w:r w:rsidR="00695E59" w:rsidRPr="00695E59">
              <w:rPr>
                <w:webHidden/>
              </w:rPr>
              <w:fldChar w:fldCharType="begin"/>
            </w:r>
            <w:r w:rsidR="00695E59" w:rsidRPr="00695E59">
              <w:rPr>
                <w:webHidden/>
              </w:rPr>
              <w:instrText xml:space="preserve"> PAGEREF _Toc78984781 \h </w:instrText>
            </w:r>
            <w:r w:rsidR="00695E59" w:rsidRPr="00695E59">
              <w:rPr>
                <w:webHidden/>
              </w:rPr>
            </w:r>
            <w:r w:rsidR="00695E59" w:rsidRPr="00695E59">
              <w:rPr>
                <w:webHidden/>
              </w:rPr>
              <w:fldChar w:fldCharType="separate"/>
            </w:r>
            <w:r w:rsidR="00695E59" w:rsidRPr="00695E59">
              <w:rPr>
                <w:webHidden/>
              </w:rPr>
              <w:t>4</w:t>
            </w:r>
            <w:r w:rsidR="00695E59" w:rsidRPr="00695E59">
              <w:rPr>
                <w:webHidden/>
              </w:rPr>
              <w:fldChar w:fldCharType="end"/>
            </w:r>
          </w:hyperlink>
        </w:p>
        <w:p w14:paraId="27701AF9" w14:textId="0BAAEE83" w:rsidR="00695E59" w:rsidRPr="00695E59" w:rsidRDefault="00616F7D" w:rsidP="00695E59">
          <w:pPr>
            <w:pStyle w:val="TM2"/>
            <w:rPr>
              <w:rFonts w:eastAsiaTheme="minorEastAsia"/>
              <w:lang w:val="en-GB" w:eastAsia="en-GB"/>
            </w:rPr>
          </w:pPr>
          <w:hyperlink w:anchor="_Toc78984782" w:history="1">
            <w:r w:rsidR="00695E59" w:rsidRPr="00695E59">
              <w:rPr>
                <w:rStyle w:val="Lienhypertexte"/>
              </w:rPr>
              <w:t>B.</w:t>
            </w:r>
            <w:r w:rsidR="00695E59" w:rsidRPr="00695E59">
              <w:rPr>
                <w:rFonts w:eastAsiaTheme="minorEastAsia"/>
                <w:lang w:val="en-GB" w:eastAsia="en-GB"/>
              </w:rPr>
              <w:tab/>
            </w:r>
            <w:r w:rsidR="00695E59" w:rsidRPr="00695E59">
              <w:rPr>
                <w:rStyle w:val="Lienhypertexte"/>
              </w:rPr>
              <w:t>Services connexes</w:t>
            </w:r>
            <w:r w:rsidR="00695E59" w:rsidRPr="00695E59">
              <w:rPr>
                <w:webHidden/>
              </w:rPr>
              <w:tab/>
            </w:r>
            <w:r w:rsidR="00695E59" w:rsidRPr="00695E59">
              <w:rPr>
                <w:webHidden/>
              </w:rPr>
              <w:fldChar w:fldCharType="begin"/>
            </w:r>
            <w:r w:rsidR="00695E59" w:rsidRPr="00695E59">
              <w:rPr>
                <w:webHidden/>
              </w:rPr>
              <w:instrText xml:space="preserve"> PAGEREF _Toc78984782 \h </w:instrText>
            </w:r>
            <w:r w:rsidR="00695E59" w:rsidRPr="00695E59">
              <w:rPr>
                <w:webHidden/>
              </w:rPr>
            </w:r>
            <w:r w:rsidR="00695E59" w:rsidRPr="00695E59">
              <w:rPr>
                <w:webHidden/>
              </w:rPr>
              <w:fldChar w:fldCharType="separate"/>
            </w:r>
            <w:r w:rsidR="00695E59" w:rsidRPr="00695E59">
              <w:rPr>
                <w:webHidden/>
              </w:rPr>
              <w:t>5</w:t>
            </w:r>
            <w:r w:rsidR="00695E59" w:rsidRPr="00695E59">
              <w:rPr>
                <w:webHidden/>
              </w:rPr>
              <w:fldChar w:fldCharType="end"/>
            </w:r>
          </w:hyperlink>
        </w:p>
        <w:p w14:paraId="12C79C00" w14:textId="5BE4A686" w:rsidR="00695E59" w:rsidRPr="00695E59" w:rsidRDefault="00616F7D" w:rsidP="00695E59">
          <w:pPr>
            <w:pStyle w:val="TM2"/>
            <w:rPr>
              <w:rFonts w:eastAsiaTheme="minorEastAsia"/>
              <w:lang w:val="en-GB" w:eastAsia="en-GB"/>
            </w:rPr>
          </w:pPr>
          <w:hyperlink w:anchor="_Toc78984783" w:history="1">
            <w:r w:rsidR="00695E59" w:rsidRPr="00695E59">
              <w:rPr>
                <w:rStyle w:val="Lienhypertexte"/>
              </w:rPr>
              <w:t>C.</w:t>
            </w:r>
            <w:r w:rsidR="00695E59" w:rsidRPr="00695E59">
              <w:rPr>
                <w:rFonts w:eastAsiaTheme="minorEastAsia"/>
                <w:lang w:val="en-GB" w:eastAsia="en-GB"/>
              </w:rPr>
              <w:tab/>
            </w:r>
            <w:r w:rsidR="00695E59" w:rsidRPr="00695E59">
              <w:rPr>
                <w:rStyle w:val="Lienhypertexte"/>
              </w:rPr>
              <w:t>Service d’octroi de crédit</w:t>
            </w:r>
            <w:r w:rsidR="00695E59" w:rsidRPr="00695E59">
              <w:rPr>
                <w:webHidden/>
              </w:rPr>
              <w:tab/>
            </w:r>
            <w:r w:rsidR="00695E59" w:rsidRPr="00695E59">
              <w:rPr>
                <w:webHidden/>
              </w:rPr>
              <w:fldChar w:fldCharType="begin"/>
            </w:r>
            <w:r w:rsidR="00695E59" w:rsidRPr="00695E59">
              <w:rPr>
                <w:webHidden/>
              </w:rPr>
              <w:instrText xml:space="preserve"> PAGEREF _Toc78984783 \h </w:instrText>
            </w:r>
            <w:r w:rsidR="00695E59" w:rsidRPr="00695E59">
              <w:rPr>
                <w:webHidden/>
              </w:rPr>
            </w:r>
            <w:r w:rsidR="00695E59" w:rsidRPr="00695E59">
              <w:rPr>
                <w:webHidden/>
              </w:rPr>
              <w:fldChar w:fldCharType="separate"/>
            </w:r>
            <w:r w:rsidR="00695E59" w:rsidRPr="00695E59">
              <w:rPr>
                <w:webHidden/>
              </w:rPr>
              <w:t>5</w:t>
            </w:r>
            <w:r w:rsidR="00695E59" w:rsidRPr="00695E59">
              <w:rPr>
                <w:webHidden/>
              </w:rPr>
              <w:fldChar w:fldCharType="end"/>
            </w:r>
          </w:hyperlink>
        </w:p>
        <w:p w14:paraId="0EB861CD" w14:textId="4A766C9E" w:rsidR="00695E59" w:rsidRPr="00695E59" w:rsidRDefault="00616F7D" w:rsidP="00695E59">
          <w:pPr>
            <w:pStyle w:val="TM2"/>
            <w:rPr>
              <w:rFonts w:eastAsiaTheme="minorEastAsia"/>
              <w:lang w:val="en-GB" w:eastAsia="en-GB"/>
            </w:rPr>
          </w:pPr>
          <w:hyperlink w:anchor="_Toc78984784" w:history="1">
            <w:r w:rsidR="00695E59" w:rsidRPr="00695E59">
              <w:rPr>
                <w:rStyle w:val="Lienhypertexte"/>
              </w:rPr>
              <w:t>D.</w:t>
            </w:r>
            <w:r w:rsidR="00695E59" w:rsidRPr="00695E59">
              <w:rPr>
                <w:rFonts w:eastAsiaTheme="minorEastAsia"/>
                <w:lang w:val="en-GB" w:eastAsia="en-GB"/>
              </w:rPr>
              <w:tab/>
            </w:r>
            <w:r w:rsidR="00695E59" w:rsidRPr="00695E59">
              <w:rPr>
                <w:rStyle w:val="Lienhypertexte"/>
              </w:rPr>
              <w:t>Recours à des agents</w:t>
            </w:r>
            <w:r w:rsidR="00695E59" w:rsidRPr="00695E59">
              <w:rPr>
                <w:webHidden/>
              </w:rPr>
              <w:tab/>
            </w:r>
            <w:r w:rsidR="00695E59" w:rsidRPr="00695E59">
              <w:rPr>
                <w:webHidden/>
              </w:rPr>
              <w:fldChar w:fldCharType="begin"/>
            </w:r>
            <w:r w:rsidR="00695E59" w:rsidRPr="00695E59">
              <w:rPr>
                <w:webHidden/>
              </w:rPr>
              <w:instrText xml:space="preserve"> PAGEREF _Toc78984784 \h </w:instrText>
            </w:r>
            <w:r w:rsidR="00695E59" w:rsidRPr="00695E59">
              <w:rPr>
                <w:webHidden/>
              </w:rPr>
            </w:r>
            <w:r w:rsidR="00695E59" w:rsidRPr="00695E59">
              <w:rPr>
                <w:webHidden/>
              </w:rPr>
              <w:fldChar w:fldCharType="separate"/>
            </w:r>
            <w:r w:rsidR="00695E59" w:rsidRPr="00695E59">
              <w:rPr>
                <w:webHidden/>
              </w:rPr>
              <w:t>5</w:t>
            </w:r>
            <w:r w:rsidR="00695E59" w:rsidRPr="00695E59">
              <w:rPr>
                <w:webHidden/>
              </w:rPr>
              <w:fldChar w:fldCharType="end"/>
            </w:r>
          </w:hyperlink>
        </w:p>
        <w:p w14:paraId="528CB8FB" w14:textId="54C9F0BB" w:rsidR="00695E59" w:rsidRPr="00695E59" w:rsidRDefault="00616F7D" w:rsidP="00695E59">
          <w:pPr>
            <w:pStyle w:val="TM2"/>
            <w:rPr>
              <w:rFonts w:eastAsiaTheme="minorEastAsia"/>
              <w:lang w:val="en-GB" w:eastAsia="en-GB"/>
            </w:rPr>
          </w:pPr>
          <w:hyperlink w:anchor="_Toc78984785" w:history="1">
            <w:r w:rsidR="00695E59" w:rsidRPr="00695E59">
              <w:rPr>
                <w:rStyle w:val="Lienhypertexte"/>
              </w:rPr>
              <w:t>E.</w:t>
            </w:r>
            <w:r w:rsidR="00695E59" w:rsidRPr="00695E59">
              <w:rPr>
                <w:rFonts w:eastAsiaTheme="minorEastAsia"/>
                <w:lang w:val="en-GB" w:eastAsia="en-GB"/>
              </w:rPr>
              <w:tab/>
            </w:r>
            <w:r w:rsidR="00695E59" w:rsidRPr="00695E59">
              <w:rPr>
                <w:rStyle w:val="Lienhypertexte"/>
              </w:rPr>
              <w:t>Exercice d’activité à l’étranger</w:t>
            </w:r>
            <w:r w:rsidR="00695E59" w:rsidRPr="00695E59">
              <w:rPr>
                <w:webHidden/>
              </w:rPr>
              <w:tab/>
            </w:r>
            <w:r w:rsidR="00695E59" w:rsidRPr="00695E59">
              <w:rPr>
                <w:webHidden/>
              </w:rPr>
              <w:fldChar w:fldCharType="begin"/>
            </w:r>
            <w:r w:rsidR="00695E59" w:rsidRPr="00695E59">
              <w:rPr>
                <w:webHidden/>
              </w:rPr>
              <w:instrText xml:space="preserve"> PAGEREF _Toc78984785 \h </w:instrText>
            </w:r>
            <w:r w:rsidR="00695E59" w:rsidRPr="00695E59">
              <w:rPr>
                <w:webHidden/>
              </w:rPr>
            </w:r>
            <w:r w:rsidR="00695E59" w:rsidRPr="00695E59">
              <w:rPr>
                <w:webHidden/>
              </w:rPr>
              <w:fldChar w:fldCharType="separate"/>
            </w:r>
            <w:r w:rsidR="00695E59" w:rsidRPr="00695E59">
              <w:rPr>
                <w:webHidden/>
              </w:rPr>
              <w:t>6</w:t>
            </w:r>
            <w:r w:rsidR="00695E59" w:rsidRPr="00695E59">
              <w:rPr>
                <w:webHidden/>
              </w:rPr>
              <w:fldChar w:fldCharType="end"/>
            </w:r>
          </w:hyperlink>
        </w:p>
        <w:p w14:paraId="7BA16845" w14:textId="7CEEA979" w:rsidR="00695E59" w:rsidRDefault="00616F7D">
          <w:pPr>
            <w:pStyle w:val="TM1"/>
            <w:rPr>
              <w:rFonts w:asciiTheme="minorHAnsi" w:eastAsiaTheme="minorEastAsia" w:hAnsiTheme="minorHAnsi" w:cstheme="minorBidi"/>
              <w:b w:val="0"/>
              <w:sz w:val="22"/>
              <w:lang w:val="en-GB" w:eastAsia="en-GB"/>
            </w:rPr>
          </w:pPr>
          <w:hyperlink w:anchor="_Toc78984786" w:history="1">
            <w:r w:rsidR="00695E59" w:rsidRPr="009A71EF">
              <w:rPr>
                <w:rStyle w:val="Lienhypertexte"/>
              </w:rPr>
              <w:t>2.</w:t>
            </w:r>
            <w:r w:rsidR="00695E59">
              <w:rPr>
                <w:rFonts w:asciiTheme="minorHAnsi" w:eastAsiaTheme="minorEastAsia" w:hAnsiTheme="minorHAnsi" w:cstheme="minorBidi"/>
                <w:b w:val="0"/>
                <w:sz w:val="22"/>
                <w:lang w:val="en-GB" w:eastAsia="en-GB"/>
              </w:rPr>
              <w:tab/>
            </w:r>
            <w:r w:rsidR="00695E59" w:rsidRPr="009A71EF">
              <w:rPr>
                <w:rStyle w:val="Lienhypertexte"/>
              </w:rPr>
              <w:t>Plan d’affaires et réglementation prudentielle</w:t>
            </w:r>
            <w:r w:rsidR="00695E59">
              <w:rPr>
                <w:webHidden/>
              </w:rPr>
              <w:tab/>
            </w:r>
            <w:r w:rsidR="00695E59">
              <w:rPr>
                <w:webHidden/>
              </w:rPr>
              <w:fldChar w:fldCharType="begin"/>
            </w:r>
            <w:r w:rsidR="00695E59">
              <w:rPr>
                <w:webHidden/>
              </w:rPr>
              <w:instrText xml:space="preserve"> PAGEREF _Toc78984786 \h </w:instrText>
            </w:r>
            <w:r w:rsidR="00695E59">
              <w:rPr>
                <w:webHidden/>
              </w:rPr>
            </w:r>
            <w:r w:rsidR="00695E59">
              <w:rPr>
                <w:webHidden/>
              </w:rPr>
              <w:fldChar w:fldCharType="separate"/>
            </w:r>
            <w:r w:rsidR="00695E59">
              <w:rPr>
                <w:webHidden/>
              </w:rPr>
              <w:t>7</w:t>
            </w:r>
            <w:r w:rsidR="00695E59">
              <w:rPr>
                <w:webHidden/>
              </w:rPr>
              <w:fldChar w:fldCharType="end"/>
            </w:r>
          </w:hyperlink>
        </w:p>
        <w:p w14:paraId="7A2A1F44" w14:textId="1B8F2616" w:rsidR="00695E59" w:rsidRPr="00695E59" w:rsidRDefault="00616F7D" w:rsidP="00695E59">
          <w:pPr>
            <w:pStyle w:val="TM2"/>
            <w:rPr>
              <w:rFonts w:eastAsiaTheme="minorEastAsia"/>
              <w:lang w:val="en-GB" w:eastAsia="en-GB"/>
            </w:rPr>
          </w:pPr>
          <w:hyperlink w:anchor="_Toc78984787" w:history="1">
            <w:r w:rsidR="00695E59" w:rsidRPr="00695E59">
              <w:rPr>
                <w:rStyle w:val="Lienhypertexte"/>
              </w:rPr>
              <w:t>A.</w:t>
            </w:r>
            <w:r w:rsidR="00695E59" w:rsidRPr="00695E59">
              <w:rPr>
                <w:rFonts w:eastAsiaTheme="minorEastAsia"/>
                <w:lang w:val="en-GB" w:eastAsia="en-GB"/>
              </w:rPr>
              <w:tab/>
            </w:r>
            <w:r w:rsidR="00695E59" w:rsidRPr="00695E59">
              <w:rPr>
                <w:rStyle w:val="Lienhypertexte"/>
              </w:rPr>
              <w:t>Plan d’affaires</w:t>
            </w:r>
            <w:r w:rsidR="00695E59" w:rsidRPr="00695E59">
              <w:rPr>
                <w:webHidden/>
              </w:rPr>
              <w:tab/>
            </w:r>
            <w:r w:rsidR="00695E59" w:rsidRPr="00695E59">
              <w:rPr>
                <w:webHidden/>
              </w:rPr>
              <w:fldChar w:fldCharType="begin"/>
            </w:r>
            <w:r w:rsidR="00695E59" w:rsidRPr="00695E59">
              <w:rPr>
                <w:webHidden/>
              </w:rPr>
              <w:instrText xml:space="preserve"> PAGEREF _Toc78984787 \h </w:instrText>
            </w:r>
            <w:r w:rsidR="00695E59" w:rsidRPr="00695E59">
              <w:rPr>
                <w:webHidden/>
              </w:rPr>
            </w:r>
            <w:r w:rsidR="00695E59" w:rsidRPr="00695E59">
              <w:rPr>
                <w:webHidden/>
              </w:rPr>
              <w:fldChar w:fldCharType="separate"/>
            </w:r>
            <w:r w:rsidR="00695E59" w:rsidRPr="00695E59">
              <w:rPr>
                <w:webHidden/>
              </w:rPr>
              <w:t>7</w:t>
            </w:r>
            <w:r w:rsidR="00695E59" w:rsidRPr="00695E59">
              <w:rPr>
                <w:webHidden/>
              </w:rPr>
              <w:fldChar w:fldCharType="end"/>
            </w:r>
          </w:hyperlink>
        </w:p>
        <w:p w14:paraId="3CFE6BD0" w14:textId="01ED5A2F" w:rsidR="00695E59" w:rsidRPr="00695E59" w:rsidRDefault="00616F7D" w:rsidP="00695E59">
          <w:pPr>
            <w:pStyle w:val="TM2"/>
            <w:rPr>
              <w:rFonts w:eastAsiaTheme="minorEastAsia"/>
              <w:lang w:val="en-GB" w:eastAsia="en-GB"/>
            </w:rPr>
          </w:pPr>
          <w:hyperlink w:anchor="_Toc78984788" w:history="1">
            <w:r w:rsidR="00695E59" w:rsidRPr="00695E59">
              <w:rPr>
                <w:rStyle w:val="Lienhypertexte"/>
              </w:rPr>
              <w:t>B.</w:t>
            </w:r>
            <w:r w:rsidR="00695E59" w:rsidRPr="00695E59">
              <w:rPr>
                <w:rFonts w:eastAsiaTheme="minorEastAsia"/>
                <w:lang w:val="en-GB" w:eastAsia="en-GB"/>
              </w:rPr>
              <w:tab/>
            </w:r>
            <w:r w:rsidR="00695E59" w:rsidRPr="00695E59">
              <w:rPr>
                <w:rStyle w:val="Lienhypertexte"/>
              </w:rPr>
              <w:t>Exigences en fonds propres prudentiels</w:t>
            </w:r>
            <w:r w:rsidR="00695E59" w:rsidRPr="00695E59">
              <w:rPr>
                <w:webHidden/>
              </w:rPr>
              <w:tab/>
            </w:r>
            <w:r w:rsidR="00695E59" w:rsidRPr="00695E59">
              <w:rPr>
                <w:webHidden/>
              </w:rPr>
              <w:fldChar w:fldCharType="begin"/>
            </w:r>
            <w:r w:rsidR="00695E59" w:rsidRPr="00695E59">
              <w:rPr>
                <w:webHidden/>
              </w:rPr>
              <w:instrText xml:space="preserve"> PAGEREF _Toc78984788 \h </w:instrText>
            </w:r>
            <w:r w:rsidR="00695E59" w:rsidRPr="00695E59">
              <w:rPr>
                <w:webHidden/>
              </w:rPr>
            </w:r>
            <w:r w:rsidR="00695E59" w:rsidRPr="00695E59">
              <w:rPr>
                <w:webHidden/>
              </w:rPr>
              <w:fldChar w:fldCharType="separate"/>
            </w:r>
            <w:r w:rsidR="00695E59" w:rsidRPr="00695E59">
              <w:rPr>
                <w:webHidden/>
              </w:rPr>
              <w:t>7</w:t>
            </w:r>
            <w:r w:rsidR="00695E59" w:rsidRPr="00695E59">
              <w:rPr>
                <w:webHidden/>
              </w:rPr>
              <w:fldChar w:fldCharType="end"/>
            </w:r>
          </w:hyperlink>
        </w:p>
        <w:p w14:paraId="077AEB00" w14:textId="20BE243B" w:rsidR="00695E59" w:rsidRPr="00695E59" w:rsidRDefault="00616F7D" w:rsidP="00695E59">
          <w:pPr>
            <w:pStyle w:val="TM2"/>
            <w:rPr>
              <w:rFonts w:eastAsiaTheme="minorEastAsia"/>
              <w:lang w:val="en-GB" w:eastAsia="en-GB"/>
            </w:rPr>
          </w:pPr>
          <w:hyperlink w:anchor="_Toc78984789" w:history="1">
            <w:r w:rsidR="00695E59" w:rsidRPr="00695E59">
              <w:rPr>
                <w:rStyle w:val="Lienhypertexte"/>
              </w:rPr>
              <w:t>C.</w:t>
            </w:r>
            <w:r w:rsidR="00695E59" w:rsidRPr="00695E59">
              <w:rPr>
                <w:rFonts w:eastAsiaTheme="minorEastAsia"/>
                <w:lang w:val="en-GB" w:eastAsia="en-GB"/>
              </w:rPr>
              <w:tab/>
            </w:r>
            <w:r w:rsidR="00695E59" w:rsidRPr="00695E59">
              <w:rPr>
                <w:rStyle w:val="Lienhypertexte"/>
              </w:rPr>
              <w:t>Protection des fonds collectés</w:t>
            </w:r>
            <w:r w:rsidR="00695E59" w:rsidRPr="00695E59">
              <w:rPr>
                <w:webHidden/>
              </w:rPr>
              <w:tab/>
            </w:r>
            <w:r w:rsidR="00695E59" w:rsidRPr="00695E59">
              <w:rPr>
                <w:webHidden/>
              </w:rPr>
              <w:fldChar w:fldCharType="begin"/>
            </w:r>
            <w:r w:rsidR="00695E59" w:rsidRPr="00695E59">
              <w:rPr>
                <w:webHidden/>
              </w:rPr>
              <w:instrText xml:space="preserve"> PAGEREF _Toc78984789 \h </w:instrText>
            </w:r>
            <w:r w:rsidR="00695E59" w:rsidRPr="00695E59">
              <w:rPr>
                <w:webHidden/>
              </w:rPr>
            </w:r>
            <w:r w:rsidR="00695E59" w:rsidRPr="00695E59">
              <w:rPr>
                <w:webHidden/>
              </w:rPr>
              <w:fldChar w:fldCharType="separate"/>
            </w:r>
            <w:r w:rsidR="00695E59" w:rsidRPr="00695E59">
              <w:rPr>
                <w:webHidden/>
              </w:rPr>
              <w:t>7</w:t>
            </w:r>
            <w:r w:rsidR="00695E59" w:rsidRPr="00695E59">
              <w:rPr>
                <w:webHidden/>
              </w:rPr>
              <w:fldChar w:fldCharType="end"/>
            </w:r>
          </w:hyperlink>
        </w:p>
        <w:p w14:paraId="119609B6" w14:textId="73A5B9F6" w:rsidR="00695E59" w:rsidRPr="00695E59" w:rsidRDefault="00616F7D" w:rsidP="00695E59">
          <w:pPr>
            <w:pStyle w:val="TM2"/>
            <w:rPr>
              <w:rFonts w:eastAsiaTheme="minorEastAsia"/>
              <w:lang w:val="en-GB" w:eastAsia="en-GB"/>
            </w:rPr>
          </w:pPr>
          <w:hyperlink w:anchor="_Toc78984790" w:history="1">
            <w:r w:rsidR="00695E59" w:rsidRPr="00695E59">
              <w:rPr>
                <w:rStyle w:val="Lienhypertexte"/>
              </w:rPr>
              <w:t>D.</w:t>
            </w:r>
            <w:r w:rsidR="00695E59" w:rsidRPr="00695E59">
              <w:rPr>
                <w:rFonts w:eastAsiaTheme="minorEastAsia"/>
                <w:lang w:val="en-GB" w:eastAsia="en-GB"/>
              </w:rPr>
              <w:tab/>
            </w:r>
            <w:r w:rsidR="00695E59" w:rsidRPr="00695E59">
              <w:rPr>
                <w:rStyle w:val="Lienhypertexte"/>
              </w:rPr>
              <w:t>Assurance responsabilité civile professionnelle</w:t>
            </w:r>
            <w:r w:rsidR="00695E59" w:rsidRPr="00695E59">
              <w:rPr>
                <w:webHidden/>
              </w:rPr>
              <w:tab/>
            </w:r>
            <w:r w:rsidR="00695E59" w:rsidRPr="00695E59">
              <w:rPr>
                <w:webHidden/>
              </w:rPr>
              <w:fldChar w:fldCharType="begin"/>
            </w:r>
            <w:r w:rsidR="00695E59" w:rsidRPr="00695E59">
              <w:rPr>
                <w:webHidden/>
              </w:rPr>
              <w:instrText xml:space="preserve"> PAGEREF _Toc78984790 \h </w:instrText>
            </w:r>
            <w:r w:rsidR="00695E59" w:rsidRPr="00695E59">
              <w:rPr>
                <w:webHidden/>
              </w:rPr>
            </w:r>
            <w:r w:rsidR="00695E59" w:rsidRPr="00695E59">
              <w:rPr>
                <w:webHidden/>
              </w:rPr>
              <w:fldChar w:fldCharType="separate"/>
            </w:r>
            <w:r w:rsidR="00695E59" w:rsidRPr="00695E59">
              <w:rPr>
                <w:webHidden/>
              </w:rPr>
              <w:t>8</w:t>
            </w:r>
            <w:r w:rsidR="00695E59" w:rsidRPr="00695E59">
              <w:rPr>
                <w:webHidden/>
              </w:rPr>
              <w:fldChar w:fldCharType="end"/>
            </w:r>
          </w:hyperlink>
        </w:p>
        <w:p w14:paraId="43FF5320" w14:textId="2FE298FC" w:rsidR="00695E59" w:rsidRDefault="00616F7D">
          <w:pPr>
            <w:pStyle w:val="TM1"/>
            <w:rPr>
              <w:rFonts w:asciiTheme="minorHAnsi" w:eastAsiaTheme="minorEastAsia" w:hAnsiTheme="minorHAnsi" w:cstheme="minorBidi"/>
              <w:b w:val="0"/>
              <w:sz w:val="22"/>
              <w:lang w:val="en-GB" w:eastAsia="en-GB"/>
            </w:rPr>
          </w:pPr>
          <w:hyperlink w:anchor="_Toc78984791" w:history="1">
            <w:r w:rsidR="00695E59" w:rsidRPr="009A71EF">
              <w:rPr>
                <w:rStyle w:val="Lienhypertexte"/>
              </w:rPr>
              <w:t>3.</w:t>
            </w:r>
            <w:r w:rsidR="00695E59">
              <w:rPr>
                <w:rFonts w:asciiTheme="minorHAnsi" w:eastAsiaTheme="minorEastAsia" w:hAnsiTheme="minorHAnsi" w:cstheme="minorBidi"/>
                <w:b w:val="0"/>
                <w:sz w:val="22"/>
                <w:lang w:val="en-GB" w:eastAsia="en-GB"/>
              </w:rPr>
              <w:tab/>
            </w:r>
            <w:r w:rsidR="00695E59" w:rsidRPr="009A71EF">
              <w:rPr>
                <w:rStyle w:val="Lienhypertexte"/>
              </w:rPr>
              <w:t>Structure organisationnelle et mécanisme de contrôle interne</w:t>
            </w:r>
            <w:r w:rsidR="00695E59">
              <w:rPr>
                <w:webHidden/>
              </w:rPr>
              <w:tab/>
            </w:r>
            <w:r w:rsidR="00695E59">
              <w:rPr>
                <w:webHidden/>
              </w:rPr>
              <w:fldChar w:fldCharType="begin"/>
            </w:r>
            <w:r w:rsidR="00695E59">
              <w:rPr>
                <w:webHidden/>
              </w:rPr>
              <w:instrText xml:space="preserve"> PAGEREF _Toc78984791 \h </w:instrText>
            </w:r>
            <w:r w:rsidR="00695E59">
              <w:rPr>
                <w:webHidden/>
              </w:rPr>
            </w:r>
            <w:r w:rsidR="00695E59">
              <w:rPr>
                <w:webHidden/>
              </w:rPr>
              <w:fldChar w:fldCharType="separate"/>
            </w:r>
            <w:r w:rsidR="00695E59">
              <w:rPr>
                <w:webHidden/>
              </w:rPr>
              <w:t>9</w:t>
            </w:r>
            <w:r w:rsidR="00695E59">
              <w:rPr>
                <w:webHidden/>
              </w:rPr>
              <w:fldChar w:fldCharType="end"/>
            </w:r>
          </w:hyperlink>
        </w:p>
        <w:p w14:paraId="3524BB75" w14:textId="0540995A" w:rsidR="00695E59" w:rsidRPr="00695E59" w:rsidRDefault="00616F7D" w:rsidP="00695E59">
          <w:pPr>
            <w:pStyle w:val="TM2"/>
            <w:rPr>
              <w:rFonts w:eastAsiaTheme="minorEastAsia"/>
              <w:lang w:val="en-GB" w:eastAsia="en-GB"/>
            </w:rPr>
          </w:pPr>
          <w:hyperlink w:anchor="_Toc78984792" w:history="1">
            <w:r w:rsidR="00695E59" w:rsidRPr="00695E59">
              <w:rPr>
                <w:rStyle w:val="Lienhypertexte"/>
              </w:rPr>
              <w:t>A.</w:t>
            </w:r>
            <w:r w:rsidR="00695E59" w:rsidRPr="00695E59">
              <w:rPr>
                <w:rFonts w:eastAsiaTheme="minorEastAsia"/>
                <w:lang w:val="en-GB" w:eastAsia="en-GB"/>
              </w:rPr>
              <w:tab/>
            </w:r>
            <w:r w:rsidR="00695E59" w:rsidRPr="00695E59">
              <w:rPr>
                <w:rStyle w:val="Lienhypertexte"/>
              </w:rPr>
              <w:t>Structure organisationnelle</w:t>
            </w:r>
            <w:r w:rsidR="00695E59" w:rsidRPr="00695E59">
              <w:rPr>
                <w:webHidden/>
              </w:rPr>
              <w:tab/>
            </w:r>
            <w:r w:rsidR="00695E59" w:rsidRPr="00695E59">
              <w:rPr>
                <w:webHidden/>
              </w:rPr>
              <w:fldChar w:fldCharType="begin"/>
            </w:r>
            <w:r w:rsidR="00695E59" w:rsidRPr="00695E59">
              <w:rPr>
                <w:webHidden/>
              </w:rPr>
              <w:instrText xml:space="preserve"> PAGEREF _Toc78984792 \h </w:instrText>
            </w:r>
            <w:r w:rsidR="00695E59" w:rsidRPr="00695E59">
              <w:rPr>
                <w:webHidden/>
              </w:rPr>
            </w:r>
            <w:r w:rsidR="00695E59" w:rsidRPr="00695E59">
              <w:rPr>
                <w:webHidden/>
              </w:rPr>
              <w:fldChar w:fldCharType="separate"/>
            </w:r>
            <w:r w:rsidR="00695E59" w:rsidRPr="00695E59">
              <w:rPr>
                <w:webHidden/>
              </w:rPr>
              <w:t>9</w:t>
            </w:r>
            <w:r w:rsidR="00695E59" w:rsidRPr="00695E59">
              <w:rPr>
                <w:webHidden/>
              </w:rPr>
              <w:fldChar w:fldCharType="end"/>
            </w:r>
          </w:hyperlink>
        </w:p>
        <w:p w14:paraId="5D384042" w14:textId="40FE7D7E" w:rsidR="00695E59" w:rsidRPr="00695E59" w:rsidRDefault="00616F7D" w:rsidP="00695E59">
          <w:pPr>
            <w:pStyle w:val="TM2"/>
            <w:rPr>
              <w:rFonts w:eastAsiaTheme="minorEastAsia"/>
              <w:lang w:val="en-GB" w:eastAsia="en-GB"/>
            </w:rPr>
          </w:pPr>
          <w:hyperlink w:anchor="_Toc78984793" w:history="1">
            <w:r w:rsidR="00695E59" w:rsidRPr="00695E59">
              <w:rPr>
                <w:rStyle w:val="Lienhypertexte"/>
              </w:rPr>
              <w:t>B.</w:t>
            </w:r>
            <w:r w:rsidR="00695E59" w:rsidRPr="00695E59">
              <w:rPr>
                <w:rFonts w:eastAsiaTheme="minorEastAsia"/>
                <w:lang w:val="en-GB" w:eastAsia="en-GB"/>
              </w:rPr>
              <w:tab/>
            </w:r>
            <w:r w:rsidR="00695E59" w:rsidRPr="00695E59">
              <w:rPr>
                <w:rStyle w:val="Lienhypertexte"/>
              </w:rPr>
              <w:t>Mécanisme de contrôle interne</w:t>
            </w:r>
            <w:r w:rsidR="00695E59" w:rsidRPr="00695E59">
              <w:rPr>
                <w:webHidden/>
              </w:rPr>
              <w:tab/>
            </w:r>
            <w:r w:rsidR="00695E59" w:rsidRPr="00695E59">
              <w:rPr>
                <w:webHidden/>
              </w:rPr>
              <w:fldChar w:fldCharType="begin"/>
            </w:r>
            <w:r w:rsidR="00695E59" w:rsidRPr="00695E59">
              <w:rPr>
                <w:webHidden/>
              </w:rPr>
              <w:instrText xml:space="preserve"> PAGEREF _Toc78984793 \h </w:instrText>
            </w:r>
            <w:r w:rsidR="00695E59" w:rsidRPr="00695E59">
              <w:rPr>
                <w:webHidden/>
              </w:rPr>
            </w:r>
            <w:r w:rsidR="00695E59" w:rsidRPr="00695E59">
              <w:rPr>
                <w:webHidden/>
              </w:rPr>
              <w:fldChar w:fldCharType="separate"/>
            </w:r>
            <w:r w:rsidR="00695E59" w:rsidRPr="00695E59">
              <w:rPr>
                <w:webHidden/>
              </w:rPr>
              <w:t>9</w:t>
            </w:r>
            <w:r w:rsidR="00695E59" w:rsidRPr="00695E59">
              <w:rPr>
                <w:webHidden/>
              </w:rPr>
              <w:fldChar w:fldCharType="end"/>
            </w:r>
          </w:hyperlink>
        </w:p>
        <w:p w14:paraId="52060C20" w14:textId="71BA7E2F" w:rsidR="00695E59" w:rsidRPr="00695E59" w:rsidRDefault="00616F7D" w:rsidP="00695E59">
          <w:pPr>
            <w:pStyle w:val="TM2"/>
            <w:rPr>
              <w:rFonts w:eastAsiaTheme="minorEastAsia"/>
              <w:lang w:val="en-GB" w:eastAsia="en-GB"/>
            </w:rPr>
          </w:pPr>
          <w:hyperlink w:anchor="_Toc78984794" w:history="1">
            <w:r w:rsidR="00695E59" w:rsidRPr="00695E59">
              <w:rPr>
                <w:rStyle w:val="Lienhypertexte"/>
              </w:rPr>
              <w:t>C.</w:t>
            </w:r>
            <w:r w:rsidR="00695E59" w:rsidRPr="00695E59">
              <w:rPr>
                <w:rFonts w:eastAsiaTheme="minorEastAsia"/>
                <w:lang w:val="en-GB" w:eastAsia="en-GB"/>
              </w:rPr>
              <w:tab/>
            </w:r>
            <w:r w:rsidR="00695E59" w:rsidRPr="00695E59">
              <w:rPr>
                <w:rStyle w:val="Lienhypertexte"/>
              </w:rPr>
              <w:t>Lutte contre le blanchiment de capitaux et le financement du terrorisme</w:t>
            </w:r>
            <w:r w:rsidR="00695E59" w:rsidRPr="00695E59">
              <w:rPr>
                <w:webHidden/>
              </w:rPr>
              <w:tab/>
            </w:r>
            <w:r w:rsidR="00695E59" w:rsidRPr="00695E59">
              <w:rPr>
                <w:webHidden/>
              </w:rPr>
              <w:fldChar w:fldCharType="begin"/>
            </w:r>
            <w:r w:rsidR="00695E59" w:rsidRPr="00695E59">
              <w:rPr>
                <w:webHidden/>
              </w:rPr>
              <w:instrText xml:space="preserve"> PAGEREF _Toc78984794 \h </w:instrText>
            </w:r>
            <w:r w:rsidR="00695E59" w:rsidRPr="00695E59">
              <w:rPr>
                <w:webHidden/>
              </w:rPr>
            </w:r>
            <w:r w:rsidR="00695E59" w:rsidRPr="00695E59">
              <w:rPr>
                <w:webHidden/>
              </w:rPr>
              <w:fldChar w:fldCharType="separate"/>
            </w:r>
            <w:r w:rsidR="00695E59" w:rsidRPr="00695E59">
              <w:rPr>
                <w:webHidden/>
              </w:rPr>
              <w:t>10</w:t>
            </w:r>
            <w:r w:rsidR="00695E59" w:rsidRPr="00695E59">
              <w:rPr>
                <w:webHidden/>
              </w:rPr>
              <w:fldChar w:fldCharType="end"/>
            </w:r>
          </w:hyperlink>
        </w:p>
        <w:p w14:paraId="4D0C13E5" w14:textId="6DFB6569" w:rsidR="00695E59" w:rsidRDefault="00616F7D">
          <w:pPr>
            <w:pStyle w:val="TM1"/>
            <w:rPr>
              <w:rFonts w:asciiTheme="minorHAnsi" w:eastAsiaTheme="minorEastAsia" w:hAnsiTheme="minorHAnsi" w:cstheme="minorBidi"/>
              <w:b w:val="0"/>
              <w:sz w:val="22"/>
              <w:lang w:val="en-GB" w:eastAsia="en-GB"/>
            </w:rPr>
          </w:pPr>
          <w:hyperlink w:anchor="_Toc78984795" w:history="1">
            <w:r w:rsidR="00695E59" w:rsidRPr="009A71EF">
              <w:rPr>
                <w:rStyle w:val="Lienhypertexte"/>
              </w:rPr>
              <w:t>4.</w:t>
            </w:r>
            <w:r w:rsidR="00695E59">
              <w:rPr>
                <w:rFonts w:asciiTheme="minorHAnsi" w:eastAsiaTheme="minorEastAsia" w:hAnsiTheme="minorHAnsi" w:cstheme="minorBidi"/>
                <w:b w:val="0"/>
                <w:sz w:val="22"/>
                <w:lang w:val="en-GB" w:eastAsia="en-GB"/>
              </w:rPr>
              <w:tab/>
            </w:r>
            <w:r w:rsidR="00695E59" w:rsidRPr="009A71EF">
              <w:rPr>
                <w:rStyle w:val="Lienhypertexte"/>
              </w:rPr>
              <w:t>Procédures des systèmes de sécurité et accès aux données sensibles</w:t>
            </w:r>
            <w:r w:rsidR="00695E59">
              <w:rPr>
                <w:webHidden/>
              </w:rPr>
              <w:tab/>
            </w:r>
            <w:r w:rsidR="00695E59">
              <w:rPr>
                <w:webHidden/>
              </w:rPr>
              <w:fldChar w:fldCharType="begin"/>
            </w:r>
            <w:r w:rsidR="00695E59">
              <w:rPr>
                <w:webHidden/>
              </w:rPr>
              <w:instrText xml:space="preserve"> PAGEREF _Toc78984795 \h </w:instrText>
            </w:r>
            <w:r w:rsidR="00695E59">
              <w:rPr>
                <w:webHidden/>
              </w:rPr>
            </w:r>
            <w:r w:rsidR="00695E59">
              <w:rPr>
                <w:webHidden/>
              </w:rPr>
              <w:fldChar w:fldCharType="separate"/>
            </w:r>
            <w:r w:rsidR="00695E59">
              <w:rPr>
                <w:webHidden/>
              </w:rPr>
              <w:t>12</w:t>
            </w:r>
            <w:r w:rsidR="00695E59">
              <w:rPr>
                <w:webHidden/>
              </w:rPr>
              <w:fldChar w:fldCharType="end"/>
            </w:r>
          </w:hyperlink>
        </w:p>
        <w:p w14:paraId="63642416" w14:textId="2170A005" w:rsidR="00695E59" w:rsidRPr="00695E59" w:rsidRDefault="00616F7D" w:rsidP="00695E59">
          <w:pPr>
            <w:pStyle w:val="TM2"/>
            <w:rPr>
              <w:rFonts w:eastAsiaTheme="minorEastAsia"/>
              <w:lang w:val="en-GB" w:eastAsia="en-GB"/>
            </w:rPr>
          </w:pPr>
          <w:hyperlink w:anchor="_Toc78984796" w:history="1">
            <w:r w:rsidR="00695E59" w:rsidRPr="00695E59">
              <w:rPr>
                <w:rStyle w:val="Lienhypertexte"/>
              </w:rPr>
              <w:t>A.</w:t>
            </w:r>
            <w:r w:rsidR="00695E59" w:rsidRPr="00695E59">
              <w:rPr>
                <w:rFonts w:eastAsiaTheme="minorEastAsia"/>
                <w:lang w:val="en-GB" w:eastAsia="en-GB"/>
              </w:rPr>
              <w:tab/>
            </w:r>
            <w:r w:rsidR="00695E59" w:rsidRPr="00695E59">
              <w:rPr>
                <w:rStyle w:val="Lienhypertexte"/>
              </w:rPr>
              <w:t>Procédure de surveillance, de traitement et de suivi des incidents de sécurité et des réclamations clients</w:t>
            </w:r>
            <w:r w:rsidR="00695E59" w:rsidRPr="00695E59">
              <w:rPr>
                <w:webHidden/>
              </w:rPr>
              <w:tab/>
            </w:r>
            <w:r w:rsidR="00695E59" w:rsidRPr="00695E59">
              <w:rPr>
                <w:webHidden/>
              </w:rPr>
              <w:fldChar w:fldCharType="begin"/>
            </w:r>
            <w:r w:rsidR="00695E59" w:rsidRPr="00695E59">
              <w:rPr>
                <w:webHidden/>
              </w:rPr>
              <w:instrText xml:space="preserve"> PAGEREF _Toc78984796 \h </w:instrText>
            </w:r>
            <w:r w:rsidR="00695E59" w:rsidRPr="00695E59">
              <w:rPr>
                <w:webHidden/>
              </w:rPr>
            </w:r>
            <w:r w:rsidR="00695E59" w:rsidRPr="00695E59">
              <w:rPr>
                <w:webHidden/>
              </w:rPr>
              <w:fldChar w:fldCharType="separate"/>
            </w:r>
            <w:r w:rsidR="00695E59" w:rsidRPr="00695E59">
              <w:rPr>
                <w:webHidden/>
              </w:rPr>
              <w:t>12</w:t>
            </w:r>
            <w:r w:rsidR="00695E59" w:rsidRPr="00695E59">
              <w:rPr>
                <w:webHidden/>
              </w:rPr>
              <w:fldChar w:fldCharType="end"/>
            </w:r>
          </w:hyperlink>
        </w:p>
        <w:p w14:paraId="13C94F6A" w14:textId="1A2A1ACC" w:rsidR="00695E59" w:rsidRPr="00695E59" w:rsidRDefault="00616F7D" w:rsidP="00695E59">
          <w:pPr>
            <w:pStyle w:val="TM2"/>
            <w:rPr>
              <w:rFonts w:eastAsiaTheme="minorEastAsia"/>
              <w:lang w:val="en-GB" w:eastAsia="en-GB"/>
            </w:rPr>
          </w:pPr>
          <w:hyperlink w:anchor="_Toc78984797" w:history="1">
            <w:r w:rsidR="00695E59" w:rsidRPr="00695E59">
              <w:rPr>
                <w:rStyle w:val="Lienhypertexte"/>
              </w:rPr>
              <w:t>B.</w:t>
            </w:r>
            <w:r w:rsidR="00695E59" w:rsidRPr="00695E59">
              <w:rPr>
                <w:rFonts w:eastAsiaTheme="minorEastAsia"/>
                <w:lang w:val="en-GB" w:eastAsia="en-GB"/>
              </w:rPr>
              <w:tab/>
            </w:r>
            <w:r w:rsidR="00695E59" w:rsidRPr="00695E59">
              <w:rPr>
                <w:rStyle w:val="Lienhypertexte"/>
              </w:rPr>
              <w:t>Procédures pour restreindre, enregistrer, surveiller, et tracer l’accès aux données de paiement sensibles et garder la trace de ces accès</w:t>
            </w:r>
            <w:r w:rsidR="00695E59" w:rsidRPr="00695E59">
              <w:rPr>
                <w:webHidden/>
              </w:rPr>
              <w:tab/>
            </w:r>
            <w:r w:rsidR="00695E59" w:rsidRPr="00695E59">
              <w:rPr>
                <w:webHidden/>
              </w:rPr>
              <w:fldChar w:fldCharType="begin"/>
            </w:r>
            <w:r w:rsidR="00695E59" w:rsidRPr="00695E59">
              <w:rPr>
                <w:webHidden/>
              </w:rPr>
              <w:instrText xml:space="preserve"> PAGEREF _Toc78984797 \h </w:instrText>
            </w:r>
            <w:r w:rsidR="00695E59" w:rsidRPr="00695E59">
              <w:rPr>
                <w:webHidden/>
              </w:rPr>
            </w:r>
            <w:r w:rsidR="00695E59" w:rsidRPr="00695E59">
              <w:rPr>
                <w:webHidden/>
              </w:rPr>
              <w:fldChar w:fldCharType="separate"/>
            </w:r>
            <w:r w:rsidR="00695E59" w:rsidRPr="00695E59">
              <w:rPr>
                <w:webHidden/>
              </w:rPr>
              <w:t>12</w:t>
            </w:r>
            <w:r w:rsidR="00695E59" w:rsidRPr="00695E59">
              <w:rPr>
                <w:webHidden/>
              </w:rPr>
              <w:fldChar w:fldCharType="end"/>
            </w:r>
          </w:hyperlink>
        </w:p>
        <w:p w14:paraId="2CF84CCE" w14:textId="43746215" w:rsidR="00695E59" w:rsidRDefault="00616F7D">
          <w:pPr>
            <w:pStyle w:val="TM1"/>
            <w:rPr>
              <w:rFonts w:asciiTheme="minorHAnsi" w:eastAsiaTheme="minorEastAsia" w:hAnsiTheme="minorHAnsi" w:cstheme="minorBidi"/>
              <w:b w:val="0"/>
              <w:sz w:val="22"/>
              <w:lang w:val="en-GB" w:eastAsia="en-GB"/>
            </w:rPr>
          </w:pPr>
          <w:hyperlink w:anchor="_Toc78984798" w:history="1">
            <w:r w:rsidR="00695E59" w:rsidRPr="009A71EF">
              <w:rPr>
                <w:rStyle w:val="Lienhypertexte"/>
              </w:rPr>
              <w:t>5.</w:t>
            </w:r>
            <w:r w:rsidR="00695E59">
              <w:rPr>
                <w:rFonts w:asciiTheme="minorHAnsi" w:eastAsiaTheme="minorEastAsia" w:hAnsiTheme="minorHAnsi" w:cstheme="minorBidi"/>
                <w:b w:val="0"/>
                <w:sz w:val="22"/>
                <w:lang w:val="en-GB" w:eastAsia="en-GB"/>
              </w:rPr>
              <w:tab/>
            </w:r>
            <w:r w:rsidR="00695E59" w:rsidRPr="009A71EF">
              <w:rPr>
                <w:rStyle w:val="Lienhypertexte"/>
              </w:rPr>
              <w:t>Dispositif de continuité d’activité et politique de sécurité</w:t>
            </w:r>
            <w:r w:rsidR="00695E59">
              <w:rPr>
                <w:webHidden/>
              </w:rPr>
              <w:tab/>
            </w:r>
            <w:r w:rsidR="00695E59">
              <w:rPr>
                <w:webHidden/>
              </w:rPr>
              <w:fldChar w:fldCharType="begin"/>
            </w:r>
            <w:r w:rsidR="00695E59">
              <w:rPr>
                <w:webHidden/>
              </w:rPr>
              <w:instrText xml:space="preserve"> PAGEREF _Toc78984798 \h </w:instrText>
            </w:r>
            <w:r w:rsidR="00695E59">
              <w:rPr>
                <w:webHidden/>
              </w:rPr>
            </w:r>
            <w:r w:rsidR="00695E59">
              <w:rPr>
                <w:webHidden/>
              </w:rPr>
              <w:fldChar w:fldCharType="separate"/>
            </w:r>
            <w:r w:rsidR="00695E59">
              <w:rPr>
                <w:webHidden/>
              </w:rPr>
              <w:t>13</w:t>
            </w:r>
            <w:r w:rsidR="00695E59">
              <w:rPr>
                <w:webHidden/>
              </w:rPr>
              <w:fldChar w:fldCharType="end"/>
            </w:r>
          </w:hyperlink>
        </w:p>
        <w:p w14:paraId="4CA7569F" w14:textId="38167BB8" w:rsidR="00695E59" w:rsidRPr="00695E59" w:rsidRDefault="00616F7D" w:rsidP="00695E59">
          <w:pPr>
            <w:pStyle w:val="TM2"/>
            <w:rPr>
              <w:rFonts w:eastAsiaTheme="minorEastAsia"/>
              <w:lang w:val="en-GB" w:eastAsia="en-GB"/>
            </w:rPr>
          </w:pPr>
          <w:hyperlink w:anchor="_Toc78984799" w:history="1">
            <w:r w:rsidR="00695E59" w:rsidRPr="00695E59">
              <w:rPr>
                <w:rStyle w:val="Lienhypertexte"/>
              </w:rPr>
              <w:t>A.</w:t>
            </w:r>
            <w:r w:rsidR="00695E59" w:rsidRPr="00695E59">
              <w:rPr>
                <w:rFonts w:eastAsiaTheme="minorEastAsia"/>
                <w:lang w:val="en-GB" w:eastAsia="en-GB"/>
              </w:rPr>
              <w:tab/>
            </w:r>
            <w:r w:rsidR="00695E59" w:rsidRPr="00695E59">
              <w:rPr>
                <w:rStyle w:val="Lienhypertexte"/>
              </w:rPr>
              <w:t>Continuité d’activité</w:t>
            </w:r>
            <w:r w:rsidR="00695E59" w:rsidRPr="00695E59">
              <w:rPr>
                <w:webHidden/>
              </w:rPr>
              <w:tab/>
            </w:r>
            <w:r w:rsidR="00695E59" w:rsidRPr="00695E59">
              <w:rPr>
                <w:webHidden/>
              </w:rPr>
              <w:fldChar w:fldCharType="begin"/>
            </w:r>
            <w:r w:rsidR="00695E59" w:rsidRPr="00695E59">
              <w:rPr>
                <w:webHidden/>
              </w:rPr>
              <w:instrText xml:space="preserve"> PAGEREF _Toc78984799 \h </w:instrText>
            </w:r>
            <w:r w:rsidR="00695E59" w:rsidRPr="00695E59">
              <w:rPr>
                <w:webHidden/>
              </w:rPr>
            </w:r>
            <w:r w:rsidR="00695E59" w:rsidRPr="00695E59">
              <w:rPr>
                <w:webHidden/>
              </w:rPr>
              <w:fldChar w:fldCharType="separate"/>
            </w:r>
            <w:r w:rsidR="00695E59" w:rsidRPr="00695E59">
              <w:rPr>
                <w:webHidden/>
              </w:rPr>
              <w:t>13</w:t>
            </w:r>
            <w:r w:rsidR="00695E59" w:rsidRPr="00695E59">
              <w:rPr>
                <w:webHidden/>
              </w:rPr>
              <w:fldChar w:fldCharType="end"/>
            </w:r>
          </w:hyperlink>
        </w:p>
        <w:p w14:paraId="4AB2FF28" w14:textId="160E36C9" w:rsidR="00695E59" w:rsidRDefault="00616F7D" w:rsidP="00695E59">
          <w:pPr>
            <w:pStyle w:val="TM2"/>
            <w:rPr>
              <w:rFonts w:eastAsiaTheme="minorEastAsia"/>
              <w:lang w:val="en-GB" w:eastAsia="en-GB"/>
            </w:rPr>
          </w:pPr>
          <w:hyperlink w:anchor="_Toc78984800" w:history="1">
            <w:r w:rsidR="00695E59" w:rsidRPr="00695E59">
              <w:rPr>
                <w:rStyle w:val="Lienhypertexte"/>
              </w:rPr>
              <w:t>B.</w:t>
            </w:r>
            <w:r w:rsidR="00695E59">
              <w:rPr>
                <w:rFonts w:eastAsiaTheme="minorEastAsia"/>
                <w:lang w:val="en-GB" w:eastAsia="en-GB"/>
              </w:rPr>
              <w:tab/>
            </w:r>
            <w:r w:rsidR="00695E59" w:rsidRPr="00695E59">
              <w:rPr>
                <w:rStyle w:val="Lienhypertexte"/>
              </w:rPr>
              <w:t>Politique de sécurité des services de paiement</w:t>
            </w:r>
            <w:r w:rsidR="00695E59">
              <w:rPr>
                <w:webHidden/>
              </w:rPr>
              <w:tab/>
            </w:r>
            <w:r w:rsidR="00695E59">
              <w:rPr>
                <w:webHidden/>
              </w:rPr>
              <w:fldChar w:fldCharType="begin"/>
            </w:r>
            <w:r w:rsidR="00695E59">
              <w:rPr>
                <w:webHidden/>
              </w:rPr>
              <w:instrText xml:space="preserve"> PAGEREF _Toc78984800 \h </w:instrText>
            </w:r>
            <w:r w:rsidR="00695E59">
              <w:rPr>
                <w:webHidden/>
              </w:rPr>
            </w:r>
            <w:r w:rsidR="00695E59">
              <w:rPr>
                <w:webHidden/>
              </w:rPr>
              <w:fldChar w:fldCharType="separate"/>
            </w:r>
            <w:r w:rsidR="00695E59">
              <w:rPr>
                <w:webHidden/>
              </w:rPr>
              <w:t>13</w:t>
            </w:r>
            <w:r w:rsidR="00695E59">
              <w:rPr>
                <w:webHidden/>
              </w:rPr>
              <w:fldChar w:fldCharType="end"/>
            </w:r>
          </w:hyperlink>
        </w:p>
        <w:p w14:paraId="1C7D0976" w14:textId="27FBFC08" w:rsidR="006720D4" w:rsidRPr="00DA2E14" w:rsidRDefault="006720D4" w:rsidP="006720D4">
          <w:pPr>
            <w:rPr>
              <w:rFonts w:ascii="Arial" w:hAnsi="Arial" w:cs="Arial"/>
              <w:sz w:val="20"/>
            </w:rPr>
          </w:pPr>
          <w:r w:rsidRPr="00DA2E14">
            <w:rPr>
              <w:rFonts w:ascii="Arial" w:hAnsi="Arial" w:cs="Arial"/>
              <w:bCs/>
              <w:sz w:val="20"/>
            </w:rPr>
            <w:fldChar w:fldCharType="end"/>
          </w:r>
        </w:p>
      </w:sdtContent>
    </w:sdt>
    <w:p w14:paraId="03E0BA74" w14:textId="77777777" w:rsidR="006720D4" w:rsidRPr="00DA2E14" w:rsidRDefault="006720D4" w:rsidP="006720D4">
      <w:pPr>
        <w:spacing w:after="200"/>
        <w:rPr>
          <w:rFonts w:ascii="Arial" w:hAnsi="Arial" w:cs="Arial"/>
          <w:sz w:val="20"/>
        </w:rPr>
      </w:pPr>
      <w:r w:rsidRPr="00DA2E14">
        <w:rPr>
          <w:rFonts w:ascii="Arial" w:hAnsi="Arial" w:cs="Arial"/>
          <w:sz w:val="20"/>
        </w:rPr>
        <w:br w:type="page"/>
      </w:r>
    </w:p>
    <w:p w14:paraId="5F5DABA9" w14:textId="77777777" w:rsidR="002F7CBA" w:rsidRPr="002F7CBA" w:rsidRDefault="002F7CBA" w:rsidP="002F7CBA">
      <w:pPr>
        <w:pStyle w:val="Paragraphedeliste"/>
        <w:numPr>
          <w:ilvl w:val="0"/>
          <w:numId w:val="3"/>
        </w:numPr>
        <w:pBdr>
          <w:top w:val="thickThinSmallGap" w:sz="24" w:space="1" w:color="365F91"/>
          <w:left w:val="thickThinSmallGap" w:sz="24" w:space="15" w:color="365F91"/>
          <w:bottom w:val="thinThickSmallGap" w:sz="24" w:space="1" w:color="365F91"/>
          <w:right w:val="thinThickSmallGap" w:sz="24" w:space="4" w:color="365F91"/>
        </w:pBdr>
        <w:shd w:val="clear" w:color="auto" w:fill="085194"/>
        <w:spacing w:line="240" w:lineRule="auto"/>
        <w:outlineLvl w:val="0"/>
        <w:rPr>
          <w:rFonts w:ascii="Arial" w:eastAsia="Times New Roman" w:hAnsi="Arial" w:cs="Arial"/>
          <w:b/>
          <w:color w:val="FFFFFF"/>
          <w:sz w:val="28"/>
          <w:szCs w:val="28"/>
          <w:lang w:eastAsia="fr-FR"/>
        </w:rPr>
      </w:pPr>
      <w:bookmarkStart w:id="1" w:name="_Toc507679347"/>
      <w:bookmarkStart w:id="2" w:name="_Toc78984780"/>
      <w:r w:rsidRPr="002F7CBA">
        <w:rPr>
          <w:rFonts w:ascii="Arial" w:eastAsia="Times New Roman" w:hAnsi="Arial" w:cs="Arial"/>
          <w:b/>
          <w:color w:val="FFFFFF"/>
          <w:sz w:val="28"/>
          <w:szCs w:val="28"/>
          <w:lang w:eastAsia="fr-FR"/>
        </w:rPr>
        <w:lastRenderedPageBreak/>
        <w:t>Programme d’activité</w:t>
      </w:r>
      <w:bookmarkEnd w:id="1"/>
      <w:bookmarkEnd w:id="2"/>
    </w:p>
    <w:p w14:paraId="278F6317" w14:textId="77777777" w:rsidR="002F7CBA" w:rsidRPr="002F7CBA" w:rsidRDefault="002F7CBA" w:rsidP="002F7CBA">
      <w:pPr>
        <w:jc w:val="both"/>
        <w:rPr>
          <w:rFonts w:ascii="Arial" w:eastAsia="Calibri" w:hAnsi="Arial" w:cs="Arial"/>
          <w:sz w:val="20"/>
          <w:szCs w:val="20"/>
        </w:rPr>
      </w:pPr>
    </w:p>
    <w:tbl>
      <w:tblPr>
        <w:tblW w:w="0" w:type="auto"/>
        <w:shd w:val="clear" w:color="auto" w:fill="D9D9D9"/>
        <w:tblLook w:val="01E0" w:firstRow="1" w:lastRow="1" w:firstColumn="1" w:lastColumn="1" w:noHBand="0" w:noVBand="0"/>
      </w:tblPr>
      <w:tblGrid>
        <w:gridCol w:w="3615"/>
        <w:gridCol w:w="5457"/>
      </w:tblGrid>
      <w:tr w:rsidR="002F7CBA" w:rsidRPr="002F7CBA" w14:paraId="22E8269E" w14:textId="77777777" w:rsidTr="006739F9">
        <w:tc>
          <w:tcPr>
            <w:tcW w:w="3652" w:type="dxa"/>
            <w:shd w:val="clear" w:color="auto" w:fill="auto"/>
          </w:tcPr>
          <w:p w14:paraId="42D92406" w14:textId="77777777" w:rsidR="002F7CBA" w:rsidRPr="002F7CBA" w:rsidRDefault="002F7CBA" w:rsidP="002F7CBA">
            <w:pPr>
              <w:rPr>
                <w:rFonts w:ascii="Arial" w:eastAsia="Calibri" w:hAnsi="Arial" w:cs="Arial"/>
                <w:sz w:val="20"/>
              </w:rPr>
            </w:pPr>
            <w:r w:rsidRPr="002F7CBA">
              <w:rPr>
                <w:rFonts w:ascii="Arial" w:eastAsia="Calibri" w:hAnsi="Arial" w:cs="Arial"/>
                <w:sz w:val="20"/>
              </w:rPr>
              <w:t>Date prévue de démarrage effectif de l’activité </w:t>
            </w:r>
          </w:p>
        </w:tc>
        <w:tc>
          <w:tcPr>
            <w:tcW w:w="5528" w:type="dxa"/>
            <w:shd w:val="clear" w:color="auto" w:fill="C6D9F1"/>
          </w:tcPr>
          <w:p w14:paraId="1F47DCA3" w14:textId="77777777" w:rsidR="002F7CBA" w:rsidRPr="002F7CBA" w:rsidRDefault="002F7CBA" w:rsidP="002F7CBA">
            <w:pPr>
              <w:rPr>
                <w:rFonts w:ascii="Arial" w:eastAsia="Calibri" w:hAnsi="Arial" w:cs="Arial"/>
                <w:sz w:val="20"/>
              </w:rPr>
            </w:pPr>
            <w:r w:rsidRPr="002F7CBA">
              <w:rPr>
                <w:rFonts w:ascii="Arial" w:eastAsia="Calibri" w:hAnsi="Arial" w:cs="Arial"/>
                <w:sz w:val="20"/>
              </w:rPr>
              <w:fldChar w:fldCharType="begin">
                <w:ffData>
                  <w:name w:val="Texte3"/>
                  <w:enabled/>
                  <w:calcOnExit w:val="0"/>
                  <w:textInput/>
                </w:ffData>
              </w:fldChar>
            </w:r>
            <w:r w:rsidRPr="002F7CBA">
              <w:rPr>
                <w:rFonts w:ascii="Arial" w:eastAsia="Calibri" w:hAnsi="Arial" w:cs="Arial"/>
                <w:sz w:val="20"/>
              </w:rPr>
              <w:instrText xml:space="preserve"> FORMTEXT </w:instrText>
            </w:r>
            <w:r w:rsidRPr="002F7CBA">
              <w:rPr>
                <w:rFonts w:ascii="Arial" w:eastAsia="Calibri" w:hAnsi="Arial" w:cs="Arial"/>
                <w:sz w:val="20"/>
              </w:rPr>
            </w:r>
            <w:r w:rsidRPr="002F7CBA">
              <w:rPr>
                <w:rFonts w:ascii="Arial" w:eastAsia="Calibri" w:hAnsi="Arial" w:cs="Arial"/>
                <w:sz w:val="20"/>
              </w:rPr>
              <w:fldChar w:fldCharType="separate"/>
            </w:r>
            <w:r w:rsidRPr="002F7CBA">
              <w:rPr>
                <w:rFonts w:ascii="Arial" w:eastAsia="Calibri" w:hAnsi="Arial" w:cs="Arial"/>
                <w:noProof/>
                <w:sz w:val="20"/>
              </w:rPr>
              <w:t> </w:t>
            </w:r>
            <w:r w:rsidRPr="002F7CBA">
              <w:rPr>
                <w:rFonts w:ascii="Arial" w:eastAsia="Calibri" w:hAnsi="Arial" w:cs="Arial"/>
                <w:noProof/>
                <w:sz w:val="20"/>
              </w:rPr>
              <w:t> </w:t>
            </w:r>
            <w:r w:rsidRPr="002F7CBA">
              <w:rPr>
                <w:rFonts w:ascii="Arial" w:eastAsia="Calibri" w:hAnsi="Arial" w:cs="Arial"/>
                <w:noProof/>
                <w:sz w:val="20"/>
              </w:rPr>
              <w:t> </w:t>
            </w:r>
            <w:r w:rsidRPr="002F7CBA">
              <w:rPr>
                <w:rFonts w:ascii="Arial" w:eastAsia="Calibri" w:hAnsi="Arial" w:cs="Arial"/>
                <w:noProof/>
                <w:sz w:val="20"/>
              </w:rPr>
              <w:t> </w:t>
            </w:r>
            <w:r w:rsidRPr="002F7CBA">
              <w:rPr>
                <w:rFonts w:ascii="Arial" w:eastAsia="Calibri" w:hAnsi="Arial" w:cs="Arial"/>
                <w:noProof/>
                <w:sz w:val="20"/>
              </w:rPr>
              <w:t> </w:t>
            </w:r>
            <w:r w:rsidRPr="002F7CBA">
              <w:rPr>
                <w:rFonts w:ascii="Arial" w:eastAsia="Calibri" w:hAnsi="Arial" w:cs="Arial"/>
                <w:sz w:val="20"/>
              </w:rPr>
              <w:fldChar w:fldCharType="end"/>
            </w:r>
          </w:p>
        </w:tc>
      </w:tr>
    </w:tbl>
    <w:p w14:paraId="3F1E473A" w14:textId="77777777" w:rsidR="002F7CBA" w:rsidRPr="002F7CBA" w:rsidRDefault="002F7CBA" w:rsidP="002F7CBA">
      <w:pPr>
        <w:spacing w:line="240" w:lineRule="auto"/>
        <w:rPr>
          <w:rFonts w:ascii="Arial" w:eastAsia="Times New Roman" w:hAnsi="Arial" w:cs="Arial"/>
          <w:sz w:val="20"/>
          <w:szCs w:val="20"/>
          <w:lang w:eastAsia="fr-FR"/>
        </w:rPr>
      </w:pPr>
    </w:p>
    <w:p w14:paraId="079F4F05" w14:textId="77777777" w:rsidR="002F7CBA" w:rsidRPr="002F7CBA" w:rsidRDefault="002F7CBA" w:rsidP="002F7CBA">
      <w:pPr>
        <w:pStyle w:val="Paragraphedeliste"/>
        <w:numPr>
          <w:ilvl w:val="0"/>
          <w:numId w:val="2"/>
        </w:numPr>
        <w:spacing w:line="240" w:lineRule="auto"/>
        <w:outlineLvl w:val="1"/>
        <w:rPr>
          <w:rFonts w:ascii="Arial" w:eastAsia="Times New Roman" w:hAnsi="Arial" w:cs="Arial"/>
          <w:b/>
          <w:color w:val="1F497D"/>
          <w:sz w:val="28"/>
          <w:szCs w:val="28"/>
          <w:lang w:eastAsia="fr-FR"/>
        </w:rPr>
      </w:pPr>
      <w:bookmarkStart w:id="3" w:name="_Toc507679348"/>
      <w:bookmarkStart w:id="4" w:name="_Toc78984781"/>
      <w:r w:rsidRPr="002F7CBA">
        <w:rPr>
          <w:rFonts w:ascii="Arial" w:eastAsia="Times New Roman" w:hAnsi="Arial" w:cs="Arial"/>
          <w:b/>
          <w:color w:val="1F497D"/>
          <w:sz w:val="28"/>
          <w:szCs w:val="28"/>
          <w:lang w:eastAsia="fr-FR"/>
        </w:rPr>
        <w:t>Services de paiement</w:t>
      </w:r>
      <w:bookmarkEnd w:id="3"/>
      <w:bookmarkEnd w:id="4"/>
    </w:p>
    <w:p w14:paraId="05A72938" w14:textId="77777777" w:rsidR="002F7CBA" w:rsidRPr="002F7CBA" w:rsidRDefault="002F7CBA" w:rsidP="002F7CBA">
      <w:pPr>
        <w:tabs>
          <w:tab w:val="left" w:pos="709"/>
        </w:tabs>
        <w:spacing w:line="240" w:lineRule="auto"/>
        <w:rPr>
          <w:rFonts w:ascii="Arial" w:eastAsia="Times New Roman" w:hAnsi="Arial" w:cs="Arial"/>
          <w:i/>
          <w:sz w:val="20"/>
          <w:szCs w:val="20"/>
          <w:lang w:eastAsia="fr-FR"/>
        </w:rPr>
      </w:pPr>
      <w:r w:rsidRPr="002F7CBA">
        <w:rPr>
          <w:rFonts w:ascii="Arial" w:eastAsia="Times New Roman" w:hAnsi="Arial" w:cs="Arial"/>
          <w:i/>
          <w:sz w:val="20"/>
          <w:szCs w:val="20"/>
          <w:lang w:eastAsia="fr-FR"/>
        </w:rPr>
        <w:tab/>
        <w:t>(Article L. 314-1, II du Code monétaire et financier)</w:t>
      </w:r>
    </w:p>
    <w:p w14:paraId="78E4F7DF" w14:textId="77777777" w:rsidR="002F7CBA" w:rsidRPr="002F7CBA" w:rsidRDefault="002F7CBA" w:rsidP="002F7CBA">
      <w:pPr>
        <w:spacing w:line="240" w:lineRule="auto"/>
        <w:rPr>
          <w:rFonts w:ascii="Arial" w:eastAsia="Times New Roman" w:hAnsi="Arial" w:cs="Arial"/>
          <w:sz w:val="20"/>
          <w:szCs w:val="20"/>
          <w:lang w:eastAsia="fr-FR"/>
        </w:rPr>
      </w:pPr>
    </w:p>
    <w:p w14:paraId="03061E80" w14:textId="77777777" w:rsidR="002F7CBA" w:rsidRPr="002F7CBA" w:rsidRDefault="002F7CBA" w:rsidP="002F7CBA">
      <w:pPr>
        <w:jc w:val="both"/>
        <w:rPr>
          <w:rFonts w:ascii="Arial" w:eastAsia="Calibri" w:hAnsi="Arial" w:cs="Arial"/>
          <w:sz w:val="20"/>
          <w:szCs w:val="20"/>
        </w:rPr>
      </w:pPr>
      <w:r w:rsidRPr="002F7CBA">
        <w:rPr>
          <w:rFonts w:ascii="Arial" w:eastAsia="Calibri" w:hAnsi="Arial" w:cs="Arial"/>
          <w:sz w:val="20"/>
          <w:szCs w:val="20"/>
        </w:rPr>
        <w:t>Indiquer le(s) type(s) de service de paiement envisagés :</w:t>
      </w:r>
    </w:p>
    <w:p w14:paraId="1CCCCAFA" w14:textId="77777777" w:rsidR="002F7CBA" w:rsidRPr="002F7CBA" w:rsidRDefault="002F7CBA" w:rsidP="002F7CBA">
      <w:pPr>
        <w:jc w:val="both"/>
        <w:rPr>
          <w:rFonts w:ascii="Arial" w:eastAsia="Calibri" w:hAnsi="Arial" w:cs="Arial"/>
          <w:sz w:val="20"/>
          <w:szCs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6520"/>
        <w:gridCol w:w="851"/>
      </w:tblGrid>
      <w:tr w:rsidR="002F7CBA" w:rsidRPr="002F7CBA" w14:paraId="3BCBCB11" w14:textId="77777777" w:rsidTr="006739F9">
        <w:tc>
          <w:tcPr>
            <w:tcW w:w="567" w:type="dxa"/>
            <w:vAlign w:val="center"/>
          </w:tcPr>
          <w:p w14:paraId="77938E52"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1°</w:t>
            </w:r>
          </w:p>
        </w:tc>
        <w:tc>
          <w:tcPr>
            <w:tcW w:w="7087" w:type="dxa"/>
            <w:gridSpan w:val="2"/>
            <w:vAlign w:val="center"/>
          </w:tcPr>
          <w:p w14:paraId="72C7C4CA" w14:textId="77777777" w:rsidR="002F7CBA" w:rsidRPr="002F7CBA" w:rsidRDefault="002F7CBA" w:rsidP="002F7CBA">
            <w:pPr>
              <w:spacing w:before="60"/>
              <w:rPr>
                <w:rFonts w:ascii="Arial" w:eastAsia="Calibri" w:hAnsi="Arial" w:cs="Arial"/>
                <w:sz w:val="20"/>
                <w:szCs w:val="20"/>
              </w:rPr>
            </w:pPr>
            <w:r w:rsidRPr="002F7CBA">
              <w:rPr>
                <w:rFonts w:ascii="Arial" w:eastAsia="Calibri" w:hAnsi="Arial" w:cs="Arial"/>
                <w:sz w:val="20"/>
                <w:szCs w:val="20"/>
              </w:rPr>
              <w:t>Services permettant le versement d’espèces sur un compte de paiement et les opérations de gestion d’un compte de paiement</w:t>
            </w:r>
          </w:p>
        </w:tc>
        <w:tc>
          <w:tcPr>
            <w:tcW w:w="851" w:type="dxa"/>
            <w:vAlign w:val="center"/>
          </w:tcPr>
          <w:p w14:paraId="74D573E3"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616F7D">
              <w:rPr>
                <w:rFonts w:ascii="Arial" w:eastAsia="Calibri" w:hAnsi="Arial" w:cs="Arial"/>
                <w:sz w:val="20"/>
              </w:rPr>
            </w:r>
            <w:r w:rsidR="00616F7D">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11CCF78F" w14:textId="77777777" w:rsidTr="006739F9">
        <w:tc>
          <w:tcPr>
            <w:tcW w:w="567" w:type="dxa"/>
            <w:vAlign w:val="center"/>
          </w:tcPr>
          <w:p w14:paraId="143A31E8"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2°</w:t>
            </w:r>
          </w:p>
        </w:tc>
        <w:tc>
          <w:tcPr>
            <w:tcW w:w="7087" w:type="dxa"/>
            <w:gridSpan w:val="2"/>
            <w:vAlign w:val="center"/>
          </w:tcPr>
          <w:p w14:paraId="179945E2" w14:textId="77777777" w:rsidR="002F7CBA" w:rsidRPr="002F7CBA" w:rsidRDefault="002F7CBA" w:rsidP="002F7CBA">
            <w:pPr>
              <w:rPr>
                <w:rFonts w:ascii="Arial" w:eastAsia="Calibri" w:hAnsi="Arial" w:cs="Arial"/>
              </w:rPr>
            </w:pPr>
            <w:r w:rsidRPr="002F7CBA">
              <w:rPr>
                <w:rFonts w:ascii="Arial" w:eastAsia="Calibri" w:hAnsi="Arial" w:cs="Arial"/>
                <w:sz w:val="20"/>
                <w:szCs w:val="20"/>
              </w:rPr>
              <w:t>Services permettant le retrait d’espèces sur un compte de paiement et les opérations de gestion d’un compte de paiement</w:t>
            </w:r>
          </w:p>
        </w:tc>
        <w:tc>
          <w:tcPr>
            <w:tcW w:w="851" w:type="dxa"/>
            <w:vAlign w:val="center"/>
          </w:tcPr>
          <w:p w14:paraId="6E1AB635"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616F7D">
              <w:rPr>
                <w:rFonts w:ascii="Arial" w:eastAsia="Calibri" w:hAnsi="Arial" w:cs="Arial"/>
                <w:sz w:val="20"/>
              </w:rPr>
            </w:r>
            <w:r w:rsidR="00616F7D">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08AF6141" w14:textId="77777777" w:rsidTr="006739F9">
        <w:tc>
          <w:tcPr>
            <w:tcW w:w="567" w:type="dxa"/>
            <w:vAlign w:val="center"/>
          </w:tcPr>
          <w:p w14:paraId="7F41D66D"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3°</w:t>
            </w:r>
          </w:p>
        </w:tc>
        <w:tc>
          <w:tcPr>
            <w:tcW w:w="7087" w:type="dxa"/>
            <w:gridSpan w:val="2"/>
            <w:vAlign w:val="center"/>
          </w:tcPr>
          <w:p w14:paraId="1BCC1D9E"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 xml:space="preserve">Exécution des opérations de paiement suivantes associées à un compte de paiement : </w:t>
            </w:r>
          </w:p>
        </w:tc>
        <w:tc>
          <w:tcPr>
            <w:tcW w:w="851" w:type="dxa"/>
            <w:vAlign w:val="center"/>
          </w:tcPr>
          <w:p w14:paraId="0099005B"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p>
        </w:tc>
      </w:tr>
      <w:tr w:rsidR="002F7CBA" w:rsidRPr="002F7CBA" w14:paraId="399DAF61" w14:textId="77777777" w:rsidTr="006739F9">
        <w:tc>
          <w:tcPr>
            <w:tcW w:w="567" w:type="dxa"/>
            <w:vMerge w:val="restart"/>
            <w:vAlign w:val="center"/>
          </w:tcPr>
          <w:p w14:paraId="4B32A4F3" w14:textId="77777777" w:rsidR="002F7CBA" w:rsidRPr="002F7CBA" w:rsidRDefault="002F7CBA" w:rsidP="002F7CBA">
            <w:pPr>
              <w:jc w:val="center"/>
              <w:rPr>
                <w:rFonts w:ascii="Arial" w:eastAsia="Calibri" w:hAnsi="Arial" w:cs="Arial"/>
                <w:sz w:val="20"/>
                <w:szCs w:val="20"/>
              </w:rPr>
            </w:pPr>
          </w:p>
        </w:tc>
        <w:tc>
          <w:tcPr>
            <w:tcW w:w="567" w:type="dxa"/>
            <w:vAlign w:val="center"/>
          </w:tcPr>
          <w:p w14:paraId="70EED54E"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a)</w:t>
            </w:r>
          </w:p>
        </w:tc>
        <w:tc>
          <w:tcPr>
            <w:tcW w:w="6520" w:type="dxa"/>
            <w:vAlign w:val="center"/>
          </w:tcPr>
          <w:p w14:paraId="1579FD63"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les prélèvements, y compris les prélèvements autorisés unitairement</w:t>
            </w:r>
          </w:p>
        </w:tc>
        <w:tc>
          <w:tcPr>
            <w:tcW w:w="851" w:type="dxa"/>
            <w:vAlign w:val="center"/>
          </w:tcPr>
          <w:p w14:paraId="03FA6FBF"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616F7D">
              <w:rPr>
                <w:rFonts w:ascii="Arial" w:eastAsia="Calibri" w:hAnsi="Arial" w:cs="Arial"/>
                <w:sz w:val="20"/>
              </w:rPr>
            </w:r>
            <w:r w:rsidR="00616F7D">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3E0DFFB9" w14:textId="77777777" w:rsidTr="006739F9">
        <w:tc>
          <w:tcPr>
            <w:tcW w:w="567" w:type="dxa"/>
            <w:vMerge/>
            <w:vAlign w:val="center"/>
          </w:tcPr>
          <w:p w14:paraId="715DF088" w14:textId="77777777" w:rsidR="002F7CBA" w:rsidRPr="002F7CBA" w:rsidRDefault="002F7CBA" w:rsidP="002F7CBA">
            <w:pPr>
              <w:jc w:val="center"/>
              <w:rPr>
                <w:rFonts w:ascii="Arial" w:eastAsia="Calibri" w:hAnsi="Arial" w:cs="Arial"/>
                <w:sz w:val="20"/>
                <w:szCs w:val="20"/>
              </w:rPr>
            </w:pPr>
          </w:p>
        </w:tc>
        <w:tc>
          <w:tcPr>
            <w:tcW w:w="567" w:type="dxa"/>
            <w:vAlign w:val="center"/>
          </w:tcPr>
          <w:p w14:paraId="3BE17882"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b)</w:t>
            </w:r>
          </w:p>
        </w:tc>
        <w:tc>
          <w:tcPr>
            <w:tcW w:w="6520" w:type="dxa"/>
            <w:vAlign w:val="center"/>
          </w:tcPr>
          <w:p w14:paraId="53D8EAAB"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les opérations de paiement effectuées avec une carte de paiement ou un dispositif similaire</w:t>
            </w:r>
          </w:p>
        </w:tc>
        <w:tc>
          <w:tcPr>
            <w:tcW w:w="851" w:type="dxa"/>
            <w:vAlign w:val="center"/>
          </w:tcPr>
          <w:p w14:paraId="43AF7AFC"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616F7D">
              <w:rPr>
                <w:rFonts w:ascii="Arial" w:eastAsia="Calibri" w:hAnsi="Arial" w:cs="Arial"/>
                <w:sz w:val="20"/>
              </w:rPr>
            </w:r>
            <w:r w:rsidR="00616F7D">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0B6E4144" w14:textId="77777777" w:rsidTr="006739F9">
        <w:tc>
          <w:tcPr>
            <w:tcW w:w="567" w:type="dxa"/>
            <w:vMerge/>
            <w:vAlign w:val="center"/>
          </w:tcPr>
          <w:p w14:paraId="3A181E72" w14:textId="77777777" w:rsidR="002F7CBA" w:rsidRPr="002F7CBA" w:rsidRDefault="002F7CBA" w:rsidP="002F7CBA">
            <w:pPr>
              <w:jc w:val="center"/>
              <w:rPr>
                <w:rFonts w:ascii="Arial" w:eastAsia="Calibri" w:hAnsi="Arial" w:cs="Arial"/>
                <w:sz w:val="20"/>
                <w:szCs w:val="20"/>
              </w:rPr>
            </w:pPr>
          </w:p>
        </w:tc>
        <w:tc>
          <w:tcPr>
            <w:tcW w:w="567" w:type="dxa"/>
            <w:vAlign w:val="center"/>
          </w:tcPr>
          <w:p w14:paraId="4A54C4C5"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c)</w:t>
            </w:r>
          </w:p>
        </w:tc>
        <w:tc>
          <w:tcPr>
            <w:tcW w:w="6520" w:type="dxa"/>
            <w:vAlign w:val="center"/>
          </w:tcPr>
          <w:p w14:paraId="310D8CBD"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les virements, y compris les ordres permanents</w:t>
            </w:r>
          </w:p>
        </w:tc>
        <w:tc>
          <w:tcPr>
            <w:tcW w:w="851" w:type="dxa"/>
            <w:vAlign w:val="center"/>
          </w:tcPr>
          <w:p w14:paraId="6FDCF9F6"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616F7D">
              <w:rPr>
                <w:rFonts w:ascii="Arial" w:eastAsia="Calibri" w:hAnsi="Arial" w:cs="Arial"/>
                <w:sz w:val="20"/>
              </w:rPr>
            </w:r>
            <w:r w:rsidR="00616F7D">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28BC1FA8" w14:textId="77777777" w:rsidTr="006739F9">
        <w:tc>
          <w:tcPr>
            <w:tcW w:w="567" w:type="dxa"/>
            <w:vAlign w:val="center"/>
          </w:tcPr>
          <w:p w14:paraId="1FCA7A96"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4°</w:t>
            </w:r>
          </w:p>
        </w:tc>
        <w:tc>
          <w:tcPr>
            <w:tcW w:w="7087" w:type="dxa"/>
            <w:gridSpan w:val="2"/>
            <w:vAlign w:val="center"/>
          </w:tcPr>
          <w:p w14:paraId="35CD9EC4"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Exécution des opérations de paiement suivantes associées à une ouverture de crédit :</w:t>
            </w:r>
          </w:p>
        </w:tc>
        <w:tc>
          <w:tcPr>
            <w:tcW w:w="851" w:type="dxa"/>
            <w:vAlign w:val="center"/>
          </w:tcPr>
          <w:p w14:paraId="2C50899D"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p>
        </w:tc>
      </w:tr>
      <w:tr w:rsidR="002F7CBA" w:rsidRPr="002F7CBA" w14:paraId="6473D425" w14:textId="77777777" w:rsidTr="006739F9">
        <w:tc>
          <w:tcPr>
            <w:tcW w:w="567" w:type="dxa"/>
            <w:vMerge w:val="restart"/>
            <w:vAlign w:val="center"/>
          </w:tcPr>
          <w:p w14:paraId="54173EC8" w14:textId="77777777" w:rsidR="002F7CBA" w:rsidRPr="002F7CBA" w:rsidRDefault="002F7CBA" w:rsidP="002F7CBA">
            <w:pPr>
              <w:jc w:val="center"/>
              <w:rPr>
                <w:rFonts w:ascii="Arial" w:eastAsia="Calibri" w:hAnsi="Arial" w:cs="Arial"/>
                <w:sz w:val="20"/>
                <w:szCs w:val="20"/>
              </w:rPr>
            </w:pPr>
          </w:p>
        </w:tc>
        <w:tc>
          <w:tcPr>
            <w:tcW w:w="567" w:type="dxa"/>
            <w:vAlign w:val="center"/>
          </w:tcPr>
          <w:p w14:paraId="1AD054D4"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a)</w:t>
            </w:r>
          </w:p>
        </w:tc>
        <w:tc>
          <w:tcPr>
            <w:tcW w:w="6520" w:type="dxa"/>
            <w:vAlign w:val="center"/>
          </w:tcPr>
          <w:p w14:paraId="4552F825"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les prélèvements, y compris les prélèvements autorisés unitairement</w:t>
            </w:r>
          </w:p>
        </w:tc>
        <w:tc>
          <w:tcPr>
            <w:tcW w:w="851" w:type="dxa"/>
            <w:vAlign w:val="center"/>
          </w:tcPr>
          <w:p w14:paraId="1B0686F3"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616F7D">
              <w:rPr>
                <w:rFonts w:ascii="Arial" w:eastAsia="Calibri" w:hAnsi="Arial" w:cs="Arial"/>
                <w:sz w:val="20"/>
              </w:rPr>
            </w:r>
            <w:r w:rsidR="00616F7D">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111C9834" w14:textId="77777777" w:rsidTr="006739F9">
        <w:tc>
          <w:tcPr>
            <w:tcW w:w="567" w:type="dxa"/>
            <w:vMerge/>
            <w:vAlign w:val="center"/>
          </w:tcPr>
          <w:p w14:paraId="4A9E6E4D" w14:textId="77777777" w:rsidR="002F7CBA" w:rsidRPr="002F7CBA" w:rsidRDefault="002F7CBA" w:rsidP="002F7CBA">
            <w:pPr>
              <w:jc w:val="center"/>
              <w:rPr>
                <w:rFonts w:ascii="Arial" w:eastAsia="Calibri" w:hAnsi="Arial" w:cs="Arial"/>
                <w:sz w:val="20"/>
                <w:szCs w:val="20"/>
              </w:rPr>
            </w:pPr>
          </w:p>
        </w:tc>
        <w:tc>
          <w:tcPr>
            <w:tcW w:w="567" w:type="dxa"/>
            <w:vAlign w:val="center"/>
          </w:tcPr>
          <w:p w14:paraId="3AFA582A"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b)</w:t>
            </w:r>
          </w:p>
        </w:tc>
        <w:tc>
          <w:tcPr>
            <w:tcW w:w="6520" w:type="dxa"/>
            <w:vAlign w:val="center"/>
          </w:tcPr>
          <w:p w14:paraId="31151515"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les opérations de paiement effectuées avec une carte de paiement ou un dispositif similaire</w:t>
            </w:r>
          </w:p>
        </w:tc>
        <w:tc>
          <w:tcPr>
            <w:tcW w:w="851" w:type="dxa"/>
            <w:vAlign w:val="center"/>
          </w:tcPr>
          <w:p w14:paraId="10D68798"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616F7D">
              <w:rPr>
                <w:rFonts w:ascii="Arial" w:eastAsia="Calibri" w:hAnsi="Arial" w:cs="Arial"/>
                <w:sz w:val="20"/>
              </w:rPr>
            </w:r>
            <w:r w:rsidR="00616F7D">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129BE08F" w14:textId="77777777" w:rsidTr="006739F9">
        <w:tc>
          <w:tcPr>
            <w:tcW w:w="567" w:type="dxa"/>
            <w:vMerge/>
            <w:vAlign w:val="center"/>
          </w:tcPr>
          <w:p w14:paraId="1107CF65" w14:textId="77777777" w:rsidR="002F7CBA" w:rsidRPr="002F7CBA" w:rsidRDefault="002F7CBA" w:rsidP="002F7CBA">
            <w:pPr>
              <w:jc w:val="center"/>
              <w:rPr>
                <w:rFonts w:ascii="Arial" w:eastAsia="Calibri" w:hAnsi="Arial" w:cs="Arial"/>
                <w:sz w:val="20"/>
                <w:szCs w:val="20"/>
              </w:rPr>
            </w:pPr>
          </w:p>
        </w:tc>
        <w:tc>
          <w:tcPr>
            <w:tcW w:w="567" w:type="dxa"/>
            <w:vAlign w:val="center"/>
          </w:tcPr>
          <w:p w14:paraId="73AC1A9F"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c)</w:t>
            </w:r>
          </w:p>
        </w:tc>
        <w:tc>
          <w:tcPr>
            <w:tcW w:w="6520" w:type="dxa"/>
            <w:vAlign w:val="center"/>
          </w:tcPr>
          <w:p w14:paraId="2C864A29"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les virements, y compris les ordres permanents</w:t>
            </w:r>
          </w:p>
        </w:tc>
        <w:tc>
          <w:tcPr>
            <w:tcW w:w="851" w:type="dxa"/>
            <w:vAlign w:val="center"/>
          </w:tcPr>
          <w:p w14:paraId="36D7DF3C"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616F7D">
              <w:rPr>
                <w:rFonts w:ascii="Arial" w:eastAsia="Calibri" w:hAnsi="Arial" w:cs="Arial"/>
                <w:sz w:val="20"/>
              </w:rPr>
            </w:r>
            <w:r w:rsidR="00616F7D">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000BE464" w14:textId="77777777" w:rsidTr="006739F9">
        <w:tc>
          <w:tcPr>
            <w:tcW w:w="567" w:type="dxa"/>
            <w:vAlign w:val="center"/>
          </w:tcPr>
          <w:p w14:paraId="010286AD" w14:textId="77777777" w:rsidR="002F7CBA" w:rsidRPr="002F7CBA" w:rsidRDefault="002F7CBA" w:rsidP="002F7CBA">
            <w:pPr>
              <w:jc w:val="center"/>
              <w:rPr>
                <w:rFonts w:ascii="Arial" w:eastAsia="Calibri" w:hAnsi="Arial" w:cs="Arial"/>
                <w:sz w:val="20"/>
                <w:szCs w:val="20"/>
              </w:rPr>
            </w:pPr>
          </w:p>
        </w:tc>
        <w:tc>
          <w:tcPr>
            <w:tcW w:w="7087" w:type="dxa"/>
            <w:gridSpan w:val="2"/>
            <w:vAlign w:val="center"/>
          </w:tcPr>
          <w:p w14:paraId="58F53B37"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 xml:space="preserve">Comprenant  l’octroi de crédit conforme aux conditions énoncées au II de l’article L. 522-2 du code monétaire et financier :  oui </w:t>
            </w:r>
            <w:r w:rsidRPr="002F7CBA">
              <w:rPr>
                <w:rFonts w:ascii="Arial" w:eastAsia="Calibri" w:hAnsi="Arial" w:cs="Arial"/>
                <w:sz w:val="20"/>
                <w:szCs w:val="20"/>
              </w:rPr>
              <w:fldChar w:fldCharType="begin">
                <w:ffData>
                  <w:name w:val="CaseACocher1"/>
                  <w:enabled/>
                  <w:calcOnExit w:val="0"/>
                  <w:checkBox>
                    <w:sizeAuto/>
                    <w:default w:val="0"/>
                    <w:checked w:val="0"/>
                  </w:checkBox>
                </w:ffData>
              </w:fldChar>
            </w:r>
            <w:r w:rsidRPr="002F7CBA">
              <w:rPr>
                <w:rFonts w:ascii="Arial" w:eastAsia="Calibri" w:hAnsi="Arial" w:cs="Arial"/>
                <w:sz w:val="20"/>
                <w:szCs w:val="20"/>
              </w:rPr>
              <w:instrText xml:space="preserve"> FORMCHECKBOX </w:instrText>
            </w:r>
            <w:r w:rsidR="00616F7D">
              <w:rPr>
                <w:rFonts w:ascii="Arial" w:eastAsia="Calibri" w:hAnsi="Arial" w:cs="Arial"/>
                <w:sz w:val="20"/>
                <w:szCs w:val="20"/>
              </w:rPr>
            </w:r>
            <w:r w:rsidR="00616F7D">
              <w:rPr>
                <w:rFonts w:ascii="Arial" w:eastAsia="Calibri" w:hAnsi="Arial" w:cs="Arial"/>
                <w:sz w:val="20"/>
                <w:szCs w:val="20"/>
              </w:rPr>
              <w:fldChar w:fldCharType="separate"/>
            </w:r>
            <w:r w:rsidRPr="002F7CBA">
              <w:rPr>
                <w:rFonts w:ascii="Arial" w:eastAsia="Calibri" w:hAnsi="Arial" w:cs="Arial"/>
                <w:sz w:val="20"/>
                <w:szCs w:val="20"/>
              </w:rPr>
              <w:fldChar w:fldCharType="end"/>
            </w:r>
            <w:r w:rsidRPr="002F7CBA">
              <w:rPr>
                <w:rFonts w:ascii="Arial" w:eastAsia="Calibri" w:hAnsi="Arial" w:cs="Arial"/>
                <w:sz w:val="20"/>
                <w:szCs w:val="20"/>
              </w:rPr>
              <w:t xml:space="preserve"> - non </w:t>
            </w:r>
            <w:r w:rsidRPr="002F7CBA">
              <w:rPr>
                <w:rFonts w:ascii="Arial" w:eastAsia="Calibri" w:hAnsi="Arial" w:cs="Arial"/>
                <w:sz w:val="20"/>
                <w:szCs w:val="20"/>
              </w:rPr>
              <w:fldChar w:fldCharType="begin">
                <w:ffData>
                  <w:name w:val="CaseACocher1"/>
                  <w:enabled/>
                  <w:calcOnExit w:val="0"/>
                  <w:checkBox>
                    <w:sizeAuto/>
                    <w:default w:val="0"/>
                    <w:checked w:val="0"/>
                  </w:checkBox>
                </w:ffData>
              </w:fldChar>
            </w:r>
            <w:r w:rsidRPr="002F7CBA">
              <w:rPr>
                <w:rFonts w:ascii="Arial" w:eastAsia="Calibri" w:hAnsi="Arial" w:cs="Arial"/>
                <w:sz w:val="20"/>
                <w:szCs w:val="20"/>
              </w:rPr>
              <w:instrText xml:space="preserve"> FORMCHECKBOX </w:instrText>
            </w:r>
            <w:r w:rsidR="00616F7D">
              <w:rPr>
                <w:rFonts w:ascii="Arial" w:eastAsia="Calibri" w:hAnsi="Arial" w:cs="Arial"/>
                <w:sz w:val="20"/>
                <w:szCs w:val="20"/>
              </w:rPr>
            </w:r>
            <w:r w:rsidR="00616F7D">
              <w:rPr>
                <w:rFonts w:ascii="Arial" w:eastAsia="Calibri" w:hAnsi="Arial" w:cs="Arial"/>
                <w:sz w:val="20"/>
                <w:szCs w:val="20"/>
              </w:rPr>
              <w:fldChar w:fldCharType="separate"/>
            </w:r>
            <w:r w:rsidRPr="002F7CBA">
              <w:rPr>
                <w:rFonts w:ascii="Arial" w:eastAsia="Calibri" w:hAnsi="Arial" w:cs="Arial"/>
                <w:sz w:val="20"/>
                <w:szCs w:val="20"/>
              </w:rPr>
              <w:fldChar w:fldCharType="end"/>
            </w:r>
          </w:p>
        </w:tc>
        <w:tc>
          <w:tcPr>
            <w:tcW w:w="851" w:type="dxa"/>
            <w:vAlign w:val="center"/>
          </w:tcPr>
          <w:p w14:paraId="52ED98CD"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p>
        </w:tc>
      </w:tr>
      <w:tr w:rsidR="002F7CBA" w:rsidRPr="002F7CBA" w14:paraId="5F0A9708" w14:textId="77777777" w:rsidTr="006739F9">
        <w:tc>
          <w:tcPr>
            <w:tcW w:w="567" w:type="dxa"/>
            <w:vMerge w:val="restart"/>
            <w:vAlign w:val="center"/>
          </w:tcPr>
          <w:p w14:paraId="634583BA"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5°</w:t>
            </w:r>
          </w:p>
        </w:tc>
        <w:tc>
          <w:tcPr>
            <w:tcW w:w="7087" w:type="dxa"/>
            <w:gridSpan w:val="2"/>
            <w:vAlign w:val="center"/>
          </w:tcPr>
          <w:p w14:paraId="7CDB67A3"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Émission d’instruments de paiement</w:t>
            </w:r>
          </w:p>
        </w:tc>
        <w:tc>
          <w:tcPr>
            <w:tcW w:w="851" w:type="dxa"/>
            <w:vAlign w:val="center"/>
          </w:tcPr>
          <w:p w14:paraId="0823C35E"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616F7D">
              <w:rPr>
                <w:rFonts w:ascii="Arial" w:eastAsia="Calibri" w:hAnsi="Arial" w:cs="Arial"/>
                <w:sz w:val="20"/>
              </w:rPr>
            </w:r>
            <w:r w:rsidR="00616F7D">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12362218" w14:textId="77777777" w:rsidTr="006739F9">
        <w:tc>
          <w:tcPr>
            <w:tcW w:w="567" w:type="dxa"/>
            <w:vMerge/>
            <w:vAlign w:val="center"/>
          </w:tcPr>
          <w:p w14:paraId="3450FC5A" w14:textId="77777777" w:rsidR="002F7CBA" w:rsidRPr="002F7CBA" w:rsidRDefault="002F7CBA" w:rsidP="002F7CBA">
            <w:pPr>
              <w:jc w:val="center"/>
              <w:rPr>
                <w:rFonts w:ascii="Arial" w:eastAsia="Calibri" w:hAnsi="Arial" w:cs="Arial"/>
                <w:sz w:val="20"/>
                <w:szCs w:val="20"/>
              </w:rPr>
            </w:pPr>
          </w:p>
        </w:tc>
        <w:tc>
          <w:tcPr>
            <w:tcW w:w="7087" w:type="dxa"/>
            <w:gridSpan w:val="2"/>
            <w:vAlign w:val="center"/>
          </w:tcPr>
          <w:p w14:paraId="21EDD87F"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Acquisition d’ opérations de paiement</w:t>
            </w:r>
          </w:p>
        </w:tc>
        <w:tc>
          <w:tcPr>
            <w:tcW w:w="851" w:type="dxa"/>
            <w:vAlign w:val="center"/>
          </w:tcPr>
          <w:p w14:paraId="3C9744C6"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616F7D">
              <w:rPr>
                <w:rFonts w:ascii="Arial" w:eastAsia="Calibri" w:hAnsi="Arial" w:cs="Arial"/>
                <w:sz w:val="20"/>
              </w:rPr>
            </w:r>
            <w:r w:rsidR="00616F7D">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346DE2EE" w14:textId="77777777" w:rsidTr="006739F9">
        <w:tc>
          <w:tcPr>
            <w:tcW w:w="567" w:type="dxa"/>
            <w:vMerge/>
            <w:vAlign w:val="center"/>
          </w:tcPr>
          <w:p w14:paraId="41C6B51B" w14:textId="77777777" w:rsidR="002F7CBA" w:rsidRPr="002F7CBA" w:rsidRDefault="002F7CBA" w:rsidP="002F7CBA">
            <w:pPr>
              <w:jc w:val="center"/>
              <w:rPr>
                <w:rFonts w:ascii="Arial" w:eastAsia="Calibri" w:hAnsi="Arial" w:cs="Arial"/>
                <w:sz w:val="20"/>
                <w:szCs w:val="20"/>
              </w:rPr>
            </w:pPr>
          </w:p>
        </w:tc>
        <w:tc>
          <w:tcPr>
            <w:tcW w:w="7087" w:type="dxa"/>
            <w:gridSpan w:val="2"/>
            <w:vAlign w:val="center"/>
          </w:tcPr>
          <w:p w14:paraId="7F1EA419"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 xml:space="preserve">Comprenant  l’octroi de crédit conforme aux conditions énoncées </w:t>
            </w:r>
            <w:r w:rsidR="00CA5768">
              <w:rPr>
                <w:rFonts w:ascii="Arial" w:eastAsia="Calibri" w:hAnsi="Arial" w:cs="Arial"/>
                <w:sz w:val="20"/>
                <w:szCs w:val="20"/>
              </w:rPr>
              <w:t>au II de l’article L. 522-2 du C</w:t>
            </w:r>
            <w:r w:rsidRPr="002F7CBA">
              <w:rPr>
                <w:rFonts w:ascii="Arial" w:eastAsia="Calibri" w:hAnsi="Arial" w:cs="Arial"/>
                <w:sz w:val="20"/>
                <w:szCs w:val="20"/>
              </w:rPr>
              <w:t xml:space="preserve">ode monétaire et financier :  oui </w:t>
            </w:r>
            <w:r w:rsidRPr="002F7CBA">
              <w:rPr>
                <w:rFonts w:ascii="Arial" w:eastAsia="Calibri" w:hAnsi="Arial" w:cs="Arial"/>
                <w:sz w:val="20"/>
                <w:szCs w:val="20"/>
              </w:rPr>
              <w:fldChar w:fldCharType="begin">
                <w:ffData>
                  <w:name w:val="CaseACocher1"/>
                  <w:enabled/>
                  <w:calcOnExit w:val="0"/>
                  <w:checkBox>
                    <w:sizeAuto/>
                    <w:default w:val="0"/>
                    <w:checked w:val="0"/>
                  </w:checkBox>
                </w:ffData>
              </w:fldChar>
            </w:r>
            <w:r w:rsidRPr="002F7CBA">
              <w:rPr>
                <w:rFonts w:ascii="Arial" w:eastAsia="Calibri" w:hAnsi="Arial" w:cs="Arial"/>
                <w:sz w:val="20"/>
                <w:szCs w:val="20"/>
              </w:rPr>
              <w:instrText xml:space="preserve"> FORMCHECKBOX </w:instrText>
            </w:r>
            <w:r w:rsidR="00616F7D">
              <w:rPr>
                <w:rFonts w:ascii="Arial" w:eastAsia="Calibri" w:hAnsi="Arial" w:cs="Arial"/>
                <w:sz w:val="20"/>
                <w:szCs w:val="20"/>
              </w:rPr>
            </w:r>
            <w:r w:rsidR="00616F7D">
              <w:rPr>
                <w:rFonts w:ascii="Arial" w:eastAsia="Calibri" w:hAnsi="Arial" w:cs="Arial"/>
                <w:sz w:val="20"/>
                <w:szCs w:val="20"/>
              </w:rPr>
              <w:fldChar w:fldCharType="separate"/>
            </w:r>
            <w:r w:rsidRPr="002F7CBA">
              <w:rPr>
                <w:rFonts w:ascii="Arial" w:eastAsia="Calibri" w:hAnsi="Arial" w:cs="Arial"/>
                <w:sz w:val="20"/>
                <w:szCs w:val="20"/>
              </w:rPr>
              <w:fldChar w:fldCharType="end"/>
            </w:r>
            <w:r w:rsidRPr="002F7CBA">
              <w:rPr>
                <w:rFonts w:ascii="Arial" w:eastAsia="Calibri" w:hAnsi="Arial" w:cs="Arial"/>
                <w:sz w:val="20"/>
                <w:szCs w:val="20"/>
              </w:rPr>
              <w:t xml:space="preserve"> - non </w:t>
            </w:r>
            <w:r w:rsidRPr="002F7CBA">
              <w:rPr>
                <w:rFonts w:ascii="Arial" w:eastAsia="Calibri" w:hAnsi="Arial" w:cs="Arial"/>
                <w:sz w:val="20"/>
                <w:szCs w:val="20"/>
              </w:rPr>
              <w:fldChar w:fldCharType="begin">
                <w:ffData>
                  <w:name w:val="CaseACocher1"/>
                  <w:enabled/>
                  <w:calcOnExit w:val="0"/>
                  <w:checkBox>
                    <w:sizeAuto/>
                    <w:default w:val="0"/>
                    <w:checked w:val="0"/>
                  </w:checkBox>
                </w:ffData>
              </w:fldChar>
            </w:r>
            <w:r w:rsidRPr="002F7CBA">
              <w:rPr>
                <w:rFonts w:ascii="Arial" w:eastAsia="Calibri" w:hAnsi="Arial" w:cs="Arial"/>
                <w:sz w:val="20"/>
                <w:szCs w:val="20"/>
              </w:rPr>
              <w:instrText xml:space="preserve"> FORMCHECKBOX </w:instrText>
            </w:r>
            <w:r w:rsidR="00616F7D">
              <w:rPr>
                <w:rFonts w:ascii="Arial" w:eastAsia="Calibri" w:hAnsi="Arial" w:cs="Arial"/>
                <w:sz w:val="20"/>
                <w:szCs w:val="20"/>
              </w:rPr>
            </w:r>
            <w:r w:rsidR="00616F7D">
              <w:rPr>
                <w:rFonts w:ascii="Arial" w:eastAsia="Calibri" w:hAnsi="Arial" w:cs="Arial"/>
                <w:sz w:val="20"/>
                <w:szCs w:val="20"/>
              </w:rPr>
              <w:fldChar w:fldCharType="separate"/>
            </w:r>
            <w:r w:rsidRPr="002F7CBA">
              <w:rPr>
                <w:rFonts w:ascii="Arial" w:eastAsia="Calibri" w:hAnsi="Arial" w:cs="Arial"/>
                <w:sz w:val="20"/>
                <w:szCs w:val="20"/>
              </w:rPr>
              <w:fldChar w:fldCharType="end"/>
            </w:r>
          </w:p>
        </w:tc>
        <w:tc>
          <w:tcPr>
            <w:tcW w:w="851" w:type="dxa"/>
            <w:vAlign w:val="center"/>
          </w:tcPr>
          <w:p w14:paraId="558A445F"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p>
        </w:tc>
      </w:tr>
      <w:tr w:rsidR="002F7CBA" w:rsidRPr="002F7CBA" w14:paraId="00B78914" w14:textId="77777777" w:rsidTr="006739F9">
        <w:tc>
          <w:tcPr>
            <w:tcW w:w="567" w:type="dxa"/>
            <w:vAlign w:val="center"/>
          </w:tcPr>
          <w:p w14:paraId="76A785F2"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6°</w:t>
            </w:r>
          </w:p>
        </w:tc>
        <w:tc>
          <w:tcPr>
            <w:tcW w:w="7087" w:type="dxa"/>
            <w:gridSpan w:val="2"/>
            <w:vAlign w:val="center"/>
          </w:tcPr>
          <w:p w14:paraId="13CA8BAE"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Services de transmission de fonds</w:t>
            </w:r>
          </w:p>
        </w:tc>
        <w:tc>
          <w:tcPr>
            <w:tcW w:w="851" w:type="dxa"/>
            <w:vAlign w:val="center"/>
          </w:tcPr>
          <w:p w14:paraId="5C5D41F0"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616F7D">
              <w:rPr>
                <w:rFonts w:ascii="Arial" w:eastAsia="Calibri" w:hAnsi="Arial" w:cs="Arial"/>
                <w:sz w:val="20"/>
              </w:rPr>
            </w:r>
            <w:r w:rsidR="00616F7D">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4A42E3C5" w14:textId="77777777" w:rsidTr="006739F9">
        <w:tc>
          <w:tcPr>
            <w:tcW w:w="567" w:type="dxa"/>
            <w:tcBorders>
              <w:top w:val="single" w:sz="4" w:space="0" w:color="BFBFBF"/>
              <w:left w:val="single" w:sz="4" w:space="0" w:color="BFBFBF"/>
              <w:bottom w:val="single" w:sz="4" w:space="0" w:color="BFBFBF"/>
              <w:right w:val="single" w:sz="4" w:space="0" w:color="BFBFBF"/>
            </w:tcBorders>
            <w:vAlign w:val="center"/>
          </w:tcPr>
          <w:p w14:paraId="1C128588"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7°</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14:paraId="0D996DE7"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Services d’initiation de paiement</w:t>
            </w:r>
          </w:p>
        </w:tc>
        <w:tc>
          <w:tcPr>
            <w:tcW w:w="851" w:type="dxa"/>
            <w:tcBorders>
              <w:top w:val="single" w:sz="4" w:space="0" w:color="BFBFBF"/>
              <w:left w:val="single" w:sz="4" w:space="0" w:color="BFBFBF"/>
              <w:bottom w:val="single" w:sz="4" w:space="0" w:color="BFBFBF"/>
              <w:right w:val="single" w:sz="4" w:space="0" w:color="BFBFBF"/>
            </w:tcBorders>
            <w:vAlign w:val="center"/>
          </w:tcPr>
          <w:p w14:paraId="5219FE70"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616F7D">
              <w:rPr>
                <w:rFonts w:ascii="Arial" w:eastAsia="Calibri" w:hAnsi="Arial" w:cs="Arial"/>
                <w:sz w:val="20"/>
              </w:rPr>
            </w:r>
            <w:r w:rsidR="00616F7D">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4256F8E2" w14:textId="77777777" w:rsidTr="006739F9">
        <w:tc>
          <w:tcPr>
            <w:tcW w:w="567" w:type="dxa"/>
            <w:tcBorders>
              <w:top w:val="single" w:sz="4" w:space="0" w:color="BFBFBF"/>
              <w:left w:val="single" w:sz="4" w:space="0" w:color="BFBFBF"/>
              <w:bottom w:val="single" w:sz="4" w:space="0" w:color="BFBFBF"/>
              <w:right w:val="single" w:sz="4" w:space="0" w:color="BFBFBF"/>
            </w:tcBorders>
            <w:vAlign w:val="center"/>
          </w:tcPr>
          <w:p w14:paraId="0328CCE5"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8°</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14:paraId="4F4915E0"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Services d’information sur les comptes</w:t>
            </w:r>
          </w:p>
        </w:tc>
        <w:tc>
          <w:tcPr>
            <w:tcW w:w="851" w:type="dxa"/>
            <w:tcBorders>
              <w:top w:val="single" w:sz="4" w:space="0" w:color="BFBFBF"/>
              <w:left w:val="single" w:sz="4" w:space="0" w:color="BFBFBF"/>
              <w:bottom w:val="single" w:sz="4" w:space="0" w:color="BFBFBF"/>
              <w:right w:val="single" w:sz="4" w:space="0" w:color="BFBFBF"/>
            </w:tcBorders>
            <w:vAlign w:val="center"/>
          </w:tcPr>
          <w:p w14:paraId="41D9246B"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616F7D">
              <w:rPr>
                <w:rFonts w:ascii="Arial" w:eastAsia="Calibri" w:hAnsi="Arial" w:cs="Arial"/>
                <w:sz w:val="20"/>
              </w:rPr>
            </w:r>
            <w:r w:rsidR="00616F7D">
              <w:rPr>
                <w:rFonts w:ascii="Arial" w:eastAsia="Calibri" w:hAnsi="Arial" w:cs="Arial"/>
                <w:sz w:val="20"/>
              </w:rPr>
              <w:fldChar w:fldCharType="separate"/>
            </w:r>
            <w:r w:rsidRPr="002F7CBA">
              <w:rPr>
                <w:rFonts w:ascii="Arial" w:eastAsia="Calibri" w:hAnsi="Arial" w:cs="Arial"/>
                <w:sz w:val="20"/>
              </w:rPr>
              <w:fldChar w:fldCharType="end"/>
            </w:r>
          </w:p>
        </w:tc>
      </w:tr>
    </w:tbl>
    <w:p w14:paraId="1D96D20A" w14:textId="77777777" w:rsidR="002F7CBA" w:rsidRPr="002F7CBA" w:rsidRDefault="002F7CBA" w:rsidP="002F7CBA">
      <w:pPr>
        <w:jc w:val="both"/>
        <w:rPr>
          <w:rFonts w:ascii="Arial" w:eastAsia="Calibri" w:hAnsi="Arial" w:cs="Arial"/>
          <w:sz w:val="20"/>
          <w:szCs w:val="20"/>
        </w:rPr>
      </w:pPr>
    </w:p>
    <w:p w14:paraId="3E049E9A" w14:textId="77777777" w:rsidR="00CA5768" w:rsidRDefault="002F7CBA" w:rsidP="002F7CBA">
      <w:pPr>
        <w:pStyle w:val="Paragraphedeliste"/>
        <w:numPr>
          <w:ilvl w:val="0"/>
          <w:numId w:val="6"/>
        </w:numPr>
        <w:jc w:val="both"/>
        <w:rPr>
          <w:rFonts w:ascii="Arial" w:eastAsia="Calibri" w:hAnsi="Arial" w:cs="Arial"/>
          <w:sz w:val="20"/>
          <w:szCs w:val="20"/>
        </w:rPr>
      </w:pPr>
      <w:r w:rsidRPr="00CA5768">
        <w:rPr>
          <w:rFonts w:ascii="Arial" w:eastAsia="Calibri" w:hAnsi="Arial" w:cs="Arial"/>
          <w:sz w:val="20"/>
          <w:szCs w:val="20"/>
        </w:rPr>
        <w:t xml:space="preserve">Fournir une description par étapes du type de services de paiement envisagé, y compris une explication des raisons pour lesquelles les activités et les opérations qui seront réalisées relèvent d’une des catégories juridiques de services de paiement énumérées au II de l’- l’article L. </w:t>
      </w:r>
      <w:r w:rsidR="00CA5768">
        <w:rPr>
          <w:rFonts w:ascii="Arial" w:eastAsia="Calibri" w:hAnsi="Arial" w:cs="Arial"/>
          <w:sz w:val="20"/>
          <w:szCs w:val="20"/>
        </w:rPr>
        <w:t>314-1 du C</w:t>
      </w:r>
      <w:r w:rsidRPr="00CA5768">
        <w:rPr>
          <w:rFonts w:ascii="Arial" w:eastAsia="Calibri" w:hAnsi="Arial" w:cs="Arial"/>
          <w:sz w:val="20"/>
          <w:szCs w:val="20"/>
        </w:rPr>
        <w:t>ode monétaire et financier.</w:t>
      </w:r>
    </w:p>
    <w:p w14:paraId="52455309" w14:textId="77777777" w:rsidR="006D68A4" w:rsidRDefault="006D68A4" w:rsidP="006D68A4">
      <w:pPr>
        <w:pStyle w:val="Paragraphedeliste"/>
        <w:jc w:val="both"/>
        <w:rPr>
          <w:rFonts w:ascii="Arial" w:eastAsia="Calibri" w:hAnsi="Arial" w:cs="Arial"/>
          <w:sz w:val="20"/>
          <w:szCs w:val="20"/>
        </w:rPr>
      </w:pPr>
    </w:p>
    <w:p w14:paraId="488F58FC" w14:textId="77777777" w:rsidR="002F7CBA" w:rsidRPr="00CA5768" w:rsidRDefault="002F7CBA" w:rsidP="002F7CBA">
      <w:pPr>
        <w:pStyle w:val="Paragraphedeliste"/>
        <w:numPr>
          <w:ilvl w:val="0"/>
          <w:numId w:val="6"/>
        </w:numPr>
        <w:jc w:val="both"/>
        <w:rPr>
          <w:rFonts w:ascii="Arial" w:eastAsia="Calibri" w:hAnsi="Arial" w:cs="Arial"/>
          <w:sz w:val="20"/>
          <w:szCs w:val="20"/>
        </w:rPr>
      </w:pPr>
      <w:r w:rsidRPr="00CA5768">
        <w:rPr>
          <w:rFonts w:ascii="Arial" w:eastAsia="Calibri" w:hAnsi="Arial" w:cs="Arial"/>
          <w:sz w:val="20"/>
          <w:szCs w:val="20"/>
        </w:rPr>
        <w:t>Préciser si l’entreprise entrera à quelque moment que ce soit en possession des fonds.</w:t>
      </w:r>
    </w:p>
    <w:p w14:paraId="3E5597C9" w14:textId="77777777" w:rsidR="006D68A4" w:rsidRDefault="002F7CBA" w:rsidP="006D68A4">
      <w:pPr>
        <w:pStyle w:val="Paragraphedeliste"/>
        <w:numPr>
          <w:ilvl w:val="0"/>
          <w:numId w:val="6"/>
        </w:numPr>
        <w:jc w:val="both"/>
        <w:rPr>
          <w:rFonts w:ascii="Arial" w:eastAsia="Calibri" w:hAnsi="Arial" w:cs="Arial"/>
          <w:sz w:val="20"/>
          <w:szCs w:val="20"/>
        </w:rPr>
      </w:pPr>
      <w:r w:rsidRPr="006D68A4">
        <w:rPr>
          <w:rFonts w:ascii="Arial" w:eastAsia="Calibri" w:hAnsi="Arial" w:cs="Arial"/>
          <w:sz w:val="20"/>
          <w:szCs w:val="20"/>
        </w:rPr>
        <w:lastRenderedPageBreak/>
        <w:t>Fournir une description de l’exécution des différents services de paiement indiquant toutes les parties concernées et comprenant pour chaque service de paiement fourni :</w:t>
      </w:r>
    </w:p>
    <w:p w14:paraId="74ACC47F" w14:textId="77777777" w:rsidR="006D68A4" w:rsidRPr="006D68A4" w:rsidRDefault="002F7CBA" w:rsidP="006D68A4">
      <w:pPr>
        <w:pStyle w:val="Paragraphedeliste"/>
        <w:numPr>
          <w:ilvl w:val="1"/>
          <w:numId w:val="6"/>
        </w:numPr>
        <w:jc w:val="both"/>
        <w:rPr>
          <w:rFonts w:ascii="Arial" w:eastAsia="Calibri" w:hAnsi="Arial" w:cs="Arial"/>
          <w:sz w:val="20"/>
          <w:szCs w:val="20"/>
        </w:rPr>
      </w:pPr>
      <w:r w:rsidRPr="006D68A4">
        <w:rPr>
          <w:rFonts w:ascii="Arial" w:eastAsia="Times New Roman" w:hAnsi="Arial" w:cs="Arial"/>
          <w:sz w:val="20"/>
          <w:szCs w:val="20"/>
          <w:lang w:eastAsia="fr-FR"/>
        </w:rPr>
        <w:t>Un schéma des flux financiers par service de paiement (1à 6) ;</w:t>
      </w:r>
    </w:p>
    <w:p w14:paraId="22FB2B1C" w14:textId="77777777" w:rsidR="006D68A4" w:rsidRPr="006D68A4" w:rsidRDefault="002F7CBA" w:rsidP="006D68A4">
      <w:pPr>
        <w:pStyle w:val="Paragraphedeliste"/>
        <w:numPr>
          <w:ilvl w:val="1"/>
          <w:numId w:val="6"/>
        </w:numPr>
        <w:jc w:val="both"/>
        <w:rPr>
          <w:rFonts w:ascii="Arial" w:eastAsia="Calibri" w:hAnsi="Arial" w:cs="Arial"/>
          <w:sz w:val="20"/>
          <w:szCs w:val="20"/>
        </w:rPr>
      </w:pPr>
      <w:r w:rsidRPr="006D68A4">
        <w:rPr>
          <w:rFonts w:ascii="Arial" w:eastAsia="Times New Roman" w:hAnsi="Arial" w:cs="Arial"/>
          <w:sz w:val="20"/>
          <w:szCs w:val="20"/>
          <w:lang w:eastAsia="fr-FR"/>
        </w:rPr>
        <w:t>Un dispositif de règlement par services de paiement (1 à 6) ;</w:t>
      </w:r>
    </w:p>
    <w:p w14:paraId="18B1851A" w14:textId="77777777" w:rsidR="002F7CBA" w:rsidRPr="006D68A4" w:rsidRDefault="002F7CBA" w:rsidP="006D68A4">
      <w:pPr>
        <w:pStyle w:val="Paragraphedeliste"/>
        <w:numPr>
          <w:ilvl w:val="1"/>
          <w:numId w:val="6"/>
        </w:numPr>
        <w:jc w:val="both"/>
        <w:rPr>
          <w:rFonts w:ascii="Arial" w:eastAsia="Calibri" w:hAnsi="Arial" w:cs="Arial"/>
          <w:sz w:val="20"/>
          <w:szCs w:val="20"/>
        </w:rPr>
      </w:pPr>
      <w:r w:rsidRPr="006D68A4">
        <w:rPr>
          <w:rFonts w:ascii="Arial" w:eastAsia="Times New Roman" w:hAnsi="Arial" w:cs="Arial"/>
          <w:sz w:val="20"/>
          <w:szCs w:val="20"/>
          <w:lang w:eastAsia="fr-FR"/>
        </w:rPr>
        <w:t>Les temps de traitement</w:t>
      </w:r>
    </w:p>
    <w:p w14:paraId="6D4BE533" w14:textId="77777777" w:rsidR="002F7CBA" w:rsidRPr="002F7CBA" w:rsidRDefault="002F7CBA" w:rsidP="002F7CBA">
      <w:pPr>
        <w:jc w:val="both"/>
        <w:rPr>
          <w:rFonts w:ascii="Arial" w:eastAsia="Calibri" w:hAnsi="Arial" w:cs="Arial"/>
          <w:sz w:val="20"/>
          <w:szCs w:val="20"/>
        </w:rPr>
      </w:pPr>
    </w:p>
    <w:p w14:paraId="13A4BC8F" w14:textId="77777777" w:rsidR="002F7CBA" w:rsidRPr="006D68A4" w:rsidRDefault="002F7CBA" w:rsidP="006D68A4">
      <w:pPr>
        <w:pStyle w:val="Paragraphedeliste"/>
        <w:numPr>
          <w:ilvl w:val="0"/>
          <w:numId w:val="21"/>
        </w:numPr>
        <w:jc w:val="both"/>
        <w:rPr>
          <w:rFonts w:ascii="Arial" w:eastAsia="Calibri" w:hAnsi="Arial" w:cs="Arial"/>
          <w:sz w:val="20"/>
          <w:szCs w:val="20"/>
        </w:rPr>
      </w:pPr>
      <w:r w:rsidRPr="006D68A4">
        <w:rPr>
          <w:rFonts w:ascii="Arial" w:eastAsia="Calibri" w:hAnsi="Arial" w:cs="Arial"/>
          <w:sz w:val="20"/>
          <w:szCs w:val="20"/>
        </w:rPr>
        <w:t>Préciser le nombre de locaux différents à partir desquels l’entreprise a l’intention de fournir les services de paiement et/ou exercer des activités se rapportant à la prestation des services de paiement le cas échéant.</w:t>
      </w:r>
    </w:p>
    <w:p w14:paraId="31E26423" w14:textId="77777777" w:rsidR="006720D4" w:rsidRDefault="006720D4"/>
    <w:p w14:paraId="5528504E" w14:textId="77777777" w:rsidR="002F7CBA" w:rsidRPr="002F7CBA" w:rsidRDefault="002F7CBA" w:rsidP="002F7CBA">
      <w:pPr>
        <w:pStyle w:val="Paragraphedeliste"/>
        <w:numPr>
          <w:ilvl w:val="0"/>
          <w:numId w:val="2"/>
        </w:numPr>
        <w:spacing w:line="240" w:lineRule="auto"/>
        <w:outlineLvl w:val="1"/>
        <w:rPr>
          <w:rFonts w:ascii="Arial" w:eastAsia="Times New Roman" w:hAnsi="Arial" w:cs="Arial"/>
          <w:b/>
          <w:color w:val="1F497D"/>
          <w:sz w:val="28"/>
          <w:szCs w:val="28"/>
          <w:lang w:eastAsia="fr-FR"/>
        </w:rPr>
      </w:pPr>
      <w:bookmarkStart w:id="5" w:name="_Toc507679350"/>
      <w:bookmarkStart w:id="6" w:name="_Toc78984782"/>
      <w:r w:rsidRPr="002F7CBA">
        <w:rPr>
          <w:rFonts w:ascii="Arial" w:eastAsia="Times New Roman" w:hAnsi="Arial" w:cs="Arial"/>
          <w:b/>
          <w:color w:val="1F497D"/>
          <w:sz w:val="28"/>
          <w:szCs w:val="28"/>
          <w:lang w:eastAsia="fr-FR"/>
        </w:rPr>
        <w:t>Services connexes</w:t>
      </w:r>
      <w:bookmarkEnd w:id="5"/>
      <w:bookmarkEnd w:id="6"/>
    </w:p>
    <w:p w14:paraId="069DA604" w14:textId="77777777" w:rsidR="002F7CBA" w:rsidRPr="002F7CBA" w:rsidRDefault="002F7CBA" w:rsidP="002F7CBA">
      <w:pPr>
        <w:tabs>
          <w:tab w:val="left" w:pos="709"/>
          <w:tab w:val="left" w:pos="6805"/>
        </w:tabs>
        <w:spacing w:line="240" w:lineRule="auto"/>
        <w:rPr>
          <w:rFonts w:ascii="Arial" w:eastAsia="Times New Roman" w:hAnsi="Arial" w:cs="Arial"/>
          <w:i/>
          <w:sz w:val="20"/>
          <w:szCs w:val="20"/>
          <w:lang w:eastAsia="fr-FR"/>
        </w:rPr>
      </w:pPr>
      <w:r w:rsidRPr="002F7CBA">
        <w:rPr>
          <w:rFonts w:ascii="Arial" w:eastAsia="Times New Roman" w:hAnsi="Arial" w:cs="Arial"/>
          <w:i/>
          <w:color w:val="1F497D"/>
          <w:sz w:val="20"/>
          <w:szCs w:val="20"/>
          <w:lang w:eastAsia="fr-FR"/>
        </w:rPr>
        <w:tab/>
        <w:t>(</w:t>
      </w:r>
      <w:r w:rsidRPr="002F7CBA">
        <w:rPr>
          <w:rFonts w:ascii="Arial" w:eastAsia="Times New Roman" w:hAnsi="Arial" w:cs="Arial"/>
          <w:i/>
          <w:sz w:val="20"/>
          <w:szCs w:val="20"/>
          <w:lang w:eastAsia="fr-FR"/>
        </w:rPr>
        <w:t>Article L. 522-2, I du Code monétaire et financier)</w:t>
      </w:r>
    </w:p>
    <w:p w14:paraId="68F6AD95" w14:textId="77777777" w:rsidR="002F7CBA" w:rsidRPr="002F7CBA" w:rsidRDefault="002F7CBA" w:rsidP="002F7CBA">
      <w:pPr>
        <w:tabs>
          <w:tab w:val="left" w:pos="6805"/>
        </w:tabs>
        <w:spacing w:line="240" w:lineRule="auto"/>
        <w:rPr>
          <w:rFonts w:ascii="Arial" w:eastAsia="Times New Roman" w:hAnsi="Arial" w:cs="Arial"/>
          <w:sz w:val="20"/>
          <w:szCs w:val="20"/>
          <w:lang w:eastAsia="fr-FR"/>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2F7CBA" w:rsidRPr="002F7CBA" w14:paraId="1B6C34BD" w14:textId="77777777" w:rsidTr="006739F9">
        <w:tc>
          <w:tcPr>
            <w:tcW w:w="6804" w:type="dxa"/>
            <w:vAlign w:val="center"/>
          </w:tcPr>
          <w:p w14:paraId="5A6E2DEE" w14:textId="77777777" w:rsidR="002F7CBA" w:rsidRPr="002F7CBA" w:rsidRDefault="002F7CBA" w:rsidP="002F7CBA">
            <w:pPr>
              <w:spacing w:before="60"/>
              <w:jc w:val="both"/>
              <w:rPr>
                <w:rFonts w:ascii="Arial" w:eastAsia="Calibri" w:hAnsi="Arial" w:cs="Arial"/>
                <w:sz w:val="20"/>
                <w:szCs w:val="20"/>
              </w:rPr>
            </w:pPr>
            <w:r w:rsidRPr="002F7CBA">
              <w:rPr>
                <w:rFonts w:ascii="Arial" w:eastAsia="Calibri" w:hAnsi="Arial" w:cs="Arial"/>
                <w:sz w:val="20"/>
                <w:szCs w:val="20"/>
              </w:rPr>
              <w:t>services de change scriptural</w:t>
            </w:r>
          </w:p>
        </w:tc>
        <w:tc>
          <w:tcPr>
            <w:tcW w:w="850" w:type="dxa"/>
            <w:vAlign w:val="center"/>
          </w:tcPr>
          <w:p w14:paraId="4FE4E684"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616F7D">
              <w:rPr>
                <w:rFonts w:ascii="Arial" w:eastAsia="Calibri" w:hAnsi="Arial" w:cs="Arial"/>
                <w:sz w:val="20"/>
              </w:rPr>
            </w:r>
            <w:r w:rsidR="00616F7D">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269E6FF3" w14:textId="77777777" w:rsidTr="006739F9">
        <w:tc>
          <w:tcPr>
            <w:tcW w:w="6804" w:type="dxa"/>
            <w:vAlign w:val="center"/>
          </w:tcPr>
          <w:p w14:paraId="213007E2" w14:textId="77777777" w:rsidR="002F7CBA" w:rsidRPr="002F7CBA" w:rsidRDefault="002F7CBA" w:rsidP="002F7CBA">
            <w:pPr>
              <w:jc w:val="both"/>
              <w:rPr>
                <w:rFonts w:ascii="Arial" w:eastAsia="Calibri" w:hAnsi="Arial" w:cs="Arial"/>
              </w:rPr>
            </w:pPr>
            <w:r w:rsidRPr="002F7CBA">
              <w:rPr>
                <w:rFonts w:ascii="Arial" w:eastAsia="Calibri" w:hAnsi="Arial" w:cs="Arial"/>
                <w:sz w:val="20"/>
                <w:szCs w:val="20"/>
              </w:rPr>
              <w:t>services de garde, enregistrement et traitement des données</w:t>
            </w:r>
          </w:p>
        </w:tc>
        <w:tc>
          <w:tcPr>
            <w:tcW w:w="850" w:type="dxa"/>
            <w:vAlign w:val="center"/>
          </w:tcPr>
          <w:p w14:paraId="4AAB3F0B"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616F7D">
              <w:rPr>
                <w:rFonts w:ascii="Arial" w:eastAsia="Calibri" w:hAnsi="Arial" w:cs="Arial"/>
                <w:sz w:val="20"/>
              </w:rPr>
            </w:r>
            <w:r w:rsidR="00616F7D">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14092D44" w14:textId="77777777" w:rsidTr="006739F9">
        <w:tc>
          <w:tcPr>
            <w:tcW w:w="6804" w:type="dxa"/>
            <w:vAlign w:val="center"/>
          </w:tcPr>
          <w:p w14:paraId="273986C9" w14:textId="77777777" w:rsidR="002F7CBA" w:rsidRPr="002F7CBA" w:rsidRDefault="002F7CBA" w:rsidP="002F7CBA">
            <w:pPr>
              <w:jc w:val="both"/>
              <w:rPr>
                <w:rFonts w:ascii="Arial" w:eastAsia="Calibri" w:hAnsi="Arial" w:cs="Arial"/>
                <w:sz w:val="20"/>
                <w:szCs w:val="20"/>
              </w:rPr>
            </w:pPr>
            <w:r w:rsidRPr="002F7CBA">
              <w:rPr>
                <w:rFonts w:ascii="Arial" w:eastAsia="Calibri" w:hAnsi="Arial" w:cs="Arial"/>
                <w:sz w:val="20"/>
                <w:szCs w:val="20"/>
              </w:rPr>
              <w:t>garantie de l’exécution d’opérations de paiement</w:t>
            </w:r>
          </w:p>
        </w:tc>
        <w:tc>
          <w:tcPr>
            <w:tcW w:w="850" w:type="dxa"/>
            <w:vAlign w:val="center"/>
          </w:tcPr>
          <w:p w14:paraId="64F487C3"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616F7D">
              <w:rPr>
                <w:rFonts w:ascii="Arial" w:eastAsia="Calibri" w:hAnsi="Arial" w:cs="Arial"/>
                <w:sz w:val="20"/>
              </w:rPr>
            </w:r>
            <w:r w:rsidR="00616F7D">
              <w:rPr>
                <w:rFonts w:ascii="Arial" w:eastAsia="Calibri" w:hAnsi="Arial" w:cs="Arial"/>
                <w:sz w:val="20"/>
              </w:rPr>
              <w:fldChar w:fldCharType="separate"/>
            </w:r>
            <w:r w:rsidRPr="002F7CBA">
              <w:rPr>
                <w:rFonts w:ascii="Arial" w:eastAsia="Calibri" w:hAnsi="Arial" w:cs="Arial"/>
                <w:sz w:val="20"/>
              </w:rPr>
              <w:fldChar w:fldCharType="end"/>
            </w:r>
          </w:p>
        </w:tc>
      </w:tr>
    </w:tbl>
    <w:p w14:paraId="3F1A52FC" w14:textId="77777777" w:rsidR="002F7CBA" w:rsidRDefault="002F7CBA" w:rsidP="002F7CBA">
      <w:pPr>
        <w:tabs>
          <w:tab w:val="left" w:pos="1418"/>
        </w:tabs>
        <w:rPr>
          <w:rFonts w:ascii="Arial" w:eastAsia="Calibri" w:hAnsi="Arial" w:cs="Arial"/>
          <w:sz w:val="20"/>
          <w:szCs w:val="20"/>
        </w:rPr>
      </w:pPr>
    </w:p>
    <w:p w14:paraId="6FEE59BF" w14:textId="77777777" w:rsidR="00CA5768" w:rsidRPr="00CA5768" w:rsidRDefault="00CA5768" w:rsidP="00CA5768">
      <w:pPr>
        <w:pStyle w:val="Paragraphedeliste"/>
        <w:numPr>
          <w:ilvl w:val="0"/>
          <w:numId w:val="5"/>
        </w:numPr>
        <w:tabs>
          <w:tab w:val="left" w:pos="1418"/>
        </w:tabs>
        <w:rPr>
          <w:rFonts w:ascii="Arial" w:eastAsia="Calibri" w:hAnsi="Arial" w:cs="Arial"/>
          <w:sz w:val="20"/>
          <w:szCs w:val="20"/>
        </w:rPr>
      </w:pPr>
      <w:r w:rsidRPr="00CA5768">
        <w:rPr>
          <w:rFonts w:ascii="Arial" w:eastAsia="Calibri" w:hAnsi="Arial" w:cs="Arial"/>
          <w:sz w:val="20"/>
          <w:szCs w:val="20"/>
        </w:rPr>
        <w:t>Décrire succinctement les opérations et indiquer le chiffre d’affaires envisagé pour chaque opération connexe ci-dessous.</w:t>
      </w:r>
    </w:p>
    <w:p w14:paraId="25F5EA2D" w14:textId="77777777" w:rsidR="00CA5768" w:rsidRPr="00CA5768" w:rsidRDefault="00CA5768" w:rsidP="00CA5768">
      <w:pPr>
        <w:pStyle w:val="Paragraphedeliste"/>
        <w:numPr>
          <w:ilvl w:val="0"/>
          <w:numId w:val="5"/>
        </w:numPr>
        <w:tabs>
          <w:tab w:val="left" w:pos="1418"/>
        </w:tabs>
        <w:rPr>
          <w:rFonts w:ascii="Arial" w:eastAsia="Calibri" w:hAnsi="Arial" w:cs="Arial"/>
          <w:sz w:val="20"/>
          <w:szCs w:val="20"/>
        </w:rPr>
      </w:pPr>
      <w:r w:rsidRPr="00CA5768">
        <w:rPr>
          <w:rFonts w:ascii="Arial" w:eastAsia="Calibri" w:hAnsi="Arial" w:cs="Arial"/>
          <w:sz w:val="20"/>
          <w:szCs w:val="20"/>
        </w:rPr>
        <w:t>En cas de garantie de l’exécution d’opérations de paiement fournir le projet de convention-cadre ainsi que le volume d’opérations envisagé ;</w:t>
      </w:r>
    </w:p>
    <w:p w14:paraId="66258880" w14:textId="77777777" w:rsidR="002F7CBA" w:rsidRDefault="002F7CBA" w:rsidP="002F7CBA"/>
    <w:p w14:paraId="48F293A1" w14:textId="77777777" w:rsidR="002F7CBA" w:rsidRPr="002F7CBA" w:rsidRDefault="002F7CBA" w:rsidP="002F7CBA">
      <w:pPr>
        <w:pStyle w:val="Paragraphedeliste"/>
        <w:numPr>
          <w:ilvl w:val="0"/>
          <w:numId w:val="2"/>
        </w:numPr>
        <w:spacing w:line="240" w:lineRule="auto"/>
        <w:outlineLvl w:val="1"/>
        <w:rPr>
          <w:rFonts w:ascii="Arial" w:eastAsia="Times New Roman" w:hAnsi="Arial" w:cs="Arial"/>
          <w:b/>
          <w:color w:val="1F497D"/>
          <w:sz w:val="28"/>
          <w:szCs w:val="28"/>
          <w:lang w:eastAsia="fr-FR"/>
        </w:rPr>
      </w:pPr>
      <w:bookmarkStart w:id="7" w:name="_Toc78984783"/>
      <w:r>
        <w:rPr>
          <w:rFonts w:ascii="Arial" w:eastAsia="Times New Roman" w:hAnsi="Arial" w:cs="Arial"/>
          <w:b/>
          <w:color w:val="1F497D"/>
          <w:sz w:val="28"/>
          <w:szCs w:val="28"/>
          <w:lang w:eastAsia="fr-FR"/>
        </w:rPr>
        <w:t>Service</w:t>
      </w:r>
      <w:r w:rsidRPr="002F7CBA">
        <w:rPr>
          <w:rFonts w:ascii="Arial" w:eastAsia="Times New Roman" w:hAnsi="Arial" w:cs="Arial"/>
          <w:b/>
          <w:color w:val="1F497D"/>
          <w:sz w:val="28"/>
          <w:szCs w:val="28"/>
          <w:lang w:eastAsia="fr-FR"/>
        </w:rPr>
        <w:t xml:space="preserve"> </w:t>
      </w:r>
      <w:r>
        <w:rPr>
          <w:rFonts w:ascii="Arial" w:eastAsia="Times New Roman" w:hAnsi="Arial" w:cs="Arial"/>
          <w:b/>
          <w:color w:val="1F497D"/>
          <w:sz w:val="28"/>
          <w:szCs w:val="28"/>
          <w:lang w:eastAsia="fr-FR"/>
        </w:rPr>
        <w:t>d’octroi de crédit</w:t>
      </w:r>
      <w:bookmarkEnd w:id="7"/>
    </w:p>
    <w:p w14:paraId="1D166E5E" w14:textId="77777777" w:rsidR="002F7CBA" w:rsidRPr="002F7CBA" w:rsidRDefault="002F7CBA" w:rsidP="002F7CBA">
      <w:pPr>
        <w:tabs>
          <w:tab w:val="left" w:pos="709"/>
          <w:tab w:val="left" w:pos="6805"/>
        </w:tabs>
        <w:spacing w:line="240" w:lineRule="auto"/>
        <w:rPr>
          <w:rFonts w:ascii="Arial" w:eastAsia="Times New Roman" w:hAnsi="Arial" w:cs="Arial"/>
          <w:i/>
          <w:sz w:val="20"/>
          <w:szCs w:val="20"/>
          <w:lang w:eastAsia="fr-FR"/>
        </w:rPr>
      </w:pPr>
      <w:r w:rsidRPr="002F7CBA">
        <w:rPr>
          <w:rFonts w:ascii="Arial" w:eastAsia="Times New Roman" w:hAnsi="Arial" w:cs="Arial"/>
          <w:i/>
          <w:color w:val="1F497D"/>
          <w:sz w:val="20"/>
          <w:szCs w:val="20"/>
          <w:lang w:eastAsia="fr-FR"/>
        </w:rPr>
        <w:tab/>
        <w:t>(</w:t>
      </w:r>
      <w:r w:rsidRPr="002F7CBA">
        <w:rPr>
          <w:rFonts w:ascii="Arial" w:eastAsia="Times New Roman" w:hAnsi="Arial" w:cs="Arial"/>
          <w:i/>
          <w:sz w:val="20"/>
          <w:szCs w:val="20"/>
          <w:lang w:eastAsia="fr-FR"/>
        </w:rPr>
        <w:t xml:space="preserve">Article L. 522-2, </w:t>
      </w:r>
      <w:r>
        <w:rPr>
          <w:rFonts w:ascii="Arial" w:eastAsia="Times New Roman" w:hAnsi="Arial" w:cs="Arial"/>
          <w:i/>
          <w:sz w:val="20"/>
          <w:szCs w:val="20"/>
          <w:lang w:eastAsia="fr-FR"/>
        </w:rPr>
        <w:t>I</w:t>
      </w:r>
      <w:r w:rsidRPr="002F7CBA">
        <w:rPr>
          <w:rFonts w:ascii="Arial" w:eastAsia="Times New Roman" w:hAnsi="Arial" w:cs="Arial"/>
          <w:i/>
          <w:sz w:val="20"/>
          <w:szCs w:val="20"/>
          <w:lang w:eastAsia="fr-FR"/>
        </w:rPr>
        <w:t>I du Code monétaire et financier)</w:t>
      </w:r>
    </w:p>
    <w:p w14:paraId="0094CEB0" w14:textId="77777777" w:rsidR="002F7CBA" w:rsidRDefault="002F7CBA"/>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2F7CBA" w:rsidRPr="002F7CBA" w14:paraId="1694FDF3" w14:textId="77777777" w:rsidTr="006739F9">
        <w:tc>
          <w:tcPr>
            <w:tcW w:w="6804" w:type="dxa"/>
            <w:vAlign w:val="center"/>
          </w:tcPr>
          <w:p w14:paraId="67C9F4CD" w14:textId="77777777" w:rsidR="002F7CBA" w:rsidRPr="002F7CBA" w:rsidRDefault="002F7CBA" w:rsidP="002F7CBA">
            <w:pPr>
              <w:spacing w:before="60"/>
              <w:jc w:val="both"/>
              <w:rPr>
                <w:rFonts w:ascii="Arial" w:eastAsia="Calibri" w:hAnsi="Arial" w:cs="Arial"/>
                <w:sz w:val="20"/>
                <w:szCs w:val="20"/>
              </w:rPr>
            </w:pPr>
            <w:r>
              <w:rPr>
                <w:rFonts w:ascii="Arial" w:eastAsia="Calibri" w:hAnsi="Arial" w:cs="Arial"/>
                <w:sz w:val="20"/>
                <w:szCs w:val="20"/>
              </w:rPr>
              <w:t>Service d’octroi de crédit tel que prévu à l’article L. 522-2, II du Code monétaire et financier</w:t>
            </w:r>
          </w:p>
        </w:tc>
        <w:tc>
          <w:tcPr>
            <w:tcW w:w="850" w:type="dxa"/>
            <w:vAlign w:val="center"/>
          </w:tcPr>
          <w:p w14:paraId="49C14586" w14:textId="77777777" w:rsidR="002F7CBA" w:rsidRPr="002F7CBA" w:rsidRDefault="002F7CBA" w:rsidP="006739F9">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616F7D">
              <w:rPr>
                <w:rFonts w:ascii="Arial" w:eastAsia="Calibri" w:hAnsi="Arial" w:cs="Arial"/>
                <w:sz w:val="20"/>
              </w:rPr>
            </w:r>
            <w:r w:rsidR="00616F7D">
              <w:rPr>
                <w:rFonts w:ascii="Arial" w:eastAsia="Calibri" w:hAnsi="Arial" w:cs="Arial"/>
                <w:sz w:val="20"/>
              </w:rPr>
              <w:fldChar w:fldCharType="separate"/>
            </w:r>
            <w:r w:rsidRPr="002F7CBA">
              <w:rPr>
                <w:rFonts w:ascii="Arial" w:eastAsia="Calibri" w:hAnsi="Arial" w:cs="Arial"/>
                <w:sz w:val="20"/>
              </w:rPr>
              <w:fldChar w:fldCharType="end"/>
            </w:r>
          </w:p>
        </w:tc>
      </w:tr>
    </w:tbl>
    <w:p w14:paraId="6CDF05B4" w14:textId="77777777" w:rsidR="002F7CBA" w:rsidRDefault="002F7CBA"/>
    <w:p w14:paraId="42EAAD99" w14:textId="77777777" w:rsidR="00CA5768" w:rsidRDefault="002F7CBA" w:rsidP="002F7CBA">
      <w:pPr>
        <w:pStyle w:val="Paragraphedeliste"/>
        <w:numPr>
          <w:ilvl w:val="0"/>
          <w:numId w:val="7"/>
        </w:numPr>
        <w:jc w:val="both"/>
        <w:rPr>
          <w:rFonts w:ascii="Arial" w:eastAsia="Calibri" w:hAnsi="Arial" w:cs="Arial"/>
          <w:sz w:val="20"/>
          <w:szCs w:val="20"/>
        </w:rPr>
      </w:pPr>
      <w:r w:rsidRPr="00CA5768">
        <w:rPr>
          <w:rFonts w:ascii="Arial" w:eastAsia="Calibri" w:hAnsi="Arial" w:cs="Arial"/>
          <w:sz w:val="20"/>
          <w:szCs w:val="20"/>
        </w:rPr>
        <w:t>Fournir une description de l’exécution de ce service incluant notamment une politique de gestion des crédits (de l’octroi au suivi du risque de défaut y compris les procédures de gestion des créances douteuses</w:t>
      </w:r>
      <w:r w:rsidR="00CA5768" w:rsidRPr="00CA5768">
        <w:rPr>
          <w:rFonts w:ascii="Arial" w:eastAsia="Calibri" w:hAnsi="Arial" w:cs="Arial"/>
          <w:sz w:val="20"/>
          <w:szCs w:val="20"/>
        </w:rPr>
        <w:t xml:space="preserve"> et</w:t>
      </w:r>
      <w:r w:rsidRPr="00CA5768">
        <w:rPr>
          <w:rFonts w:ascii="Arial" w:eastAsia="Calibri" w:hAnsi="Arial" w:cs="Arial"/>
          <w:sz w:val="20"/>
          <w:szCs w:val="20"/>
        </w:rPr>
        <w:t xml:space="preserve"> de recouvrement).</w:t>
      </w:r>
    </w:p>
    <w:p w14:paraId="40128CF1" w14:textId="77777777" w:rsidR="00CA5768" w:rsidRPr="00CA5768" w:rsidRDefault="00CA5768" w:rsidP="002F7CBA">
      <w:pPr>
        <w:pStyle w:val="Paragraphedeliste"/>
        <w:numPr>
          <w:ilvl w:val="0"/>
          <w:numId w:val="7"/>
        </w:numPr>
        <w:jc w:val="both"/>
        <w:rPr>
          <w:rFonts w:ascii="Arial" w:eastAsia="Calibri" w:hAnsi="Arial" w:cs="Arial"/>
          <w:sz w:val="20"/>
          <w:szCs w:val="20"/>
        </w:rPr>
      </w:pPr>
      <w:r w:rsidRPr="00CA5768">
        <w:rPr>
          <w:rFonts w:ascii="Arial" w:eastAsia="Calibri" w:hAnsi="Arial" w:cs="Arial"/>
          <w:sz w:val="20"/>
          <w:szCs w:val="20"/>
        </w:rPr>
        <w:t>Fournir une estimation des encours de crédits et indiquer les moyens de financement de cette activité.</w:t>
      </w:r>
    </w:p>
    <w:p w14:paraId="22B5C288" w14:textId="77777777" w:rsidR="002F7CBA" w:rsidRDefault="002F7CBA"/>
    <w:p w14:paraId="31F4B219" w14:textId="77777777" w:rsidR="00CA5768" w:rsidRPr="002F7CBA" w:rsidRDefault="00CA5768" w:rsidP="00CA5768">
      <w:pPr>
        <w:pStyle w:val="Paragraphedeliste"/>
        <w:numPr>
          <w:ilvl w:val="0"/>
          <w:numId w:val="2"/>
        </w:numPr>
        <w:spacing w:line="240" w:lineRule="auto"/>
        <w:outlineLvl w:val="1"/>
        <w:rPr>
          <w:rFonts w:ascii="Arial" w:eastAsia="Times New Roman" w:hAnsi="Arial" w:cs="Arial"/>
          <w:b/>
          <w:color w:val="1F497D"/>
          <w:sz w:val="28"/>
          <w:szCs w:val="28"/>
          <w:lang w:eastAsia="fr-FR"/>
        </w:rPr>
      </w:pPr>
      <w:bookmarkStart w:id="8" w:name="_Toc78984784"/>
      <w:r>
        <w:rPr>
          <w:rFonts w:ascii="Arial" w:eastAsia="Times New Roman" w:hAnsi="Arial" w:cs="Arial"/>
          <w:b/>
          <w:color w:val="1F497D"/>
          <w:sz w:val="28"/>
          <w:szCs w:val="28"/>
          <w:lang w:eastAsia="fr-FR"/>
        </w:rPr>
        <w:t>Recours à des agents</w:t>
      </w:r>
      <w:bookmarkEnd w:id="8"/>
      <w:r>
        <w:rPr>
          <w:rFonts w:ascii="Arial" w:eastAsia="Times New Roman" w:hAnsi="Arial" w:cs="Arial"/>
          <w:b/>
          <w:color w:val="1F497D"/>
          <w:sz w:val="28"/>
          <w:szCs w:val="28"/>
          <w:lang w:eastAsia="fr-FR"/>
        </w:rPr>
        <w:t xml:space="preserve"> </w:t>
      </w:r>
    </w:p>
    <w:p w14:paraId="136148FE" w14:textId="77777777" w:rsidR="00CA5768" w:rsidRPr="002F7CBA" w:rsidRDefault="00CA5768" w:rsidP="00CA5768">
      <w:pPr>
        <w:tabs>
          <w:tab w:val="left" w:pos="709"/>
          <w:tab w:val="left" w:pos="6805"/>
        </w:tabs>
        <w:spacing w:line="240" w:lineRule="auto"/>
        <w:rPr>
          <w:rFonts w:ascii="Arial" w:eastAsia="Times New Roman" w:hAnsi="Arial" w:cs="Arial"/>
          <w:i/>
          <w:sz w:val="20"/>
          <w:szCs w:val="20"/>
          <w:lang w:eastAsia="fr-FR"/>
        </w:rPr>
      </w:pPr>
      <w:r w:rsidRPr="002F7CBA">
        <w:rPr>
          <w:rFonts w:ascii="Arial" w:eastAsia="Times New Roman" w:hAnsi="Arial" w:cs="Arial"/>
          <w:i/>
          <w:color w:val="1F497D"/>
          <w:sz w:val="20"/>
          <w:szCs w:val="20"/>
          <w:lang w:eastAsia="fr-FR"/>
        </w:rPr>
        <w:tab/>
      </w:r>
      <w:r w:rsidRPr="00CA5768">
        <w:rPr>
          <w:rFonts w:ascii="Arial" w:eastAsia="Times New Roman" w:hAnsi="Arial" w:cs="Arial"/>
          <w:i/>
          <w:sz w:val="20"/>
          <w:szCs w:val="20"/>
          <w:lang w:eastAsia="fr-FR"/>
        </w:rPr>
        <w:t>(Articles L. 523-1 à L. 523-6 du Code monétaire et financier)</w:t>
      </w:r>
    </w:p>
    <w:p w14:paraId="1639FEEF" w14:textId="77777777" w:rsidR="00CA5768" w:rsidRDefault="00CA5768" w:rsidP="00CA5768"/>
    <w:p w14:paraId="49F5D550" w14:textId="77777777" w:rsidR="00CA5768" w:rsidRDefault="00CA5768" w:rsidP="006D68A4">
      <w:pPr>
        <w:pStyle w:val="Paragraphedeliste"/>
        <w:numPr>
          <w:ilvl w:val="0"/>
          <w:numId w:val="7"/>
        </w:numPr>
        <w:tabs>
          <w:tab w:val="left" w:pos="1134"/>
        </w:tabs>
        <w:jc w:val="both"/>
        <w:rPr>
          <w:rFonts w:ascii="Arial" w:hAnsi="Arial" w:cs="Arial"/>
          <w:sz w:val="20"/>
          <w:szCs w:val="20"/>
        </w:rPr>
      </w:pPr>
      <w:r w:rsidRPr="00CA5768">
        <w:rPr>
          <w:rFonts w:ascii="Arial" w:hAnsi="Arial" w:cs="Arial"/>
          <w:sz w:val="20"/>
          <w:szCs w:val="20"/>
        </w:rPr>
        <w:t>Préciser le nombre prévisionnel d’agents auxquels l’établissement envisage de recourir, les grandes lignes de la politique de sélection, formation et contrôle et les caractéristiques de ces agents (personnes physiques, morales, nature des secteurs d’activité prospectés…) ; décrire les modalités de suivi de leur activité (cf. partie sur le contrôle interne). Joindre le contrat ou le projet de contrat avec les agents.</w:t>
      </w:r>
    </w:p>
    <w:p w14:paraId="77054AA1" w14:textId="77777777" w:rsidR="00CA5768" w:rsidRDefault="00CA5768" w:rsidP="00CA5768">
      <w:pPr>
        <w:pStyle w:val="Paragraphedeliste"/>
        <w:tabs>
          <w:tab w:val="left" w:pos="1134"/>
        </w:tabs>
        <w:rPr>
          <w:rFonts w:ascii="Arial" w:hAnsi="Arial" w:cs="Arial"/>
          <w:sz w:val="20"/>
          <w:szCs w:val="20"/>
        </w:rPr>
      </w:pPr>
    </w:p>
    <w:p w14:paraId="210D0A43" w14:textId="77777777" w:rsidR="00CA5768" w:rsidRPr="00CA5768" w:rsidRDefault="00CA5768" w:rsidP="006D68A4">
      <w:pPr>
        <w:pStyle w:val="Paragraphedeliste"/>
        <w:numPr>
          <w:ilvl w:val="0"/>
          <w:numId w:val="7"/>
        </w:numPr>
        <w:tabs>
          <w:tab w:val="left" w:pos="1134"/>
        </w:tabs>
        <w:jc w:val="both"/>
        <w:rPr>
          <w:rStyle w:val="Lienhypertexte"/>
          <w:rFonts w:ascii="Arial" w:hAnsi="Arial" w:cs="Arial"/>
          <w:color w:val="auto"/>
          <w:sz w:val="20"/>
          <w:szCs w:val="20"/>
          <w:u w:val="none"/>
        </w:rPr>
      </w:pPr>
      <w:r w:rsidRPr="00CA5768">
        <w:rPr>
          <w:rFonts w:ascii="Arial" w:hAnsi="Arial" w:cs="Arial"/>
          <w:sz w:val="20"/>
          <w:szCs w:val="20"/>
        </w:rPr>
        <w:t xml:space="preserve">Si ceux-ci sont d’ores et déjà identifiés, joindre les formulaires de déclaration que vous trouverez sous le lien suivant : </w:t>
      </w:r>
      <w:hyperlink r:id="rId10" w:history="1">
        <w:r w:rsidRPr="00CA5768">
          <w:rPr>
            <w:rStyle w:val="Lienhypertexte"/>
            <w:rFonts w:ascii="Arial" w:hAnsi="Arial" w:cs="Arial"/>
            <w:sz w:val="20"/>
            <w:szCs w:val="20"/>
          </w:rPr>
          <w:t>https://acpr.banque-france.fr/agrements-et-autorisations/procedures-secteur-banque/agrement-autorisation-ou-enregistrement/agent-prestataire-de-services-de-paiement.html</w:t>
        </w:r>
      </w:hyperlink>
    </w:p>
    <w:p w14:paraId="0C4F64EA" w14:textId="77777777" w:rsidR="00CA5768" w:rsidRDefault="00CA5768" w:rsidP="00CA5768">
      <w:pPr>
        <w:tabs>
          <w:tab w:val="left" w:pos="1418"/>
        </w:tabs>
        <w:rPr>
          <w:rFonts w:ascii="Arial" w:hAnsi="Arial" w:cs="Arial"/>
          <w:sz w:val="20"/>
          <w:szCs w:val="20"/>
        </w:rPr>
      </w:pPr>
    </w:p>
    <w:p w14:paraId="5CDF1DCD" w14:textId="77777777" w:rsidR="00CA5768" w:rsidRPr="00CA5768" w:rsidRDefault="00CA5768" w:rsidP="00CA5768">
      <w:pPr>
        <w:pStyle w:val="Paragraphedeliste"/>
        <w:numPr>
          <w:ilvl w:val="0"/>
          <w:numId w:val="2"/>
        </w:numPr>
        <w:spacing w:line="240" w:lineRule="auto"/>
        <w:outlineLvl w:val="1"/>
        <w:rPr>
          <w:rFonts w:ascii="Arial" w:eastAsia="Times New Roman" w:hAnsi="Arial" w:cs="Arial"/>
          <w:b/>
          <w:color w:val="1F497D"/>
          <w:sz w:val="28"/>
          <w:szCs w:val="28"/>
          <w:lang w:eastAsia="fr-FR"/>
        </w:rPr>
      </w:pPr>
      <w:bookmarkStart w:id="9" w:name="_Toc507679352"/>
      <w:bookmarkStart w:id="10" w:name="_Toc78984785"/>
      <w:r w:rsidRPr="00CA5768">
        <w:rPr>
          <w:rFonts w:ascii="Arial" w:eastAsia="Times New Roman" w:hAnsi="Arial" w:cs="Arial"/>
          <w:b/>
          <w:color w:val="1F497D"/>
          <w:sz w:val="28"/>
          <w:szCs w:val="28"/>
          <w:lang w:eastAsia="fr-FR"/>
        </w:rPr>
        <w:lastRenderedPageBreak/>
        <w:t>Exercice d’activité à l’étranger</w:t>
      </w:r>
      <w:bookmarkEnd w:id="9"/>
      <w:bookmarkEnd w:id="10"/>
    </w:p>
    <w:p w14:paraId="76873589" w14:textId="77777777" w:rsidR="00CA5768" w:rsidRPr="00CA5768" w:rsidRDefault="00CA5768" w:rsidP="00CA5768">
      <w:pPr>
        <w:tabs>
          <w:tab w:val="left" w:pos="1418"/>
        </w:tabs>
        <w:rPr>
          <w:rFonts w:ascii="Arial" w:eastAsia="Calibri" w:hAnsi="Arial" w:cs="Arial"/>
          <w:sz w:val="20"/>
          <w:szCs w:val="20"/>
        </w:rPr>
      </w:pPr>
    </w:p>
    <w:p w14:paraId="3C1DB079" w14:textId="77777777" w:rsidR="00CA5768" w:rsidRPr="00CA5768" w:rsidRDefault="00CA5768" w:rsidP="00CA5768">
      <w:pPr>
        <w:numPr>
          <w:ilvl w:val="0"/>
          <w:numId w:val="9"/>
        </w:numPr>
        <w:spacing w:after="120" w:line="240" w:lineRule="auto"/>
        <w:contextualSpacing/>
        <w:jc w:val="both"/>
        <w:rPr>
          <w:rFonts w:ascii="Arial" w:eastAsia="Times New Roman" w:hAnsi="Arial" w:cs="Arial"/>
          <w:sz w:val="20"/>
          <w:szCs w:val="20"/>
          <w:lang w:eastAsia="fr-FR"/>
        </w:rPr>
      </w:pPr>
      <w:r w:rsidRPr="00CA5768">
        <w:rPr>
          <w:rFonts w:ascii="Arial" w:eastAsia="Times New Roman" w:hAnsi="Arial" w:cs="Arial"/>
          <w:sz w:val="20"/>
          <w:szCs w:val="20"/>
          <w:lang w:eastAsia="fr-FR"/>
        </w:rPr>
        <w:t>Indiquer si l'exercice d'activités de services de paiement en libre prestation de services ou en libre établissement dans un autre État de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CA5768" w:rsidRPr="00CA5768" w14:paraId="3C2748FD" w14:textId="77777777" w:rsidTr="006739F9">
        <w:trPr>
          <w:jc w:val="center"/>
        </w:trPr>
        <w:tc>
          <w:tcPr>
            <w:tcW w:w="1418" w:type="dxa"/>
            <w:vAlign w:val="center"/>
          </w:tcPr>
          <w:p w14:paraId="5A07D46B" w14:textId="77777777" w:rsidR="00CA5768" w:rsidRPr="00CA5768" w:rsidRDefault="00CA5768" w:rsidP="00CA5768">
            <w:pPr>
              <w:spacing w:before="120" w:after="120"/>
              <w:ind w:left="175"/>
              <w:jc w:val="right"/>
              <w:rPr>
                <w:rFonts w:ascii="Arial" w:eastAsia="Calibri" w:hAnsi="Arial" w:cs="Arial"/>
                <w:sz w:val="20"/>
                <w:szCs w:val="20"/>
              </w:rPr>
            </w:pPr>
            <w:r w:rsidRPr="00CA5768">
              <w:rPr>
                <w:rFonts w:ascii="Arial" w:eastAsia="Calibri" w:hAnsi="Arial" w:cs="Arial"/>
                <w:sz w:val="20"/>
                <w:szCs w:val="20"/>
              </w:rPr>
              <w:t>Oui</w:t>
            </w:r>
          </w:p>
        </w:tc>
        <w:tc>
          <w:tcPr>
            <w:tcW w:w="1134" w:type="dxa"/>
            <w:vAlign w:val="center"/>
          </w:tcPr>
          <w:p w14:paraId="796CEB21" w14:textId="77777777" w:rsidR="00CA5768" w:rsidRPr="00CA5768" w:rsidRDefault="00CA5768" w:rsidP="00CA5768">
            <w:pPr>
              <w:spacing w:before="120" w:after="120"/>
              <w:ind w:left="175"/>
              <w:rPr>
                <w:rFonts w:ascii="Arial" w:eastAsia="Calibri" w:hAnsi="Arial" w:cs="Arial"/>
                <w:sz w:val="20"/>
                <w:szCs w:val="20"/>
              </w:rPr>
            </w:pPr>
            <w:r w:rsidRPr="00CA5768">
              <w:rPr>
                <w:rFonts w:ascii="Arial" w:eastAsia="Calibri" w:hAnsi="Arial" w:cs="Arial"/>
                <w:sz w:val="20"/>
                <w:szCs w:val="20"/>
              </w:rPr>
              <w:fldChar w:fldCharType="begin">
                <w:ffData>
                  <w:name w:val="CaseACocher1"/>
                  <w:enabled/>
                  <w:calcOnExit w:val="0"/>
                  <w:checkBox>
                    <w:sizeAuto/>
                    <w:default w:val="0"/>
                  </w:checkBox>
                </w:ffData>
              </w:fldChar>
            </w:r>
            <w:r w:rsidRPr="00CA5768">
              <w:rPr>
                <w:rFonts w:ascii="Arial" w:eastAsia="Calibri" w:hAnsi="Arial" w:cs="Arial"/>
                <w:sz w:val="20"/>
                <w:szCs w:val="20"/>
              </w:rPr>
              <w:instrText xml:space="preserve"> FORMCHECKBOX </w:instrText>
            </w:r>
            <w:r w:rsidR="00616F7D">
              <w:rPr>
                <w:rFonts w:ascii="Arial" w:eastAsia="Calibri" w:hAnsi="Arial" w:cs="Arial"/>
                <w:sz w:val="20"/>
                <w:szCs w:val="20"/>
              </w:rPr>
            </w:r>
            <w:r w:rsidR="00616F7D">
              <w:rPr>
                <w:rFonts w:ascii="Arial" w:eastAsia="Calibri" w:hAnsi="Arial" w:cs="Arial"/>
                <w:sz w:val="20"/>
                <w:szCs w:val="20"/>
              </w:rPr>
              <w:fldChar w:fldCharType="separate"/>
            </w:r>
            <w:r w:rsidRPr="00CA5768">
              <w:rPr>
                <w:rFonts w:ascii="Arial" w:eastAsia="Calibri" w:hAnsi="Arial" w:cs="Arial"/>
                <w:sz w:val="20"/>
                <w:szCs w:val="20"/>
              </w:rPr>
              <w:fldChar w:fldCharType="end"/>
            </w:r>
          </w:p>
        </w:tc>
        <w:tc>
          <w:tcPr>
            <w:tcW w:w="1418" w:type="dxa"/>
            <w:vAlign w:val="center"/>
          </w:tcPr>
          <w:p w14:paraId="62853E28" w14:textId="77777777" w:rsidR="00CA5768" w:rsidRPr="00CA5768" w:rsidRDefault="00CA5768" w:rsidP="00CA5768">
            <w:pPr>
              <w:spacing w:before="120" w:after="120"/>
              <w:ind w:left="175"/>
              <w:jc w:val="right"/>
              <w:rPr>
                <w:rFonts w:ascii="Arial" w:eastAsia="Calibri" w:hAnsi="Arial" w:cs="Arial"/>
                <w:sz w:val="20"/>
                <w:szCs w:val="20"/>
              </w:rPr>
            </w:pPr>
            <w:r w:rsidRPr="00CA5768">
              <w:rPr>
                <w:rFonts w:ascii="Arial" w:eastAsia="Calibri" w:hAnsi="Arial" w:cs="Arial"/>
                <w:sz w:val="20"/>
                <w:szCs w:val="20"/>
              </w:rPr>
              <w:t>Non</w:t>
            </w:r>
          </w:p>
        </w:tc>
        <w:tc>
          <w:tcPr>
            <w:tcW w:w="1134" w:type="dxa"/>
            <w:vAlign w:val="center"/>
          </w:tcPr>
          <w:p w14:paraId="2CAE7766" w14:textId="77777777" w:rsidR="00CA5768" w:rsidRPr="00CA5768" w:rsidRDefault="00CA5768" w:rsidP="00CA5768">
            <w:pPr>
              <w:spacing w:before="120" w:after="120"/>
              <w:ind w:left="175"/>
              <w:rPr>
                <w:rFonts w:ascii="Arial" w:eastAsia="Calibri" w:hAnsi="Arial" w:cs="Arial"/>
                <w:sz w:val="20"/>
                <w:szCs w:val="20"/>
              </w:rPr>
            </w:pPr>
            <w:r w:rsidRPr="00CA5768">
              <w:rPr>
                <w:rFonts w:ascii="Arial" w:eastAsia="Calibri" w:hAnsi="Arial" w:cs="Arial"/>
                <w:sz w:val="20"/>
                <w:szCs w:val="20"/>
              </w:rPr>
              <w:fldChar w:fldCharType="begin">
                <w:ffData>
                  <w:name w:val="CaseACocher1"/>
                  <w:enabled/>
                  <w:calcOnExit w:val="0"/>
                  <w:checkBox>
                    <w:sizeAuto/>
                    <w:default w:val="0"/>
                  </w:checkBox>
                </w:ffData>
              </w:fldChar>
            </w:r>
            <w:r w:rsidRPr="00CA5768">
              <w:rPr>
                <w:rFonts w:ascii="Arial" w:eastAsia="Calibri" w:hAnsi="Arial" w:cs="Arial"/>
                <w:sz w:val="20"/>
                <w:szCs w:val="20"/>
              </w:rPr>
              <w:instrText xml:space="preserve"> FORMCHECKBOX </w:instrText>
            </w:r>
            <w:r w:rsidR="00616F7D">
              <w:rPr>
                <w:rFonts w:ascii="Arial" w:eastAsia="Calibri" w:hAnsi="Arial" w:cs="Arial"/>
                <w:sz w:val="20"/>
                <w:szCs w:val="20"/>
              </w:rPr>
            </w:r>
            <w:r w:rsidR="00616F7D">
              <w:rPr>
                <w:rFonts w:ascii="Arial" w:eastAsia="Calibri" w:hAnsi="Arial" w:cs="Arial"/>
                <w:sz w:val="20"/>
                <w:szCs w:val="20"/>
              </w:rPr>
              <w:fldChar w:fldCharType="separate"/>
            </w:r>
            <w:r w:rsidRPr="00CA5768">
              <w:rPr>
                <w:rFonts w:ascii="Arial" w:eastAsia="Calibri" w:hAnsi="Arial" w:cs="Arial"/>
                <w:sz w:val="20"/>
                <w:szCs w:val="20"/>
              </w:rPr>
              <w:fldChar w:fldCharType="end"/>
            </w:r>
          </w:p>
        </w:tc>
      </w:tr>
    </w:tbl>
    <w:p w14:paraId="4A27EFF2" w14:textId="77777777" w:rsidR="00CA5768" w:rsidRPr="00CA5768" w:rsidRDefault="00CA5768" w:rsidP="00CA5768">
      <w:pPr>
        <w:pStyle w:val="Paragraphedeliste"/>
        <w:numPr>
          <w:ilvl w:val="0"/>
          <w:numId w:val="7"/>
        </w:numPr>
        <w:jc w:val="both"/>
        <w:rPr>
          <w:rFonts w:ascii="Arial" w:eastAsia="Calibri" w:hAnsi="Arial" w:cs="Arial"/>
          <w:sz w:val="20"/>
          <w:szCs w:val="20"/>
        </w:rPr>
      </w:pPr>
      <w:r w:rsidRPr="00CA5768">
        <w:rPr>
          <w:rFonts w:ascii="Arial" w:eastAsia="Calibri" w:hAnsi="Arial" w:cs="Arial"/>
          <w:sz w:val="20"/>
          <w:szCs w:val="20"/>
        </w:rPr>
        <w:t xml:space="preserve">Si oui, le </w:t>
      </w:r>
      <w:r w:rsidR="00610FEB">
        <w:rPr>
          <w:rFonts w:ascii="Arial" w:eastAsia="Calibri" w:hAnsi="Arial" w:cs="Arial"/>
          <w:sz w:val="20"/>
          <w:szCs w:val="20"/>
        </w:rPr>
        <w:t>déclarant</w:t>
      </w:r>
      <w:r w:rsidRPr="00CA5768">
        <w:rPr>
          <w:rFonts w:ascii="Arial" w:eastAsia="Calibri" w:hAnsi="Arial" w:cs="Arial"/>
          <w:sz w:val="20"/>
          <w:szCs w:val="20"/>
        </w:rPr>
        <w:t xml:space="preserve"> doit compléter le formulaire relatif à l’exercice d’activités dans un autre État de l’Espace économique européen et ce pour chaque pays que vous trouverez sous le lien suivant :</w:t>
      </w:r>
      <w:r>
        <w:rPr>
          <w:rFonts w:ascii="Arial" w:eastAsia="Calibri" w:hAnsi="Arial" w:cs="Arial"/>
          <w:sz w:val="20"/>
          <w:szCs w:val="20"/>
        </w:rPr>
        <w:t xml:space="preserve"> </w:t>
      </w:r>
      <w:hyperlink r:id="rId11" w:history="1">
        <w:r w:rsidRPr="00CA5768">
          <w:rPr>
            <w:rStyle w:val="Lienhypertexte"/>
            <w:rFonts w:ascii="Arial" w:eastAsia="Calibri" w:hAnsi="Arial" w:cs="Arial"/>
            <w:sz w:val="20"/>
            <w:szCs w:val="20"/>
          </w:rPr>
          <w:t>https://acpr.banque-france.fr/autoriser/procedures-secteur-banque/passeports-europeens-banque</w:t>
        </w:r>
      </w:hyperlink>
      <w:r w:rsidRPr="00CA5768" w:rsidDel="00821632">
        <w:rPr>
          <w:rFonts w:ascii="Arial" w:eastAsia="Calibri" w:hAnsi="Arial" w:cs="Arial"/>
          <w:sz w:val="20"/>
          <w:szCs w:val="20"/>
        </w:rPr>
        <w:t xml:space="preserve"> </w:t>
      </w:r>
    </w:p>
    <w:p w14:paraId="792CEF2D" w14:textId="77777777" w:rsidR="00CA5768" w:rsidRPr="00CA5768" w:rsidRDefault="00CA5768" w:rsidP="00CA5768">
      <w:pPr>
        <w:jc w:val="both"/>
        <w:rPr>
          <w:rFonts w:ascii="Arial" w:eastAsia="Calibri" w:hAnsi="Arial" w:cs="Arial"/>
          <w:sz w:val="20"/>
          <w:szCs w:val="20"/>
        </w:rPr>
      </w:pPr>
    </w:p>
    <w:p w14:paraId="4BE09080" w14:textId="77777777" w:rsidR="00CA5768" w:rsidRPr="00CA5768" w:rsidRDefault="00CA5768" w:rsidP="00CA5768">
      <w:pPr>
        <w:numPr>
          <w:ilvl w:val="0"/>
          <w:numId w:val="9"/>
        </w:numPr>
        <w:spacing w:after="120" w:line="240" w:lineRule="auto"/>
        <w:contextualSpacing/>
        <w:jc w:val="both"/>
        <w:rPr>
          <w:rFonts w:ascii="Arial" w:eastAsia="Times New Roman" w:hAnsi="Arial" w:cs="Arial"/>
          <w:sz w:val="20"/>
          <w:szCs w:val="20"/>
          <w:lang w:eastAsia="fr-FR"/>
        </w:rPr>
      </w:pPr>
      <w:r w:rsidRPr="00CA5768">
        <w:rPr>
          <w:rFonts w:ascii="Arial" w:eastAsia="Times New Roman" w:hAnsi="Arial" w:cs="Arial"/>
          <w:sz w:val="20"/>
          <w:szCs w:val="20"/>
          <w:lang w:eastAsia="fr-FR"/>
        </w:rPr>
        <w:t>Indiquer si l'exercice d'activités de services de paiement dans des États n’appartenant pas à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CA5768" w:rsidRPr="00CA5768" w14:paraId="54BE7D61" w14:textId="77777777" w:rsidTr="006739F9">
        <w:trPr>
          <w:jc w:val="center"/>
        </w:trPr>
        <w:tc>
          <w:tcPr>
            <w:tcW w:w="1418" w:type="dxa"/>
            <w:vAlign w:val="center"/>
          </w:tcPr>
          <w:p w14:paraId="011461C9" w14:textId="77777777" w:rsidR="00CA5768" w:rsidRPr="00CA5768" w:rsidRDefault="00CA5768" w:rsidP="00CA5768">
            <w:pPr>
              <w:spacing w:before="120" w:after="120"/>
              <w:ind w:left="175"/>
              <w:jc w:val="right"/>
              <w:rPr>
                <w:rFonts w:ascii="Arial" w:eastAsia="Calibri" w:hAnsi="Arial" w:cs="Arial"/>
                <w:sz w:val="20"/>
                <w:szCs w:val="20"/>
              </w:rPr>
            </w:pPr>
            <w:r w:rsidRPr="00CA5768">
              <w:rPr>
                <w:rFonts w:ascii="Arial" w:eastAsia="Calibri" w:hAnsi="Arial" w:cs="Arial"/>
                <w:sz w:val="20"/>
                <w:szCs w:val="20"/>
              </w:rPr>
              <w:t>Oui</w:t>
            </w:r>
          </w:p>
        </w:tc>
        <w:tc>
          <w:tcPr>
            <w:tcW w:w="1134" w:type="dxa"/>
            <w:vAlign w:val="center"/>
          </w:tcPr>
          <w:p w14:paraId="05F802FC" w14:textId="77777777" w:rsidR="00CA5768" w:rsidRPr="00CA5768" w:rsidRDefault="00CA5768" w:rsidP="00CA5768">
            <w:pPr>
              <w:spacing w:before="120" w:after="120"/>
              <w:ind w:left="175"/>
              <w:rPr>
                <w:rFonts w:ascii="Arial" w:eastAsia="Calibri" w:hAnsi="Arial" w:cs="Arial"/>
                <w:sz w:val="20"/>
                <w:szCs w:val="20"/>
              </w:rPr>
            </w:pPr>
            <w:r w:rsidRPr="00CA5768">
              <w:rPr>
                <w:rFonts w:ascii="Arial" w:eastAsia="Calibri" w:hAnsi="Arial" w:cs="Arial"/>
                <w:sz w:val="20"/>
                <w:szCs w:val="20"/>
              </w:rPr>
              <w:fldChar w:fldCharType="begin">
                <w:ffData>
                  <w:name w:val="CaseACocher1"/>
                  <w:enabled/>
                  <w:calcOnExit w:val="0"/>
                  <w:checkBox>
                    <w:sizeAuto/>
                    <w:default w:val="0"/>
                  </w:checkBox>
                </w:ffData>
              </w:fldChar>
            </w:r>
            <w:r w:rsidRPr="00CA5768">
              <w:rPr>
                <w:rFonts w:ascii="Arial" w:eastAsia="Calibri" w:hAnsi="Arial" w:cs="Arial"/>
                <w:sz w:val="20"/>
                <w:szCs w:val="20"/>
              </w:rPr>
              <w:instrText xml:space="preserve"> FORMCHECKBOX </w:instrText>
            </w:r>
            <w:r w:rsidR="00616F7D">
              <w:rPr>
                <w:rFonts w:ascii="Arial" w:eastAsia="Calibri" w:hAnsi="Arial" w:cs="Arial"/>
                <w:sz w:val="20"/>
                <w:szCs w:val="20"/>
              </w:rPr>
            </w:r>
            <w:r w:rsidR="00616F7D">
              <w:rPr>
                <w:rFonts w:ascii="Arial" w:eastAsia="Calibri" w:hAnsi="Arial" w:cs="Arial"/>
                <w:sz w:val="20"/>
                <w:szCs w:val="20"/>
              </w:rPr>
              <w:fldChar w:fldCharType="separate"/>
            </w:r>
            <w:r w:rsidRPr="00CA5768">
              <w:rPr>
                <w:rFonts w:ascii="Arial" w:eastAsia="Calibri" w:hAnsi="Arial" w:cs="Arial"/>
                <w:sz w:val="20"/>
                <w:szCs w:val="20"/>
              </w:rPr>
              <w:fldChar w:fldCharType="end"/>
            </w:r>
          </w:p>
        </w:tc>
        <w:tc>
          <w:tcPr>
            <w:tcW w:w="1418" w:type="dxa"/>
            <w:vAlign w:val="center"/>
          </w:tcPr>
          <w:p w14:paraId="16974269" w14:textId="77777777" w:rsidR="00CA5768" w:rsidRPr="00CA5768" w:rsidRDefault="00CA5768" w:rsidP="00CA5768">
            <w:pPr>
              <w:spacing w:before="120" w:after="120"/>
              <w:ind w:left="175"/>
              <w:jc w:val="right"/>
              <w:rPr>
                <w:rFonts w:ascii="Arial" w:eastAsia="Calibri" w:hAnsi="Arial" w:cs="Arial"/>
                <w:sz w:val="20"/>
                <w:szCs w:val="20"/>
              </w:rPr>
            </w:pPr>
            <w:r w:rsidRPr="00CA5768">
              <w:rPr>
                <w:rFonts w:ascii="Arial" w:eastAsia="Calibri" w:hAnsi="Arial" w:cs="Arial"/>
                <w:sz w:val="20"/>
                <w:szCs w:val="20"/>
              </w:rPr>
              <w:t>Non</w:t>
            </w:r>
          </w:p>
        </w:tc>
        <w:tc>
          <w:tcPr>
            <w:tcW w:w="1134" w:type="dxa"/>
            <w:vAlign w:val="center"/>
          </w:tcPr>
          <w:p w14:paraId="43DB7258" w14:textId="77777777" w:rsidR="00CA5768" w:rsidRPr="00CA5768" w:rsidRDefault="00CA5768" w:rsidP="00CA5768">
            <w:pPr>
              <w:spacing w:before="120" w:after="120"/>
              <w:ind w:left="175"/>
              <w:rPr>
                <w:rFonts w:ascii="Arial" w:eastAsia="Calibri" w:hAnsi="Arial" w:cs="Arial"/>
                <w:sz w:val="20"/>
                <w:szCs w:val="20"/>
              </w:rPr>
            </w:pPr>
            <w:r w:rsidRPr="00CA5768">
              <w:rPr>
                <w:rFonts w:ascii="Arial" w:eastAsia="Calibri" w:hAnsi="Arial" w:cs="Arial"/>
                <w:sz w:val="20"/>
                <w:szCs w:val="20"/>
              </w:rPr>
              <w:fldChar w:fldCharType="begin">
                <w:ffData>
                  <w:name w:val="CaseACocher1"/>
                  <w:enabled/>
                  <w:calcOnExit w:val="0"/>
                  <w:checkBox>
                    <w:sizeAuto/>
                    <w:default w:val="0"/>
                  </w:checkBox>
                </w:ffData>
              </w:fldChar>
            </w:r>
            <w:r w:rsidRPr="00CA5768">
              <w:rPr>
                <w:rFonts w:ascii="Arial" w:eastAsia="Calibri" w:hAnsi="Arial" w:cs="Arial"/>
                <w:sz w:val="20"/>
                <w:szCs w:val="20"/>
              </w:rPr>
              <w:instrText xml:space="preserve"> FORMCHECKBOX </w:instrText>
            </w:r>
            <w:r w:rsidR="00616F7D">
              <w:rPr>
                <w:rFonts w:ascii="Arial" w:eastAsia="Calibri" w:hAnsi="Arial" w:cs="Arial"/>
                <w:sz w:val="20"/>
                <w:szCs w:val="20"/>
              </w:rPr>
            </w:r>
            <w:r w:rsidR="00616F7D">
              <w:rPr>
                <w:rFonts w:ascii="Arial" w:eastAsia="Calibri" w:hAnsi="Arial" w:cs="Arial"/>
                <w:sz w:val="20"/>
                <w:szCs w:val="20"/>
              </w:rPr>
              <w:fldChar w:fldCharType="separate"/>
            </w:r>
            <w:r w:rsidRPr="00CA5768">
              <w:rPr>
                <w:rFonts w:ascii="Arial" w:eastAsia="Calibri" w:hAnsi="Arial" w:cs="Arial"/>
                <w:sz w:val="20"/>
                <w:szCs w:val="20"/>
              </w:rPr>
              <w:fldChar w:fldCharType="end"/>
            </w:r>
          </w:p>
        </w:tc>
      </w:tr>
    </w:tbl>
    <w:p w14:paraId="2ADCD55F" w14:textId="77777777" w:rsidR="00CA5768" w:rsidRPr="00CA5768" w:rsidRDefault="00CA5768" w:rsidP="00CA5768">
      <w:pPr>
        <w:pStyle w:val="Paragraphedeliste"/>
        <w:numPr>
          <w:ilvl w:val="0"/>
          <w:numId w:val="7"/>
        </w:numPr>
        <w:jc w:val="both"/>
        <w:rPr>
          <w:rFonts w:ascii="Arial" w:eastAsia="Calibri" w:hAnsi="Arial" w:cs="Arial"/>
          <w:sz w:val="20"/>
          <w:szCs w:val="20"/>
        </w:rPr>
      </w:pPr>
      <w:r w:rsidRPr="00CA5768">
        <w:rPr>
          <w:rFonts w:ascii="Arial" w:eastAsia="Calibri" w:hAnsi="Arial" w:cs="Arial"/>
          <w:sz w:val="20"/>
          <w:szCs w:val="20"/>
        </w:rPr>
        <w:t>Si oui, décrire les opérations envisagées et leurs conditions d'exercice (forme juridique, moyens mis en œuvre...).</w:t>
      </w:r>
    </w:p>
    <w:p w14:paraId="74F25CE6" w14:textId="77777777" w:rsidR="00CA5768" w:rsidRPr="00CA5768" w:rsidRDefault="00CA5768" w:rsidP="00CA5768">
      <w:pPr>
        <w:spacing w:line="240" w:lineRule="auto"/>
        <w:rPr>
          <w:rFonts w:ascii="Arial" w:eastAsia="Calibri" w:hAnsi="Arial" w:cs="Arial"/>
          <w:sz w:val="20"/>
          <w:szCs w:val="20"/>
        </w:rPr>
      </w:pPr>
    </w:p>
    <w:p w14:paraId="10E2D706" w14:textId="77777777" w:rsidR="00CA5768" w:rsidRPr="00CA5768" w:rsidRDefault="00CA5768" w:rsidP="006739F9">
      <w:pPr>
        <w:spacing w:line="240" w:lineRule="auto"/>
        <w:ind w:firstLine="708"/>
        <w:rPr>
          <w:rFonts w:ascii="Arial" w:eastAsia="Calibri" w:hAnsi="Arial" w:cs="Arial"/>
          <w:b/>
          <w:color w:val="1F497D"/>
          <w:sz w:val="24"/>
          <w:szCs w:val="24"/>
          <w:u w:val="single"/>
        </w:rPr>
      </w:pPr>
      <w:r w:rsidRPr="00CA5768">
        <w:rPr>
          <w:rFonts w:ascii="Arial" w:eastAsia="Calibri" w:hAnsi="Arial" w:cs="Arial"/>
          <w:b/>
          <w:color w:val="1F497D"/>
          <w:sz w:val="24"/>
          <w:szCs w:val="24"/>
          <w:u w:val="single"/>
        </w:rPr>
        <w:t>Annexes attendues </w:t>
      </w:r>
    </w:p>
    <w:p w14:paraId="695FB135" w14:textId="77777777" w:rsidR="00CA5768" w:rsidRPr="00CA5768" w:rsidRDefault="00CA5768" w:rsidP="00CA5768">
      <w:pPr>
        <w:spacing w:line="240" w:lineRule="auto"/>
        <w:rPr>
          <w:rFonts w:ascii="Arial" w:eastAsia="Calibri" w:hAnsi="Arial" w:cs="Arial"/>
          <w:sz w:val="20"/>
          <w:szCs w:val="20"/>
        </w:rPr>
      </w:pPr>
    </w:p>
    <w:p w14:paraId="171E28A8" w14:textId="77777777" w:rsidR="00CA5768" w:rsidRDefault="00CA5768" w:rsidP="00CA5768">
      <w:pPr>
        <w:pStyle w:val="Paragraphedeliste"/>
        <w:numPr>
          <w:ilvl w:val="0"/>
          <w:numId w:val="7"/>
        </w:numPr>
        <w:spacing w:line="240" w:lineRule="auto"/>
        <w:rPr>
          <w:rFonts w:ascii="Arial" w:eastAsia="Calibri" w:hAnsi="Arial" w:cs="Arial"/>
          <w:sz w:val="20"/>
          <w:szCs w:val="20"/>
        </w:rPr>
      </w:pPr>
      <w:r w:rsidRPr="00CA5768">
        <w:rPr>
          <w:rFonts w:ascii="Arial" w:eastAsia="Calibri" w:hAnsi="Arial" w:cs="Arial"/>
          <w:sz w:val="20"/>
          <w:szCs w:val="20"/>
        </w:rPr>
        <w:t xml:space="preserve">Joindre une copie du projet de contrat cadre de services de paiement mentionné à l’article L. 314-12 du </w:t>
      </w:r>
      <w:r>
        <w:rPr>
          <w:rFonts w:ascii="Arial" w:eastAsia="Calibri" w:hAnsi="Arial" w:cs="Arial"/>
          <w:sz w:val="20"/>
          <w:szCs w:val="20"/>
        </w:rPr>
        <w:t>C</w:t>
      </w:r>
      <w:r w:rsidRPr="00CA5768">
        <w:rPr>
          <w:rFonts w:ascii="Arial" w:eastAsia="Calibri" w:hAnsi="Arial" w:cs="Arial"/>
          <w:sz w:val="20"/>
          <w:szCs w:val="20"/>
        </w:rPr>
        <w:t>ode monétaire et financier</w:t>
      </w:r>
    </w:p>
    <w:p w14:paraId="7B0A65CE" w14:textId="77777777" w:rsidR="00CA5768" w:rsidRPr="00CA5768" w:rsidRDefault="00CA5768" w:rsidP="00CA5768">
      <w:pPr>
        <w:pStyle w:val="Paragraphedeliste"/>
        <w:spacing w:line="240" w:lineRule="auto"/>
        <w:rPr>
          <w:rFonts w:ascii="Arial" w:eastAsia="Calibri" w:hAnsi="Arial" w:cs="Arial"/>
          <w:sz w:val="20"/>
          <w:szCs w:val="20"/>
        </w:rPr>
      </w:pPr>
    </w:p>
    <w:p w14:paraId="58F0998E" w14:textId="77777777" w:rsidR="006D68A4" w:rsidRDefault="00CA5768" w:rsidP="00CA5768">
      <w:pPr>
        <w:pStyle w:val="Paragraphedeliste"/>
        <w:numPr>
          <w:ilvl w:val="0"/>
          <w:numId w:val="7"/>
        </w:numPr>
        <w:spacing w:line="240" w:lineRule="auto"/>
        <w:rPr>
          <w:rFonts w:ascii="Arial" w:eastAsia="Calibri" w:hAnsi="Arial" w:cs="Arial"/>
          <w:sz w:val="20"/>
          <w:szCs w:val="20"/>
        </w:rPr>
      </w:pPr>
      <w:r w:rsidRPr="00CA5768">
        <w:rPr>
          <w:rFonts w:ascii="Arial" w:eastAsia="Calibri" w:hAnsi="Arial" w:cs="Arial"/>
          <w:sz w:val="20"/>
          <w:szCs w:val="20"/>
        </w:rPr>
        <w:t>Les projets de contrats entre toutes les parties impliquées dans la fourniture des services de paiement y compris ceux avec des schémas de carte de paiement le cas échéant</w:t>
      </w:r>
    </w:p>
    <w:p w14:paraId="213FB108" w14:textId="77777777" w:rsidR="006D68A4" w:rsidRDefault="006D68A4">
      <w:pPr>
        <w:spacing w:after="160" w:line="259" w:lineRule="auto"/>
        <w:rPr>
          <w:rFonts w:ascii="Arial" w:eastAsia="Calibri" w:hAnsi="Arial" w:cs="Arial"/>
          <w:sz w:val="20"/>
          <w:szCs w:val="20"/>
        </w:rPr>
      </w:pPr>
      <w:r>
        <w:rPr>
          <w:rFonts w:ascii="Arial" w:eastAsia="Calibri" w:hAnsi="Arial" w:cs="Arial"/>
          <w:sz w:val="20"/>
          <w:szCs w:val="20"/>
        </w:rPr>
        <w:br w:type="page"/>
      </w:r>
    </w:p>
    <w:p w14:paraId="23774E95" w14:textId="77777777" w:rsidR="006D68A4" w:rsidRPr="006D68A4" w:rsidRDefault="006D68A4" w:rsidP="006D68A4">
      <w:pPr>
        <w:pStyle w:val="Paragraphedeliste"/>
        <w:numPr>
          <w:ilvl w:val="0"/>
          <w:numId w:val="3"/>
        </w:numPr>
        <w:pBdr>
          <w:top w:val="thickThinSmallGap" w:sz="24" w:space="1" w:color="365F91"/>
          <w:left w:val="thickThinSmallGap" w:sz="24" w:space="15" w:color="365F91"/>
          <w:bottom w:val="thinThickSmallGap" w:sz="24" w:space="1" w:color="365F91"/>
          <w:right w:val="thinThickSmallGap" w:sz="24" w:space="4" w:color="365F91"/>
        </w:pBdr>
        <w:shd w:val="clear" w:color="auto" w:fill="085194"/>
        <w:spacing w:line="240" w:lineRule="auto"/>
        <w:outlineLvl w:val="0"/>
        <w:rPr>
          <w:rFonts w:ascii="Arial" w:eastAsia="Times New Roman" w:hAnsi="Arial" w:cs="Arial"/>
          <w:b/>
          <w:color w:val="FFFFFF"/>
          <w:sz w:val="28"/>
          <w:szCs w:val="28"/>
          <w:lang w:eastAsia="fr-FR"/>
        </w:rPr>
      </w:pPr>
      <w:bookmarkStart w:id="11" w:name="_Toc507679353"/>
      <w:bookmarkStart w:id="12" w:name="_Toc78984786"/>
      <w:r w:rsidRPr="006D68A4">
        <w:rPr>
          <w:rFonts w:ascii="Arial" w:eastAsia="Times New Roman" w:hAnsi="Arial" w:cs="Arial"/>
          <w:b/>
          <w:color w:val="FFFFFF"/>
          <w:sz w:val="28"/>
          <w:szCs w:val="28"/>
          <w:lang w:eastAsia="fr-FR"/>
        </w:rPr>
        <w:lastRenderedPageBreak/>
        <w:t>Plan d’affaires et réglementation prudentielle</w:t>
      </w:r>
      <w:bookmarkEnd w:id="11"/>
      <w:bookmarkEnd w:id="12"/>
    </w:p>
    <w:p w14:paraId="330E7954" w14:textId="77777777" w:rsidR="006D68A4" w:rsidRPr="006D68A4" w:rsidRDefault="006D68A4" w:rsidP="006D68A4">
      <w:pPr>
        <w:tabs>
          <w:tab w:val="left" w:pos="1418"/>
        </w:tabs>
        <w:rPr>
          <w:rFonts w:ascii="Arial" w:eastAsia="Calibri" w:hAnsi="Arial" w:cs="Arial"/>
          <w:sz w:val="20"/>
          <w:szCs w:val="20"/>
        </w:rPr>
      </w:pPr>
    </w:p>
    <w:p w14:paraId="4D516521" w14:textId="77777777" w:rsidR="006D68A4" w:rsidRPr="006D68A4" w:rsidRDefault="006D68A4" w:rsidP="006D68A4">
      <w:pPr>
        <w:numPr>
          <w:ilvl w:val="0"/>
          <w:numId w:val="20"/>
        </w:numPr>
        <w:spacing w:line="240" w:lineRule="auto"/>
        <w:ind w:left="782" w:hanging="357"/>
        <w:contextualSpacing/>
        <w:outlineLvl w:val="1"/>
        <w:rPr>
          <w:rFonts w:ascii="Arial" w:eastAsia="Times New Roman" w:hAnsi="Arial" w:cs="Arial"/>
          <w:b/>
          <w:color w:val="1F497D"/>
          <w:sz w:val="28"/>
          <w:szCs w:val="28"/>
          <w:lang w:eastAsia="fr-FR"/>
        </w:rPr>
      </w:pPr>
      <w:bookmarkStart w:id="13" w:name="_Toc507679354"/>
      <w:bookmarkStart w:id="14" w:name="_Toc78984787"/>
      <w:r w:rsidRPr="006D68A4">
        <w:rPr>
          <w:rFonts w:ascii="Arial" w:eastAsia="Times New Roman" w:hAnsi="Arial" w:cs="Arial"/>
          <w:b/>
          <w:color w:val="1F497D"/>
          <w:sz w:val="28"/>
          <w:szCs w:val="28"/>
          <w:lang w:eastAsia="fr-FR"/>
        </w:rPr>
        <w:t>Plan d’affaires</w:t>
      </w:r>
      <w:bookmarkEnd w:id="13"/>
      <w:bookmarkEnd w:id="14"/>
    </w:p>
    <w:p w14:paraId="46A1861E" w14:textId="77777777" w:rsidR="006D68A4" w:rsidRPr="006D68A4" w:rsidRDefault="006D68A4" w:rsidP="006D68A4">
      <w:pPr>
        <w:tabs>
          <w:tab w:val="left" w:pos="1418"/>
        </w:tabs>
        <w:rPr>
          <w:rFonts w:ascii="Arial" w:eastAsia="Calibri" w:hAnsi="Arial" w:cs="Arial"/>
          <w:sz w:val="20"/>
          <w:szCs w:val="20"/>
        </w:rPr>
      </w:pPr>
    </w:p>
    <w:p w14:paraId="28F5C60E" w14:textId="77777777" w:rsidR="00FE0956" w:rsidRDefault="00FE0956" w:rsidP="00FE0956">
      <w:pPr>
        <w:pStyle w:val="Paragraphedeliste"/>
        <w:numPr>
          <w:ilvl w:val="0"/>
          <w:numId w:val="44"/>
        </w:numPr>
        <w:tabs>
          <w:tab w:val="left" w:pos="1418"/>
        </w:tabs>
        <w:rPr>
          <w:rFonts w:ascii="Arial" w:eastAsia="Calibri" w:hAnsi="Arial" w:cs="Arial"/>
          <w:sz w:val="20"/>
          <w:szCs w:val="20"/>
        </w:rPr>
      </w:pPr>
      <w:r>
        <w:rPr>
          <w:rFonts w:ascii="Arial" w:eastAsia="Calibri" w:hAnsi="Arial" w:cs="Arial"/>
          <w:sz w:val="20"/>
          <w:szCs w:val="20"/>
        </w:rPr>
        <w:t>Fournir un</w:t>
      </w:r>
      <w:r>
        <w:rPr>
          <w:rFonts w:ascii="Arial" w:eastAsia="Times New Roman" w:hAnsi="Arial" w:cs="Arial"/>
          <w:sz w:val="20"/>
          <w:szCs w:val="20"/>
          <w:lang w:eastAsia="fr-FR"/>
        </w:rPr>
        <w:t xml:space="preserve"> plan d’affaires prévisionnel portant sur les 3 premiers exercices pleins </w:t>
      </w:r>
      <w:r>
        <w:rPr>
          <w:rFonts w:ascii="Arial" w:eastAsia="Times New Roman" w:hAnsi="Arial" w:cs="Arial"/>
          <w:sz w:val="20"/>
          <w:szCs w:val="20"/>
          <w:u w:val="single"/>
          <w:lang w:eastAsia="fr-FR"/>
        </w:rPr>
        <w:t>en isolant la contribution aux résultats de la fourniture des services de paiement ou des services connexes et de l’octroi de crédit</w:t>
      </w:r>
      <w:r>
        <w:rPr>
          <w:rFonts w:ascii="Arial" w:eastAsia="Times New Roman" w:hAnsi="Arial" w:cs="Arial"/>
          <w:sz w:val="20"/>
          <w:szCs w:val="20"/>
          <w:lang w:eastAsia="fr-FR"/>
        </w:rPr>
        <w:t>. Ce plan d’affaires devra inclure :</w:t>
      </w:r>
    </w:p>
    <w:p w14:paraId="77BBD53C" w14:textId="77777777" w:rsidR="00FE0956" w:rsidRDefault="00FE0956" w:rsidP="00FE0956">
      <w:pPr>
        <w:spacing w:line="240" w:lineRule="auto"/>
        <w:ind w:left="720"/>
        <w:contextualSpacing/>
        <w:jc w:val="both"/>
        <w:rPr>
          <w:rFonts w:ascii="Arial" w:eastAsia="Times New Roman" w:hAnsi="Arial" w:cs="Arial"/>
          <w:sz w:val="20"/>
          <w:szCs w:val="20"/>
          <w:lang w:eastAsia="fr-FR"/>
        </w:rPr>
      </w:pPr>
    </w:p>
    <w:p w14:paraId="4C519929" w14:textId="22A30FEF" w:rsidR="00FE0956" w:rsidRPr="00FE0956" w:rsidRDefault="00FE0956" w:rsidP="00FE0956">
      <w:pPr>
        <w:numPr>
          <w:ilvl w:val="1"/>
          <w:numId w:val="45"/>
        </w:numPr>
        <w:tabs>
          <w:tab w:val="left" w:pos="1418"/>
        </w:tabs>
        <w:spacing w:line="240" w:lineRule="auto"/>
        <w:contextualSpacing/>
        <w:jc w:val="both"/>
        <w:rPr>
          <w:rFonts w:ascii="Arial" w:eastAsia="Times New Roman" w:hAnsi="Arial" w:cs="Arial"/>
          <w:sz w:val="20"/>
          <w:szCs w:val="20"/>
          <w:lang w:eastAsia="fr-FR"/>
        </w:rPr>
      </w:pPr>
      <w:r>
        <w:rPr>
          <w:rFonts w:ascii="Arial" w:eastAsia="Times New Roman" w:hAnsi="Arial" w:cs="Arial"/>
          <w:sz w:val="20"/>
          <w:szCs w:val="20"/>
          <w:lang w:eastAsia="fr-FR"/>
        </w:rPr>
        <w:t>Un compte de résultat et un bilan prévisionnel incluant un ou des scénarii cibles, ainsi que pour chacun des scénarii les hypothèses de base retenues tel que : le nombre de clients, la politique de prix, le volume et la valeur des opérations, une estimation du point mort d’activité, l’évolution du seuil de rentabilité.</w:t>
      </w:r>
    </w:p>
    <w:p w14:paraId="716DA869" w14:textId="77777777" w:rsidR="00FE0956" w:rsidRDefault="00FE0956" w:rsidP="00FE0956">
      <w:pPr>
        <w:numPr>
          <w:ilvl w:val="1"/>
          <w:numId w:val="45"/>
        </w:numPr>
        <w:spacing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Une ventilation détaillée du montant des flux de paiement prévisionnels, par service de paiement sur trois années pleines.</w:t>
      </w:r>
    </w:p>
    <w:p w14:paraId="45976ECB" w14:textId="77777777" w:rsidR="006D68A4" w:rsidRPr="006D68A4" w:rsidRDefault="006D68A4" w:rsidP="006D68A4">
      <w:pPr>
        <w:rPr>
          <w:rFonts w:ascii="Arial" w:eastAsia="Calibri" w:hAnsi="Arial" w:cs="Arial"/>
          <w:sz w:val="20"/>
          <w:szCs w:val="20"/>
        </w:rPr>
      </w:pPr>
    </w:p>
    <w:p w14:paraId="5D823D75" w14:textId="77777777" w:rsidR="006D68A4" w:rsidRDefault="006D68A4" w:rsidP="006D68A4">
      <w:pPr>
        <w:numPr>
          <w:ilvl w:val="0"/>
          <w:numId w:val="20"/>
        </w:numPr>
        <w:spacing w:line="240" w:lineRule="auto"/>
        <w:ind w:left="782" w:hanging="357"/>
        <w:contextualSpacing/>
        <w:outlineLvl w:val="1"/>
        <w:rPr>
          <w:rFonts w:ascii="Arial" w:eastAsia="Times New Roman" w:hAnsi="Arial" w:cs="Arial"/>
          <w:b/>
          <w:color w:val="1F497D"/>
          <w:sz w:val="28"/>
          <w:szCs w:val="28"/>
          <w:lang w:eastAsia="fr-FR"/>
        </w:rPr>
      </w:pPr>
      <w:bookmarkStart w:id="15" w:name="_Toc507679356"/>
      <w:bookmarkStart w:id="16" w:name="_Toc78984788"/>
      <w:r w:rsidRPr="006D68A4">
        <w:rPr>
          <w:rFonts w:ascii="Arial" w:eastAsia="Times New Roman" w:hAnsi="Arial" w:cs="Arial"/>
          <w:b/>
          <w:color w:val="1F497D"/>
          <w:sz w:val="28"/>
          <w:szCs w:val="28"/>
          <w:lang w:eastAsia="fr-FR"/>
        </w:rPr>
        <w:t>Exigences en fonds propres prudentiels</w:t>
      </w:r>
      <w:bookmarkEnd w:id="15"/>
      <w:bookmarkEnd w:id="16"/>
    </w:p>
    <w:p w14:paraId="687C97EE" w14:textId="77777777" w:rsidR="001952C1" w:rsidRPr="001952C1" w:rsidRDefault="001952C1" w:rsidP="001952C1">
      <w:pPr>
        <w:ind w:left="708"/>
        <w:rPr>
          <w:rFonts w:ascii="Arial" w:hAnsi="Arial" w:cs="Arial"/>
          <w:sz w:val="20"/>
          <w:szCs w:val="20"/>
          <w:lang w:eastAsia="fr-FR"/>
        </w:rPr>
      </w:pPr>
      <w:r w:rsidRPr="001952C1">
        <w:rPr>
          <w:rFonts w:ascii="Arial" w:hAnsi="Arial" w:cs="Arial"/>
          <w:i/>
          <w:sz w:val="20"/>
          <w:szCs w:val="20"/>
        </w:rPr>
        <w:t>(Article 48 de l’arrêté du 2 mai 2013 portant sur la réglementation prudentielle des établis</w:t>
      </w:r>
      <w:r>
        <w:rPr>
          <w:rFonts w:ascii="Arial" w:hAnsi="Arial" w:cs="Arial"/>
          <w:i/>
          <w:sz w:val="20"/>
          <w:szCs w:val="20"/>
        </w:rPr>
        <w:t>sements de monnaie électronique</w:t>
      </w:r>
      <w:r w:rsidRPr="001952C1">
        <w:rPr>
          <w:rFonts w:ascii="Arial" w:hAnsi="Arial" w:cs="Arial"/>
          <w:i/>
          <w:sz w:val="20"/>
          <w:szCs w:val="20"/>
        </w:rPr>
        <w:t>)</w:t>
      </w:r>
    </w:p>
    <w:p w14:paraId="0EDD6AEB" w14:textId="77777777" w:rsidR="006D68A4" w:rsidRPr="006D68A4" w:rsidRDefault="006D68A4" w:rsidP="006D68A4">
      <w:pPr>
        <w:tabs>
          <w:tab w:val="left" w:pos="1418"/>
        </w:tabs>
        <w:rPr>
          <w:rFonts w:ascii="Arial" w:eastAsia="Calibri" w:hAnsi="Arial" w:cs="Arial"/>
          <w:sz w:val="20"/>
          <w:szCs w:val="20"/>
        </w:rPr>
      </w:pPr>
    </w:p>
    <w:p w14:paraId="5F5B6A99" w14:textId="77777777" w:rsidR="006D68A4" w:rsidRPr="00A32433" w:rsidRDefault="006D68A4" w:rsidP="006D68A4">
      <w:pPr>
        <w:tabs>
          <w:tab w:val="left" w:pos="1418"/>
        </w:tabs>
        <w:jc w:val="both"/>
        <w:rPr>
          <w:rFonts w:ascii="Arial" w:eastAsia="Calibri" w:hAnsi="Arial" w:cs="Arial"/>
          <w:b/>
          <w:sz w:val="20"/>
          <w:szCs w:val="20"/>
          <w:u w:val="single"/>
        </w:rPr>
      </w:pPr>
      <w:r w:rsidRPr="00A32433">
        <w:rPr>
          <w:rFonts w:ascii="Arial" w:eastAsia="Calibri" w:hAnsi="Arial" w:cs="Arial"/>
          <w:b/>
          <w:sz w:val="20"/>
          <w:szCs w:val="20"/>
          <w:u w:val="single"/>
        </w:rPr>
        <w:t>Sont concernés les établissements qui fourniront les services de paiement 1 à 6</w:t>
      </w:r>
    </w:p>
    <w:p w14:paraId="51155662" w14:textId="77777777" w:rsidR="006D68A4" w:rsidRPr="006D68A4" w:rsidRDefault="006D68A4" w:rsidP="006D68A4">
      <w:pPr>
        <w:tabs>
          <w:tab w:val="left" w:pos="1418"/>
        </w:tabs>
        <w:jc w:val="both"/>
        <w:rPr>
          <w:rFonts w:ascii="Arial" w:eastAsia="Calibri" w:hAnsi="Arial" w:cs="Arial"/>
          <w:sz w:val="20"/>
          <w:szCs w:val="20"/>
        </w:rPr>
      </w:pPr>
      <w:r w:rsidRPr="006D68A4">
        <w:rPr>
          <w:rFonts w:ascii="Arial" w:eastAsia="Calibri" w:hAnsi="Arial" w:cs="Arial"/>
          <w:sz w:val="20"/>
          <w:szCs w:val="20"/>
        </w:rPr>
        <w:t>Une attention particulière sera portée sur l’estimation prévisionnelle du respect des normes de gestion applicables au demandeur en matière de solvabilité et de calcul des exigences en fonds propres en application de l’arrêté du 29 octobre 2009</w:t>
      </w:r>
      <w:r w:rsidR="001952C1">
        <w:rPr>
          <w:rFonts w:ascii="Arial" w:eastAsia="Calibri" w:hAnsi="Arial" w:cs="Arial"/>
          <w:sz w:val="20"/>
          <w:szCs w:val="20"/>
        </w:rPr>
        <w:t xml:space="preserve"> </w:t>
      </w:r>
      <w:r w:rsidR="001952C1" w:rsidRPr="001952C1">
        <w:rPr>
          <w:rFonts w:ascii="Arial" w:eastAsia="Calibri" w:hAnsi="Arial" w:cs="Arial"/>
          <w:sz w:val="20"/>
          <w:szCs w:val="20"/>
        </w:rPr>
        <w:t>portant sur la règlementation prudentielle des établissements de paiement</w:t>
      </w:r>
      <w:r w:rsidRPr="006D68A4">
        <w:rPr>
          <w:rFonts w:ascii="Times New Roman" w:eastAsia="Calibri" w:hAnsi="Times New Roman" w:cs="Arial"/>
          <w:position w:val="6"/>
          <w:sz w:val="12"/>
          <w:szCs w:val="20"/>
        </w:rPr>
        <w:footnoteReference w:id="1"/>
      </w:r>
      <w:r w:rsidRPr="006D68A4">
        <w:rPr>
          <w:rFonts w:ascii="Arial" w:eastAsia="Calibri" w:hAnsi="Arial" w:cs="Arial"/>
          <w:sz w:val="20"/>
          <w:szCs w:val="20"/>
        </w:rPr>
        <w:t xml:space="preserve"> (article 29 et suivants)</w:t>
      </w:r>
      <w:r w:rsidR="001952C1">
        <w:rPr>
          <w:rFonts w:ascii="Arial" w:eastAsia="Calibri" w:hAnsi="Arial" w:cs="Arial"/>
          <w:sz w:val="20"/>
          <w:szCs w:val="20"/>
        </w:rPr>
        <w:t xml:space="preserve"> et de l’</w:t>
      </w:r>
      <w:r w:rsidR="001952C1" w:rsidRPr="001952C1">
        <w:rPr>
          <w:rFonts w:ascii="Arial" w:eastAsia="Calibri" w:hAnsi="Arial" w:cs="Arial"/>
          <w:sz w:val="20"/>
          <w:szCs w:val="20"/>
        </w:rPr>
        <w:t>articl</w:t>
      </w:r>
      <w:r w:rsidR="001952C1">
        <w:rPr>
          <w:rFonts w:ascii="Arial" w:eastAsia="Calibri" w:hAnsi="Arial" w:cs="Arial"/>
          <w:sz w:val="20"/>
          <w:szCs w:val="20"/>
        </w:rPr>
        <w:t>e</w:t>
      </w:r>
      <w:r w:rsidR="001952C1" w:rsidRPr="001952C1">
        <w:rPr>
          <w:rFonts w:ascii="Arial" w:eastAsia="Calibri" w:hAnsi="Arial" w:cs="Arial"/>
          <w:sz w:val="20"/>
          <w:szCs w:val="20"/>
        </w:rPr>
        <w:t xml:space="preserve"> 48 de l’arrêté du 2 mai 2013 portant sur la réglementation prudentielle des établis</w:t>
      </w:r>
      <w:r w:rsidR="001952C1">
        <w:rPr>
          <w:rFonts w:ascii="Arial" w:eastAsia="Calibri" w:hAnsi="Arial" w:cs="Arial"/>
          <w:sz w:val="20"/>
          <w:szCs w:val="20"/>
        </w:rPr>
        <w:t xml:space="preserve">sements de monnaie électronique </w:t>
      </w:r>
      <w:r w:rsidRPr="006D68A4">
        <w:rPr>
          <w:rFonts w:ascii="Arial" w:eastAsia="Calibri" w:hAnsi="Arial" w:cs="Arial"/>
          <w:sz w:val="20"/>
          <w:szCs w:val="20"/>
        </w:rPr>
        <w:t>. L’établissement doit choisir la méthode qu’il souhaite utiliser, justifier son choix au regard des risques liés aux activités visées et enfin démontrer qu’il pourra appliquer la méthode :</w:t>
      </w:r>
    </w:p>
    <w:p w14:paraId="3A9FCF89" w14:textId="77777777" w:rsidR="006D68A4" w:rsidRPr="006D68A4" w:rsidRDefault="006D68A4" w:rsidP="006D68A4">
      <w:pPr>
        <w:numPr>
          <w:ilvl w:val="1"/>
          <w:numId w:val="15"/>
        </w:numPr>
        <w:tabs>
          <w:tab w:val="left" w:pos="3402"/>
        </w:tabs>
        <w:spacing w:line="240" w:lineRule="auto"/>
        <w:ind w:left="1434" w:hanging="357"/>
        <w:contextualSpacing/>
        <w:jc w:val="both"/>
        <w:rPr>
          <w:rFonts w:ascii="Arial" w:eastAsia="Times New Roman" w:hAnsi="Arial" w:cs="Arial"/>
          <w:sz w:val="20"/>
          <w:szCs w:val="20"/>
          <w:lang w:eastAsia="fr-FR"/>
        </w:rPr>
      </w:pPr>
      <w:r w:rsidRPr="006D68A4">
        <w:rPr>
          <w:rFonts w:ascii="Arial" w:eastAsia="Times New Roman" w:hAnsi="Arial" w:cs="Arial"/>
          <w:sz w:val="20"/>
          <w:szCs w:val="20"/>
          <w:lang w:eastAsia="fr-FR"/>
        </w:rPr>
        <w:t>Méthode A</w:t>
      </w:r>
      <w:r w:rsidRPr="006D68A4">
        <w:rPr>
          <w:rFonts w:ascii="Arial" w:eastAsia="Times New Roman" w:hAnsi="Arial" w:cs="Arial"/>
          <w:sz w:val="20"/>
          <w:szCs w:val="20"/>
          <w:lang w:eastAsia="fr-FR"/>
        </w:rPr>
        <w:tab/>
      </w:r>
      <w:r w:rsidRPr="006D68A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D68A4">
        <w:rPr>
          <w:rFonts w:ascii="Arial" w:eastAsia="Times New Roman" w:hAnsi="Arial" w:cs="Arial"/>
          <w:sz w:val="20"/>
          <w:szCs w:val="20"/>
          <w:lang w:eastAsia="fr-FR"/>
        </w:rPr>
        <w:instrText xml:space="preserve"> FORMCHECKBOX </w:instrText>
      </w:r>
      <w:r w:rsidR="00616F7D">
        <w:rPr>
          <w:rFonts w:ascii="Arial" w:eastAsia="Times New Roman" w:hAnsi="Arial" w:cs="Arial"/>
          <w:sz w:val="20"/>
          <w:szCs w:val="20"/>
          <w:lang w:eastAsia="fr-FR"/>
        </w:rPr>
      </w:r>
      <w:r w:rsidR="00616F7D">
        <w:rPr>
          <w:rFonts w:ascii="Arial" w:eastAsia="Times New Roman" w:hAnsi="Arial" w:cs="Arial"/>
          <w:sz w:val="20"/>
          <w:szCs w:val="20"/>
          <w:lang w:eastAsia="fr-FR"/>
        </w:rPr>
        <w:fldChar w:fldCharType="separate"/>
      </w:r>
      <w:r w:rsidRPr="006D68A4">
        <w:rPr>
          <w:rFonts w:ascii="Arial" w:eastAsia="Times New Roman" w:hAnsi="Arial" w:cs="Arial"/>
          <w:sz w:val="20"/>
          <w:szCs w:val="20"/>
          <w:lang w:eastAsia="fr-FR"/>
        </w:rPr>
        <w:fldChar w:fldCharType="end"/>
      </w:r>
    </w:p>
    <w:p w14:paraId="1FE97DC2" w14:textId="77777777" w:rsidR="006D68A4" w:rsidRPr="006D68A4" w:rsidRDefault="006D68A4" w:rsidP="006D68A4">
      <w:pPr>
        <w:numPr>
          <w:ilvl w:val="1"/>
          <w:numId w:val="15"/>
        </w:numPr>
        <w:tabs>
          <w:tab w:val="left" w:pos="3402"/>
        </w:tabs>
        <w:spacing w:line="240" w:lineRule="auto"/>
        <w:ind w:left="1434" w:hanging="357"/>
        <w:contextualSpacing/>
        <w:jc w:val="both"/>
        <w:rPr>
          <w:rFonts w:ascii="Arial" w:eastAsia="Times New Roman" w:hAnsi="Arial" w:cs="Arial"/>
          <w:sz w:val="20"/>
          <w:szCs w:val="20"/>
          <w:lang w:eastAsia="fr-FR"/>
        </w:rPr>
      </w:pPr>
      <w:r w:rsidRPr="006D68A4">
        <w:rPr>
          <w:rFonts w:ascii="Arial" w:eastAsia="Times New Roman" w:hAnsi="Arial" w:cs="Arial"/>
          <w:sz w:val="20"/>
          <w:szCs w:val="20"/>
          <w:lang w:eastAsia="fr-FR"/>
        </w:rPr>
        <w:t>Méthode B</w:t>
      </w:r>
      <w:r w:rsidRPr="006D68A4">
        <w:rPr>
          <w:rFonts w:ascii="Arial" w:eastAsia="Times New Roman" w:hAnsi="Arial" w:cs="Arial"/>
          <w:sz w:val="20"/>
          <w:szCs w:val="20"/>
          <w:lang w:eastAsia="fr-FR"/>
        </w:rPr>
        <w:tab/>
      </w:r>
      <w:r w:rsidRPr="006D68A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D68A4">
        <w:rPr>
          <w:rFonts w:ascii="Arial" w:eastAsia="Times New Roman" w:hAnsi="Arial" w:cs="Arial"/>
          <w:sz w:val="20"/>
          <w:szCs w:val="20"/>
          <w:lang w:eastAsia="fr-FR"/>
        </w:rPr>
        <w:instrText xml:space="preserve"> FORMCHECKBOX </w:instrText>
      </w:r>
      <w:r w:rsidR="00616F7D">
        <w:rPr>
          <w:rFonts w:ascii="Arial" w:eastAsia="Times New Roman" w:hAnsi="Arial" w:cs="Arial"/>
          <w:sz w:val="20"/>
          <w:szCs w:val="20"/>
          <w:lang w:eastAsia="fr-FR"/>
        </w:rPr>
      </w:r>
      <w:r w:rsidR="00616F7D">
        <w:rPr>
          <w:rFonts w:ascii="Arial" w:eastAsia="Times New Roman" w:hAnsi="Arial" w:cs="Arial"/>
          <w:sz w:val="20"/>
          <w:szCs w:val="20"/>
          <w:lang w:eastAsia="fr-FR"/>
        </w:rPr>
        <w:fldChar w:fldCharType="separate"/>
      </w:r>
      <w:r w:rsidRPr="006D68A4">
        <w:rPr>
          <w:rFonts w:ascii="Arial" w:eastAsia="Times New Roman" w:hAnsi="Arial" w:cs="Arial"/>
          <w:sz w:val="20"/>
          <w:szCs w:val="20"/>
          <w:lang w:eastAsia="fr-FR"/>
        </w:rPr>
        <w:fldChar w:fldCharType="end"/>
      </w:r>
    </w:p>
    <w:p w14:paraId="5B8A3DC9" w14:textId="77777777" w:rsidR="006D68A4" w:rsidRPr="006D68A4" w:rsidRDefault="006D68A4" w:rsidP="006D68A4">
      <w:pPr>
        <w:numPr>
          <w:ilvl w:val="1"/>
          <w:numId w:val="15"/>
        </w:numPr>
        <w:tabs>
          <w:tab w:val="left" w:pos="3402"/>
        </w:tabs>
        <w:spacing w:line="240" w:lineRule="auto"/>
        <w:ind w:left="1434" w:hanging="357"/>
        <w:contextualSpacing/>
        <w:jc w:val="both"/>
        <w:rPr>
          <w:rFonts w:ascii="Arial" w:eastAsia="Times New Roman" w:hAnsi="Arial" w:cs="Arial"/>
          <w:sz w:val="20"/>
          <w:szCs w:val="20"/>
          <w:lang w:eastAsia="fr-FR"/>
        </w:rPr>
      </w:pPr>
      <w:r w:rsidRPr="006D68A4">
        <w:rPr>
          <w:rFonts w:ascii="Arial" w:eastAsia="Times New Roman" w:hAnsi="Arial" w:cs="Arial"/>
          <w:sz w:val="20"/>
          <w:szCs w:val="20"/>
          <w:lang w:eastAsia="fr-FR"/>
        </w:rPr>
        <w:t>Méthode C</w:t>
      </w:r>
      <w:r w:rsidRPr="006D68A4">
        <w:rPr>
          <w:rFonts w:ascii="Arial" w:eastAsia="Times New Roman" w:hAnsi="Arial" w:cs="Arial"/>
          <w:sz w:val="20"/>
          <w:szCs w:val="20"/>
          <w:lang w:eastAsia="fr-FR"/>
        </w:rPr>
        <w:tab/>
      </w:r>
      <w:r w:rsidRPr="006D68A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D68A4">
        <w:rPr>
          <w:rFonts w:ascii="Arial" w:eastAsia="Times New Roman" w:hAnsi="Arial" w:cs="Arial"/>
          <w:sz w:val="20"/>
          <w:szCs w:val="20"/>
          <w:lang w:eastAsia="fr-FR"/>
        </w:rPr>
        <w:instrText xml:space="preserve"> FORMCHECKBOX </w:instrText>
      </w:r>
      <w:r w:rsidR="00616F7D">
        <w:rPr>
          <w:rFonts w:ascii="Arial" w:eastAsia="Times New Roman" w:hAnsi="Arial" w:cs="Arial"/>
          <w:sz w:val="20"/>
          <w:szCs w:val="20"/>
          <w:lang w:eastAsia="fr-FR"/>
        </w:rPr>
      </w:r>
      <w:r w:rsidR="00616F7D">
        <w:rPr>
          <w:rFonts w:ascii="Arial" w:eastAsia="Times New Roman" w:hAnsi="Arial" w:cs="Arial"/>
          <w:sz w:val="20"/>
          <w:szCs w:val="20"/>
          <w:lang w:eastAsia="fr-FR"/>
        </w:rPr>
        <w:fldChar w:fldCharType="separate"/>
      </w:r>
      <w:r w:rsidRPr="006D68A4">
        <w:rPr>
          <w:rFonts w:ascii="Arial" w:eastAsia="Times New Roman" w:hAnsi="Arial" w:cs="Arial"/>
          <w:sz w:val="20"/>
          <w:szCs w:val="20"/>
          <w:lang w:eastAsia="fr-FR"/>
        </w:rPr>
        <w:fldChar w:fldCharType="end"/>
      </w:r>
    </w:p>
    <w:p w14:paraId="61713EB4" w14:textId="77777777" w:rsidR="006D68A4" w:rsidRPr="006D68A4" w:rsidRDefault="006D68A4" w:rsidP="006D68A4">
      <w:pPr>
        <w:tabs>
          <w:tab w:val="left" w:pos="1418"/>
        </w:tabs>
        <w:jc w:val="both"/>
        <w:rPr>
          <w:rFonts w:ascii="Arial" w:eastAsia="Calibri" w:hAnsi="Arial" w:cs="Arial"/>
          <w:sz w:val="20"/>
          <w:szCs w:val="20"/>
        </w:rPr>
      </w:pPr>
    </w:p>
    <w:p w14:paraId="507F74CD" w14:textId="77777777" w:rsidR="001952C1" w:rsidRPr="006D68A4" w:rsidRDefault="001952C1" w:rsidP="00A32433">
      <w:pPr>
        <w:numPr>
          <w:ilvl w:val="0"/>
          <w:numId w:val="28"/>
        </w:numPr>
        <w:tabs>
          <w:tab w:val="left" w:pos="1418"/>
        </w:tabs>
        <w:spacing w:line="240" w:lineRule="auto"/>
        <w:contextualSpacing/>
        <w:jc w:val="both"/>
        <w:rPr>
          <w:rFonts w:ascii="Arial" w:eastAsia="Times New Roman" w:hAnsi="Arial" w:cs="Arial"/>
          <w:sz w:val="20"/>
          <w:szCs w:val="20"/>
          <w:lang w:eastAsia="fr-FR"/>
        </w:rPr>
      </w:pPr>
      <w:r w:rsidRPr="001952C1">
        <w:rPr>
          <w:rFonts w:ascii="Arial" w:eastAsia="Times New Roman" w:hAnsi="Arial" w:cs="Arial"/>
          <w:sz w:val="20"/>
          <w:szCs w:val="20"/>
          <w:lang w:eastAsia="fr-FR"/>
        </w:rPr>
        <w:t xml:space="preserve">Fournir une projection de l’évolution des exigences en fonds propres sur trois années pleines en application de la méthode de calcul retenue par l’établissement. Cette projection doit inclure les exigences en fonds propres au titre de la monnaie électronique, les exigences en fonds propre relatives à la fourniture de services de paiement ainsi que, le cas échéant, les montants des fonds propres relatifs aux opérations de crédit calculés </w:t>
      </w:r>
      <w:r w:rsidR="00FA229B">
        <w:rPr>
          <w:rFonts w:ascii="Arial" w:eastAsia="Times New Roman" w:hAnsi="Arial" w:cs="Arial"/>
          <w:sz w:val="20"/>
          <w:szCs w:val="20"/>
          <w:lang w:eastAsia="fr-FR"/>
        </w:rPr>
        <w:t>conformément aux dispositions des</w:t>
      </w:r>
      <w:r w:rsidRPr="001952C1">
        <w:rPr>
          <w:rFonts w:ascii="Arial" w:eastAsia="Times New Roman" w:hAnsi="Arial" w:cs="Arial"/>
          <w:sz w:val="20"/>
          <w:szCs w:val="20"/>
          <w:lang w:eastAsia="fr-FR"/>
        </w:rPr>
        <w:t>dit</w:t>
      </w:r>
      <w:r w:rsidR="00FA229B">
        <w:rPr>
          <w:rFonts w:ascii="Arial" w:eastAsia="Times New Roman" w:hAnsi="Arial" w:cs="Arial"/>
          <w:sz w:val="20"/>
          <w:szCs w:val="20"/>
          <w:lang w:eastAsia="fr-FR"/>
        </w:rPr>
        <w:t>s</w:t>
      </w:r>
      <w:r w:rsidRPr="001952C1">
        <w:rPr>
          <w:rFonts w:ascii="Arial" w:eastAsia="Times New Roman" w:hAnsi="Arial" w:cs="Arial"/>
          <w:sz w:val="20"/>
          <w:szCs w:val="20"/>
          <w:lang w:eastAsia="fr-FR"/>
        </w:rPr>
        <w:t xml:space="preserve"> arrêté</w:t>
      </w:r>
      <w:r w:rsidR="00FA229B">
        <w:rPr>
          <w:rFonts w:ascii="Arial" w:eastAsia="Times New Roman" w:hAnsi="Arial" w:cs="Arial"/>
          <w:sz w:val="20"/>
          <w:szCs w:val="20"/>
          <w:lang w:eastAsia="fr-FR"/>
        </w:rPr>
        <w:t>s</w:t>
      </w:r>
      <w:r w:rsidRPr="001952C1">
        <w:rPr>
          <w:rFonts w:ascii="Arial" w:eastAsia="Times New Roman" w:hAnsi="Arial" w:cs="Arial"/>
          <w:sz w:val="20"/>
          <w:szCs w:val="20"/>
          <w:lang w:eastAsia="fr-FR"/>
        </w:rPr>
        <w:t>.</w:t>
      </w:r>
    </w:p>
    <w:p w14:paraId="44B0CE83" w14:textId="77777777" w:rsidR="006D68A4" w:rsidRPr="006D68A4" w:rsidRDefault="006D68A4" w:rsidP="006D68A4">
      <w:pPr>
        <w:tabs>
          <w:tab w:val="left" w:pos="1418"/>
        </w:tabs>
        <w:jc w:val="both"/>
        <w:rPr>
          <w:rFonts w:ascii="Arial" w:eastAsia="Calibri" w:hAnsi="Arial" w:cs="Arial"/>
          <w:sz w:val="20"/>
          <w:szCs w:val="20"/>
        </w:rPr>
      </w:pPr>
    </w:p>
    <w:p w14:paraId="28BCABF7" w14:textId="77777777" w:rsidR="007C72AD" w:rsidRPr="006D68A4" w:rsidRDefault="007C72AD" w:rsidP="007C72AD">
      <w:pPr>
        <w:numPr>
          <w:ilvl w:val="0"/>
          <w:numId w:val="20"/>
        </w:numPr>
        <w:spacing w:line="240" w:lineRule="auto"/>
        <w:ind w:left="782" w:hanging="357"/>
        <w:contextualSpacing/>
        <w:outlineLvl w:val="1"/>
        <w:rPr>
          <w:rFonts w:ascii="Arial" w:eastAsia="Times New Roman" w:hAnsi="Arial" w:cs="Arial"/>
          <w:b/>
          <w:color w:val="1F497D"/>
          <w:sz w:val="28"/>
          <w:szCs w:val="28"/>
          <w:lang w:eastAsia="fr-FR"/>
        </w:rPr>
      </w:pPr>
      <w:bookmarkStart w:id="17" w:name="_Toc507679357"/>
      <w:bookmarkStart w:id="18" w:name="_Toc78984789"/>
      <w:r w:rsidRPr="006D68A4">
        <w:rPr>
          <w:rFonts w:ascii="Arial" w:eastAsia="Times New Roman" w:hAnsi="Arial" w:cs="Arial"/>
          <w:b/>
          <w:color w:val="1F497D"/>
          <w:sz w:val="28"/>
          <w:szCs w:val="28"/>
          <w:lang w:eastAsia="fr-FR"/>
        </w:rPr>
        <w:t>Protection des fonds collectés</w:t>
      </w:r>
      <w:bookmarkEnd w:id="17"/>
      <w:bookmarkEnd w:id="18"/>
    </w:p>
    <w:p w14:paraId="691DEE7B" w14:textId="77777777" w:rsidR="007C72AD" w:rsidRPr="006D68A4" w:rsidRDefault="007C72AD" w:rsidP="007C72AD">
      <w:pPr>
        <w:tabs>
          <w:tab w:val="left" w:pos="709"/>
          <w:tab w:val="left" w:pos="1418"/>
        </w:tabs>
        <w:ind w:left="708"/>
        <w:jc w:val="both"/>
        <w:rPr>
          <w:rFonts w:ascii="Arial" w:eastAsia="Calibri" w:hAnsi="Arial" w:cs="Arial"/>
          <w:i/>
          <w:sz w:val="20"/>
          <w:szCs w:val="20"/>
        </w:rPr>
      </w:pPr>
      <w:r w:rsidRPr="006D68A4">
        <w:rPr>
          <w:rFonts w:ascii="Arial" w:eastAsia="Calibri" w:hAnsi="Arial" w:cs="Arial"/>
          <w:i/>
          <w:sz w:val="20"/>
          <w:szCs w:val="20"/>
        </w:rPr>
        <w:t>(Article 50 de l’arrêté du 2 mai 2013 portant sur la réglementation prudentielle des établissements de monnaie électronique)</w:t>
      </w:r>
    </w:p>
    <w:p w14:paraId="3C52D706" w14:textId="77777777" w:rsidR="007C72AD" w:rsidRPr="006D68A4" w:rsidRDefault="007C72AD" w:rsidP="007C72AD">
      <w:pPr>
        <w:tabs>
          <w:tab w:val="left" w:pos="1418"/>
        </w:tabs>
        <w:jc w:val="both"/>
        <w:rPr>
          <w:rFonts w:ascii="Arial" w:eastAsia="Calibri" w:hAnsi="Arial" w:cs="Arial"/>
          <w:sz w:val="20"/>
          <w:szCs w:val="20"/>
        </w:rPr>
      </w:pPr>
    </w:p>
    <w:p w14:paraId="510FE210" w14:textId="77777777" w:rsidR="007C72AD" w:rsidRPr="00A32433" w:rsidRDefault="007C72AD" w:rsidP="007C72AD">
      <w:pPr>
        <w:tabs>
          <w:tab w:val="left" w:pos="1418"/>
        </w:tabs>
        <w:jc w:val="both"/>
        <w:rPr>
          <w:rFonts w:ascii="Arial" w:eastAsia="Calibri" w:hAnsi="Arial" w:cs="Arial"/>
          <w:b/>
          <w:sz w:val="20"/>
          <w:szCs w:val="20"/>
          <w:u w:val="single"/>
        </w:rPr>
      </w:pPr>
      <w:r w:rsidRPr="00A32433">
        <w:rPr>
          <w:rFonts w:ascii="Arial" w:eastAsia="Calibri" w:hAnsi="Arial" w:cs="Arial"/>
          <w:b/>
          <w:sz w:val="20"/>
          <w:szCs w:val="20"/>
          <w:u w:val="single"/>
        </w:rPr>
        <w:t>Sont concernés les établissements qui fourniront les services de paiement 1 à 6.</w:t>
      </w:r>
    </w:p>
    <w:p w14:paraId="69605454" w14:textId="77777777" w:rsidR="007C72AD" w:rsidRPr="006D68A4" w:rsidRDefault="007C72AD" w:rsidP="007C72AD">
      <w:pPr>
        <w:tabs>
          <w:tab w:val="left" w:pos="1418"/>
        </w:tabs>
        <w:jc w:val="both"/>
        <w:rPr>
          <w:rFonts w:ascii="Arial" w:eastAsia="Calibri" w:hAnsi="Arial" w:cs="Arial"/>
          <w:sz w:val="20"/>
          <w:szCs w:val="20"/>
        </w:rPr>
      </w:pPr>
      <w:r w:rsidRPr="006D68A4">
        <w:rPr>
          <w:rFonts w:ascii="Arial" w:eastAsia="Calibri" w:hAnsi="Arial" w:cs="Arial"/>
          <w:sz w:val="20"/>
          <w:szCs w:val="20"/>
        </w:rPr>
        <w:t xml:space="preserve">Les fonds reçus des utilisateurs de services de paiement directement ou par le biais d’un autre prestataire de services de paiement pour le compte des utilisateurs </w:t>
      </w:r>
      <w:r w:rsidRPr="006D68A4">
        <w:rPr>
          <w:rFonts w:ascii="Arial" w:eastAsia="Calibri" w:hAnsi="Arial" w:cs="Arial"/>
          <w:sz w:val="20"/>
          <w:szCs w:val="20"/>
          <w:u w:val="single"/>
        </w:rPr>
        <w:t>doivent être protégés</w:t>
      </w:r>
      <w:r w:rsidRPr="006D68A4">
        <w:rPr>
          <w:rFonts w:ascii="Arial" w:eastAsia="Calibri" w:hAnsi="Arial" w:cs="Arial"/>
          <w:sz w:val="20"/>
          <w:szCs w:val="20"/>
        </w:rPr>
        <w:t xml:space="preserve"> selon l’une des deux méthodes décrites ci-dessous :</w:t>
      </w:r>
    </w:p>
    <w:p w14:paraId="2F901686" w14:textId="653ACC40" w:rsidR="007C72AD" w:rsidRDefault="007C72AD" w:rsidP="007C72AD">
      <w:pPr>
        <w:tabs>
          <w:tab w:val="left" w:pos="1418"/>
        </w:tabs>
        <w:rPr>
          <w:rFonts w:ascii="Arial" w:eastAsia="Calibri" w:hAnsi="Arial" w:cs="Arial"/>
          <w:sz w:val="20"/>
          <w:szCs w:val="20"/>
        </w:rPr>
      </w:pPr>
    </w:p>
    <w:p w14:paraId="1BBAA598" w14:textId="1F8DB767" w:rsidR="007100BB" w:rsidRPr="00631F37" w:rsidRDefault="007100BB" w:rsidP="007100BB">
      <w:pPr>
        <w:spacing w:after="200"/>
        <w:jc w:val="both"/>
        <w:rPr>
          <w:rFonts w:ascii="Arial" w:eastAsia="Calibri" w:hAnsi="Arial" w:cs="Arial"/>
          <w:sz w:val="20"/>
          <w:szCs w:val="20"/>
        </w:rPr>
      </w:pPr>
      <w:r w:rsidRPr="00631F37">
        <w:rPr>
          <w:rFonts w:ascii="Arial" w:eastAsia="Calibri" w:hAnsi="Arial" w:cs="Arial"/>
          <w:sz w:val="20"/>
          <w:szCs w:val="20"/>
        </w:rPr>
        <w:t xml:space="preserve">Pour rappel, les changements concernant les conditions auxquelles a été subordonné l’agrément et les mesures prises pour protéger les fonds, notamment le changement de teneur de compte ou de garant, </w:t>
      </w:r>
      <w:r w:rsidRPr="00631F37">
        <w:rPr>
          <w:rFonts w:ascii="Arial" w:eastAsia="Calibri" w:hAnsi="Arial" w:cs="Arial"/>
          <w:sz w:val="20"/>
          <w:szCs w:val="20"/>
        </w:rPr>
        <w:lastRenderedPageBreak/>
        <w:t>sont soumise à autorisation</w:t>
      </w:r>
      <w:r w:rsidR="00FE0956" w:rsidRPr="00631F37">
        <w:rPr>
          <w:rFonts w:ascii="Arial" w:eastAsia="Calibri" w:hAnsi="Arial" w:cs="Arial"/>
          <w:sz w:val="20"/>
          <w:szCs w:val="20"/>
        </w:rPr>
        <w:t xml:space="preserve"> préalable conformément à l’article 6 de l’arrêté du 2 mai 2013</w:t>
      </w:r>
      <w:r w:rsidR="00631F37" w:rsidRPr="00631F37">
        <w:rPr>
          <w:rFonts w:ascii="Arial" w:eastAsia="Calibri" w:hAnsi="Arial" w:cs="Arial"/>
          <w:sz w:val="20"/>
          <w:szCs w:val="20"/>
        </w:rPr>
        <w:t xml:space="preserve"> </w:t>
      </w:r>
      <w:r w:rsidR="00FE0956" w:rsidRPr="00631F37">
        <w:rPr>
          <w:rFonts w:ascii="Arial" w:eastAsia="Calibri" w:hAnsi="Arial" w:cs="Arial"/>
          <w:sz w:val="20"/>
          <w:szCs w:val="20"/>
        </w:rPr>
        <w:t>portant sur la réglementation prudentielle des établissements de monnaie électronique</w:t>
      </w:r>
      <w:r w:rsidRPr="00631F37">
        <w:rPr>
          <w:rFonts w:ascii="Arial" w:eastAsia="Calibri" w:hAnsi="Arial" w:cs="Arial"/>
          <w:sz w:val="20"/>
          <w:szCs w:val="20"/>
        </w:rPr>
        <w:t>.</w:t>
      </w:r>
    </w:p>
    <w:p w14:paraId="28CE1462" w14:textId="77777777" w:rsidR="007100BB" w:rsidRPr="006D68A4" w:rsidRDefault="007100BB" w:rsidP="007C72AD">
      <w:pPr>
        <w:tabs>
          <w:tab w:val="left" w:pos="1418"/>
        </w:tabs>
        <w:rPr>
          <w:rFonts w:ascii="Arial" w:eastAsia="Calibri" w:hAnsi="Arial" w:cs="Arial"/>
          <w:sz w:val="20"/>
          <w:szCs w:val="20"/>
        </w:rPr>
      </w:pPr>
    </w:p>
    <w:p w14:paraId="45BCDDC2" w14:textId="77777777" w:rsidR="007C72AD" w:rsidRPr="006D68A4" w:rsidRDefault="007C72AD" w:rsidP="007C72AD">
      <w:pPr>
        <w:numPr>
          <w:ilvl w:val="0"/>
          <w:numId w:val="16"/>
        </w:numPr>
        <w:tabs>
          <w:tab w:val="left" w:pos="1418"/>
          <w:tab w:val="left" w:pos="6237"/>
        </w:tabs>
        <w:spacing w:line="240" w:lineRule="auto"/>
        <w:ind w:left="714" w:hanging="357"/>
        <w:contextualSpacing/>
        <w:rPr>
          <w:rFonts w:ascii="Arial" w:eastAsia="Times New Roman" w:hAnsi="Arial" w:cs="Arial"/>
          <w:b/>
          <w:sz w:val="20"/>
          <w:szCs w:val="20"/>
          <w:lang w:eastAsia="fr-FR"/>
        </w:rPr>
      </w:pPr>
      <w:r w:rsidRPr="006D68A4">
        <w:rPr>
          <w:rFonts w:ascii="Arial" w:eastAsia="Times New Roman" w:hAnsi="Arial" w:cs="Arial"/>
          <w:b/>
          <w:sz w:val="20"/>
          <w:szCs w:val="20"/>
          <w:lang w:eastAsia="fr-FR"/>
        </w:rPr>
        <w:t>Règle de cantonnement et d’investissement</w:t>
      </w:r>
      <w:r w:rsidRPr="006D68A4">
        <w:rPr>
          <w:rFonts w:ascii="Arial" w:eastAsia="Times New Roman" w:hAnsi="Arial" w:cs="Arial"/>
          <w:b/>
          <w:sz w:val="20"/>
          <w:szCs w:val="20"/>
          <w:lang w:eastAsia="fr-FR"/>
        </w:rPr>
        <w:tab/>
      </w:r>
      <w:r w:rsidRPr="006D68A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D68A4">
        <w:rPr>
          <w:rFonts w:ascii="Arial" w:eastAsia="Times New Roman" w:hAnsi="Arial" w:cs="Arial"/>
          <w:sz w:val="20"/>
          <w:szCs w:val="20"/>
          <w:lang w:eastAsia="fr-FR"/>
        </w:rPr>
        <w:instrText xml:space="preserve"> FORMCHECKBOX </w:instrText>
      </w:r>
      <w:r w:rsidR="00616F7D">
        <w:rPr>
          <w:rFonts w:ascii="Arial" w:eastAsia="Times New Roman" w:hAnsi="Arial" w:cs="Arial"/>
          <w:sz w:val="20"/>
          <w:szCs w:val="20"/>
          <w:lang w:eastAsia="fr-FR"/>
        </w:rPr>
      </w:r>
      <w:r w:rsidR="00616F7D">
        <w:rPr>
          <w:rFonts w:ascii="Arial" w:eastAsia="Times New Roman" w:hAnsi="Arial" w:cs="Arial"/>
          <w:sz w:val="20"/>
          <w:szCs w:val="20"/>
          <w:lang w:eastAsia="fr-FR"/>
        </w:rPr>
        <w:fldChar w:fldCharType="separate"/>
      </w:r>
      <w:r w:rsidRPr="006D68A4">
        <w:rPr>
          <w:rFonts w:ascii="Arial" w:eastAsia="Times New Roman" w:hAnsi="Arial" w:cs="Arial"/>
          <w:sz w:val="20"/>
          <w:szCs w:val="20"/>
          <w:lang w:eastAsia="fr-FR"/>
        </w:rPr>
        <w:fldChar w:fldCharType="end"/>
      </w:r>
    </w:p>
    <w:p w14:paraId="79943576" w14:textId="77777777" w:rsidR="007C72AD" w:rsidRPr="006D68A4" w:rsidRDefault="007C72AD" w:rsidP="007C72AD">
      <w:pPr>
        <w:tabs>
          <w:tab w:val="left" w:pos="709"/>
        </w:tabs>
        <w:ind w:left="708"/>
        <w:jc w:val="both"/>
        <w:rPr>
          <w:rFonts w:ascii="Arial" w:eastAsia="Calibri" w:hAnsi="Arial" w:cs="Arial"/>
          <w:i/>
          <w:sz w:val="20"/>
          <w:szCs w:val="20"/>
        </w:rPr>
      </w:pPr>
    </w:p>
    <w:p w14:paraId="45D3F5D7" w14:textId="77777777" w:rsidR="007C72AD" w:rsidRDefault="007C72AD" w:rsidP="007C72AD">
      <w:pPr>
        <w:pStyle w:val="Paragraphedeliste"/>
        <w:numPr>
          <w:ilvl w:val="0"/>
          <w:numId w:val="28"/>
        </w:numPr>
        <w:tabs>
          <w:tab w:val="left" w:pos="1418"/>
        </w:tabs>
        <w:jc w:val="both"/>
        <w:rPr>
          <w:rFonts w:ascii="Arial" w:eastAsia="Calibri" w:hAnsi="Arial" w:cs="Arial"/>
          <w:sz w:val="20"/>
          <w:szCs w:val="20"/>
        </w:rPr>
      </w:pPr>
      <w:r>
        <w:rPr>
          <w:rFonts w:ascii="Arial" w:eastAsia="Calibri" w:hAnsi="Arial" w:cs="Arial"/>
          <w:sz w:val="20"/>
          <w:szCs w:val="20"/>
        </w:rPr>
        <w:t>F</w:t>
      </w:r>
      <w:r w:rsidRPr="00A32433">
        <w:rPr>
          <w:rFonts w:ascii="Arial" w:eastAsia="Calibri" w:hAnsi="Arial" w:cs="Arial"/>
          <w:sz w:val="20"/>
          <w:szCs w:val="20"/>
        </w:rPr>
        <w:t xml:space="preserve">ournir les coordonnées du ou des comptes ouvert(s) ainsi qu’une copie du/des projet(s) de conventions de compte de cantonnement correspondantes. </w:t>
      </w:r>
    </w:p>
    <w:p w14:paraId="6F8B0A40" w14:textId="77777777" w:rsidR="007C72AD" w:rsidRDefault="007C72AD" w:rsidP="007C72AD">
      <w:pPr>
        <w:pStyle w:val="Paragraphedeliste"/>
        <w:numPr>
          <w:ilvl w:val="0"/>
          <w:numId w:val="28"/>
        </w:numPr>
        <w:tabs>
          <w:tab w:val="left" w:pos="1418"/>
        </w:tabs>
        <w:jc w:val="both"/>
        <w:rPr>
          <w:rFonts w:ascii="Arial" w:eastAsia="Calibri" w:hAnsi="Arial" w:cs="Arial"/>
          <w:sz w:val="20"/>
          <w:szCs w:val="20"/>
        </w:rPr>
      </w:pPr>
      <w:r>
        <w:rPr>
          <w:rFonts w:ascii="Arial" w:eastAsia="Calibri" w:hAnsi="Arial" w:cs="Arial"/>
          <w:sz w:val="20"/>
          <w:szCs w:val="20"/>
        </w:rPr>
        <w:t>D</w:t>
      </w:r>
      <w:r w:rsidRPr="00A32433">
        <w:rPr>
          <w:rFonts w:ascii="Arial" w:eastAsia="Calibri" w:hAnsi="Arial" w:cs="Arial"/>
          <w:sz w:val="20"/>
          <w:szCs w:val="20"/>
        </w:rPr>
        <w:t>écrire le cas échéant la politique d’investissement envisagé et les modalités de sélection des titres.</w:t>
      </w:r>
    </w:p>
    <w:p w14:paraId="44152E96" w14:textId="77777777" w:rsidR="007C72AD" w:rsidRPr="00A32433" w:rsidRDefault="007C72AD" w:rsidP="007C72AD">
      <w:pPr>
        <w:pStyle w:val="Paragraphedeliste"/>
        <w:numPr>
          <w:ilvl w:val="0"/>
          <w:numId w:val="28"/>
        </w:numPr>
        <w:tabs>
          <w:tab w:val="left" w:pos="1418"/>
        </w:tabs>
        <w:jc w:val="both"/>
        <w:rPr>
          <w:rFonts w:ascii="Arial" w:eastAsia="Calibri" w:hAnsi="Arial" w:cs="Arial"/>
          <w:sz w:val="20"/>
          <w:szCs w:val="20"/>
        </w:rPr>
      </w:pPr>
      <w:r>
        <w:rPr>
          <w:rFonts w:ascii="Arial" w:eastAsia="Calibri" w:hAnsi="Arial" w:cs="Arial"/>
          <w:sz w:val="20"/>
          <w:szCs w:val="20"/>
        </w:rPr>
        <w:t xml:space="preserve">Indiquer </w:t>
      </w:r>
      <w:r w:rsidRPr="00A32433">
        <w:rPr>
          <w:rFonts w:ascii="Arial" w:eastAsia="Calibri" w:hAnsi="Arial" w:cs="Arial"/>
          <w:sz w:val="20"/>
          <w:szCs w:val="20"/>
        </w:rPr>
        <w:t>le nombre de personnes ayant accès au compte de cantonnement</w:t>
      </w:r>
      <w:r>
        <w:rPr>
          <w:rFonts w:ascii="Arial" w:eastAsia="Calibri" w:hAnsi="Arial" w:cs="Arial"/>
          <w:sz w:val="20"/>
          <w:szCs w:val="20"/>
        </w:rPr>
        <w:t>, son fonctionnement (liste exhaustive et description des opérations au débit au crédit)</w:t>
      </w:r>
      <w:r w:rsidRPr="00A32433">
        <w:rPr>
          <w:rFonts w:ascii="Arial" w:eastAsia="Calibri" w:hAnsi="Arial" w:cs="Arial"/>
          <w:sz w:val="20"/>
          <w:szCs w:val="20"/>
        </w:rPr>
        <w:t xml:space="preserve"> ainsi qu’une description du processus d’administration et de rapprochement du compte de cantonnement permettant de garantir que, dans l’intérêt des utilisateurs des services de paiement, les fonds sont soustraits aux recours d’autres créanciers de l’établissement de </w:t>
      </w:r>
      <w:r>
        <w:rPr>
          <w:rFonts w:ascii="Arial" w:eastAsia="Calibri" w:hAnsi="Arial" w:cs="Arial"/>
          <w:sz w:val="20"/>
          <w:szCs w:val="20"/>
        </w:rPr>
        <w:t>monnaie électronique</w:t>
      </w:r>
      <w:r w:rsidRPr="00A32433">
        <w:rPr>
          <w:rFonts w:ascii="Arial" w:eastAsia="Calibri" w:hAnsi="Arial" w:cs="Arial"/>
          <w:sz w:val="20"/>
          <w:szCs w:val="20"/>
        </w:rPr>
        <w:t>, notamment en cas d’insolvabilité.</w:t>
      </w:r>
    </w:p>
    <w:p w14:paraId="7E659C49" w14:textId="77777777" w:rsidR="006D68A4" w:rsidRPr="006D68A4" w:rsidRDefault="006D68A4" w:rsidP="006D68A4">
      <w:pPr>
        <w:tabs>
          <w:tab w:val="left" w:pos="1418"/>
        </w:tabs>
        <w:jc w:val="both"/>
        <w:rPr>
          <w:rFonts w:ascii="Arial" w:eastAsia="Calibri" w:hAnsi="Arial" w:cs="Arial"/>
          <w:sz w:val="20"/>
          <w:szCs w:val="20"/>
        </w:rPr>
      </w:pPr>
    </w:p>
    <w:p w14:paraId="1B298FC3" w14:textId="77777777" w:rsidR="006D68A4" w:rsidRPr="006D68A4" w:rsidRDefault="006D68A4" w:rsidP="006D68A4">
      <w:pPr>
        <w:numPr>
          <w:ilvl w:val="0"/>
          <w:numId w:val="16"/>
        </w:numPr>
        <w:tabs>
          <w:tab w:val="left" w:pos="6237"/>
        </w:tabs>
        <w:spacing w:line="240" w:lineRule="auto"/>
        <w:ind w:left="714" w:hanging="357"/>
        <w:contextualSpacing/>
        <w:rPr>
          <w:rFonts w:ascii="Arial" w:eastAsia="Times New Roman" w:hAnsi="Arial" w:cs="Arial"/>
          <w:i/>
          <w:sz w:val="20"/>
          <w:szCs w:val="20"/>
          <w:lang w:eastAsia="fr-FR"/>
        </w:rPr>
      </w:pPr>
      <w:r w:rsidRPr="006D68A4">
        <w:rPr>
          <w:rFonts w:ascii="Arial" w:eastAsia="Times New Roman" w:hAnsi="Arial" w:cs="Arial"/>
          <w:b/>
          <w:sz w:val="20"/>
          <w:szCs w:val="20"/>
          <w:lang w:eastAsia="fr-FR"/>
        </w:rPr>
        <w:t>Couverture des fonds</w:t>
      </w:r>
      <w:r w:rsidRPr="006D68A4">
        <w:rPr>
          <w:rFonts w:ascii="Arial" w:eastAsia="Times New Roman" w:hAnsi="Arial" w:cs="Arial"/>
          <w:b/>
          <w:sz w:val="20"/>
          <w:szCs w:val="20"/>
          <w:lang w:eastAsia="fr-FR"/>
        </w:rPr>
        <w:tab/>
      </w:r>
      <w:r w:rsidRPr="006D68A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D68A4">
        <w:rPr>
          <w:rFonts w:ascii="Arial" w:eastAsia="Times New Roman" w:hAnsi="Arial" w:cs="Arial"/>
          <w:sz w:val="20"/>
          <w:szCs w:val="20"/>
          <w:lang w:eastAsia="fr-FR"/>
        </w:rPr>
        <w:instrText xml:space="preserve"> FORMCHECKBOX </w:instrText>
      </w:r>
      <w:r w:rsidR="00616F7D">
        <w:rPr>
          <w:rFonts w:ascii="Arial" w:eastAsia="Times New Roman" w:hAnsi="Arial" w:cs="Arial"/>
          <w:sz w:val="20"/>
          <w:szCs w:val="20"/>
          <w:lang w:eastAsia="fr-FR"/>
        </w:rPr>
      </w:r>
      <w:r w:rsidR="00616F7D">
        <w:rPr>
          <w:rFonts w:ascii="Arial" w:eastAsia="Times New Roman" w:hAnsi="Arial" w:cs="Arial"/>
          <w:sz w:val="20"/>
          <w:szCs w:val="20"/>
          <w:lang w:eastAsia="fr-FR"/>
        </w:rPr>
        <w:fldChar w:fldCharType="separate"/>
      </w:r>
      <w:r w:rsidRPr="006D68A4">
        <w:rPr>
          <w:rFonts w:ascii="Arial" w:eastAsia="Times New Roman" w:hAnsi="Arial" w:cs="Arial"/>
          <w:sz w:val="20"/>
          <w:szCs w:val="20"/>
          <w:lang w:eastAsia="fr-FR"/>
        </w:rPr>
        <w:fldChar w:fldCharType="end"/>
      </w:r>
    </w:p>
    <w:p w14:paraId="247CED67" w14:textId="77777777" w:rsidR="006D68A4" w:rsidRPr="006D68A4" w:rsidRDefault="006D68A4" w:rsidP="006D68A4">
      <w:pPr>
        <w:tabs>
          <w:tab w:val="left" w:pos="1418"/>
        </w:tabs>
        <w:jc w:val="both"/>
        <w:rPr>
          <w:rFonts w:ascii="Arial" w:eastAsia="Calibri" w:hAnsi="Arial" w:cs="Arial"/>
          <w:sz w:val="20"/>
          <w:szCs w:val="20"/>
        </w:rPr>
      </w:pPr>
    </w:p>
    <w:p w14:paraId="67AC5FC8" w14:textId="77777777" w:rsidR="006D68A4" w:rsidRPr="006D68A4" w:rsidRDefault="006D68A4" w:rsidP="006D68A4">
      <w:pPr>
        <w:tabs>
          <w:tab w:val="left" w:pos="1418"/>
        </w:tabs>
        <w:jc w:val="both"/>
        <w:rPr>
          <w:rFonts w:ascii="Arial" w:eastAsia="Calibri" w:hAnsi="Arial" w:cs="Arial"/>
          <w:sz w:val="20"/>
          <w:szCs w:val="20"/>
        </w:rPr>
      </w:pPr>
      <w:r w:rsidRPr="006D68A4">
        <w:rPr>
          <w:rFonts w:ascii="Arial" w:eastAsia="Calibri" w:hAnsi="Arial" w:cs="Arial"/>
          <w:sz w:val="20"/>
          <w:szCs w:val="20"/>
        </w:rPr>
        <w:t>La couverture des fonds résulte :</w:t>
      </w:r>
    </w:p>
    <w:p w14:paraId="5AE373EA" w14:textId="77777777" w:rsidR="00A32433" w:rsidRDefault="006D68A4" w:rsidP="00A32433">
      <w:pPr>
        <w:pStyle w:val="Paragraphedeliste"/>
        <w:numPr>
          <w:ilvl w:val="0"/>
          <w:numId w:val="30"/>
        </w:numPr>
        <w:tabs>
          <w:tab w:val="left" w:pos="1418"/>
        </w:tabs>
        <w:spacing w:line="240" w:lineRule="auto"/>
        <w:jc w:val="both"/>
        <w:rPr>
          <w:rFonts w:ascii="Arial" w:eastAsia="Times New Roman" w:hAnsi="Arial" w:cs="Arial"/>
          <w:sz w:val="20"/>
          <w:szCs w:val="20"/>
          <w:lang w:eastAsia="fr-FR"/>
        </w:rPr>
      </w:pPr>
      <w:r w:rsidRPr="00A32433">
        <w:rPr>
          <w:rFonts w:ascii="Arial" w:eastAsia="Times New Roman" w:hAnsi="Arial" w:cs="Arial"/>
          <w:sz w:val="20"/>
          <w:szCs w:val="20"/>
          <w:lang w:eastAsia="fr-FR"/>
        </w:rPr>
        <w:t xml:space="preserve">soit d’un engagement écrit d’un établissement de crédit habilité n’appartenant pas au même groupe que l’établissement, </w:t>
      </w:r>
    </w:p>
    <w:p w14:paraId="62E2C64D" w14:textId="77777777" w:rsidR="006D68A4" w:rsidRPr="00A32433" w:rsidRDefault="006D68A4" w:rsidP="00A32433">
      <w:pPr>
        <w:pStyle w:val="Paragraphedeliste"/>
        <w:numPr>
          <w:ilvl w:val="0"/>
          <w:numId w:val="30"/>
        </w:numPr>
        <w:tabs>
          <w:tab w:val="left" w:pos="1418"/>
        </w:tabs>
        <w:spacing w:line="240" w:lineRule="auto"/>
        <w:jc w:val="both"/>
        <w:rPr>
          <w:rFonts w:ascii="Arial" w:eastAsia="Times New Roman" w:hAnsi="Arial" w:cs="Arial"/>
          <w:sz w:val="20"/>
          <w:szCs w:val="20"/>
          <w:lang w:eastAsia="fr-FR"/>
        </w:rPr>
      </w:pPr>
      <w:r w:rsidRPr="00A32433">
        <w:rPr>
          <w:rFonts w:ascii="Arial" w:eastAsia="Times New Roman" w:hAnsi="Arial" w:cs="Arial"/>
          <w:sz w:val="20"/>
          <w:szCs w:val="20"/>
          <w:lang w:eastAsia="fr-FR"/>
        </w:rPr>
        <w:t xml:space="preserve">soit d’un engagement écrit d’une entreprise d’assurance habilitée à cet effet n’appartenant pas au même groupe que l’établissement. </w:t>
      </w:r>
    </w:p>
    <w:p w14:paraId="30DE6033" w14:textId="77777777" w:rsidR="00A32433" w:rsidRDefault="00A32433" w:rsidP="00A32433">
      <w:pPr>
        <w:pStyle w:val="Paragraphedeliste"/>
        <w:tabs>
          <w:tab w:val="left" w:pos="1418"/>
        </w:tabs>
        <w:ind w:left="1080"/>
        <w:jc w:val="both"/>
        <w:rPr>
          <w:rFonts w:ascii="Arial" w:eastAsia="Calibri" w:hAnsi="Arial" w:cs="Arial"/>
          <w:sz w:val="20"/>
          <w:szCs w:val="20"/>
        </w:rPr>
      </w:pPr>
    </w:p>
    <w:p w14:paraId="5E1D5167" w14:textId="77777777" w:rsidR="00A32433" w:rsidRPr="001C20CB" w:rsidRDefault="00A32433" w:rsidP="001C20CB">
      <w:pPr>
        <w:pStyle w:val="Paragraphedeliste"/>
        <w:numPr>
          <w:ilvl w:val="2"/>
          <w:numId w:val="29"/>
        </w:numPr>
        <w:tabs>
          <w:tab w:val="left" w:pos="1418"/>
        </w:tabs>
        <w:jc w:val="both"/>
        <w:rPr>
          <w:rFonts w:ascii="Arial" w:eastAsia="Calibri" w:hAnsi="Arial" w:cs="Arial"/>
          <w:sz w:val="20"/>
          <w:szCs w:val="20"/>
        </w:rPr>
      </w:pPr>
      <w:r>
        <w:rPr>
          <w:rFonts w:ascii="Arial" w:eastAsia="Calibri" w:hAnsi="Arial" w:cs="Arial"/>
          <w:sz w:val="20"/>
          <w:szCs w:val="20"/>
        </w:rPr>
        <w:t>J</w:t>
      </w:r>
      <w:r w:rsidR="006D68A4" w:rsidRPr="00A32433">
        <w:rPr>
          <w:rFonts w:ascii="Arial" w:eastAsia="Calibri" w:hAnsi="Arial" w:cs="Arial"/>
          <w:sz w:val="20"/>
          <w:szCs w:val="20"/>
        </w:rPr>
        <w:t>ustifie</w:t>
      </w:r>
      <w:r>
        <w:rPr>
          <w:rFonts w:ascii="Arial" w:eastAsia="Calibri" w:hAnsi="Arial" w:cs="Arial"/>
          <w:sz w:val="20"/>
          <w:szCs w:val="20"/>
        </w:rPr>
        <w:t>r</w:t>
      </w:r>
      <w:r w:rsidR="006D68A4" w:rsidRPr="00A32433">
        <w:rPr>
          <w:rFonts w:ascii="Arial" w:eastAsia="Calibri" w:hAnsi="Arial" w:cs="Arial"/>
          <w:sz w:val="20"/>
          <w:szCs w:val="20"/>
        </w:rPr>
        <w:t xml:space="preserve"> de la couverture et de son montant. À ce titre, le processus de rapprochement mis en place afin de garantir que la couverture des fonds permet à l’établissement de respecter ses obligations doit être décrit.</w:t>
      </w:r>
    </w:p>
    <w:p w14:paraId="25C8C432" w14:textId="77777777" w:rsidR="006D68A4" w:rsidRPr="00A32433" w:rsidRDefault="001C20CB" w:rsidP="006D68A4">
      <w:pPr>
        <w:pStyle w:val="Paragraphedeliste"/>
        <w:numPr>
          <w:ilvl w:val="2"/>
          <w:numId w:val="29"/>
        </w:numPr>
        <w:tabs>
          <w:tab w:val="left" w:pos="1418"/>
        </w:tabs>
        <w:jc w:val="both"/>
        <w:rPr>
          <w:rFonts w:ascii="Arial" w:eastAsia="Calibri" w:hAnsi="Arial" w:cs="Arial"/>
          <w:sz w:val="20"/>
          <w:szCs w:val="20"/>
        </w:rPr>
      </w:pPr>
      <w:r>
        <w:rPr>
          <w:rFonts w:ascii="Arial" w:eastAsia="Calibri" w:hAnsi="Arial" w:cs="Arial"/>
          <w:sz w:val="20"/>
          <w:szCs w:val="20"/>
        </w:rPr>
        <w:t xml:space="preserve">Fournir le </w:t>
      </w:r>
      <w:r w:rsidR="006D68A4" w:rsidRPr="00A32433">
        <w:rPr>
          <w:rFonts w:ascii="Arial" w:eastAsia="Calibri" w:hAnsi="Arial" w:cs="Arial"/>
          <w:sz w:val="20"/>
          <w:szCs w:val="20"/>
        </w:rPr>
        <w:t>projet de contrat et</w:t>
      </w:r>
      <w:r>
        <w:rPr>
          <w:rFonts w:ascii="Arial" w:eastAsia="Calibri" w:hAnsi="Arial" w:cs="Arial"/>
          <w:sz w:val="20"/>
          <w:szCs w:val="20"/>
        </w:rPr>
        <w:t>, le cas échéant,</w:t>
      </w:r>
      <w:r w:rsidR="006D68A4" w:rsidRPr="00A32433">
        <w:rPr>
          <w:rFonts w:ascii="Arial" w:eastAsia="Calibri" w:hAnsi="Arial" w:cs="Arial"/>
          <w:sz w:val="20"/>
          <w:szCs w:val="20"/>
        </w:rPr>
        <w:t xml:space="preserve"> préciser la durée et les modalités de renouvellement de la couverture.</w:t>
      </w:r>
    </w:p>
    <w:p w14:paraId="221B7B99" w14:textId="456F6E5C" w:rsidR="006D68A4" w:rsidRDefault="006D68A4" w:rsidP="006D68A4">
      <w:pPr>
        <w:spacing w:after="200"/>
        <w:rPr>
          <w:rFonts w:ascii="Arial" w:eastAsia="Calibri" w:hAnsi="Arial" w:cs="Arial"/>
          <w:sz w:val="20"/>
          <w:szCs w:val="20"/>
        </w:rPr>
      </w:pPr>
    </w:p>
    <w:p w14:paraId="1361505C" w14:textId="77777777" w:rsidR="006D68A4" w:rsidRPr="006D68A4" w:rsidRDefault="006D68A4" w:rsidP="006D68A4">
      <w:pPr>
        <w:numPr>
          <w:ilvl w:val="0"/>
          <w:numId w:val="20"/>
        </w:numPr>
        <w:spacing w:line="240" w:lineRule="auto"/>
        <w:ind w:left="782" w:hanging="357"/>
        <w:contextualSpacing/>
        <w:outlineLvl w:val="1"/>
        <w:rPr>
          <w:rFonts w:ascii="Arial" w:eastAsia="Times New Roman" w:hAnsi="Arial" w:cs="Arial"/>
          <w:b/>
          <w:color w:val="1F497D"/>
          <w:sz w:val="28"/>
          <w:szCs w:val="28"/>
          <w:lang w:eastAsia="fr-FR"/>
        </w:rPr>
      </w:pPr>
      <w:bookmarkStart w:id="19" w:name="_Toc507679358"/>
      <w:bookmarkStart w:id="20" w:name="_Toc78984790"/>
      <w:r w:rsidRPr="006D68A4">
        <w:rPr>
          <w:rFonts w:ascii="Arial" w:eastAsia="Times New Roman" w:hAnsi="Arial" w:cs="Arial"/>
          <w:b/>
          <w:color w:val="1F497D"/>
          <w:sz w:val="28"/>
          <w:szCs w:val="28"/>
          <w:lang w:eastAsia="fr-FR"/>
        </w:rPr>
        <w:t>Assurance responsabilité civile professionnelle</w:t>
      </w:r>
      <w:bookmarkEnd w:id="19"/>
      <w:bookmarkEnd w:id="20"/>
    </w:p>
    <w:p w14:paraId="1754A09B" w14:textId="77777777" w:rsidR="006D68A4" w:rsidRPr="006D68A4" w:rsidRDefault="00FA229B" w:rsidP="006D68A4">
      <w:pPr>
        <w:tabs>
          <w:tab w:val="left" w:pos="709"/>
          <w:tab w:val="left" w:pos="1418"/>
        </w:tabs>
        <w:rPr>
          <w:rFonts w:ascii="Arial" w:eastAsia="Calibri" w:hAnsi="Arial" w:cs="Arial"/>
          <w:i/>
          <w:sz w:val="20"/>
          <w:szCs w:val="20"/>
        </w:rPr>
      </w:pPr>
      <w:r>
        <w:rPr>
          <w:rFonts w:ascii="Arial" w:eastAsia="Calibri" w:hAnsi="Arial" w:cs="Arial"/>
          <w:i/>
          <w:sz w:val="20"/>
          <w:szCs w:val="20"/>
        </w:rPr>
        <w:t>(Articles 5-</w:t>
      </w:r>
      <w:r w:rsidR="006D68A4" w:rsidRPr="006D68A4">
        <w:rPr>
          <w:rFonts w:ascii="Arial" w:eastAsia="Calibri" w:hAnsi="Arial" w:cs="Arial"/>
          <w:i/>
          <w:sz w:val="20"/>
          <w:szCs w:val="20"/>
        </w:rPr>
        <w:t>1 et 5</w:t>
      </w:r>
      <w:r>
        <w:rPr>
          <w:rFonts w:ascii="Arial" w:eastAsia="Calibri" w:hAnsi="Arial" w:cs="Arial"/>
          <w:i/>
          <w:sz w:val="20"/>
          <w:szCs w:val="20"/>
        </w:rPr>
        <w:t>-</w:t>
      </w:r>
      <w:r w:rsidR="006D68A4" w:rsidRPr="006D68A4">
        <w:rPr>
          <w:rFonts w:ascii="Arial" w:eastAsia="Calibri" w:hAnsi="Arial" w:cs="Arial"/>
          <w:i/>
          <w:sz w:val="20"/>
          <w:szCs w:val="20"/>
        </w:rPr>
        <w:t>2 de l’arrêté du 29 octobre 2009</w:t>
      </w:r>
      <w:r w:rsidR="006D68A4" w:rsidRPr="006D68A4">
        <w:t xml:space="preserve"> </w:t>
      </w:r>
      <w:r w:rsidR="006D68A4" w:rsidRPr="006D68A4">
        <w:rPr>
          <w:rFonts w:ascii="Arial" w:eastAsia="Calibri" w:hAnsi="Arial" w:cs="Arial"/>
          <w:i/>
          <w:sz w:val="20"/>
          <w:szCs w:val="20"/>
        </w:rPr>
        <w:t xml:space="preserve">portant sur la réglementation prudentielle des établissements de </w:t>
      </w:r>
      <w:r w:rsidR="006D68A4">
        <w:rPr>
          <w:rFonts w:ascii="Arial" w:eastAsia="Calibri" w:hAnsi="Arial" w:cs="Arial"/>
          <w:i/>
          <w:sz w:val="20"/>
          <w:szCs w:val="20"/>
        </w:rPr>
        <w:t>paiement</w:t>
      </w:r>
      <w:r w:rsidR="006D68A4" w:rsidRPr="006D68A4">
        <w:rPr>
          <w:rFonts w:ascii="Arial" w:eastAsia="Calibri" w:hAnsi="Arial" w:cs="Arial"/>
          <w:i/>
          <w:sz w:val="20"/>
          <w:szCs w:val="20"/>
        </w:rPr>
        <w:t>)</w:t>
      </w:r>
    </w:p>
    <w:p w14:paraId="24A22337" w14:textId="77777777" w:rsidR="006D68A4" w:rsidRPr="006D68A4" w:rsidRDefault="006D68A4" w:rsidP="006D68A4">
      <w:pPr>
        <w:tabs>
          <w:tab w:val="left" w:pos="1418"/>
        </w:tabs>
        <w:jc w:val="both"/>
        <w:rPr>
          <w:rFonts w:ascii="Arial" w:eastAsia="Calibri" w:hAnsi="Arial" w:cs="Arial"/>
          <w:sz w:val="20"/>
          <w:szCs w:val="20"/>
        </w:rPr>
      </w:pPr>
    </w:p>
    <w:p w14:paraId="7B2DC4B3" w14:textId="77777777" w:rsidR="006D68A4" w:rsidRDefault="006D68A4" w:rsidP="006D68A4">
      <w:pPr>
        <w:tabs>
          <w:tab w:val="left" w:pos="1418"/>
        </w:tabs>
        <w:jc w:val="both"/>
        <w:rPr>
          <w:rFonts w:ascii="Arial" w:eastAsia="Calibri" w:hAnsi="Arial" w:cs="Arial"/>
          <w:sz w:val="20"/>
          <w:szCs w:val="20"/>
          <w:u w:val="single"/>
        </w:rPr>
      </w:pPr>
      <w:r w:rsidRPr="006D68A4">
        <w:rPr>
          <w:rFonts w:ascii="Arial" w:eastAsia="Calibri" w:hAnsi="Arial" w:cs="Arial"/>
          <w:sz w:val="20"/>
          <w:szCs w:val="20"/>
          <w:u w:val="single"/>
        </w:rPr>
        <w:t>Sont concernés les établissements qui fourniront les services de paiement 7 et/ou 8 (article L. 314-1 du Code monétaire et financier).</w:t>
      </w:r>
    </w:p>
    <w:p w14:paraId="25E0116C" w14:textId="77777777" w:rsidR="006D68A4" w:rsidRPr="006D68A4" w:rsidRDefault="006D68A4" w:rsidP="006D68A4">
      <w:pPr>
        <w:tabs>
          <w:tab w:val="left" w:pos="1418"/>
        </w:tabs>
        <w:jc w:val="both"/>
        <w:rPr>
          <w:rFonts w:ascii="Arial" w:eastAsia="Calibri" w:hAnsi="Arial" w:cs="Arial"/>
          <w:sz w:val="20"/>
          <w:szCs w:val="20"/>
          <w:u w:val="single"/>
        </w:rPr>
      </w:pPr>
    </w:p>
    <w:p w14:paraId="20092298" w14:textId="77777777" w:rsidR="00FA229B" w:rsidRPr="00A32433" w:rsidRDefault="00FA229B" w:rsidP="00A32433">
      <w:pPr>
        <w:pStyle w:val="Paragraphedeliste"/>
        <w:numPr>
          <w:ilvl w:val="2"/>
          <w:numId w:val="29"/>
        </w:numPr>
        <w:tabs>
          <w:tab w:val="left" w:pos="1418"/>
        </w:tabs>
        <w:jc w:val="both"/>
        <w:rPr>
          <w:rFonts w:ascii="Arial" w:eastAsia="Calibri" w:hAnsi="Arial" w:cs="Arial"/>
          <w:sz w:val="20"/>
          <w:szCs w:val="20"/>
        </w:rPr>
      </w:pPr>
      <w:r w:rsidRPr="00A32433">
        <w:rPr>
          <w:rFonts w:ascii="Arial" w:eastAsia="Calibri" w:hAnsi="Arial" w:cs="Arial"/>
          <w:sz w:val="20"/>
          <w:szCs w:val="20"/>
        </w:rPr>
        <w:t xml:space="preserve">Fournir une </w:t>
      </w:r>
      <w:r w:rsidR="006D68A4" w:rsidRPr="00A32433">
        <w:rPr>
          <w:rFonts w:ascii="Arial" w:eastAsia="Calibri" w:hAnsi="Arial" w:cs="Arial"/>
          <w:sz w:val="20"/>
          <w:szCs w:val="20"/>
        </w:rPr>
        <w:t>estimation des éléments à prendre en compte dans les formules de calcul</w:t>
      </w:r>
      <w:r w:rsidRPr="00A32433">
        <w:rPr>
          <w:rFonts w:ascii="Arial" w:eastAsia="Calibri" w:hAnsi="Arial" w:cs="Arial"/>
          <w:sz w:val="20"/>
          <w:szCs w:val="20"/>
        </w:rPr>
        <w:t xml:space="preserve"> des montant minimal de l’assurance de responsabilité civile professionnelle ou d’une autre garantie comparable</w:t>
      </w:r>
      <w:r w:rsidR="006D68A4" w:rsidRPr="00A32433">
        <w:rPr>
          <w:rFonts w:ascii="Arial" w:eastAsia="Calibri" w:hAnsi="Arial" w:cs="Arial"/>
          <w:sz w:val="20"/>
          <w:szCs w:val="20"/>
        </w:rPr>
        <w:t xml:space="preserve">. </w:t>
      </w:r>
    </w:p>
    <w:p w14:paraId="1980EA34" w14:textId="77777777" w:rsidR="006D68A4" w:rsidRPr="00A32433" w:rsidRDefault="00FA229B" w:rsidP="00A32433">
      <w:pPr>
        <w:pStyle w:val="Paragraphedeliste"/>
        <w:numPr>
          <w:ilvl w:val="2"/>
          <w:numId w:val="29"/>
        </w:numPr>
        <w:tabs>
          <w:tab w:val="left" w:pos="1418"/>
        </w:tabs>
        <w:jc w:val="both"/>
        <w:rPr>
          <w:rFonts w:ascii="Arial" w:eastAsia="Calibri" w:hAnsi="Arial" w:cs="Arial"/>
          <w:sz w:val="20"/>
          <w:szCs w:val="20"/>
        </w:rPr>
      </w:pPr>
      <w:r w:rsidRPr="00A32433">
        <w:rPr>
          <w:rFonts w:ascii="Arial" w:eastAsia="Calibri" w:hAnsi="Arial" w:cs="Arial"/>
          <w:sz w:val="20"/>
          <w:szCs w:val="20"/>
        </w:rPr>
        <w:t xml:space="preserve">Fournir le </w:t>
      </w:r>
      <w:r w:rsidR="006D68A4" w:rsidRPr="00A32433">
        <w:rPr>
          <w:rFonts w:ascii="Arial" w:eastAsia="Calibri" w:hAnsi="Arial" w:cs="Arial"/>
          <w:sz w:val="20"/>
          <w:szCs w:val="20"/>
        </w:rPr>
        <w:t>projet de contrat</w:t>
      </w:r>
      <w:r w:rsidRPr="00A32433">
        <w:rPr>
          <w:rFonts w:ascii="Arial" w:eastAsia="Calibri" w:hAnsi="Arial" w:cs="Arial"/>
          <w:sz w:val="20"/>
          <w:szCs w:val="20"/>
        </w:rPr>
        <w:t xml:space="preserve"> y compris ses éventuels annexes</w:t>
      </w:r>
      <w:r w:rsidR="006D68A4" w:rsidRPr="00A32433">
        <w:rPr>
          <w:rFonts w:ascii="Arial" w:eastAsia="Calibri" w:hAnsi="Arial" w:cs="Arial"/>
          <w:sz w:val="20"/>
          <w:szCs w:val="20"/>
        </w:rPr>
        <w:t>.</w:t>
      </w:r>
    </w:p>
    <w:p w14:paraId="01A57D39" w14:textId="77777777" w:rsidR="00CA5768" w:rsidRPr="006D68A4" w:rsidRDefault="00CA5768" w:rsidP="006D68A4">
      <w:pPr>
        <w:spacing w:line="240" w:lineRule="auto"/>
        <w:rPr>
          <w:rFonts w:ascii="Arial" w:eastAsia="Calibri" w:hAnsi="Arial" w:cs="Arial"/>
          <w:sz w:val="20"/>
          <w:szCs w:val="20"/>
        </w:rPr>
      </w:pPr>
    </w:p>
    <w:p w14:paraId="44C1AD41" w14:textId="77777777" w:rsidR="00CA5768" w:rsidRDefault="00CA5768" w:rsidP="00CA5768">
      <w:pPr>
        <w:spacing w:after="200"/>
        <w:rPr>
          <w:rFonts w:ascii="Arial" w:eastAsia="Calibri" w:hAnsi="Arial" w:cs="Arial"/>
          <w:sz w:val="20"/>
          <w:szCs w:val="20"/>
        </w:rPr>
      </w:pPr>
    </w:p>
    <w:p w14:paraId="55205D45" w14:textId="77777777" w:rsidR="006739F9" w:rsidRDefault="006739F9">
      <w:pPr>
        <w:spacing w:after="160" w:line="259" w:lineRule="auto"/>
        <w:rPr>
          <w:rFonts w:ascii="Arial" w:eastAsia="Calibri" w:hAnsi="Arial" w:cs="Arial"/>
          <w:sz w:val="20"/>
          <w:szCs w:val="20"/>
        </w:rPr>
      </w:pPr>
      <w:r>
        <w:rPr>
          <w:rFonts w:ascii="Arial" w:eastAsia="Calibri" w:hAnsi="Arial" w:cs="Arial"/>
          <w:sz w:val="20"/>
          <w:szCs w:val="20"/>
        </w:rPr>
        <w:br w:type="page"/>
      </w:r>
    </w:p>
    <w:p w14:paraId="55A71062" w14:textId="77777777" w:rsidR="006739F9" w:rsidRPr="006739F9" w:rsidRDefault="006739F9" w:rsidP="006739F9">
      <w:pPr>
        <w:pStyle w:val="Paragraphedeliste"/>
        <w:numPr>
          <w:ilvl w:val="0"/>
          <w:numId w:val="3"/>
        </w:numPr>
        <w:pBdr>
          <w:top w:val="thickThinSmallGap" w:sz="24" w:space="1" w:color="365F91"/>
          <w:left w:val="thickThinSmallGap" w:sz="24" w:space="15" w:color="365F91"/>
          <w:bottom w:val="thinThickSmallGap" w:sz="24" w:space="1" w:color="365F91"/>
          <w:right w:val="thinThickSmallGap" w:sz="24" w:space="4" w:color="365F91"/>
        </w:pBdr>
        <w:shd w:val="clear" w:color="auto" w:fill="085194"/>
        <w:spacing w:line="240" w:lineRule="auto"/>
        <w:outlineLvl w:val="0"/>
        <w:rPr>
          <w:rFonts w:ascii="Arial" w:eastAsia="Times New Roman" w:hAnsi="Arial" w:cs="Arial"/>
          <w:b/>
          <w:color w:val="FFFFFF"/>
          <w:sz w:val="28"/>
          <w:szCs w:val="28"/>
          <w:lang w:eastAsia="fr-FR"/>
        </w:rPr>
      </w:pPr>
      <w:bookmarkStart w:id="21" w:name="_Toc507679359"/>
      <w:bookmarkStart w:id="22" w:name="_Toc78984791"/>
      <w:r w:rsidRPr="006739F9">
        <w:rPr>
          <w:rFonts w:ascii="Arial" w:eastAsia="Times New Roman" w:hAnsi="Arial" w:cs="Arial"/>
          <w:b/>
          <w:color w:val="FFFFFF"/>
          <w:sz w:val="28"/>
          <w:szCs w:val="28"/>
          <w:lang w:eastAsia="fr-FR"/>
        </w:rPr>
        <w:lastRenderedPageBreak/>
        <w:t>Structure organisationnelle et mécanisme de contrôle interne</w:t>
      </w:r>
      <w:bookmarkEnd w:id="21"/>
      <w:bookmarkEnd w:id="22"/>
    </w:p>
    <w:p w14:paraId="052C6429" w14:textId="77777777" w:rsidR="006739F9" w:rsidRPr="006739F9" w:rsidRDefault="006739F9" w:rsidP="006739F9">
      <w:pPr>
        <w:tabs>
          <w:tab w:val="left" w:pos="1418"/>
        </w:tabs>
        <w:rPr>
          <w:rFonts w:ascii="Arial" w:eastAsia="Calibri" w:hAnsi="Arial" w:cs="Arial"/>
          <w:sz w:val="20"/>
          <w:szCs w:val="20"/>
        </w:rPr>
      </w:pPr>
    </w:p>
    <w:p w14:paraId="130B233B" w14:textId="77777777" w:rsidR="006739F9" w:rsidRPr="006739F9" w:rsidRDefault="006739F9" w:rsidP="006739F9">
      <w:pPr>
        <w:numPr>
          <w:ilvl w:val="2"/>
          <w:numId w:val="11"/>
        </w:numPr>
        <w:spacing w:line="240" w:lineRule="auto"/>
        <w:ind w:left="782" w:hanging="357"/>
        <w:contextualSpacing/>
        <w:outlineLvl w:val="1"/>
        <w:rPr>
          <w:rFonts w:ascii="Arial" w:eastAsia="Times New Roman" w:hAnsi="Arial" w:cs="Arial"/>
          <w:b/>
          <w:color w:val="1F497D"/>
          <w:sz w:val="28"/>
          <w:szCs w:val="28"/>
          <w:lang w:eastAsia="fr-FR"/>
        </w:rPr>
      </w:pPr>
      <w:bookmarkStart w:id="23" w:name="_Toc507679360"/>
      <w:bookmarkStart w:id="24" w:name="_Toc78984792"/>
      <w:r w:rsidRPr="006739F9">
        <w:rPr>
          <w:rFonts w:ascii="Arial" w:eastAsia="Times New Roman" w:hAnsi="Arial" w:cs="Arial"/>
          <w:b/>
          <w:color w:val="1F497D"/>
          <w:sz w:val="28"/>
          <w:szCs w:val="28"/>
          <w:lang w:eastAsia="fr-FR"/>
        </w:rPr>
        <w:t>Structure organisationnelle</w:t>
      </w:r>
      <w:bookmarkEnd w:id="23"/>
      <w:bookmarkEnd w:id="24"/>
    </w:p>
    <w:p w14:paraId="2D5359F6" w14:textId="77777777" w:rsidR="006739F9" w:rsidRPr="006739F9" w:rsidRDefault="006739F9" w:rsidP="006739F9">
      <w:pPr>
        <w:tabs>
          <w:tab w:val="left" w:pos="1418"/>
        </w:tabs>
        <w:jc w:val="both"/>
        <w:rPr>
          <w:rFonts w:ascii="Arial" w:eastAsia="Calibri" w:hAnsi="Arial" w:cs="Arial"/>
          <w:sz w:val="20"/>
          <w:szCs w:val="20"/>
        </w:rPr>
      </w:pPr>
    </w:p>
    <w:p w14:paraId="71AF0FCD" w14:textId="77777777" w:rsidR="006739F9" w:rsidRPr="006739F9" w:rsidRDefault="00ED05C8" w:rsidP="006739F9">
      <w:pPr>
        <w:tabs>
          <w:tab w:val="left" w:pos="1418"/>
        </w:tabs>
        <w:jc w:val="both"/>
        <w:rPr>
          <w:rFonts w:ascii="Arial" w:eastAsia="Calibri" w:hAnsi="Arial" w:cs="Arial"/>
          <w:sz w:val="20"/>
          <w:szCs w:val="20"/>
        </w:rPr>
      </w:pPr>
      <w:r>
        <w:rPr>
          <w:rFonts w:ascii="Arial" w:eastAsia="Calibri" w:hAnsi="Arial" w:cs="Arial"/>
          <w:sz w:val="20"/>
          <w:szCs w:val="20"/>
        </w:rPr>
        <w:t>L</w:t>
      </w:r>
      <w:r w:rsidR="006739F9" w:rsidRPr="006739F9">
        <w:rPr>
          <w:rFonts w:ascii="Arial" w:eastAsia="Calibri" w:hAnsi="Arial" w:cs="Arial"/>
          <w:sz w:val="20"/>
          <w:szCs w:val="20"/>
        </w:rPr>
        <w:t>a description de la structure organisationnelle de l’établissement</w:t>
      </w:r>
      <w:r>
        <w:rPr>
          <w:rFonts w:ascii="Arial" w:eastAsia="Calibri" w:hAnsi="Arial" w:cs="Arial"/>
          <w:sz w:val="20"/>
          <w:szCs w:val="20"/>
        </w:rPr>
        <w:t xml:space="preserve">, </w:t>
      </w:r>
      <w:r w:rsidRPr="00ED05C8">
        <w:rPr>
          <w:rFonts w:ascii="Arial" w:eastAsia="Calibri" w:hAnsi="Arial" w:cs="Arial"/>
          <w:sz w:val="20"/>
          <w:szCs w:val="20"/>
          <w:u w:val="single"/>
        </w:rPr>
        <w:t>mise en œuvre dans le cadre de la fourniture des services faisant l’objet de la présente déclaration</w:t>
      </w:r>
      <w:r>
        <w:rPr>
          <w:rFonts w:ascii="Arial" w:eastAsia="Calibri" w:hAnsi="Arial" w:cs="Arial"/>
          <w:sz w:val="20"/>
          <w:szCs w:val="20"/>
        </w:rPr>
        <w:t>,</w:t>
      </w:r>
      <w:r w:rsidR="006739F9" w:rsidRPr="006739F9">
        <w:rPr>
          <w:rFonts w:ascii="Arial" w:eastAsia="Calibri" w:hAnsi="Arial" w:cs="Arial"/>
          <w:sz w:val="20"/>
          <w:szCs w:val="20"/>
        </w:rPr>
        <w:t xml:space="preserve"> devra contenir les informations suivantes :</w:t>
      </w:r>
    </w:p>
    <w:p w14:paraId="63FE18B7" w14:textId="77777777" w:rsidR="006739F9" w:rsidRPr="006739F9" w:rsidRDefault="006739F9" w:rsidP="001C20CB">
      <w:pPr>
        <w:spacing w:line="240" w:lineRule="auto"/>
        <w:contextualSpacing/>
        <w:jc w:val="both"/>
        <w:rPr>
          <w:rFonts w:ascii="Arial" w:eastAsia="Times New Roman" w:hAnsi="Arial" w:cs="Arial"/>
          <w:sz w:val="20"/>
          <w:szCs w:val="20"/>
          <w:lang w:eastAsia="fr-FR"/>
        </w:rPr>
      </w:pPr>
    </w:p>
    <w:p w14:paraId="26071E64" w14:textId="77777777" w:rsidR="006739F9" w:rsidRPr="006739F9" w:rsidRDefault="006739F9" w:rsidP="006739F9">
      <w:pPr>
        <w:numPr>
          <w:ilvl w:val="0"/>
          <w:numId w:val="10"/>
        </w:numPr>
        <w:tabs>
          <w:tab w:val="left" w:pos="1418"/>
        </w:tabs>
        <w:spacing w:line="240" w:lineRule="auto"/>
        <w:contextualSpacing/>
        <w:jc w:val="both"/>
        <w:rPr>
          <w:rFonts w:ascii="Arial" w:eastAsia="Times New Roman" w:hAnsi="Arial" w:cs="Arial"/>
          <w:sz w:val="20"/>
          <w:szCs w:val="20"/>
          <w:lang w:eastAsia="fr-FR"/>
        </w:rPr>
      </w:pPr>
      <w:r w:rsidRPr="006739F9">
        <w:rPr>
          <w:rFonts w:ascii="Arial" w:eastAsia="Times New Roman" w:hAnsi="Arial" w:cs="Arial"/>
          <w:sz w:val="20"/>
          <w:szCs w:val="20"/>
          <w:lang w:eastAsia="fr-FR"/>
        </w:rPr>
        <w:t>Détailler les recours à l’externalisation de fonctions opérationnelles de services de paiement, y compris les prestations de services ou autres tâches opérationnelles essentielles ou importantes (</w:t>
      </w:r>
      <w:r w:rsidR="00BD665D" w:rsidRPr="00640DEC">
        <w:rPr>
          <w:rFonts w:ascii="Arial" w:eastAsia="Times New Roman" w:hAnsi="Arial" w:cs="Arial"/>
          <w:i/>
          <w:sz w:val="20"/>
          <w:szCs w:val="20"/>
          <w:lang w:eastAsia="fr-FR"/>
        </w:rPr>
        <w:t>article L. 52</w:t>
      </w:r>
      <w:r w:rsidR="00640DEC" w:rsidRPr="00640DEC">
        <w:rPr>
          <w:rFonts w:ascii="Arial" w:eastAsia="Times New Roman" w:hAnsi="Arial" w:cs="Arial"/>
          <w:i/>
          <w:sz w:val="20"/>
          <w:szCs w:val="20"/>
          <w:lang w:eastAsia="fr-FR"/>
        </w:rPr>
        <w:t>6</w:t>
      </w:r>
      <w:r w:rsidRPr="00640DEC">
        <w:rPr>
          <w:rFonts w:ascii="Arial" w:eastAsia="Times New Roman" w:hAnsi="Arial" w:cs="Arial"/>
          <w:i/>
          <w:sz w:val="20"/>
          <w:szCs w:val="20"/>
          <w:lang w:eastAsia="fr-FR"/>
        </w:rPr>
        <w:t>-</w:t>
      </w:r>
      <w:r w:rsidR="00640DEC" w:rsidRPr="00640DEC">
        <w:rPr>
          <w:rFonts w:ascii="Arial" w:eastAsia="Times New Roman" w:hAnsi="Arial" w:cs="Arial"/>
          <w:i/>
          <w:sz w:val="20"/>
          <w:szCs w:val="20"/>
          <w:lang w:eastAsia="fr-FR"/>
        </w:rPr>
        <w:t>31</w:t>
      </w:r>
      <w:r w:rsidRPr="006739F9">
        <w:rPr>
          <w:rFonts w:ascii="Arial" w:eastAsia="Times New Roman" w:hAnsi="Arial" w:cs="Arial"/>
          <w:i/>
          <w:sz w:val="20"/>
          <w:szCs w:val="20"/>
          <w:lang w:eastAsia="fr-FR"/>
        </w:rPr>
        <w:t xml:space="preserve"> du Code monétaire et financier</w:t>
      </w:r>
      <w:r w:rsidRPr="006739F9">
        <w:rPr>
          <w:rFonts w:ascii="Arial" w:eastAsia="Times New Roman" w:hAnsi="Arial" w:cs="Arial"/>
          <w:sz w:val="20"/>
          <w:szCs w:val="20"/>
          <w:lang w:eastAsia="fr-FR"/>
        </w:rPr>
        <w:t>), notamment sur les aspects informatiques et le recours aux agents de services de paiement.</w:t>
      </w:r>
    </w:p>
    <w:p w14:paraId="7A25AA1B" w14:textId="77777777" w:rsidR="006739F9" w:rsidRPr="006739F9" w:rsidRDefault="006739F9" w:rsidP="006739F9">
      <w:pPr>
        <w:spacing w:line="240" w:lineRule="auto"/>
        <w:ind w:left="720"/>
        <w:contextualSpacing/>
        <w:rPr>
          <w:rFonts w:ascii="Arial" w:eastAsia="Times New Roman" w:hAnsi="Arial" w:cs="Arial"/>
          <w:sz w:val="20"/>
          <w:szCs w:val="20"/>
          <w:lang w:eastAsia="fr-FR"/>
        </w:rPr>
      </w:pPr>
    </w:p>
    <w:p w14:paraId="1326DBC8" w14:textId="77777777" w:rsidR="0003592C" w:rsidRDefault="006739F9" w:rsidP="001B575F">
      <w:pPr>
        <w:numPr>
          <w:ilvl w:val="1"/>
          <w:numId w:val="10"/>
        </w:numPr>
        <w:tabs>
          <w:tab w:val="left" w:pos="1418"/>
        </w:tabs>
        <w:spacing w:line="240" w:lineRule="auto"/>
        <w:contextualSpacing/>
        <w:jc w:val="both"/>
        <w:rPr>
          <w:rFonts w:ascii="Arial" w:eastAsia="Times New Roman" w:hAnsi="Arial" w:cs="Arial"/>
          <w:sz w:val="20"/>
          <w:szCs w:val="20"/>
          <w:lang w:eastAsia="fr-FR"/>
        </w:rPr>
      </w:pPr>
      <w:r w:rsidRPr="0003592C">
        <w:rPr>
          <w:rFonts w:ascii="Arial" w:eastAsia="Times New Roman" w:hAnsi="Arial" w:cs="Arial"/>
          <w:sz w:val="20"/>
          <w:szCs w:val="20"/>
          <w:lang w:eastAsia="fr-FR"/>
        </w:rPr>
        <w:t>Indiquer les domaines concernés en distinguant le cas échéant (i) les opérations relevant des articles 231 et suivants de l’arrêté du 3 novembre 2014</w:t>
      </w:r>
      <w:r w:rsidRPr="006739F9">
        <w:rPr>
          <w:rFonts w:ascii="Times New Roman" w:eastAsia="Times New Roman" w:hAnsi="Times New Roman" w:cs="Arial"/>
          <w:position w:val="6"/>
          <w:sz w:val="12"/>
          <w:szCs w:val="20"/>
          <w:lang w:eastAsia="fr-FR"/>
        </w:rPr>
        <w:footnoteReference w:id="2"/>
      </w:r>
      <w:r w:rsidRPr="0003592C">
        <w:rPr>
          <w:rFonts w:ascii="Arial" w:eastAsia="Times New Roman" w:hAnsi="Arial" w:cs="Arial"/>
          <w:sz w:val="20"/>
          <w:szCs w:val="20"/>
          <w:lang w:eastAsia="fr-FR"/>
        </w:rPr>
        <w:t> ; et (ii) les autres opérations</w:t>
      </w:r>
    </w:p>
    <w:p w14:paraId="1B3E5A60" w14:textId="654DEE34" w:rsidR="006739F9" w:rsidRPr="0003592C" w:rsidRDefault="006739F9" w:rsidP="001B575F">
      <w:pPr>
        <w:numPr>
          <w:ilvl w:val="1"/>
          <w:numId w:val="10"/>
        </w:numPr>
        <w:tabs>
          <w:tab w:val="left" w:pos="1418"/>
        </w:tabs>
        <w:spacing w:line="240" w:lineRule="auto"/>
        <w:contextualSpacing/>
        <w:jc w:val="both"/>
        <w:rPr>
          <w:rFonts w:ascii="Arial" w:eastAsia="Times New Roman" w:hAnsi="Arial" w:cs="Arial"/>
          <w:sz w:val="20"/>
          <w:szCs w:val="20"/>
          <w:lang w:eastAsia="fr-FR"/>
        </w:rPr>
      </w:pPr>
      <w:r w:rsidRPr="0003592C">
        <w:rPr>
          <w:rFonts w:ascii="Arial" w:eastAsia="Times New Roman" w:hAnsi="Arial" w:cs="Arial"/>
          <w:sz w:val="20"/>
          <w:szCs w:val="20"/>
          <w:lang w:eastAsia="fr-FR"/>
        </w:rPr>
        <w:t xml:space="preserve">Indiquer le nom du (ou des) prestataire(s) fournissant des prestations relevant des articles </w:t>
      </w:r>
      <w:r w:rsidR="0091477C" w:rsidRPr="0003592C">
        <w:rPr>
          <w:rFonts w:ascii="Arial" w:eastAsia="Times New Roman" w:hAnsi="Arial" w:cs="Arial"/>
          <w:sz w:val="20"/>
          <w:szCs w:val="20"/>
          <w:lang w:eastAsia="fr-FR"/>
        </w:rPr>
        <w:t xml:space="preserve">231 et suivants de l’arrêté du </w:t>
      </w:r>
      <w:r w:rsidRPr="0003592C">
        <w:rPr>
          <w:rFonts w:ascii="Arial" w:eastAsia="Times New Roman" w:hAnsi="Arial" w:cs="Arial"/>
          <w:sz w:val="20"/>
          <w:szCs w:val="20"/>
          <w:lang w:eastAsia="fr-FR"/>
        </w:rPr>
        <w:t>3 novembre 2014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w:t>
      </w:r>
      <w:r w:rsidR="00631F37" w:rsidRPr="0003592C">
        <w:rPr>
          <w:rFonts w:ascii="Arial" w:eastAsia="Times New Roman" w:hAnsi="Arial" w:cs="Arial"/>
          <w:sz w:val="20"/>
          <w:szCs w:val="20"/>
          <w:lang w:eastAsia="fr-FR"/>
        </w:rPr>
        <w:t>*</w:t>
      </w:r>
      <w:r w:rsidRPr="0003592C">
        <w:rPr>
          <w:rFonts w:ascii="Arial" w:eastAsia="Times New Roman" w:hAnsi="Arial" w:cs="Arial"/>
          <w:sz w:val="20"/>
          <w:szCs w:val="20"/>
          <w:lang w:eastAsia="fr-FR"/>
        </w:rPr>
        <w:t>.</w:t>
      </w:r>
      <w:r w:rsidR="0091477C" w:rsidRPr="0003592C">
        <w:rPr>
          <w:rFonts w:ascii="Arial" w:eastAsia="Times New Roman" w:hAnsi="Arial" w:cs="Arial"/>
          <w:sz w:val="20"/>
          <w:szCs w:val="20"/>
          <w:lang w:eastAsia="fr-FR"/>
        </w:rPr>
        <w:t xml:space="preserve"> </w:t>
      </w:r>
    </w:p>
    <w:p w14:paraId="421DCE58" w14:textId="39A7DEFC" w:rsidR="006739F9" w:rsidRPr="00631F37" w:rsidRDefault="00631F37" w:rsidP="00631F37">
      <w:pPr>
        <w:tabs>
          <w:tab w:val="left" w:pos="709"/>
        </w:tabs>
        <w:jc w:val="both"/>
        <w:rPr>
          <w:rFonts w:ascii="Arial" w:eastAsia="Calibri" w:hAnsi="Arial" w:cs="Arial"/>
          <w:i/>
          <w:sz w:val="18"/>
          <w:szCs w:val="20"/>
        </w:rPr>
      </w:pPr>
      <w:r>
        <w:rPr>
          <w:rFonts w:ascii="Arial" w:eastAsia="Calibri" w:hAnsi="Arial" w:cs="Arial"/>
          <w:i/>
          <w:sz w:val="18"/>
          <w:szCs w:val="20"/>
        </w:rPr>
        <w:t>*</w:t>
      </w:r>
      <w:r w:rsidR="00BA5170">
        <w:rPr>
          <w:rFonts w:ascii="Arial" w:eastAsia="Calibri" w:hAnsi="Arial" w:cs="Arial"/>
          <w:i/>
          <w:sz w:val="18"/>
          <w:szCs w:val="20"/>
        </w:rPr>
        <w:t xml:space="preserve"> L</w:t>
      </w:r>
      <w:r w:rsidR="00EA286B" w:rsidRPr="00631F37">
        <w:rPr>
          <w:rFonts w:ascii="Arial" w:eastAsia="Calibri" w:hAnsi="Arial" w:cs="Arial"/>
          <w:i/>
          <w:sz w:val="18"/>
          <w:szCs w:val="20"/>
        </w:rPr>
        <w:t>e recours à des prestations externalisées est soumis au respect des exigences des articles 231 et suivant de l’arrêté du 3 novembre 2014 relatif au contrôle interne.</w:t>
      </w:r>
      <w:r w:rsidR="00FE0956" w:rsidRPr="00631F37">
        <w:rPr>
          <w:i/>
          <w:sz w:val="20"/>
        </w:rPr>
        <w:t xml:space="preserve"> </w:t>
      </w:r>
      <w:r w:rsidR="00FE0956" w:rsidRPr="00631F37">
        <w:rPr>
          <w:rFonts w:ascii="Arial" w:eastAsia="Calibri" w:hAnsi="Arial" w:cs="Arial"/>
          <w:i/>
          <w:sz w:val="18"/>
          <w:szCs w:val="20"/>
        </w:rPr>
        <w:t>Le cas échéant, la copie des contrats (ou des projets) pourra être demandée.</w:t>
      </w:r>
    </w:p>
    <w:p w14:paraId="05ECCC16" w14:textId="77777777" w:rsidR="00EA286B" w:rsidRPr="006739F9" w:rsidRDefault="00EA286B" w:rsidP="006739F9">
      <w:pPr>
        <w:tabs>
          <w:tab w:val="left" w:pos="1418"/>
        </w:tabs>
        <w:rPr>
          <w:rFonts w:ascii="Arial" w:eastAsia="Calibri" w:hAnsi="Arial" w:cs="Arial"/>
          <w:sz w:val="20"/>
          <w:szCs w:val="20"/>
        </w:rPr>
      </w:pPr>
    </w:p>
    <w:p w14:paraId="0C81EC06" w14:textId="77777777" w:rsidR="006739F9" w:rsidRPr="006739F9" w:rsidRDefault="006739F9" w:rsidP="006739F9">
      <w:pPr>
        <w:numPr>
          <w:ilvl w:val="2"/>
          <w:numId w:val="11"/>
        </w:numPr>
        <w:spacing w:line="240" w:lineRule="auto"/>
        <w:ind w:left="782" w:hanging="357"/>
        <w:contextualSpacing/>
        <w:outlineLvl w:val="1"/>
        <w:rPr>
          <w:rFonts w:ascii="Arial" w:eastAsia="Times New Roman" w:hAnsi="Arial" w:cs="Arial"/>
          <w:b/>
          <w:color w:val="1F497D"/>
          <w:sz w:val="28"/>
          <w:szCs w:val="28"/>
          <w:lang w:eastAsia="fr-FR"/>
        </w:rPr>
      </w:pPr>
      <w:bookmarkStart w:id="25" w:name="_Toc78984793"/>
      <w:r>
        <w:rPr>
          <w:rFonts w:ascii="Arial" w:eastAsia="Times New Roman" w:hAnsi="Arial" w:cs="Arial"/>
          <w:b/>
          <w:color w:val="1F497D"/>
          <w:sz w:val="28"/>
          <w:szCs w:val="28"/>
          <w:lang w:eastAsia="fr-FR"/>
        </w:rPr>
        <w:t>Mécanisme de contrôle interne</w:t>
      </w:r>
      <w:bookmarkEnd w:id="25"/>
    </w:p>
    <w:p w14:paraId="6F4864CA" w14:textId="77777777" w:rsidR="006739F9" w:rsidRDefault="006739F9" w:rsidP="006739F9">
      <w:pPr>
        <w:tabs>
          <w:tab w:val="left" w:pos="1418"/>
        </w:tabs>
        <w:spacing w:line="240" w:lineRule="auto"/>
        <w:jc w:val="both"/>
        <w:rPr>
          <w:rFonts w:ascii="Arial" w:hAnsi="Arial" w:cs="Arial"/>
          <w:sz w:val="20"/>
          <w:szCs w:val="20"/>
        </w:rPr>
      </w:pPr>
    </w:p>
    <w:p w14:paraId="474F8594" w14:textId="77777777" w:rsidR="00BD665D" w:rsidRDefault="006739F9" w:rsidP="006739F9">
      <w:pPr>
        <w:pStyle w:val="Paragraphedeliste"/>
        <w:numPr>
          <w:ilvl w:val="0"/>
          <w:numId w:val="12"/>
        </w:numPr>
        <w:tabs>
          <w:tab w:val="left" w:pos="1418"/>
        </w:tabs>
        <w:spacing w:line="240" w:lineRule="auto"/>
        <w:jc w:val="both"/>
        <w:rPr>
          <w:rFonts w:ascii="Arial" w:hAnsi="Arial" w:cs="Arial"/>
          <w:sz w:val="20"/>
          <w:szCs w:val="20"/>
        </w:rPr>
      </w:pPr>
      <w:r w:rsidRPr="0091477C">
        <w:rPr>
          <w:rFonts w:ascii="Arial" w:hAnsi="Arial" w:cs="Arial"/>
          <w:sz w:val="20"/>
          <w:szCs w:val="20"/>
        </w:rPr>
        <w:t xml:space="preserve">Transmettre une cartographie </w:t>
      </w:r>
      <w:r w:rsidR="00ED05C8">
        <w:rPr>
          <w:rFonts w:ascii="Arial" w:hAnsi="Arial" w:cs="Arial"/>
          <w:sz w:val="20"/>
          <w:szCs w:val="20"/>
        </w:rPr>
        <w:t xml:space="preserve">actualisée </w:t>
      </w:r>
      <w:r w:rsidRPr="0091477C">
        <w:rPr>
          <w:rFonts w:ascii="Arial" w:hAnsi="Arial" w:cs="Arial"/>
          <w:sz w:val="20"/>
          <w:szCs w:val="20"/>
        </w:rPr>
        <w:t xml:space="preserve">des risques qui précise l’ensemble des risques potentiels identifiés et les mesures que l’établissement mettra en œuvre pour surveiller et prévenir ces risques. </w:t>
      </w:r>
      <w:r w:rsidRPr="00BD665D">
        <w:rPr>
          <w:rFonts w:ascii="Arial" w:hAnsi="Arial" w:cs="Arial"/>
          <w:sz w:val="20"/>
          <w:szCs w:val="20"/>
          <w:u w:val="single"/>
        </w:rPr>
        <w:t>Cette cartographie devra mettre en évidence les risques liés à l’activité faisant l’objet de la présente déclaration.</w:t>
      </w:r>
      <w:r w:rsidRPr="0091477C">
        <w:rPr>
          <w:rFonts w:ascii="Arial" w:hAnsi="Arial" w:cs="Arial"/>
          <w:sz w:val="20"/>
          <w:szCs w:val="20"/>
        </w:rPr>
        <w:t xml:space="preserve"> </w:t>
      </w:r>
    </w:p>
    <w:p w14:paraId="50C463B1" w14:textId="77777777" w:rsidR="00BD665D" w:rsidRDefault="00BD665D" w:rsidP="00BD665D">
      <w:pPr>
        <w:pStyle w:val="Paragraphedeliste"/>
        <w:tabs>
          <w:tab w:val="left" w:pos="1418"/>
        </w:tabs>
        <w:spacing w:line="240" w:lineRule="auto"/>
        <w:jc w:val="both"/>
        <w:rPr>
          <w:rFonts w:ascii="Arial" w:hAnsi="Arial" w:cs="Arial"/>
          <w:sz w:val="20"/>
          <w:szCs w:val="20"/>
        </w:rPr>
      </w:pPr>
    </w:p>
    <w:p w14:paraId="193170D8" w14:textId="77777777" w:rsidR="0091477C" w:rsidRDefault="006739F9" w:rsidP="006739F9">
      <w:pPr>
        <w:pStyle w:val="Paragraphedeliste"/>
        <w:numPr>
          <w:ilvl w:val="0"/>
          <w:numId w:val="12"/>
        </w:numPr>
        <w:tabs>
          <w:tab w:val="left" w:pos="1418"/>
        </w:tabs>
        <w:spacing w:line="240" w:lineRule="auto"/>
        <w:jc w:val="both"/>
        <w:rPr>
          <w:rFonts w:ascii="Arial" w:hAnsi="Arial" w:cs="Arial"/>
          <w:sz w:val="20"/>
          <w:szCs w:val="20"/>
        </w:rPr>
      </w:pPr>
      <w:r w:rsidRPr="0091477C">
        <w:rPr>
          <w:rFonts w:ascii="Arial" w:hAnsi="Arial" w:cs="Arial"/>
          <w:sz w:val="20"/>
          <w:szCs w:val="20"/>
        </w:rPr>
        <w:t xml:space="preserve">Si l’établissement envisage d’octroyer des crédits dans le cadre de la fourniture des services de paiement, la politique de crédit et le dispositif spécifique de suivi du risque de crédit devra être présenté. </w:t>
      </w:r>
    </w:p>
    <w:p w14:paraId="18C2C565" w14:textId="77777777" w:rsidR="0091477C" w:rsidRDefault="0091477C" w:rsidP="0091477C">
      <w:pPr>
        <w:pStyle w:val="Paragraphedeliste"/>
        <w:tabs>
          <w:tab w:val="left" w:pos="1418"/>
        </w:tabs>
        <w:spacing w:line="240" w:lineRule="auto"/>
        <w:jc w:val="both"/>
        <w:rPr>
          <w:rFonts w:ascii="Arial" w:hAnsi="Arial" w:cs="Arial"/>
          <w:sz w:val="20"/>
          <w:szCs w:val="20"/>
        </w:rPr>
      </w:pPr>
    </w:p>
    <w:p w14:paraId="031B6CA4" w14:textId="77777777" w:rsidR="0091477C" w:rsidRDefault="0091477C" w:rsidP="006739F9">
      <w:pPr>
        <w:pStyle w:val="Paragraphedeliste"/>
        <w:numPr>
          <w:ilvl w:val="0"/>
          <w:numId w:val="12"/>
        </w:numPr>
        <w:tabs>
          <w:tab w:val="left" w:pos="1418"/>
        </w:tabs>
        <w:spacing w:line="240" w:lineRule="auto"/>
        <w:jc w:val="both"/>
        <w:rPr>
          <w:rFonts w:ascii="Arial" w:hAnsi="Arial" w:cs="Arial"/>
          <w:sz w:val="20"/>
          <w:szCs w:val="20"/>
        </w:rPr>
      </w:pPr>
      <w:r w:rsidRPr="0091477C">
        <w:rPr>
          <w:rFonts w:ascii="Arial" w:hAnsi="Arial" w:cs="Arial"/>
          <w:sz w:val="20"/>
          <w:szCs w:val="20"/>
        </w:rPr>
        <w:t xml:space="preserve">S’agissant du dispositif de contrôle interne, préciser </w:t>
      </w:r>
      <w:r w:rsidRPr="00BD665D">
        <w:rPr>
          <w:rFonts w:ascii="Arial" w:hAnsi="Arial" w:cs="Arial"/>
          <w:sz w:val="20"/>
          <w:szCs w:val="20"/>
          <w:u w:val="single"/>
        </w:rPr>
        <w:t xml:space="preserve">les évolutions rendues nécessaires par la fourniture de services </w:t>
      </w:r>
      <w:r w:rsidR="00BD665D">
        <w:rPr>
          <w:rFonts w:ascii="Arial" w:hAnsi="Arial" w:cs="Arial"/>
          <w:sz w:val="20"/>
          <w:szCs w:val="20"/>
          <w:u w:val="single"/>
        </w:rPr>
        <w:t>faisant l’objet de la présente déclaration</w:t>
      </w:r>
      <w:r w:rsidRPr="0091477C">
        <w:rPr>
          <w:rFonts w:ascii="Arial" w:hAnsi="Arial" w:cs="Arial"/>
          <w:sz w:val="20"/>
          <w:szCs w:val="20"/>
        </w:rPr>
        <w:t xml:space="preserve">, notamment en </w:t>
      </w:r>
      <w:r w:rsidR="00BD665D">
        <w:rPr>
          <w:rFonts w:ascii="Arial" w:hAnsi="Arial" w:cs="Arial"/>
          <w:sz w:val="20"/>
          <w:szCs w:val="20"/>
        </w:rPr>
        <w:t xml:space="preserve">matière </w:t>
      </w:r>
      <w:r w:rsidRPr="0091477C">
        <w:rPr>
          <w:rFonts w:ascii="Arial" w:hAnsi="Arial" w:cs="Arial"/>
          <w:sz w:val="20"/>
          <w:szCs w:val="20"/>
        </w:rPr>
        <w:t>de procédures et de ressources affectées au contrôle permanent :</w:t>
      </w:r>
    </w:p>
    <w:p w14:paraId="4E2384DA" w14:textId="77777777" w:rsidR="0091477C" w:rsidRPr="0091477C" w:rsidRDefault="0091477C" w:rsidP="0091477C">
      <w:pPr>
        <w:pStyle w:val="Paragraphedeliste"/>
        <w:rPr>
          <w:rFonts w:ascii="Arial" w:hAnsi="Arial" w:cs="Arial"/>
          <w:sz w:val="20"/>
          <w:szCs w:val="20"/>
        </w:rPr>
      </w:pPr>
    </w:p>
    <w:p w14:paraId="43AC7EA8" w14:textId="77777777" w:rsidR="0091477C" w:rsidRDefault="00ED05C8" w:rsidP="006739F9">
      <w:pPr>
        <w:pStyle w:val="Paragraphedeliste"/>
        <w:numPr>
          <w:ilvl w:val="1"/>
          <w:numId w:val="12"/>
        </w:numPr>
        <w:tabs>
          <w:tab w:val="left" w:pos="1418"/>
        </w:tabs>
        <w:spacing w:line="240" w:lineRule="auto"/>
        <w:jc w:val="both"/>
        <w:rPr>
          <w:rFonts w:ascii="Arial" w:hAnsi="Arial" w:cs="Arial"/>
          <w:sz w:val="20"/>
          <w:szCs w:val="20"/>
        </w:rPr>
      </w:pPr>
      <w:r>
        <w:rPr>
          <w:rFonts w:ascii="Arial" w:hAnsi="Arial" w:cs="Arial"/>
          <w:sz w:val="20"/>
          <w:szCs w:val="20"/>
        </w:rPr>
        <w:t>Indiquer</w:t>
      </w:r>
      <w:r w:rsidR="006739F9" w:rsidRPr="0091477C">
        <w:rPr>
          <w:rFonts w:ascii="Arial" w:hAnsi="Arial" w:cs="Arial"/>
          <w:sz w:val="20"/>
          <w:szCs w:val="20"/>
        </w:rPr>
        <w:t xml:space="preserve"> l’évolution prévisionnelle de l’effectif dédié au contrôle interne de l’entreprise sur les 3 premières années et de la masse salariale correspondante, en montrant son adaptation à la nature, au volume et aux risques des opérations projetées</w:t>
      </w:r>
      <w:r w:rsidR="0091477C">
        <w:rPr>
          <w:rFonts w:ascii="Arial" w:hAnsi="Arial" w:cs="Arial"/>
          <w:sz w:val="20"/>
          <w:szCs w:val="20"/>
        </w:rPr>
        <w:t> ;</w:t>
      </w:r>
    </w:p>
    <w:p w14:paraId="4B83CD3F" w14:textId="77777777" w:rsidR="0091477C" w:rsidRDefault="0091477C" w:rsidP="0091477C">
      <w:pPr>
        <w:pStyle w:val="Paragraphedeliste"/>
        <w:tabs>
          <w:tab w:val="left" w:pos="1418"/>
        </w:tabs>
        <w:spacing w:line="240" w:lineRule="auto"/>
        <w:ind w:left="1440"/>
        <w:jc w:val="both"/>
        <w:rPr>
          <w:rFonts w:ascii="Arial" w:hAnsi="Arial" w:cs="Arial"/>
          <w:sz w:val="20"/>
          <w:szCs w:val="20"/>
        </w:rPr>
      </w:pPr>
    </w:p>
    <w:p w14:paraId="1A65B80A" w14:textId="77777777" w:rsidR="0091477C" w:rsidRDefault="00ED05C8" w:rsidP="006739F9">
      <w:pPr>
        <w:pStyle w:val="Paragraphedeliste"/>
        <w:numPr>
          <w:ilvl w:val="1"/>
          <w:numId w:val="12"/>
        </w:numPr>
        <w:tabs>
          <w:tab w:val="left" w:pos="1418"/>
        </w:tabs>
        <w:spacing w:line="240" w:lineRule="auto"/>
        <w:jc w:val="both"/>
        <w:rPr>
          <w:rFonts w:ascii="Arial" w:hAnsi="Arial" w:cs="Arial"/>
          <w:sz w:val="20"/>
          <w:szCs w:val="20"/>
        </w:rPr>
      </w:pPr>
      <w:r>
        <w:rPr>
          <w:rFonts w:ascii="Arial" w:hAnsi="Arial" w:cs="Arial"/>
          <w:sz w:val="20"/>
          <w:szCs w:val="20"/>
        </w:rPr>
        <w:t>Décrire</w:t>
      </w:r>
      <w:r w:rsidR="006739F9" w:rsidRPr="0091477C">
        <w:rPr>
          <w:rFonts w:ascii="Arial" w:hAnsi="Arial" w:cs="Arial"/>
          <w:sz w:val="20"/>
          <w:szCs w:val="20"/>
        </w:rPr>
        <w:t xml:space="preserve"> les procédures de contrôle de 1</w:t>
      </w:r>
      <w:r w:rsidR="006739F9" w:rsidRPr="0091477C">
        <w:rPr>
          <w:rFonts w:ascii="Arial" w:hAnsi="Arial" w:cs="Arial"/>
          <w:sz w:val="20"/>
          <w:szCs w:val="20"/>
          <w:vertAlign w:val="superscript"/>
        </w:rPr>
        <w:t>er</w:t>
      </w:r>
      <w:r w:rsidR="006739F9" w:rsidRPr="0091477C">
        <w:rPr>
          <w:rFonts w:ascii="Arial" w:hAnsi="Arial" w:cs="Arial"/>
          <w:sz w:val="20"/>
          <w:szCs w:val="20"/>
        </w:rPr>
        <w:t> et 2</w:t>
      </w:r>
      <w:r w:rsidR="006739F9" w:rsidRPr="0091477C">
        <w:rPr>
          <w:rFonts w:ascii="Arial" w:hAnsi="Arial" w:cs="Arial"/>
          <w:sz w:val="20"/>
          <w:szCs w:val="20"/>
          <w:vertAlign w:val="superscript"/>
        </w:rPr>
        <w:t>e</w:t>
      </w:r>
      <w:r w:rsidR="006739F9" w:rsidRPr="0091477C">
        <w:rPr>
          <w:rFonts w:ascii="Arial" w:hAnsi="Arial" w:cs="Arial"/>
          <w:sz w:val="20"/>
          <w:szCs w:val="20"/>
        </w:rPr>
        <w:t> niveau qui seront mises en place,</w:t>
      </w:r>
      <w:r>
        <w:rPr>
          <w:rFonts w:ascii="Arial" w:hAnsi="Arial" w:cs="Arial"/>
          <w:sz w:val="20"/>
          <w:szCs w:val="20"/>
        </w:rPr>
        <w:t xml:space="preserve"> dans le cadre de la fourniture des services faisant l’objet de la présente déclaration,</w:t>
      </w:r>
      <w:r w:rsidR="006739F9" w:rsidRPr="0091477C">
        <w:rPr>
          <w:rFonts w:ascii="Arial" w:hAnsi="Arial" w:cs="Arial"/>
          <w:sz w:val="20"/>
          <w:szCs w:val="20"/>
        </w:rPr>
        <w:t xml:space="preserve"> </w:t>
      </w:r>
      <w:r>
        <w:rPr>
          <w:rFonts w:ascii="Arial" w:hAnsi="Arial" w:cs="Arial"/>
          <w:sz w:val="20"/>
          <w:szCs w:val="20"/>
        </w:rPr>
        <w:t xml:space="preserve">en </w:t>
      </w:r>
      <w:r w:rsidR="006739F9" w:rsidRPr="0091477C">
        <w:rPr>
          <w:rFonts w:ascii="Arial" w:hAnsi="Arial" w:cs="Arial"/>
          <w:sz w:val="20"/>
          <w:szCs w:val="20"/>
        </w:rPr>
        <w:t>intégrant la fréquence des contrôles et les systèmes de reporting</w:t>
      </w:r>
      <w:r w:rsidR="0091477C">
        <w:rPr>
          <w:rFonts w:ascii="Arial" w:hAnsi="Arial" w:cs="Arial"/>
          <w:sz w:val="20"/>
          <w:szCs w:val="20"/>
        </w:rPr>
        <w:t> ;</w:t>
      </w:r>
    </w:p>
    <w:p w14:paraId="4B521C6B" w14:textId="77777777" w:rsidR="0091477C" w:rsidRPr="0091477C" w:rsidRDefault="0091477C" w:rsidP="0091477C">
      <w:pPr>
        <w:pStyle w:val="Paragraphedeliste"/>
        <w:rPr>
          <w:rFonts w:ascii="Arial" w:hAnsi="Arial" w:cs="Arial"/>
          <w:sz w:val="20"/>
          <w:szCs w:val="20"/>
        </w:rPr>
      </w:pPr>
    </w:p>
    <w:p w14:paraId="281904F9" w14:textId="77777777" w:rsidR="0091477C" w:rsidRDefault="006739F9" w:rsidP="006739F9">
      <w:pPr>
        <w:pStyle w:val="Paragraphedeliste"/>
        <w:numPr>
          <w:ilvl w:val="1"/>
          <w:numId w:val="12"/>
        </w:numPr>
        <w:tabs>
          <w:tab w:val="left" w:pos="1418"/>
        </w:tabs>
        <w:spacing w:line="240" w:lineRule="auto"/>
        <w:jc w:val="both"/>
        <w:rPr>
          <w:rFonts w:ascii="Arial" w:hAnsi="Arial" w:cs="Arial"/>
          <w:sz w:val="20"/>
          <w:szCs w:val="20"/>
        </w:rPr>
      </w:pPr>
      <w:r w:rsidRPr="0091477C">
        <w:rPr>
          <w:rFonts w:ascii="Arial" w:hAnsi="Arial" w:cs="Arial"/>
          <w:sz w:val="20"/>
          <w:szCs w:val="20"/>
        </w:rPr>
        <w:t xml:space="preserve">Expliciter les procédures et les moyens mis en œuvre pour le contrôle des agents auxquels l’établissement a recours : plan de contrôle sur pièces et systèmes informatiques, processus et infrastructures utilisés par les agents en vue d’exercer les </w:t>
      </w:r>
      <w:r w:rsidRPr="0091477C">
        <w:rPr>
          <w:rFonts w:ascii="Arial" w:hAnsi="Arial" w:cs="Arial"/>
          <w:sz w:val="20"/>
          <w:szCs w:val="20"/>
        </w:rPr>
        <w:lastRenderedPageBreak/>
        <w:t>activités pour le compte de l’établissement. Ces informations devront également être fournies en cas d’utilisation de succurs</w:t>
      </w:r>
      <w:r w:rsidR="0091477C">
        <w:rPr>
          <w:rFonts w:ascii="Arial" w:hAnsi="Arial" w:cs="Arial"/>
          <w:sz w:val="20"/>
          <w:szCs w:val="20"/>
        </w:rPr>
        <w:t>ales ;</w:t>
      </w:r>
    </w:p>
    <w:p w14:paraId="62E07E99" w14:textId="77777777" w:rsidR="0091477C" w:rsidRPr="0091477C" w:rsidRDefault="0091477C" w:rsidP="0091477C">
      <w:pPr>
        <w:pStyle w:val="Paragraphedeliste"/>
        <w:rPr>
          <w:rFonts w:ascii="Arial" w:hAnsi="Arial" w:cs="Arial"/>
          <w:sz w:val="20"/>
          <w:szCs w:val="20"/>
        </w:rPr>
      </w:pPr>
    </w:p>
    <w:p w14:paraId="5965B1FC" w14:textId="77777777" w:rsidR="0091477C" w:rsidRDefault="006739F9" w:rsidP="0091477C">
      <w:pPr>
        <w:pStyle w:val="Paragraphedeliste"/>
        <w:numPr>
          <w:ilvl w:val="1"/>
          <w:numId w:val="12"/>
        </w:numPr>
        <w:tabs>
          <w:tab w:val="left" w:pos="1418"/>
        </w:tabs>
        <w:spacing w:line="240" w:lineRule="auto"/>
        <w:jc w:val="both"/>
        <w:rPr>
          <w:rFonts w:ascii="Arial" w:hAnsi="Arial" w:cs="Arial"/>
          <w:sz w:val="20"/>
          <w:szCs w:val="20"/>
        </w:rPr>
      </w:pPr>
      <w:r w:rsidRPr="0091477C">
        <w:rPr>
          <w:rFonts w:ascii="Arial" w:hAnsi="Arial" w:cs="Arial"/>
          <w:sz w:val="20"/>
          <w:szCs w:val="20"/>
        </w:rPr>
        <w:t>Expliciter le cas échéant les procédures et les moyens mis en œuvre pour le contrôle de toute autre forme de prestations de services telle que définie par le chapitre II « conditions applicables en matière d’externalisation » de l’arrêté du 3 nov</w:t>
      </w:r>
      <w:r w:rsidR="0091477C">
        <w:rPr>
          <w:rFonts w:ascii="Arial" w:hAnsi="Arial" w:cs="Arial"/>
          <w:sz w:val="20"/>
          <w:szCs w:val="20"/>
        </w:rPr>
        <w:t>embre 2014 </w:t>
      </w:r>
      <w:r w:rsidR="0091477C" w:rsidRPr="0091477C">
        <w:rPr>
          <w:rFonts w:ascii="Arial" w:hAnsi="Arial" w:cs="Arial"/>
          <w:sz w:val="20"/>
          <w:szCs w:val="20"/>
        </w:rPr>
        <w:t>relatif au contrôle interne</w:t>
      </w:r>
      <w:r w:rsidR="0091477C">
        <w:rPr>
          <w:rFonts w:ascii="Arial" w:hAnsi="Arial" w:cs="Arial"/>
          <w:sz w:val="20"/>
          <w:szCs w:val="20"/>
        </w:rPr>
        <w:t xml:space="preserve"> ;</w:t>
      </w:r>
    </w:p>
    <w:p w14:paraId="2D69FACC" w14:textId="77777777" w:rsidR="0091477C" w:rsidRPr="0091477C" w:rsidRDefault="0091477C" w:rsidP="0091477C">
      <w:pPr>
        <w:pStyle w:val="Paragraphedeliste"/>
        <w:rPr>
          <w:rFonts w:ascii="Arial" w:hAnsi="Arial" w:cs="Arial"/>
          <w:sz w:val="20"/>
          <w:szCs w:val="20"/>
        </w:rPr>
      </w:pPr>
    </w:p>
    <w:p w14:paraId="55C72D50" w14:textId="77777777" w:rsidR="006739F9" w:rsidRPr="0091477C" w:rsidRDefault="006739F9" w:rsidP="006739F9">
      <w:pPr>
        <w:pStyle w:val="Paragraphedeliste"/>
        <w:numPr>
          <w:ilvl w:val="1"/>
          <w:numId w:val="12"/>
        </w:numPr>
        <w:tabs>
          <w:tab w:val="left" w:pos="1418"/>
        </w:tabs>
        <w:spacing w:line="240" w:lineRule="auto"/>
        <w:jc w:val="both"/>
        <w:rPr>
          <w:rFonts w:ascii="Arial" w:hAnsi="Arial" w:cs="Arial"/>
          <w:sz w:val="20"/>
          <w:szCs w:val="20"/>
        </w:rPr>
      </w:pPr>
      <w:r w:rsidRPr="0091477C">
        <w:rPr>
          <w:rFonts w:ascii="Arial" w:hAnsi="Arial" w:cs="Arial"/>
          <w:sz w:val="20"/>
          <w:szCs w:val="20"/>
        </w:rPr>
        <w:t>Préciser le programme de contrôle périodique, les ressources internes et/ou externes prévues pour réaliser les tâches de contrôle périodique. En cas d’externalisation, fournir le contrat ou le projet de contrat ou à défaut le cahier des char</w:t>
      </w:r>
      <w:r w:rsidR="0091477C">
        <w:rPr>
          <w:rFonts w:ascii="Arial" w:hAnsi="Arial" w:cs="Arial"/>
          <w:sz w:val="20"/>
          <w:szCs w:val="20"/>
        </w:rPr>
        <w:t>ges.</w:t>
      </w:r>
    </w:p>
    <w:p w14:paraId="552241A9" w14:textId="77777777" w:rsidR="006739F9" w:rsidRDefault="006739F9" w:rsidP="006739F9">
      <w:pPr>
        <w:tabs>
          <w:tab w:val="left" w:pos="1418"/>
        </w:tabs>
        <w:spacing w:line="240" w:lineRule="auto"/>
        <w:jc w:val="both"/>
        <w:rPr>
          <w:rFonts w:ascii="Arial" w:hAnsi="Arial" w:cs="Arial"/>
          <w:sz w:val="20"/>
          <w:szCs w:val="20"/>
        </w:rPr>
      </w:pPr>
    </w:p>
    <w:p w14:paraId="1E3DC3F1" w14:textId="77777777" w:rsidR="00AD5F52" w:rsidRPr="006739F9" w:rsidRDefault="00AD5F52" w:rsidP="00AD5F52">
      <w:pPr>
        <w:tabs>
          <w:tab w:val="left" w:pos="1418"/>
        </w:tabs>
        <w:rPr>
          <w:rFonts w:ascii="Arial" w:eastAsia="Calibri" w:hAnsi="Arial" w:cs="Arial"/>
          <w:sz w:val="20"/>
          <w:szCs w:val="20"/>
        </w:rPr>
      </w:pPr>
    </w:p>
    <w:p w14:paraId="4292BC55" w14:textId="77777777" w:rsidR="00AD5F52" w:rsidRDefault="00AD5F52" w:rsidP="00AD5F52">
      <w:pPr>
        <w:numPr>
          <w:ilvl w:val="2"/>
          <w:numId w:val="11"/>
        </w:numPr>
        <w:spacing w:line="240" w:lineRule="auto"/>
        <w:ind w:left="782" w:hanging="357"/>
        <w:contextualSpacing/>
        <w:outlineLvl w:val="1"/>
        <w:rPr>
          <w:rFonts w:ascii="Arial" w:eastAsia="Times New Roman" w:hAnsi="Arial" w:cs="Arial"/>
          <w:b/>
          <w:color w:val="1F497D"/>
          <w:sz w:val="28"/>
          <w:szCs w:val="28"/>
          <w:lang w:eastAsia="fr-FR"/>
        </w:rPr>
      </w:pPr>
      <w:bookmarkStart w:id="26" w:name="_Toc78984794"/>
      <w:r>
        <w:rPr>
          <w:rFonts w:ascii="Arial" w:eastAsia="Times New Roman" w:hAnsi="Arial" w:cs="Arial"/>
          <w:b/>
          <w:color w:val="1F497D"/>
          <w:sz w:val="28"/>
          <w:szCs w:val="28"/>
          <w:lang w:eastAsia="fr-FR"/>
        </w:rPr>
        <w:t>Lutte contre le blanchiment de capitaux et le financement du terrorisme</w:t>
      </w:r>
      <w:bookmarkEnd w:id="26"/>
      <w:r>
        <w:rPr>
          <w:rFonts w:ascii="Arial" w:eastAsia="Times New Roman" w:hAnsi="Arial" w:cs="Arial"/>
          <w:b/>
          <w:color w:val="1F497D"/>
          <w:sz w:val="28"/>
          <w:szCs w:val="28"/>
          <w:lang w:eastAsia="fr-FR"/>
        </w:rPr>
        <w:t xml:space="preserve"> </w:t>
      </w:r>
    </w:p>
    <w:p w14:paraId="124FE32C" w14:textId="03814BBF" w:rsidR="00AD5F52" w:rsidRPr="006D68A4" w:rsidRDefault="00AD5F52" w:rsidP="00FA229B">
      <w:pPr>
        <w:ind w:left="708"/>
        <w:jc w:val="both"/>
        <w:rPr>
          <w:rFonts w:ascii="Arial" w:eastAsia="Times New Roman" w:hAnsi="Arial" w:cs="Arial"/>
          <w:b/>
          <w:color w:val="1F497D"/>
          <w:sz w:val="20"/>
          <w:szCs w:val="20"/>
          <w:lang w:eastAsia="fr-FR"/>
        </w:rPr>
      </w:pPr>
      <w:r w:rsidRPr="006D68A4">
        <w:rPr>
          <w:rFonts w:ascii="Arial" w:hAnsi="Arial" w:cs="Arial"/>
          <w:sz w:val="20"/>
          <w:szCs w:val="20"/>
        </w:rPr>
        <w:t>(</w:t>
      </w:r>
      <w:r w:rsidR="00FA229B" w:rsidRPr="00FA229B">
        <w:rPr>
          <w:rFonts w:ascii="Arial" w:hAnsi="Arial" w:cs="Arial"/>
          <w:sz w:val="20"/>
          <w:szCs w:val="20"/>
        </w:rPr>
        <w:t>Arrêté du 6 janvier 2021 relatif au dispositif et au contrôle interne en matière de lutte contre le blanchiment de capitaux et le financement du terrorisme</w:t>
      </w:r>
      <w:r w:rsidRPr="006D68A4">
        <w:rPr>
          <w:rFonts w:ascii="Arial" w:hAnsi="Arial" w:cs="Arial"/>
          <w:sz w:val="20"/>
          <w:szCs w:val="20"/>
        </w:rPr>
        <w:t>)</w:t>
      </w:r>
    </w:p>
    <w:p w14:paraId="1DCABDBE" w14:textId="77777777" w:rsidR="00AD5F52" w:rsidRPr="006D68A4" w:rsidRDefault="00AD5F52" w:rsidP="00AD5F52">
      <w:pPr>
        <w:rPr>
          <w:rFonts w:ascii="Arial" w:hAnsi="Arial" w:cs="Arial"/>
          <w:sz w:val="20"/>
          <w:szCs w:val="20"/>
        </w:rPr>
      </w:pPr>
    </w:p>
    <w:p w14:paraId="05DDE2B1" w14:textId="5A2FE435" w:rsidR="00AD5F52" w:rsidRDefault="00AD5F52" w:rsidP="00AD5F52">
      <w:pPr>
        <w:pStyle w:val="Paragraphedeliste"/>
        <w:numPr>
          <w:ilvl w:val="0"/>
          <w:numId w:val="12"/>
        </w:numPr>
        <w:jc w:val="both"/>
        <w:rPr>
          <w:rFonts w:ascii="Arial" w:hAnsi="Arial" w:cs="Arial"/>
          <w:sz w:val="20"/>
          <w:szCs w:val="20"/>
        </w:rPr>
      </w:pPr>
      <w:r w:rsidRPr="006D68A4">
        <w:rPr>
          <w:rFonts w:ascii="Arial" w:hAnsi="Arial" w:cs="Arial"/>
          <w:sz w:val="20"/>
          <w:szCs w:val="20"/>
        </w:rPr>
        <w:t>S’agissant du dispositif de lutte contre le blanchiment de capitaux et le financement du terrorisme, préciser</w:t>
      </w:r>
      <w:r w:rsidR="006B7031">
        <w:rPr>
          <w:rFonts w:ascii="Arial" w:hAnsi="Arial" w:cs="Arial"/>
          <w:sz w:val="20"/>
          <w:szCs w:val="20"/>
        </w:rPr>
        <w:t>, le cas échéant,</w:t>
      </w:r>
      <w:r w:rsidRPr="006D68A4">
        <w:rPr>
          <w:rFonts w:ascii="Arial" w:hAnsi="Arial" w:cs="Arial"/>
          <w:sz w:val="20"/>
          <w:szCs w:val="20"/>
        </w:rPr>
        <w:t xml:space="preserve"> les évolutions </w:t>
      </w:r>
      <w:r w:rsidRPr="00314768">
        <w:rPr>
          <w:rFonts w:ascii="Arial" w:hAnsi="Arial" w:cs="Arial"/>
          <w:sz w:val="20"/>
          <w:szCs w:val="20"/>
          <w:u w:val="single"/>
        </w:rPr>
        <w:t xml:space="preserve">rendues nécessaires par la fourniture de services </w:t>
      </w:r>
      <w:r w:rsidR="00314768">
        <w:rPr>
          <w:rFonts w:ascii="Arial" w:hAnsi="Arial" w:cs="Arial"/>
          <w:sz w:val="20"/>
          <w:szCs w:val="20"/>
          <w:u w:val="single"/>
        </w:rPr>
        <w:t>faisant l’objet de la présente déclaration</w:t>
      </w:r>
      <w:r w:rsidRPr="006D68A4">
        <w:rPr>
          <w:rFonts w:ascii="Arial" w:hAnsi="Arial" w:cs="Arial"/>
          <w:sz w:val="20"/>
          <w:szCs w:val="20"/>
        </w:rPr>
        <w:t xml:space="preserve">, notamment en </w:t>
      </w:r>
      <w:r w:rsidR="00BD665D">
        <w:rPr>
          <w:rFonts w:ascii="Arial" w:hAnsi="Arial" w:cs="Arial"/>
          <w:sz w:val="20"/>
          <w:szCs w:val="20"/>
        </w:rPr>
        <w:t>matière</w:t>
      </w:r>
      <w:r w:rsidRPr="006D68A4">
        <w:rPr>
          <w:rFonts w:ascii="Arial" w:hAnsi="Arial" w:cs="Arial"/>
          <w:sz w:val="20"/>
          <w:szCs w:val="20"/>
        </w:rPr>
        <w:t xml:space="preserve"> de procédures et de ressources affectées au contrôle :</w:t>
      </w:r>
    </w:p>
    <w:p w14:paraId="7A52A742" w14:textId="77777777" w:rsidR="00D65BF9" w:rsidRPr="006D68A4" w:rsidRDefault="00D65BF9" w:rsidP="00861B44">
      <w:pPr>
        <w:pStyle w:val="Paragraphedeliste"/>
        <w:jc w:val="both"/>
        <w:rPr>
          <w:rFonts w:ascii="Arial" w:hAnsi="Arial" w:cs="Arial"/>
          <w:sz w:val="20"/>
          <w:szCs w:val="20"/>
        </w:rPr>
      </w:pPr>
    </w:p>
    <w:p w14:paraId="2C4E4A69" w14:textId="09C5EE8D" w:rsidR="00AD5F52" w:rsidRDefault="00AD5F52" w:rsidP="00AD5F52">
      <w:pPr>
        <w:pStyle w:val="Paragraphedeliste"/>
        <w:numPr>
          <w:ilvl w:val="1"/>
          <w:numId w:val="12"/>
        </w:numPr>
        <w:jc w:val="both"/>
        <w:rPr>
          <w:rFonts w:ascii="Arial" w:hAnsi="Arial" w:cs="Arial"/>
          <w:sz w:val="20"/>
          <w:szCs w:val="20"/>
        </w:rPr>
      </w:pPr>
      <w:r w:rsidRPr="006D68A4">
        <w:rPr>
          <w:rFonts w:ascii="Arial" w:hAnsi="Arial" w:cs="Arial"/>
          <w:sz w:val="20"/>
          <w:szCs w:val="20"/>
        </w:rPr>
        <w:t>Fournir une classification</w:t>
      </w:r>
      <w:r w:rsidR="00C3271C">
        <w:rPr>
          <w:rFonts w:ascii="Arial" w:hAnsi="Arial" w:cs="Arial"/>
          <w:sz w:val="20"/>
          <w:szCs w:val="20"/>
        </w:rPr>
        <w:t xml:space="preserve"> actualisée</w:t>
      </w:r>
      <w:r w:rsidRPr="006D68A4">
        <w:rPr>
          <w:rFonts w:ascii="Arial" w:hAnsi="Arial" w:cs="Arial"/>
          <w:sz w:val="20"/>
          <w:szCs w:val="20"/>
        </w:rPr>
        <w:t xml:space="preserve"> des risques de blanchiment de capitaux </w:t>
      </w:r>
      <w:r w:rsidR="00314768">
        <w:rPr>
          <w:rFonts w:ascii="Arial" w:hAnsi="Arial" w:cs="Arial"/>
          <w:sz w:val="20"/>
          <w:szCs w:val="20"/>
        </w:rPr>
        <w:t>et de financement du terrorisme.</w:t>
      </w:r>
    </w:p>
    <w:p w14:paraId="52897B21" w14:textId="77777777" w:rsidR="00314768" w:rsidRPr="006D68A4" w:rsidRDefault="00314768" w:rsidP="00314768">
      <w:pPr>
        <w:pStyle w:val="Paragraphedeliste"/>
        <w:ind w:left="1440"/>
        <w:jc w:val="both"/>
        <w:rPr>
          <w:rFonts w:ascii="Arial" w:hAnsi="Arial" w:cs="Arial"/>
          <w:sz w:val="20"/>
          <w:szCs w:val="20"/>
        </w:rPr>
      </w:pPr>
    </w:p>
    <w:p w14:paraId="19728952" w14:textId="353E8117" w:rsidR="00FD2C8A" w:rsidRDefault="00AD5F52" w:rsidP="00314768">
      <w:pPr>
        <w:pStyle w:val="Paragraphedeliste"/>
        <w:numPr>
          <w:ilvl w:val="1"/>
          <w:numId w:val="12"/>
        </w:numPr>
        <w:jc w:val="both"/>
        <w:rPr>
          <w:rFonts w:ascii="Arial" w:hAnsi="Arial" w:cs="Arial"/>
          <w:sz w:val="20"/>
          <w:szCs w:val="20"/>
        </w:rPr>
      </w:pPr>
      <w:r w:rsidRPr="006D68A4">
        <w:rPr>
          <w:rFonts w:ascii="Arial" w:hAnsi="Arial" w:cs="Arial"/>
          <w:bCs/>
          <w:sz w:val="20"/>
          <w:szCs w:val="20"/>
        </w:rPr>
        <w:t xml:space="preserve">Décrire les </w:t>
      </w:r>
      <w:r w:rsidR="00314768">
        <w:rPr>
          <w:rFonts w:ascii="Arial" w:hAnsi="Arial" w:cs="Arial"/>
          <w:bCs/>
          <w:sz w:val="20"/>
          <w:szCs w:val="20"/>
        </w:rPr>
        <w:t>évolutions du dispositif</w:t>
      </w:r>
      <w:r w:rsidRPr="006D68A4">
        <w:rPr>
          <w:rFonts w:ascii="Arial" w:hAnsi="Arial" w:cs="Arial"/>
          <w:bCs/>
          <w:sz w:val="20"/>
          <w:szCs w:val="20"/>
        </w:rPr>
        <w:t xml:space="preserve"> m</w:t>
      </w:r>
      <w:r w:rsidR="00314768">
        <w:rPr>
          <w:rFonts w:ascii="Arial" w:hAnsi="Arial" w:cs="Arial"/>
          <w:bCs/>
          <w:sz w:val="20"/>
          <w:szCs w:val="20"/>
        </w:rPr>
        <w:t>is</w:t>
      </w:r>
      <w:r w:rsidRPr="006D68A4">
        <w:rPr>
          <w:rFonts w:ascii="Arial" w:hAnsi="Arial" w:cs="Arial"/>
          <w:bCs/>
          <w:sz w:val="20"/>
          <w:szCs w:val="20"/>
        </w:rPr>
        <w:t xml:space="preserve"> en place pour atténuer les risques </w:t>
      </w:r>
      <w:r w:rsidR="00610FEB" w:rsidRPr="00C3271C">
        <w:rPr>
          <w:rFonts w:ascii="Arial" w:hAnsi="Arial" w:cs="Arial"/>
          <w:bCs/>
          <w:sz w:val="20"/>
          <w:szCs w:val="20"/>
          <w:u w:val="single"/>
        </w:rPr>
        <w:t>liés à la fourniture des services faisant l’objet de la présente déclaration</w:t>
      </w:r>
      <w:r w:rsidR="00610FEB">
        <w:rPr>
          <w:rFonts w:ascii="Arial" w:hAnsi="Arial" w:cs="Arial"/>
          <w:bCs/>
          <w:sz w:val="20"/>
          <w:szCs w:val="20"/>
        </w:rPr>
        <w:t xml:space="preserve"> </w:t>
      </w:r>
      <w:r w:rsidRPr="006D68A4">
        <w:rPr>
          <w:rFonts w:ascii="Arial" w:hAnsi="Arial" w:cs="Arial"/>
          <w:bCs/>
          <w:sz w:val="20"/>
          <w:szCs w:val="20"/>
        </w:rPr>
        <w:t xml:space="preserve">et se conformer aux obligations en matière de lutte contre le blanchiment et le financement du terrorisme, </w:t>
      </w:r>
      <w:r w:rsidR="00314768">
        <w:rPr>
          <w:rFonts w:ascii="Arial" w:hAnsi="Arial" w:cs="Arial"/>
          <w:sz w:val="20"/>
          <w:szCs w:val="20"/>
        </w:rPr>
        <w:t>notamment</w:t>
      </w:r>
      <w:r w:rsidR="00A06A69">
        <w:rPr>
          <w:rFonts w:ascii="Arial" w:hAnsi="Arial" w:cs="Arial"/>
          <w:sz w:val="20"/>
          <w:szCs w:val="20"/>
        </w:rPr>
        <w:t xml:space="preserve"> les modifications</w:t>
      </w:r>
      <w:r w:rsidR="00FD2C8A">
        <w:rPr>
          <w:rFonts w:ascii="Arial" w:hAnsi="Arial" w:cs="Arial"/>
          <w:sz w:val="20"/>
          <w:szCs w:val="20"/>
        </w:rPr>
        <w:t> :</w:t>
      </w:r>
    </w:p>
    <w:p w14:paraId="4EB93856" w14:textId="5E182535" w:rsidR="00FD2C8A" w:rsidRDefault="00A06A69" w:rsidP="0018487B">
      <w:pPr>
        <w:pStyle w:val="Paragraphedeliste"/>
        <w:numPr>
          <w:ilvl w:val="2"/>
          <w:numId w:val="12"/>
        </w:numPr>
        <w:jc w:val="both"/>
        <w:rPr>
          <w:rFonts w:ascii="Arial" w:hAnsi="Arial" w:cs="Arial"/>
          <w:sz w:val="20"/>
          <w:szCs w:val="20"/>
        </w:rPr>
      </w:pPr>
      <w:r>
        <w:rPr>
          <w:rFonts w:ascii="Arial" w:hAnsi="Arial" w:cs="Arial"/>
          <w:sz w:val="20"/>
          <w:szCs w:val="20"/>
        </w:rPr>
        <w:t>d</w:t>
      </w:r>
      <w:r w:rsidR="00FD2C8A" w:rsidRPr="00FD2C8A">
        <w:rPr>
          <w:rFonts w:ascii="Arial" w:hAnsi="Arial" w:cs="Arial"/>
          <w:sz w:val="20"/>
          <w:szCs w:val="20"/>
        </w:rPr>
        <w:t xml:space="preserve">es modalités d’identification et vérification de l’identité des clients et bénéficiaires effectifs, </w:t>
      </w:r>
    </w:p>
    <w:p w14:paraId="3C2596A0" w14:textId="068E7184" w:rsidR="00FD2C8A" w:rsidRDefault="00A06A69" w:rsidP="0018487B">
      <w:pPr>
        <w:pStyle w:val="Paragraphedeliste"/>
        <w:numPr>
          <w:ilvl w:val="2"/>
          <w:numId w:val="12"/>
        </w:numPr>
        <w:jc w:val="both"/>
        <w:rPr>
          <w:rFonts w:ascii="Arial" w:hAnsi="Arial" w:cs="Arial"/>
          <w:sz w:val="20"/>
          <w:szCs w:val="20"/>
        </w:rPr>
      </w:pPr>
      <w:r>
        <w:rPr>
          <w:rFonts w:ascii="Arial" w:hAnsi="Arial" w:cs="Arial"/>
          <w:sz w:val="20"/>
          <w:szCs w:val="20"/>
        </w:rPr>
        <w:t xml:space="preserve">Des </w:t>
      </w:r>
      <w:r w:rsidR="00FD2C8A" w:rsidRPr="00FD2C8A">
        <w:rPr>
          <w:rFonts w:ascii="Arial" w:hAnsi="Arial" w:cs="Arial"/>
          <w:sz w:val="20"/>
          <w:szCs w:val="20"/>
        </w:rPr>
        <w:t>modalités de collecte et de mise à jour de la connaissance la clientèle,</w:t>
      </w:r>
      <w:r>
        <w:rPr>
          <w:rFonts w:ascii="Arial" w:hAnsi="Arial" w:cs="Arial"/>
          <w:sz w:val="20"/>
          <w:szCs w:val="20"/>
        </w:rPr>
        <w:t xml:space="preserve"> et la détermination du profil de risque de la relation d’affaires</w:t>
      </w:r>
      <w:r w:rsidR="00FD2C8A" w:rsidRPr="00FD2C8A">
        <w:rPr>
          <w:rFonts w:ascii="Arial" w:hAnsi="Arial" w:cs="Arial"/>
          <w:sz w:val="20"/>
          <w:szCs w:val="20"/>
        </w:rPr>
        <w:t xml:space="preserve"> </w:t>
      </w:r>
    </w:p>
    <w:p w14:paraId="0F6C28A8" w14:textId="1DF602EE" w:rsidR="00A06A69" w:rsidRDefault="00A06A69" w:rsidP="0018487B">
      <w:pPr>
        <w:pStyle w:val="Paragraphedeliste"/>
        <w:numPr>
          <w:ilvl w:val="2"/>
          <w:numId w:val="12"/>
        </w:numPr>
        <w:jc w:val="both"/>
        <w:rPr>
          <w:rFonts w:ascii="Arial" w:hAnsi="Arial" w:cs="Arial"/>
          <w:sz w:val="20"/>
          <w:szCs w:val="20"/>
        </w:rPr>
      </w:pPr>
      <w:r>
        <w:rPr>
          <w:rFonts w:ascii="Arial" w:hAnsi="Arial" w:cs="Arial"/>
          <w:sz w:val="20"/>
          <w:szCs w:val="20"/>
        </w:rPr>
        <w:t>Des modalités de conservation des documents et informations, prévues au 9° de l’article 6 de l’arrêté du 6 janvier 2021, y compris celles spécifiques à la monnaie électronique ;</w:t>
      </w:r>
    </w:p>
    <w:p w14:paraId="7F458AC9" w14:textId="4E6878BA" w:rsidR="00314768" w:rsidRDefault="00A06A69" w:rsidP="0018487B">
      <w:pPr>
        <w:pStyle w:val="Paragraphedeliste"/>
        <w:numPr>
          <w:ilvl w:val="2"/>
          <w:numId w:val="12"/>
        </w:numPr>
        <w:jc w:val="both"/>
        <w:rPr>
          <w:rFonts w:ascii="Arial" w:hAnsi="Arial" w:cs="Arial"/>
          <w:sz w:val="20"/>
          <w:szCs w:val="20"/>
        </w:rPr>
      </w:pPr>
      <w:r>
        <w:rPr>
          <w:rFonts w:ascii="Arial" w:hAnsi="Arial" w:cs="Arial"/>
          <w:sz w:val="20"/>
          <w:szCs w:val="20"/>
        </w:rPr>
        <w:t>De l’organisation du</w:t>
      </w:r>
      <w:r w:rsidR="00FD2C8A" w:rsidRPr="00FD2C8A">
        <w:rPr>
          <w:rFonts w:ascii="Arial" w:hAnsi="Arial" w:cs="Arial"/>
          <w:sz w:val="20"/>
          <w:szCs w:val="20"/>
        </w:rPr>
        <w:t xml:space="preserve"> contrôle interne et mesure de l’efficacité et de la pertinence des procédures et leur actualisation etc.)</w:t>
      </w:r>
    </w:p>
    <w:p w14:paraId="29EA2D25" w14:textId="77777777" w:rsidR="00314768" w:rsidRPr="00314768" w:rsidRDefault="00314768" w:rsidP="00314768">
      <w:pPr>
        <w:jc w:val="both"/>
        <w:rPr>
          <w:rFonts w:ascii="Arial" w:hAnsi="Arial" w:cs="Arial"/>
          <w:sz w:val="20"/>
          <w:szCs w:val="20"/>
        </w:rPr>
      </w:pPr>
      <w:r w:rsidRPr="00314768">
        <w:rPr>
          <w:rFonts w:ascii="Arial" w:hAnsi="Arial" w:cs="Arial"/>
          <w:sz w:val="20"/>
          <w:szCs w:val="20"/>
        </w:rPr>
        <w:t xml:space="preserve"> </w:t>
      </w:r>
    </w:p>
    <w:p w14:paraId="17D29C1E" w14:textId="2F7D858B" w:rsidR="00314768" w:rsidRDefault="00AD5F52" w:rsidP="00AD5F52">
      <w:pPr>
        <w:pStyle w:val="Paragraphedeliste"/>
        <w:numPr>
          <w:ilvl w:val="1"/>
          <w:numId w:val="12"/>
        </w:numPr>
        <w:tabs>
          <w:tab w:val="left" w:pos="1418"/>
        </w:tabs>
        <w:jc w:val="both"/>
        <w:rPr>
          <w:rFonts w:ascii="Arial" w:hAnsi="Arial" w:cs="Arial"/>
          <w:bCs/>
          <w:sz w:val="20"/>
          <w:szCs w:val="20"/>
        </w:rPr>
      </w:pPr>
      <w:r w:rsidRPr="006D68A4">
        <w:rPr>
          <w:rFonts w:ascii="Arial" w:hAnsi="Arial" w:cs="Arial"/>
          <w:bCs/>
          <w:sz w:val="20"/>
          <w:szCs w:val="20"/>
        </w:rPr>
        <w:t>Lorsque l’établissement envisage de recourir aux services d’agents</w:t>
      </w:r>
      <w:r w:rsidRPr="006D68A4">
        <w:rPr>
          <w:rFonts w:ascii="Arial" w:hAnsi="Arial" w:cs="Arial"/>
          <w:sz w:val="20"/>
          <w:szCs w:val="20"/>
        </w:rPr>
        <w:t xml:space="preserve"> </w:t>
      </w:r>
      <w:r w:rsidR="002170AC">
        <w:rPr>
          <w:rFonts w:ascii="Arial" w:hAnsi="Arial" w:cs="Arial"/>
          <w:sz w:val="20"/>
          <w:szCs w:val="20"/>
        </w:rPr>
        <w:t xml:space="preserve">ou de distributeurs </w:t>
      </w:r>
      <w:r w:rsidRPr="006D68A4">
        <w:rPr>
          <w:rFonts w:ascii="Arial" w:hAnsi="Arial" w:cs="Arial"/>
          <w:bCs/>
          <w:sz w:val="20"/>
          <w:szCs w:val="20"/>
        </w:rPr>
        <w:t xml:space="preserve">tels que définis aux articles L. 523-1 et suivants </w:t>
      </w:r>
      <w:r w:rsidR="002170AC">
        <w:rPr>
          <w:rFonts w:ascii="Arial" w:hAnsi="Arial" w:cs="Arial"/>
          <w:bCs/>
          <w:sz w:val="20"/>
          <w:szCs w:val="20"/>
        </w:rPr>
        <w:t xml:space="preserve">et L. 525-8 et suivants </w:t>
      </w:r>
      <w:r w:rsidRPr="006D68A4">
        <w:rPr>
          <w:rFonts w:ascii="Arial" w:hAnsi="Arial" w:cs="Arial"/>
          <w:bCs/>
          <w:sz w:val="20"/>
          <w:szCs w:val="20"/>
        </w:rPr>
        <w:t>du Code monétaire et financier</w:t>
      </w:r>
      <w:r w:rsidR="00314768">
        <w:rPr>
          <w:rFonts w:ascii="Arial" w:hAnsi="Arial" w:cs="Arial"/>
          <w:bCs/>
          <w:sz w:val="20"/>
          <w:szCs w:val="20"/>
        </w:rPr>
        <w:t> :</w:t>
      </w:r>
      <w:r w:rsidRPr="006D68A4">
        <w:rPr>
          <w:rFonts w:ascii="Arial" w:hAnsi="Arial" w:cs="Arial"/>
          <w:bCs/>
          <w:sz w:val="20"/>
          <w:szCs w:val="20"/>
        </w:rPr>
        <w:t xml:space="preserve"> </w:t>
      </w:r>
    </w:p>
    <w:p w14:paraId="05BBDCCE" w14:textId="6E9A8033" w:rsidR="00314768" w:rsidRDefault="00314768" w:rsidP="00314768">
      <w:pPr>
        <w:pStyle w:val="Paragraphedeliste"/>
        <w:numPr>
          <w:ilvl w:val="2"/>
          <w:numId w:val="12"/>
        </w:numPr>
        <w:tabs>
          <w:tab w:val="left" w:pos="1418"/>
        </w:tabs>
        <w:jc w:val="both"/>
        <w:rPr>
          <w:rFonts w:ascii="Arial" w:hAnsi="Arial" w:cs="Arial"/>
          <w:bCs/>
          <w:sz w:val="20"/>
          <w:szCs w:val="20"/>
        </w:rPr>
      </w:pPr>
      <w:r>
        <w:rPr>
          <w:rFonts w:ascii="Arial" w:hAnsi="Arial" w:cs="Arial"/>
          <w:bCs/>
          <w:sz w:val="20"/>
          <w:szCs w:val="20"/>
        </w:rPr>
        <w:t>D</w:t>
      </w:r>
      <w:r w:rsidR="00AD5F52" w:rsidRPr="006D68A4">
        <w:rPr>
          <w:rFonts w:ascii="Arial" w:hAnsi="Arial" w:cs="Arial"/>
          <w:bCs/>
          <w:sz w:val="20"/>
          <w:szCs w:val="20"/>
        </w:rPr>
        <w:t>écrire les procédures spécifiques de mise en œuvre des obligations de vigilance de lutte contre le blanchiment et le financement du terrorisme</w:t>
      </w:r>
      <w:r w:rsidR="00AD5F52" w:rsidRPr="006D68A4" w:rsidDel="009251CE">
        <w:rPr>
          <w:rFonts w:ascii="Arial" w:hAnsi="Arial" w:cs="Arial"/>
          <w:bCs/>
          <w:sz w:val="20"/>
          <w:szCs w:val="20"/>
        </w:rPr>
        <w:t xml:space="preserve"> </w:t>
      </w:r>
      <w:r w:rsidR="00AD5F52" w:rsidRPr="006D68A4">
        <w:rPr>
          <w:rFonts w:ascii="Arial" w:hAnsi="Arial" w:cs="Arial"/>
          <w:bCs/>
          <w:sz w:val="20"/>
          <w:szCs w:val="20"/>
        </w:rPr>
        <w:t xml:space="preserve">chez ces agents </w:t>
      </w:r>
      <w:r w:rsidR="002170AC">
        <w:rPr>
          <w:rFonts w:ascii="Arial" w:hAnsi="Arial" w:cs="Arial"/>
          <w:bCs/>
          <w:sz w:val="20"/>
          <w:szCs w:val="20"/>
        </w:rPr>
        <w:t xml:space="preserve">et distributeurs </w:t>
      </w:r>
      <w:r w:rsidR="00AD5F52" w:rsidRPr="006D68A4">
        <w:rPr>
          <w:rFonts w:ascii="Arial" w:hAnsi="Arial" w:cs="Arial"/>
          <w:bCs/>
          <w:sz w:val="20"/>
          <w:szCs w:val="20"/>
        </w:rPr>
        <w:t>et les conditions dans lesquelles ces derniers transmettent à l’établissement toute information utile à cette lutte</w:t>
      </w:r>
      <w:r>
        <w:rPr>
          <w:rFonts w:ascii="Arial" w:hAnsi="Arial" w:cs="Arial"/>
          <w:bCs/>
          <w:sz w:val="20"/>
          <w:szCs w:val="20"/>
        </w:rPr>
        <w:t> ;</w:t>
      </w:r>
      <w:r w:rsidR="00AD5F52" w:rsidRPr="006D68A4">
        <w:rPr>
          <w:rFonts w:ascii="Arial" w:hAnsi="Arial" w:cs="Arial"/>
          <w:bCs/>
          <w:sz w:val="20"/>
          <w:szCs w:val="20"/>
        </w:rPr>
        <w:t xml:space="preserve"> </w:t>
      </w:r>
    </w:p>
    <w:p w14:paraId="13127D44" w14:textId="3B9F22EB" w:rsidR="00AD5F52" w:rsidRPr="00314768" w:rsidRDefault="00AD5F52" w:rsidP="00314768">
      <w:pPr>
        <w:pStyle w:val="Paragraphedeliste"/>
        <w:numPr>
          <w:ilvl w:val="2"/>
          <w:numId w:val="12"/>
        </w:numPr>
        <w:tabs>
          <w:tab w:val="left" w:pos="1418"/>
        </w:tabs>
        <w:jc w:val="both"/>
        <w:rPr>
          <w:rFonts w:ascii="Arial" w:hAnsi="Arial" w:cs="Arial"/>
          <w:bCs/>
          <w:sz w:val="20"/>
          <w:szCs w:val="20"/>
        </w:rPr>
      </w:pPr>
      <w:r w:rsidRPr="00314768">
        <w:rPr>
          <w:rFonts w:ascii="Arial" w:hAnsi="Arial" w:cs="Arial"/>
          <w:bCs/>
          <w:sz w:val="20"/>
          <w:szCs w:val="20"/>
        </w:rPr>
        <w:t xml:space="preserve">Décrire les procédures en cas de recours à des agents </w:t>
      </w:r>
      <w:r w:rsidR="002170AC">
        <w:rPr>
          <w:rFonts w:ascii="Arial" w:hAnsi="Arial" w:cs="Arial"/>
          <w:bCs/>
          <w:sz w:val="20"/>
          <w:szCs w:val="20"/>
        </w:rPr>
        <w:t xml:space="preserve">à des distributeurs </w:t>
      </w:r>
      <w:r w:rsidRPr="00314768">
        <w:rPr>
          <w:rFonts w:ascii="Arial" w:hAnsi="Arial" w:cs="Arial"/>
          <w:bCs/>
          <w:sz w:val="20"/>
          <w:szCs w:val="20"/>
        </w:rPr>
        <w:t>ou à une/des succursales dans un autre État membre.</w:t>
      </w:r>
    </w:p>
    <w:p w14:paraId="475C568B" w14:textId="77777777" w:rsidR="00AD5F52" w:rsidRPr="006D68A4" w:rsidRDefault="00AD5F52" w:rsidP="00AD5F52">
      <w:pPr>
        <w:pStyle w:val="Paragraphedeliste"/>
        <w:rPr>
          <w:rFonts w:ascii="Arial" w:hAnsi="Arial" w:cs="Arial"/>
          <w:bCs/>
          <w:sz w:val="20"/>
          <w:szCs w:val="20"/>
        </w:rPr>
      </w:pPr>
    </w:p>
    <w:p w14:paraId="3C70FF38" w14:textId="2470DBB0" w:rsidR="00AD5F52" w:rsidRPr="006D68A4" w:rsidRDefault="00AD5F52" w:rsidP="00AD5F52">
      <w:pPr>
        <w:pStyle w:val="Paragraphedeliste"/>
        <w:numPr>
          <w:ilvl w:val="1"/>
          <w:numId w:val="12"/>
        </w:numPr>
        <w:tabs>
          <w:tab w:val="left" w:pos="1418"/>
        </w:tabs>
        <w:jc w:val="both"/>
        <w:rPr>
          <w:rFonts w:ascii="Arial" w:hAnsi="Arial" w:cs="Arial"/>
          <w:bCs/>
          <w:sz w:val="20"/>
          <w:szCs w:val="20"/>
        </w:rPr>
      </w:pPr>
      <w:r w:rsidRPr="00C3271C">
        <w:rPr>
          <w:rFonts w:ascii="Arial" w:hAnsi="Arial" w:cs="Arial"/>
          <w:bCs/>
          <w:sz w:val="20"/>
          <w:szCs w:val="20"/>
          <w:u w:val="single"/>
        </w:rPr>
        <w:t>D</w:t>
      </w:r>
      <w:r w:rsidR="00610FEB" w:rsidRPr="00C3271C">
        <w:rPr>
          <w:rFonts w:ascii="Arial" w:hAnsi="Arial" w:cs="Arial"/>
          <w:bCs/>
          <w:sz w:val="20"/>
          <w:szCs w:val="20"/>
          <w:u w:val="single"/>
        </w:rPr>
        <w:t>ans le cadre de la fourniture des services faisant l’objet de la présente déclaration</w:t>
      </w:r>
      <w:r w:rsidR="00610FEB">
        <w:rPr>
          <w:rFonts w:ascii="Arial" w:hAnsi="Arial" w:cs="Arial"/>
          <w:bCs/>
          <w:sz w:val="20"/>
          <w:szCs w:val="20"/>
        </w:rPr>
        <w:t>,</w:t>
      </w:r>
      <w:r w:rsidR="00610FEB" w:rsidRPr="006D68A4">
        <w:rPr>
          <w:rFonts w:ascii="Arial" w:hAnsi="Arial" w:cs="Arial"/>
          <w:bCs/>
          <w:sz w:val="20"/>
          <w:szCs w:val="20"/>
        </w:rPr>
        <w:t xml:space="preserve"> </w:t>
      </w:r>
      <w:r w:rsidR="00610FEB">
        <w:rPr>
          <w:rFonts w:ascii="Arial" w:hAnsi="Arial" w:cs="Arial"/>
          <w:bCs/>
          <w:sz w:val="20"/>
          <w:szCs w:val="20"/>
        </w:rPr>
        <w:t>d</w:t>
      </w:r>
      <w:r w:rsidRPr="006D68A4">
        <w:rPr>
          <w:rFonts w:ascii="Arial" w:hAnsi="Arial" w:cs="Arial"/>
          <w:bCs/>
          <w:sz w:val="20"/>
          <w:szCs w:val="20"/>
        </w:rPr>
        <w:t>écrire les procédures permettant de distinguer les relations d’affaires des clients occasionnels</w:t>
      </w:r>
      <w:r w:rsidR="00C3271C">
        <w:rPr>
          <w:rFonts w:ascii="Arial" w:hAnsi="Arial" w:cs="Arial"/>
          <w:bCs/>
          <w:sz w:val="20"/>
          <w:szCs w:val="20"/>
        </w:rPr>
        <w:t xml:space="preserve"> (en cas d’évolution de ces procédures uniquement)</w:t>
      </w:r>
      <w:r w:rsidRPr="006D68A4">
        <w:rPr>
          <w:rFonts w:ascii="Arial" w:hAnsi="Arial" w:cs="Arial"/>
          <w:bCs/>
          <w:sz w:val="20"/>
          <w:szCs w:val="20"/>
        </w:rPr>
        <w:t>.</w:t>
      </w:r>
    </w:p>
    <w:p w14:paraId="55FBD053" w14:textId="77777777" w:rsidR="00AD5F52" w:rsidRPr="006D68A4" w:rsidRDefault="00AD5F52" w:rsidP="00AD5F52">
      <w:pPr>
        <w:pStyle w:val="Paragraphedeliste"/>
        <w:rPr>
          <w:rFonts w:ascii="Arial" w:hAnsi="Arial" w:cs="Arial"/>
          <w:bCs/>
          <w:sz w:val="20"/>
          <w:szCs w:val="20"/>
        </w:rPr>
      </w:pPr>
    </w:p>
    <w:p w14:paraId="126EDFDF" w14:textId="2AA8FE77" w:rsidR="002170AC" w:rsidRDefault="00AD5F52" w:rsidP="00AD5F52">
      <w:pPr>
        <w:pStyle w:val="Paragraphedeliste"/>
        <w:numPr>
          <w:ilvl w:val="1"/>
          <w:numId w:val="12"/>
        </w:numPr>
        <w:tabs>
          <w:tab w:val="left" w:pos="1418"/>
        </w:tabs>
        <w:jc w:val="both"/>
        <w:rPr>
          <w:rFonts w:ascii="Arial" w:hAnsi="Arial" w:cs="Arial"/>
          <w:bCs/>
          <w:sz w:val="20"/>
          <w:szCs w:val="20"/>
        </w:rPr>
      </w:pPr>
      <w:r w:rsidRPr="006D68A4">
        <w:rPr>
          <w:rFonts w:ascii="Arial" w:hAnsi="Arial" w:cs="Arial"/>
          <w:bCs/>
          <w:sz w:val="20"/>
          <w:szCs w:val="20"/>
        </w:rPr>
        <w:t>Décrire les</w:t>
      </w:r>
      <w:r w:rsidR="00610FEB">
        <w:rPr>
          <w:rFonts w:ascii="Arial" w:hAnsi="Arial" w:cs="Arial"/>
          <w:bCs/>
          <w:sz w:val="20"/>
          <w:szCs w:val="20"/>
        </w:rPr>
        <w:t xml:space="preserve"> aménagements, </w:t>
      </w:r>
      <w:r w:rsidR="00610FEB" w:rsidRPr="00C3271C">
        <w:rPr>
          <w:rFonts w:ascii="Arial" w:hAnsi="Arial" w:cs="Arial"/>
          <w:bCs/>
          <w:sz w:val="20"/>
          <w:szCs w:val="20"/>
          <w:u w:val="single"/>
        </w:rPr>
        <w:t>rendus nécessaire par la fourniture des services faisant l’objet de la présente déclaration</w:t>
      </w:r>
      <w:r w:rsidR="00610FEB">
        <w:rPr>
          <w:rFonts w:ascii="Arial" w:hAnsi="Arial" w:cs="Arial"/>
          <w:bCs/>
          <w:sz w:val="20"/>
          <w:szCs w:val="20"/>
        </w:rPr>
        <w:t>,</w:t>
      </w:r>
      <w:r w:rsidR="00610FEB" w:rsidRPr="006D68A4">
        <w:rPr>
          <w:rFonts w:ascii="Arial" w:hAnsi="Arial" w:cs="Arial"/>
          <w:bCs/>
          <w:sz w:val="20"/>
          <w:szCs w:val="20"/>
        </w:rPr>
        <w:t xml:space="preserve"> </w:t>
      </w:r>
      <w:r w:rsidR="00FD2C8A">
        <w:rPr>
          <w:rFonts w:ascii="Arial" w:hAnsi="Arial" w:cs="Arial"/>
          <w:bCs/>
          <w:sz w:val="20"/>
          <w:szCs w:val="20"/>
        </w:rPr>
        <w:t>à la vigilance sur les opérations, notamment :</w:t>
      </w:r>
    </w:p>
    <w:p w14:paraId="51614FAA" w14:textId="7B69917A" w:rsidR="00FD2C8A" w:rsidRPr="00FD2C8A" w:rsidRDefault="00FD2C8A" w:rsidP="00FD2C8A">
      <w:pPr>
        <w:pStyle w:val="Paragraphedeliste"/>
        <w:numPr>
          <w:ilvl w:val="2"/>
          <w:numId w:val="12"/>
        </w:numPr>
        <w:tabs>
          <w:tab w:val="left" w:pos="1418"/>
        </w:tabs>
        <w:jc w:val="both"/>
        <w:rPr>
          <w:rFonts w:ascii="Arial" w:hAnsi="Arial" w:cs="Arial"/>
          <w:bCs/>
          <w:sz w:val="20"/>
          <w:szCs w:val="20"/>
        </w:rPr>
      </w:pPr>
      <w:r w:rsidRPr="00FD2C8A">
        <w:rPr>
          <w:rFonts w:ascii="Arial" w:hAnsi="Arial" w:cs="Arial"/>
          <w:bCs/>
          <w:sz w:val="20"/>
          <w:szCs w:val="20"/>
        </w:rPr>
        <w:t xml:space="preserve">Le dispositif de gestion des risques mentionné au troisième alinéa du I de l'article L. 561-32 du code monétaire et financier, fondé sur la connaissance de la clientèle, </w:t>
      </w:r>
      <w:r>
        <w:rPr>
          <w:rFonts w:ascii="Arial" w:hAnsi="Arial" w:cs="Arial"/>
          <w:bCs/>
          <w:sz w:val="20"/>
          <w:szCs w:val="20"/>
        </w:rPr>
        <w:t xml:space="preserve">qui </w:t>
      </w:r>
      <w:r w:rsidRPr="00FD2C8A">
        <w:rPr>
          <w:rFonts w:ascii="Arial" w:hAnsi="Arial" w:cs="Arial"/>
          <w:bCs/>
          <w:sz w:val="20"/>
          <w:szCs w:val="20"/>
        </w:rPr>
        <w:t>permet notamment de :</w:t>
      </w:r>
    </w:p>
    <w:p w14:paraId="1D39FAD6" w14:textId="77777777" w:rsidR="00FD2C8A" w:rsidRPr="00FD2C8A" w:rsidRDefault="00FD2C8A" w:rsidP="0018487B">
      <w:pPr>
        <w:pStyle w:val="Paragraphedeliste"/>
        <w:numPr>
          <w:ilvl w:val="3"/>
          <w:numId w:val="12"/>
        </w:numPr>
        <w:tabs>
          <w:tab w:val="left" w:pos="1418"/>
        </w:tabs>
        <w:jc w:val="both"/>
        <w:rPr>
          <w:rFonts w:ascii="Arial" w:hAnsi="Arial" w:cs="Arial"/>
          <w:bCs/>
          <w:sz w:val="20"/>
          <w:szCs w:val="20"/>
        </w:rPr>
      </w:pPr>
      <w:r w:rsidRPr="00FD2C8A">
        <w:rPr>
          <w:rFonts w:ascii="Arial" w:hAnsi="Arial" w:cs="Arial"/>
          <w:bCs/>
          <w:sz w:val="20"/>
          <w:szCs w:val="20"/>
        </w:rPr>
        <w:t>1° Détecter les opérations atypiques ou suspectes au regard, le cas échéant, du profil des relations d'affaires, sur la base de critères et de seuils de significativité ;</w:t>
      </w:r>
    </w:p>
    <w:p w14:paraId="581A08A9" w14:textId="13652F2A" w:rsidR="00FD2C8A" w:rsidRDefault="00FD2C8A" w:rsidP="0018487B">
      <w:pPr>
        <w:pStyle w:val="Paragraphedeliste"/>
        <w:numPr>
          <w:ilvl w:val="3"/>
          <w:numId w:val="12"/>
        </w:numPr>
        <w:tabs>
          <w:tab w:val="left" w:pos="1418"/>
        </w:tabs>
        <w:jc w:val="both"/>
        <w:rPr>
          <w:rFonts w:ascii="Arial" w:hAnsi="Arial" w:cs="Arial"/>
          <w:bCs/>
          <w:sz w:val="20"/>
          <w:szCs w:val="20"/>
        </w:rPr>
      </w:pPr>
      <w:r w:rsidRPr="00FD2C8A">
        <w:rPr>
          <w:rFonts w:ascii="Arial" w:hAnsi="Arial" w:cs="Arial"/>
          <w:bCs/>
          <w:sz w:val="20"/>
          <w:szCs w:val="20"/>
        </w:rPr>
        <w:t>2° Traiter les alertes, sur la base d'une analyse documentée, qui donnent lieu à un classement sans suite dûment motivé, à un examen renforcé au sens de l'article L. 561-10-2 du code monétaire et financier, ou à une déclaration de soupçon dans les conditions de l'article L. 561-15 du code monétaire et financier.</w:t>
      </w:r>
    </w:p>
    <w:p w14:paraId="3873D6D8" w14:textId="6F941906" w:rsidR="00AD5F52" w:rsidRPr="006D68A4" w:rsidRDefault="00FD2C8A" w:rsidP="0018487B">
      <w:pPr>
        <w:pStyle w:val="Paragraphedeliste"/>
        <w:numPr>
          <w:ilvl w:val="2"/>
          <w:numId w:val="12"/>
        </w:numPr>
        <w:tabs>
          <w:tab w:val="left" w:pos="1418"/>
        </w:tabs>
        <w:jc w:val="both"/>
        <w:rPr>
          <w:rFonts w:ascii="Arial" w:hAnsi="Arial" w:cs="Arial"/>
          <w:bCs/>
          <w:sz w:val="20"/>
          <w:szCs w:val="20"/>
        </w:rPr>
      </w:pPr>
      <w:r>
        <w:rPr>
          <w:rFonts w:ascii="Arial" w:hAnsi="Arial" w:cs="Arial"/>
          <w:bCs/>
          <w:sz w:val="20"/>
          <w:szCs w:val="20"/>
        </w:rPr>
        <w:t>au dispositif de gel des avoirs et d’interdiction de mise à disposition de ressources économiques (chapitre II du Titre VI du Livre V du CMF)</w:t>
      </w:r>
      <w:r w:rsidR="00AD5F52" w:rsidRPr="006D68A4">
        <w:rPr>
          <w:rFonts w:ascii="Arial" w:hAnsi="Arial" w:cs="Arial"/>
          <w:bCs/>
          <w:sz w:val="20"/>
          <w:szCs w:val="20"/>
        </w:rPr>
        <w:t>.</w:t>
      </w:r>
    </w:p>
    <w:p w14:paraId="4F05FC60" w14:textId="77777777" w:rsidR="00AD5F52" w:rsidRPr="006D68A4" w:rsidRDefault="00AD5F52" w:rsidP="00AD5F52">
      <w:pPr>
        <w:pStyle w:val="Paragraphedeliste"/>
        <w:rPr>
          <w:rFonts w:ascii="Arial" w:hAnsi="Arial" w:cs="Arial"/>
          <w:sz w:val="20"/>
          <w:szCs w:val="20"/>
        </w:rPr>
      </w:pPr>
    </w:p>
    <w:p w14:paraId="33AFDBE6" w14:textId="79A312E5" w:rsidR="00AD5F52" w:rsidRPr="006D68A4" w:rsidRDefault="00AD5F52" w:rsidP="00AD5F52">
      <w:pPr>
        <w:pStyle w:val="Paragraphedeliste"/>
        <w:numPr>
          <w:ilvl w:val="1"/>
          <w:numId w:val="12"/>
        </w:numPr>
        <w:tabs>
          <w:tab w:val="left" w:pos="1418"/>
        </w:tabs>
        <w:jc w:val="both"/>
        <w:rPr>
          <w:rFonts w:ascii="Arial" w:hAnsi="Arial" w:cs="Arial"/>
          <w:bCs/>
          <w:sz w:val="20"/>
          <w:szCs w:val="20"/>
        </w:rPr>
      </w:pPr>
      <w:r w:rsidRPr="006D68A4">
        <w:rPr>
          <w:rFonts w:ascii="Arial" w:hAnsi="Arial" w:cs="Arial"/>
          <w:sz w:val="20"/>
          <w:szCs w:val="20"/>
        </w:rPr>
        <w:t>Indiquer les modalités de formation et d’information du personnel (y compris celles des agents</w:t>
      </w:r>
      <w:r w:rsidR="002170AC">
        <w:rPr>
          <w:rFonts w:ascii="Arial" w:hAnsi="Arial" w:cs="Arial"/>
          <w:sz w:val="20"/>
          <w:szCs w:val="20"/>
        </w:rPr>
        <w:t xml:space="preserve"> et distributeurs</w:t>
      </w:r>
      <w:r w:rsidRPr="006D68A4">
        <w:rPr>
          <w:rFonts w:ascii="Arial" w:hAnsi="Arial" w:cs="Arial"/>
          <w:sz w:val="20"/>
          <w:szCs w:val="20"/>
        </w:rPr>
        <w:t xml:space="preserve">) en matière de lutte contre le blanchiment des capitaux et le financement du terrorisme. </w:t>
      </w:r>
    </w:p>
    <w:p w14:paraId="7C93C50B" w14:textId="77777777" w:rsidR="00AD5F52" w:rsidRPr="006D68A4" w:rsidRDefault="00AD5F52" w:rsidP="00AD5F52">
      <w:pPr>
        <w:tabs>
          <w:tab w:val="left" w:pos="1418"/>
        </w:tabs>
        <w:jc w:val="both"/>
        <w:rPr>
          <w:sz w:val="20"/>
          <w:szCs w:val="20"/>
        </w:rPr>
      </w:pPr>
    </w:p>
    <w:p w14:paraId="4BFB2391" w14:textId="77777777" w:rsidR="001F310E" w:rsidRDefault="001F310E">
      <w:pPr>
        <w:spacing w:after="160" w:line="259" w:lineRule="auto"/>
        <w:rPr>
          <w:bCs/>
          <w:sz w:val="20"/>
          <w:szCs w:val="20"/>
        </w:rPr>
      </w:pPr>
      <w:r>
        <w:rPr>
          <w:bCs/>
          <w:sz w:val="20"/>
          <w:szCs w:val="20"/>
        </w:rPr>
        <w:br w:type="page"/>
      </w:r>
    </w:p>
    <w:p w14:paraId="7C905327" w14:textId="77777777" w:rsidR="001F310E" w:rsidRPr="001952C1" w:rsidRDefault="001F310E" w:rsidP="001952C1">
      <w:pPr>
        <w:pStyle w:val="Paragraphedeliste"/>
        <w:numPr>
          <w:ilvl w:val="0"/>
          <w:numId w:val="3"/>
        </w:numPr>
        <w:pBdr>
          <w:top w:val="thickThinSmallGap" w:sz="24" w:space="1" w:color="365F91"/>
          <w:left w:val="thickThinSmallGap" w:sz="24" w:space="15" w:color="365F91"/>
          <w:bottom w:val="thinThickSmallGap" w:sz="24" w:space="1" w:color="365F91"/>
          <w:right w:val="thinThickSmallGap" w:sz="24" w:space="4" w:color="365F91"/>
        </w:pBdr>
        <w:shd w:val="clear" w:color="auto" w:fill="085194"/>
        <w:spacing w:line="240" w:lineRule="auto"/>
        <w:outlineLvl w:val="0"/>
        <w:rPr>
          <w:rFonts w:ascii="Arial" w:eastAsia="Times New Roman" w:hAnsi="Arial" w:cs="Arial"/>
          <w:b/>
          <w:color w:val="FFFFFF"/>
          <w:sz w:val="28"/>
          <w:szCs w:val="28"/>
          <w:lang w:eastAsia="fr-FR"/>
        </w:rPr>
      </w:pPr>
      <w:bookmarkStart w:id="27" w:name="_Toc507679363"/>
      <w:bookmarkStart w:id="28" w:name="_Toc78984795"/>
      <w:r w:rsidRPr="001952C1">
        <w:rPr>
          <w:rFonts w:ascii="Arial" w:eastAsia="Times New Roman" w:hAnsi="Arial" w:cs="Arial"/>
          <w:b/>
          <w:color w:val="FFFFFF"/>
          <w:sz w:val="28"/>
          <w:szCs w:val="28"/>
          <w:lang w:eastAsia="fr-FR"/>
        </w:rPr>
        <w:lastRenderedPageBreak/>
        <w:t>Procédures des systèmes de sécurité et accès aux données sensibles</w:t>
      </w:r>
      <w:bookmarkEnd w:id="27"/>
      <w:bookmarkEnd w:id="28"/>
    </w:p>
    <w:p w14:paraId="47D30B6F" w14:textId="77777777" w:rsidR="001F310E" w:rsidRPr="001F310E" w:rsidRDefault="001F310E" w:rsidP="001F310E">
      <w:pPr>
        <w:spacing w:line="240" w:lineRule="auto"/>
        <w:jc w:val="both"/>
        <w:rPr>
          <w:rFonts w:ascii="Arial" w:eastAsia="Calibri" w:hAnsi="Arial" w:cs="Arial"/>
          <w:bCs/>
          <w:sz w:val="20"/>
          <w:szCs w:val="20"/>
        </w:rPr>
      </w:pPr>
    </w:p>
    <w:p w14:paraId="066A7C5E" w14:textId="77777777" w:rsidR="001F310E" w:rsidRDefault="001F310E" w:rsidP="00537085">
      <w:pPr>
        <w:jc w:val="both"/>
        <w:rPr>
          <w:rFonts w:ascii="Arial" w:eastAsia="Calibri" w:hAnsi="Arial" w:cs="Arial"/>
          <w:bCs/>
          <w:sz w:val="20"/>
          <w:szCs w:val="20"/>
        </w:rPr>
      </w:pPr>
      <w:r w:rsidRPr="001F310E">
        <w:rPr>
          <w:rFonts w:ascii="Arial" w:eastAsia="Calibri" w:hAnsi="Arial" w:cs="Arial"/>
          <w:i/>
          <w:sz w:val="16"/>
          <w:szCs w:val="16"/>
        </w:rPr>
        <w:t>« </w:t>
      </w:r>
      <w:r w:rsidRPr="001F310E">
        <w:rPr>
          <w:rFonts w:ascii="Arial" w:eastAsia="Calibri" w:hAnsi="Arial" w:cs="Arial"/>
          <w:bCs/>
          <w:i/>
          <w:sz w:val="16"/>
          <w:szCs w:val="16"/>
        </w:rPr>
        <w:t xml:space="preserve">L. 141-4 alinéa 3 : </w:t>
      </w:r>
      <w:r w:rsidRPr="001F310E">
        <w:rPr>
          <w:rFonts w:ascii="Arial" w:eastAsia="Calibri" w:hAnsi="Arial" w:cs="Arial"/>
          <w:i/>
          <w:sz w:val="16"/>
          <w:szCs w:val="16"/>
        </w:rPr>
        <w:t>la Banque de France s’assure de la sécurité des moyens de paiement tels que définis à l’article L. 311</w:t>
      </w:r>
      <w:r w:rsidRPr="001F310E">
        <w:rPr>
          <w:rFonts w:ascii="Arial" w:eastAsia="Calibri" w:hAnsi="Arial" w:cs="Arial"/>
          <w:i/>
          <w:sz w:val="16"/>
          <w:szCs w:val="16"/>
        </w:rPr>
        <w:noBreakHyphen/>
        <w:t xml:space="preserve">3, autres que la monnaie fiduciaire, et de la pertinence des normes applicables en la matière. Si elle estime qu’un de ces moyens présente des garanties de sécurité insuffisantes, elle peut recommander à son émetteur de prendre toutes mesures destinées à y remédier. Si ces recommandations n’ont pas été suivies d’effet, elle peut, après avoir recueilli les observations de l’émetteur, décider de formuler un avis négatif publié au </w:t>
      </w:r>
      <w:r w:rsidRPr="001F310E">
        <w:rPr>
          <w:rFonts w:ascii="Arial" w:eastAsia="Calibri" w:hAnsi="Arial" w:cs="Arial"/>
          <w:sz w:val="16"/>
          <w:szCs w:val="16"/>
        </w:rPr>
        <w:t>Journal officiel</w:t>
      </w:r>
      <w:r w:rsidRPr="001F310E">
        <w:rPr>
          <w:rFonts w:ascii="Arial" w:eastAsia="Calibri" w:hAnsi="Arial" w:cs="Arial"/>
          <w:i/>
          <w:sz w:val="16"/>
          <w:szCs w:val="16"/>
        </w:rPr>
        <w:t>. »</w:t>
      </w:r>
    </w:p>
    <w:p w14:paraId="3E31C9DC" w14:textId="77777777" w:rsidR="00537085" w:rsidRPr="001F310E" w:rsidRDefault="00537085" w:rsidP="00537085">
      <w:pPr>
        <w:jc w:val="both"/>
        <w:rPr>
          <w:rFonts w:ascii="Arial" w:eastAsia="Calibri" w:hAnsi="Arial" w:cs="Arial"/>
          <w:bCs/>
          <w:sz w:val="20"/>
          <w:szCs w:val="20"/>
        </w:rPr>
      </w:pPr>
    </w:p>
    <w:p w14:paraId="1719E11B" w14:textId="77777777" w:rsidR="001F310E" w:rsidRPr="001F310E" w:rsidRDefault="001F310E" w:rsidP="001F310E">
      <w:pPr>
        <w:numPr>
          <w:ilvl w:val="0"/>
          <w:numId w:val="24"/>
        </w:numPr>
        <w:spacing w:line="240" w:lineRule="auto"/>
        <w:contextualSpacing/>
        <w:outlineLvl w:val="1"/>
        <w:rPr>
          <w:rFonts w:ascii="Arial" w:eastAsia="Times New Roman" w:hAnsi="Arial" w:cs="Arial"/>
          <w:b/>
          <w:color w:val="1F497D"/>
          <w:sz w:val="28"/>
          <w:szCs w:val="28"/>
          <w:lang w:eastAsia="fr-FR"/>
        </w:rPr>
      </w:pPr>
      <w:bookmarkStart w:id="29" w:name="_Toc507679364"/>
      <w:bookmarkStart w:id="30" w:name="_Toc78984796"/>
      <w:r w:rsidRPr="001F310E">
        <w:rPr>
          <w:rFonts w:ascii="Arial" w:eastAsia="Times New Roman" w:hAnsi="Arial" w:cs="Arial"/>
          <w:b/>
          <w:color w:val="1F497D"/>
          <w:sz w:val="28"/>
          <w:szCs w:val="28"/>
          <w:lang w:eastAsia="fr-FR"/>
        </w:rPr>
        <w:t>Procédure de surveillance, de traitement et de suivi des incidents de sécurité et des réclamations clients</w:t>
      </w:r>
      <w:bookmarkEnd w:id="29"/>
      <w:bookmarkEnd w:id="30"/>
    </w:p>
    <w:p w14:paraId="56DD76AA" w14:textId="77777777" w:rsidR="001F310E" w:rsidRPr="001F310E" w:rsidRDefault="001F310E" w:rsidP="001F310E">
      <w:pPr>
        <w:spacing w:line="240" w:lineRule="auto"/>
        <w:jc w:val="both"/>
        <w:rPr>
          <w:rFonts w:ascii="Arial" w:eastAsia="Calibri" w:hAnsi="Arial" w:cs="Arial"/>
          <w:bCs/>
          <w:sz w:val="20"/>
          <w:szCs w:val="20"/>
        </w:rPr>
      </w:pPr>
    </w:p>
    <w:p w14:paraId="091E37E5" w14:textId="470DD553" w:rsidR="001F310E" w:rsidRPr="00D83586" w:rsidRDefault="00537085" w:rsidP="001F310E">
      <w:pPr>
        <w:pStyle w:val="Paragraphedeliste"/>
        <w:numPr>
          <w:ilvl w:val="0"/>
          <w:numId w:val="12"/>
        </w:numPr>
        <w:jc w:val="both"/>
        <w:rPr>
          <w:rFonts w:ascii="Arial" w:eastAsia="Calibri" w:hAnsi="Arial" w:cs="Arial"/>
          <w:bCs/>
          <w:sz w:val="20"/>
          <w:szCs w:val="20"/>
        </w:rPr>
      </w:pPr>
      <w:r w:rsidRPr="00D83586">
        <w:rPr>
          <w:rFonts w:ascii="Arial" w:eastAsia="Calibri" w:hAnsi="Arial" w:cs="Arial"/>
          <w:bCs/>
          <w:sz w:val="20"/>
          <w:szCs w:val="20"/>
        </w:rPr>
        <w:t>F</w:t>
      </w:r>
      <w:r w:rsidR="001F310E" w:rsidRPr="00D83586">
        <w:rPr>
          <w:rFonts w:ascii="Arial" w:eastAsia="Calibri" w:hAnsi="Arial" w:cs="Arial"/>
          <w:bCs/>
          <w:sz w:val="20"/>
          <w:szCs w:val="20"/>
        </w:rPr>
        <w:t>ournir une description de l</w:t>
      </w:r>
      <w:r w:rsidRPr="00D83586">
        <w:rPr>
          <w:rFonts w:ascii="Arial" w:eastAsia="Calibri" w:hAnsi="Arial" w:cs="Arial"/>
          <w:bCs/>
          <w:sz w:val="20"/>
          <w:szCs w:val="20"/>
        </w:rPr>
        <w:t xml:space="preserve">’évolution, </w:t>
      </w:r>
      <w:r w:rsidRPr="00D83586">
        <w:rPr>
          <w:rFonts w:ascii="Arial" w:eastAsia="Calibri" w:hAnsi="Arial" w:cs="Arial"/>
          <w:bCs/>
          <w:sz w:val="20"/>
          <w:szCs w:val="20"/>
          <w:u w:val="single"/>
        </w:rPr>
        <w:t>rendue</w:t>
      </w:r>
      <w:r w:rsidR="001F310E" w:rsidRPr="00D83586">
        <w:rPr>
          <w:rFonts w:ascii="Arial" w:eastAsia="Calibri" w:hAnsi="Arial" w:cs="Arial"/>
          <w:bCs/>
          <w:sz w:val="20"/>
          <w:szCs w:val="20"/>
          <w:u w:val="single"/>
        </w:rPr>
        <w:t xml:space="preserve"> </w:t>
      </w:r>
      <w:r w:rsidRPr="00D83586">
        <w:rPr>
          <w:rFonts w:ascii="Arial" w:eastAsia="Calibri" w:hAnsi="Arial" w:cs="Arial"/>
          <w:bCs/>
          <w:sz w:val="20"/>
          <w:szCs w:val="20"/>
          <w:u w:val="single"/>
        </w:rPr>
        <w:t>nécessaire par la fourniture des services faisant l’objet de la présente déclaration</w:t>
      </w:r>
      <w:r w:rsidRPr="00D83586">
        <w:rPr>
          <w:rFonts w:ascii="Arial" w:eastAsia="Calibri" w:hAnsi="Arial" w:cs="Arial"/>
          <w:bCs/>
          <w:sz w:val="20"/>
          <w:szCs w:val="20"/>
        </w:rPr>
        <w:t xml:space="preserve">, de la </w:t>
      </w:r>
      <w:r w:rsidR="001F310E" w:rsidRPr="00D83586">
        <w:rPr>
          <w:rFonts w:ascii="Arial" w:eastAsia="Calibri" w:hAnsi="Arial" w:cs="Arial"/>
          <w:bCs/>
          <w:sz w:val="20"/>
          <w:szCs w:val="20"/>
        </w:rPr>
        <w:t>procédure en place pour surveiller, maîtriser et suivre les incidents de sécurité et des réclamations clients relatif à la sécurité</w:t>
      </w:r>
      <w:r w:rsidRPr="00D83586">
        <w:rPr>
          <w:rStyle w:val="Appelnotedebasdep"/>
          <w:rFonts w:eastAsia="Calibri" w:cs="Arial"/>
          <w:bCs/>
          <w:szCs w:val="20"/>
        </w:rPr>
        <w:footnoteReference w:id="3"/>
      </w:r>
      <w:r w:rsidR="001F310E" w:rsidRPr="00D83586">
        <w:rPr>
          <w:rFonts w:ascii="Arial" w:eastAsia="Calibri" w:hAnsi="Arial" w:cs="Arial"/>
          <w:bCs/>
          <w:sz w:val="20"/>
          <w:szCs w:val="20"/>
        </w:rPr>
        <w:t xml:space="preserve">. </w:t>
      </w:r>
      <w:r w:rsidR="00FE0956">
        <w:rPr>
          <w:rFonts w:ascii="Arial" w:eastAsia="Calibri" w:hAnsi="Arial" w:cs="Arial"/>
          <w:bCs/>
          <w:sz w:val="20"/>
          <w:szCs w:val="20"/>
        </w:rPr>
        <w:t xml:space="preserve">Le cas échant, </w:t>
      </w:r>
      <w:r w:rsidR="00D65BF9">
        <w:rPr>
          <w:rFonts w:ascii="Arial" w:eastAsia="Calibri" w:hAnsi="Arial" w:cs="Arial"/>
          <w:bCs/>
          <w:sz w:val="20"/>
          <w:szCs w:val="20"/>
        </w:rPr>
        <w:t>il convient de s’</w:t>
      </w:r>
      <w:r w:rsidR="00FE0956">
        <w:rPr>
          <w:rFonts w:ascii="Arial" w:eastAsia="Calibri" w:hAnsi="Arial" w:cs="Arial"/>
          <w:bCs/>
          <w:sz w:val="20"/>
          <w:szCs w:val="20"/>
        </w:rPr>
        <w:t>appuyer sur le formulaire d’agrément d’établissement de monnaie électronique.</w:t>
      </w:r>
    </w:p>
    <w:p w14:paraId="67530163" w14:textId="77777777" w:rsidR="001F310E" w:rsidRPr="001F310E" w:rsidRDefault="001F310E" w:rsidP="00537085">
      <w:pPr>
        <w:spacing w:line="240" w:lineRule="auto"/>
        <w:jc w:val="both"/>
        <w:rPr>
          <w:rFonts w:ascii="Arial" w:eastAsia="Calibri" w:hAnsi="Arial" w:cs="Arial"/>
          <w:bCs/>
          <w:sz w:val="20"/>
          <w:szCs w:val="20"/>
        </w:rPr>
      </w:pPr>
    </w:p>
    <w:p w14:paraId="766931D1" w14:textId="77777777" w:rsidR="001F310E" w:rsidRPr="001F310E" w:rsidRDefault="001F310E" w:rsidP="001F310E">
      <w:pPr>
        <w:pStyle w:val="Titre2"/>
        <w:numPr>
          <w:ilvl w:val="0"/>
          <w:numId w:val="24"/>
        </w:numPr>
        <w:spacing w:line="240" w:lineRule="auto"/>
        <w:contextualSpacing/>
        <w:rPr>
          <w:rFonts w:ascii="Arial" w:eastAsia="Times New Roman" w:hAnsi="Arial" w:cs="Arial"/>
          <w:b/>
          <w:color w:val="1F497D"/>
          <w:sz w:val="28"/>
          <w:szCs w:val="28"/>
          <w:lang w:eastAsia="fr-FR"/>
        </w:rPr>
      </w:pPr>
      <w:bookmarkStart w:id="31" w:name="_Toc507679365"/>
      <w:bookmarkStart w:id="32" w:name="_Toc78984797"/>
      <w:r w:rsidRPr="001F310E">
        <w:rPr>
          <w:rFonts w:ascii="Arial" w:eastAsia="Times New Roman" w:hAnsi="Arial" w:cs="Arial"/>
          <w:b/>
          <w:color w:val="1F497D"/>
          <w:sz w:val="28"/>
          <w:szCs w:val="28"/>
          <w:lang w:eastAsia="fr-FR"/>
        </w:rPr>
        <w:t>Procédures pour restreindre, enregistrer, surveiller, et tracer l’accès aux données de paiement sensibles et garder la trace de ces accès</w:t>
      </w:r>
      <w:bookmarkEnd w:id="31"/>
      <w:bookmarkEnd w:id="32"/>
    </w:p>
    <w:p w14:paraId="3CA90C9F" w14:textId="77777777" w:rsidR="001F310E" w:rsidRPr="001F310E" w:rsidRDefault="001F310E" w:rsidP="001F310E">
      <w:pPr>
        <w:spacing w:line="240" w:lineRule="auto"/>
        <w:jc w:val="both"/>
        <w:rPr>
          <w:rFonts w:ascii="Arial" w:eastAsia="Calibri" w:hAnsi="Arial" w:cs="Arial"/>
          <w:bCs/>
          <w:sz w:val="20"/>
          <w:szCs w:val="20"/>
        </w:rPr>
      </w:pPr>
    </w:p>
    <w:p w14:paraId="407C4FEB" w14:textId="212D0EBD" w:rsidR="001F310E" w:rsidRPr="00EA286B" w:rsidRDefault="00537085" w:rsidP="00631F37">
      <w:pPr>
        <w:pStyle w:val="Paragraphedeliste"/>
        <w:numPr>
          <w:ilvl w:val="0"/>
          <w:numId w:val="12"/>
        </w:numPr>
        <w:spacing w:line="240" w:lineRule="auto"/>
        <w:jc w:val="both"/>
        <w:rPr>
          <w:rFonts w:ascii="Arial" w:eastAsia="Calibri" w:hAnsi="Arial" w:cs="Arial"/>
          <w:bCs/>
          <w:sz w:val="20"/>
          <w:szCs w:val="20"/>
        </w:rPr>
      </w:pPr>
      <w:r w:rsidRPr="00D83586">
        <w:rPr>
          <w:rFonts w:ascii="Arial" w:eastAsia="Calibri" w:hAnsi="Arial" w:cs="Arial"/>
          <w:bCs/>
          <w:sz w:val="20"/>
          <w:szCs w:val="20"/>
        </w:rPr>
        <w:t>F</w:t>
      </w:r>
      <w:r w:rsidR="001F310E" w:rsidRPr="00D83586">
        <w:rPr>
          <w:rFonts w:ascii="Arial" w:eastAsia="Calibri" w:hAnsi="Arial" w:cs="Arial"/>
          <w:bCs/>
          <w:sz w:val="20"/>
          <w:szCs w:val="20"/>
        </w:rPr>
        <w:t xml:space="preserve">ournir une description </w:t>
      </w:r>
      <w:r w:rsidRPr="00D83586">
        <w:rPr>
          <w:rFonts w:ascii="Arial" w:eastAsia="Calibri" w:hAnsi="Arial" w:cs="Arial"/>
          <w:bCs/>
          <w:sz w:val="20"/>
          <w:szCs w:val="20"/>
        </w:rPr>
        <w:t xml:space="preserve">de l’évolution, </w:t>
      </w:r>
      <w:r w:rsidRPr="00D83586">
        <w:rPr>
          <w:rFonts w:ascii="Arial" w:eastAsia="Calibri" w:hAnsi="Arial" w:cs="Arial"/>
          <w:bCs/>
          <w:sz w:val="20"/>
          <w:szCs w:val="20"/>
          <w:u w:val="single"/>
        </w:rPr>
        <w:t>rendue nécessaire par la fourniture des services faisant l’objet de la présente déclaration</w:t>
      </w:r>
      <w:r w:rsidRPr="00D83586">
        <w:rPr>
          <w:rFonts w:ascii="Arial" w:eastAsia="Calibri" w:hAnsi="Arial" w:cs="Arial"/>
          <w:bCs/>
          <w:sz w:val="20"/>
          <w:szCs w:val="20"/>
        </w:rPr>
        <w:t xml:space="preserve">, </w:t>
      </w:r>
      <w:r w:rsidR="001F310E" w:rsidRPr="00D83586">
        <w:rPr>
          <w:rFonts w:ascii="Arial" w:eastAsia="Calibri" w:hAnsi="Arial" w:cs="Arial"/>
          <w:bCs/>
          <w:sz w:val="20"/>
          <w:szCs w:val="20"/>
        </w:rPr>
        <w:t>du processus en place pour restreindre, enregistrer, surveiller et tracer l’accès aux données de paiement sensibles et garder la</w:t>
      </w:r>
      <w:r w:rsidR="00FE0956">
        <w:rPr>
          <w:rFonts w:ascii="Arial" w:eastAsia="Calibri" w:hAnsi="Arial" w:cs="Arial"/>
          <w:bCs/>
          <w:sz w:val="20"/>
          <w:szCs w:val="20"/>
        </w:rPr>
        <w:t xml:space="preserve"> trace de ces accès comportant. Le cas échant, </w:t>
      </w:r>
      <w:r w:rsidR="00D65BF9">
        <w:rPr>
          <w:rFonts w:ascii="Arial" w:eastAsia="Calibri" w:hAnsi="Arial" w:cs="Arial"/>
          <w:bCs/>
          <w:sz w:val="20"/>
          <w:szCs w:val="20"/>
        </w:rPr>
        <w:t>il convient de s’</w:t>
      </w:r>
      <w:r w:rsidR="00FE0956">
        <w:rPr>
          <w:rFonts w:ascii="Arial" w:eastAsia="Calibri" w:hAnsi="Arial" w:cs="Arial"/>
          <w:bCs/>
          <w:sz w:val="20"/>
          <w:szCs w:val="20"/>
        </w:rPr>
        <w:t>appuyer sur le formulaire d’agrément d’établissement de monnaie électronique.</w:t>
      </w:r>
      <w:r w:rsidR="00631F37" w:rsidRPr="00EA286B">
        <w:rPr>
          <w:rFonts w:ascii="Arial" w:eastAsia="Calibri" w:hAnsi="Arial" w:cs="Arial"/>
          <w:bCs/>
          <w:sz w:val="20"/>
          <w:szCs w:val="20"/>
        </w:rPr>
        <w:t xml:space="preserve"> </w:t>
      </w:r>
    </w:p>
    <w:p w14:paraId="7C12C21C" w14:textId="77777777" w:rsidR="00EB7D49" w:rsidRDefault="00EB7D49">
      <w:pPr>
        <w:spacing w:after="160" w:line="259" w:lineRule="auto"/>
        <w:rPr>
          <w:rFonts w:ascii="Arial" w:eastAsia="Calibri" w:hAnsi="Arial" w:cs="Arial"/>
          <w:bCs/>
          <w:sz w:val="20"/>
          <w:szCs w:val="20"/>
        </w:rPr>
      </w:pPr>
      <w:r>
        <w:rPr>
          <w:rFonts w:ascii="Arial" w:eastAsia="Calibri" w:hAnsi="Arial" w:cs="Arial"/>
          <w:bCs/>
          <w:sz w:val="20"/>
          <w:szCs w:val="20"/>
        </w:rPr>
        <w:br w:type="page"/>
      </w:r>
    </w:p>
    <w:p w14:paraId="76ADA0E8" w14:textId="77777777" w:rsidR="00EB7D49" w:rsidRPr="00EB7D49" w:rsidRDefault="00EB7D49" w:rsidP="00EB7D49">
      <w:pPr>
        <w:pStyle w:val="Paragraphedeliste"/>
        <w:numPr>
          <w:ilvl w:val="0"/>
          <w:numId w:val="3"/>
        </w:numPr>
        <w:pBdr>
          <w:top w:val="thickThinSmallGap" w:sz="24" w:space="1" w:color="365F91"/>
          <w:left w:val="thickThinSmallGap" w:sz="24" w:space="15" w:color="365F91"/>
          <w:bottom w:val="thinThickSmallGap" w:sz="24" w:space="1" w:color="365F91"/>
          <w:right w:val="thinThickSmallGap" w:sz="24" w:space="4" w:color="365F91"/>
        </w:pBdr>
        <w:shd w:val="clear" w:color="auto" w:fill="085194"/>
        <w:spacing w:line="240" w:lineRule="auto"/>
        <w:outlineLvl w:val="0"/>
        <w:rPr>
          <w:rFonts w:ascii="Arial" w:eastAsia="Times New Roman" w:hAnsi="Arial" w:cs="Arial"/>
          <w:b/>
          <w:color w:val="FFFFFF"/>
          <w:sz w:val="28"/>
          <w:szCs w:val="28"/>
          <w:lang w:eastAsia="fr-FR"/>
        </w:rPr>
      </w:pPr>
      <w:bookmarkStart w:id="33" w:name="_Toc507679366"/>
      <w:bookmarkStart w:id="34" w:name="_Toc78984798"/>
      <w:r w:rsidRPr="00EB7D49">
        <w:rPr>
          <w:rFonts w:ascii="Arial" w:eastAsia="Times New Roman" w:hAnsi="Arial" w:cs="Arial"/>
          <w:b/>
          <w:color w:val="FFFFFF"/>
          <w:sz w:val="28"/>
          <w:szCs w:val="28"/>
          <w:lang w:eastAsia="fr-FR"/>
        </w:rPr>
        <w:lastRenderedPageBreak/>
        <w:t>Dispositif de continuité d’activité et politique de sécurité</w:t>
      </w:r>
      <w:bookmarkEnd w:id="33"/>
      <w:bookmarkEnd w:id="34"/>
    </w:p>
    <w:p w14:paraId="7E02E47B" w14:textId="77777777" w:rsidR="00EB7D49" w:rsidRPr="00EB7D49" w:rsidRDefault="00EB7D49" w:rsidP="00EB7D49">
      <w:pPr>
        <w:spacing w:line="240" w:lineRule="auto"/>
        <w:jc w:val="both"/>
        <w:rPr>
          <w:rFonts w:ascii="Arial" w:eastAsia="Calibri" w:hAnsi="Arial" w:cs="Arial"/>
          <w:bCs/>
          <w:sz w:val="20"/>
          <w:szCs w:val="20"/>
        </w:rPr>
      </w:pPr>
    </w:p>
    <w:p w14:paraId="50043ACB" w14:textId="77777777" w:rsidR="00EB7D49" w:rsidRPr="00EB7D49" w:rsidRDefault="00EB7D49" w:rsidP="00EB7D49">
      <w:pPr>
        <w:pStyle w:val="Titre2"/>
        <w:numPr>
          <w:ilvl w:val="0"/>
          <w:numId w:val="35"/>
        </w:numPr>
        <w:spacing w:line="240" w:lineRule="auto"/>
        <w:contextualSpacing/>
        <w:rPr>
          <w:rFonts w:ascii="Arial" w:eastAsia="Times New Roman" w:hAnsi="Arial" w:cs="Arial"/>
          <w:b/>
          <w:color w:val="1F497D"/>
          <w:sz w:val="28"/>
          <w:szCs w:val="28"/>
          <w:lang w:eastAsia="fr-FR"/>
        </w:rPr>
      </w:pPr>
      <w:bookmarkStart w:id="35" w:name="_Toc507679367"/>
      <w:bookmarkStart w:id="36" w:name="_Toc78984799"/>
      <w:r w:rsidRPr="00EB7D49">
        <w:rPr>
          <w:rFonts w:ascii="Arial" w:eastAsia="Times New Roman" w:hAnsi="Arial" w:cs="Arial"/>
          <w:b/>
          <w:color w:val="1F497D"/>
          <w:sz w:val="28"/>
          <w:szCs w:val="28"/>
          <w:lang w:eastAsia="fr-FR"/>
        </w:rPr>
        <w:t>Continuité d’activité</w:t>
      </w:r>
      <w:bookmarkEnd w:id="35"/>
      <w:bookmarkEnd w:id="36"/>
    </w:p>
    <w:p w14:paraId="4D505E2E" w14:textId="77777777" w:rsidR="00EB7D49" w:rsidRPr="00EB7D49" w:rsidRDefault="00EB7D49" w:rsidP="00EB7D49">
      <w:pPr>
        <w:spacing w:line="240" w:lineRule="auto"/>
        <w:jc w:val="both"/>
        <w:rPr>
          <w:rFonts w:ascii="Arial" w:eastAsia="Calibri" w:hAnsi="Arial" w:cs="Arial"/>
          <w:bCs/>
          <w:sz w:val="20"/>
          <w:szCs w:val="20"/>
        </w:rPr>
      </w:pPr>
    </w:p>
    <w:p w14:paraId="093881FD" w14:textId="589B2A85" w:rsidR="00EB7D49" w:rsidRPr="001F019A" w:rsidRDefault="001F019A" w:rsidP="001F019A">
      <w:pPr>
        <w:pStyle w:val="Paragraphedeliste"/>
        <w:numPr>
          <w:ilvl w:val="0"/>
          <w:numId w:val="12"/>
        </w:numPr>
        <w:jc w:val="both"/>
        <w:rPr>
          <w:rFonts w:ascii="Arial" w:eastAsia="Calibri" w:hAnsi="Arial" w:cs="Arial"/>
          <w:b/>
          <w:sz w:val="20"/>
          <w:szCs w:val="20"/>
        </w:rPr>
      </w:pPr>
      <w:r>
        <w:rPr>
          <w:rFonts w:ascii="Arial" w:eastAsia="Calibri" w:hAnsi="Arial" w:cs="Arial"/>
          <w:bCs/>
          <w:sz w:val="20"/>
          <w:szCs w:val="20"/>
        </w:rPr>
        <w:t>Description de l’adaptation</w:t>
      </w:r>
      <w:r w:rsidRPr="001F019A">
        <w:rPr>
          <w:rFonts w:ascii="Arial" w:eastAsia="Calibri" w:hAnsi="Arial" w:cs="Arial"/>
          <w:bCs/>
          <w:sz w:val="20"/>
          <w:szCs w:val="20"/>
        </w:rPr>
        <w:t xml:space="preserve">, </w:t>
      </w:r>
      <w:r w:rsidRPr="001F019A">
        <w:rPr>
          <w:rFonts w:ascii="Arial" w:eastAsia="Calibri" w:hAnsi="Arial" w:cs="Arial"/>
          <w:bCs/>
          <w:sz w:val="20"/>
          <w:szCs w:val="20"/>
          <w:u w:val="single"/>
        </w:rPr>
        <w:t>rendue nécessaire par la fourniture des services faisant l’objet de la présente déclaration</w:t>
      </w:r>
      <w:r w:rsidRPr="001F019A">
        <w:rPr>
          <w:rFonts w:ascii="Arial" w:eastAsia="Calibri" w:hAnsi="Arial" w:cs="Arial"/>
          <w:bCs/>
          <w:sz w:val="20"/>
          <w:szCs w:val="20"/>
        </w:rPr>
        <w:t>,</w:t>
      </w:r>
      <w:r>
        <w:rPr>
          <w:rFonts w:ascii="Arial" w:eastAsia="Calibri" w:hAnsi="Arial" w:cs="Arial"/>
          <w:bCs/>
          <w:sz w:val="20"/>
          <w:szCs w:val="20"/>
        </w:rPr>
        <w:t xml:space="preserve"> du plan de continuité d’activité.</w:t>
      </w:r>
      <w:r w:rsidRPr="001F019A">
        <w:rPr>
          <w:rFonts w:ascii="Arial" w:eastAsia="Calibri" w:hAnsi="Arial" w:cs="Arial"/>
          <w:bCs/>
          <w:sz w:val="20"/>
          <w:szCs w:val="20"/>
        </w:rPr>
        <w:t xml:space="preserve"> </w:t>
      </w:r>
      <w:r w:rsidR="00631F37">
        <w:rPr>
          <w:rFonts w:ascii="Arial" w:eastAsia="Calibri" w:hAnsi="Arial" w:cs="Arial"/>
          <w:bCs/>
          <w:sz w:val="20"/>
          <w:szCs w:val="20"/>
        </w:rPr>
        <w:t xml:space="preserve">Le cas échant, </w:t>
      </w:r>
      <w:r w:rsidR="00D65BF9">
        <w:rPr>
          <w:rFonts w:ascii="Arial" w:eastAsia="Calibri" w:hAnsi="Arial" w:cs="Arial"/>
          <w:bCs/>
          <w:sz w:val="20"/>
          <w:szCs w:val="20"/>
        </w:rPr>
        <w:t>il convient de s’</w:t>
      </w:r>
      <w:r w:rsidR="00631F37">
        <w:rPr>
          <w:rFonts w:ascii="Arial" w:eastAsia="Calibri" w:hAnsi="Arial" w:cs="Arial"/>
          <w:bCs/>
          <w:sz w:val="20"/>
          <w:szCs w:val="20"/>
        </w:rPr>
        <w:t>appuyer sur le formulaire d’agrément d’établissement de monnaie électronique.</w:t>
      </w:r>
    </w:p>
    <w:p w14:paraId="4826E712" w14:textId="77777777" w:rsidR="001F019A" w:rsidRPr="00EB7D49" w:rsidRDefault="001F019A" w:rsidP="001F019A">
      <w:pPr>
        <w:pStyle w:val="Paragraphedeliste"/>
        <w:jc w:val="both"/>
        <w:rPr>
          <w:rFonts w:ascii="Arial" w:eastAsia="Calibri" w:hAnsi="Arial" w:cs="Arial"/>
          <w:b/>
          <w:sz w:val="20"/>
          <w:szCs w:val="20"/>
        </w:rPr>
      </w:pPr>
    </w:p>
    <w:p w14:paraId="57DF77EA" w14:textId="77777777" w:rsidR="00EB7D49" w:rsidRPr="00DA2E14" w:rsidRDefault="00EB7D49" w:rsidP="00DA2E14">
      <w:pPr>
        <w:pStyle w:val="Titre2"/>
        <w:numPr>
          <w:ilvl w:val="0"/>
          <w:numId w:val="35"/>
        </w:numPr>
        <w:spacing w:line="240" w:lineRule="auto"/>
        <w:contextualSpacing/>
        <w:rPr>
          <w:rFonts w:ascii="Arial" w:eastAsia="Times New Roman" w:hAnsi="Arial" w:cs="Arial"/>
          <w:b/>
          <w:color w:val="1F497D"/>
          <w:sz w:val="28"/>
          <w:szCs w:val="28"/>
          <w:lang w:eastAsia="fr-FR"/>
        </w:rPr>
      </w:pPr>
      <w:bookmarkStart w:id="37" w:name="_Toc507679368"/>
      <w:bookmarkStart w:id="38" w:name="_Toc78984800"/>
      <w:r w:rsidRPr="00DA2E14">
        <w:rPr>
          <w:rFonts w:ascii="Arial" w:eastAsia="Times New Roman" w:hAnsi="Arial" w:cs="Arial"/>
          <w:b/>
          <w:color w:val="1F497D"/>
          <w:sz w:val="28"/>
          <w:szCs w:val="28"/>
          <w:lang w:eastAsia="fr-FR"/>
        </w:rPr>
        <w:t>Politique de sécurité des services de paiement</w:t>
      </w:r>
      <w:bookmarkEnd w:id="37"/>
      <w:bookmarkEnd w:id="38"/>
    </w:p>
    <w:p w14:paraId="33081DE8" w14:textId="77777777" w:rsidR="00EB7D49" w:rsidRPr="00EB7D49" w:rsidRDefault="00EB7D49" w:rsidP="00EB7D49">
      <w:pPr>
        <w:jc w:val="both"/>
        <w:rPr>
          <w:rFonts w:ascii="Arial" w:eastAsia="Calibri" w:hAnsi="Arial" w:cs="Arial"/>
          <w:bCs/>
          <w:sz w:val="20"/>
          <w:szCs w:val="20"/>
        </w:rPr>
      </w:pPr>
    </w:p>
    <w:p w14:paraId="713FC863" w14:textId="53BB238E" w:rsidR="00E65493" w:rsidRDefault="00631F37" w:rsidP="00E65493">
      <w:pPr>
        <w:pStyle w:val="Paragraphedeliste"/>
        <w:numPr>
          <w:ilvl w:val="0"/>
          <w:numId w:val="12"/>
        </w:numPr>
        <w:jc w:val="both"/>
        <w:rPr>
          <w:rFonts w:ascii="Arial" w:eastAsia="Calibri" w:hAnsi="Arial" w:cs="Arial"/>
          <w:sz w:val="20"/>
          <w:szCs w:val="20"/>
        </w:rPr>
      </w:pPr>
      <w:r>
        <w:rPr>
          <w:rFonts w:ascii="Arial" w:eastAsia="Calibri" w:hAnsi="Arial" w:cs="Arial"/>
          <w:sz w:val="20"/>
          <w:szCs w:val="20"/>
        </w:rPr>
        <w:t xml:space="preserve">Décrire </w:t>
      </w:r>
      <w:r w:rsidR="00EB7D49" w:rsidRPr="001F019A">
        <w:rPr>
          <w:rFonts w:ascii="Arial" w:eastAsia="Calibri" w:hAnsi="Arial" w:cs="Arial"/>
          <w:sz w:val="20"/>
          <w:szCs w:val="20"/>
        </w:rPr>
        <w:t xml:space="preserve">les </w:t>
      </w:r>
      <w:r>
        <w:rPr>
          <w:rFonts w:ascii="Arial" w:eastAsia="Calibri" w:hAnsi="Arial" w:cs="Arial"/>
          <w:sz w:val="20"/>
          <w:szCs w:val="20"/>
        </w:rPr>
        <w:t xml:space="preserve">évolutions de la politique de sécurité des services de paiement </w:t>
      </w:r>
      <w:r w:rsidR="001F019A" w:rsidRPr="001F019A">
        <w:rPr>
          <w:rFonts w:ascii="Arial" w:eastAsia="Calibri" w:hAnsi="Arial" w:cs="Arial"/>
          <w:bCs/>
          <w:sz w:val="20"/>
          <w:szCs w:val="20"/>
          <w:u w:val="single"/>
        </w:rPr>
        <w:t>rendue</w:t>
      </w:r>
      <w:r>
        <w:rPr>
          <w:rFonts w:ascii="Arial" w:eastAsia="Calibri" w:hAnsi="Arial" w:cs="Arial"/>
          <w:bCs/>
          <w:sz w:val="20"/>
          <w:szCs w:val="20"/>
          <w:u w:val="single"/>
        </w:rPr>
        <w:t>s</w:t>
      </w:r>
      <w:r w:rsidR="001F019A" w:rsidRPr="001F019A">
        <w:rPr>
          <w:rFonts w:ascii="Arial" w:eastAsia="Calibri" w:hAnsi="Arial" w:cs="Arial"/>
          <w:bCs/>
          <w:sz w:val="20"/>
          <w:szCs w:val="20"/>
          <w:u w:val="single"/>
        </w:rPr>
        <w:t xml:space="preserve"> nécessaire</w:t>
      </w:r>
      <w:r>
        <w:rPr>
          <w:rFonts w:ascii="Arial" w:eastAsia="Calibri" w:hAnsi="Arial" w:cs="Arial"/>
          <w:bCs/>
          <w:sz w:val="20"/>
          <w:szCs w:val="20"/>
          <w:u w:val="single"/>
        </w:rPr>
        <w:t>s</w:t>
      </w:r>
      <w:r w:rsidR="001F019A" w:rsidRPr="001F019A">
        <w:rPr>
          <w:rFonts w:ascii="Arial" w:eastAsia="Calibri" w:hAnsi="Arial" w:cs="Arial"/>
          <w:bCs/>
          <w:sz w:val="20"/>
          <w:szCs w:val="20"/>
          <w:u w:val="single"/>
        </w:rPr>
        <w:t xml:space="preserve"> par la fourniture des services faisant l’objet de la présente déclaration</w:t>
      </w:r>
      <w:r w:rsidRPr="00631F37">
        <w:rPr>
          <w:rFonts w:ascii="Arial" w:eastAsia="Calibri" w:hAnsi="Arial" w:cs="Arial"/>
          <w:sz w:val="20"/>
          <w:szCs w:val="20"/>
        </w:rPr>
        <w:t>.</w:t>
      </w:r>
      <w:r>
        <w:rPr>
          <w:rFonts w:ascii="Arial" w:eastAsia="Calibri" w:hAnsi="Arial" w:cs="Arial"/>
          <w:sz w:val="20"/>
          <w:szCs w:val="20"/>
        </w:rPr>
        <w:t> </w:t>
      </w:r>
      <w:r>
        <w:rPr>
          <w:rFonts w:ascii="Arial" w:eastAsia="Calibri" w:hAnsi="Arial" w:cs="Arial"/>
          <w:bCs/>
          <w:sz w:val="20"/>
          <w:szCs w:val="20"/>
        </w:rPr>
        <w:t xml:space="preserve">Le cas échant, </w:t>
      </w:r>
      <w:r w:rsidR="00D65BF9">
        <w:rPr>
          <w:rFonts w:ascii="Arial" w:eastAsia="Calibri" w:hAnsi="Arial" w:cs="Arial"/>
          <w:bCs/>
          <w:sz w:val="20"/>
          <w:szCs w:val="20"/>
        </w:rPr>
        <w:t>il convient de s’</w:t>
      </w:r>
      <w:r>
        <w:rPr>
          <w:rFonts w:ascii="Arial" w:eastAsia="Calibri" w:hAnsi="Arial" w:cs="Arial"/>
          <w:bCs/>
          <w:sz w:val="20"/>
          <w:szCs w:val="20"/>
        </w:rPr>
        <w:t>appuyer sur le formulaire d’agrément d’établissement de monnaie électronique.</w:t>
      </w:r>
    </w:p>
    <w:p w14:paraId="30ACF592" w14:textId="77777777" w:rsidR="00AD5F52" w:rsidRPr="0018487B" w:rsidRDefault="00AD5F52" w:rsidP="00FA229B">
      <w:pPr>
        <w:spacing w:after="200"/>
        <w:rPr>
          <w:rFonts w:ascii="Arial" w:eastAsia="Calibri" w:hAnsi="Arial" w:cs="Arial"/>
          <w:bCs/>
          <w:sz w:val="20"/>
          <w:szCs w:val="20"/>
        </w:rPr>
      </w:pPr>
    </w:p>
    <w:sectPr w:rsidR="00AD5F52" w:rsidRPr="0018487B">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1CB17" w14:textId="77777777" w:rsidR="00D30B71" w:rsidRDefault="00D30B71" w:rsidP="006720D4">
      <w:pPr>
        <w:spacing w:line="240" w:lineRule="auto"/>
      </w:pPr>
      <w:r>
        <w:separator/>
      </w:r>
    </w:p>
  </w:endnote>
  <w:endnote w:type="continuationSeparator" w:id="0">
    <w:p w14:paraId="5F1DF4A7" w14:textId="77777777" w:rsidR="00D30B71" w:rsidRDefault="00D30B71" w:rsidP="00672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35B58" w14:textId="77777777" w:rsidR="00D30B71" w:rsidRDefault="00D30B71" w:rsidP="006720D4">
      <w:pPr>
        <w:spacing w:line="240" w:lineRule="auto"/>
      </w:pPr>
      <w:r>
        <w:separator/>
      </w:r>
    </w:p>
  </w:footnote>
  <w:footnote w:type="continuationSeparator" w:id="0">
    <w:p w14:paraId="1029E4CE" w14:textId="77777777" w:rsidR="00D30B71" w:rsidRDefault="00D30B71" w:rsidP="006720D4">
      <w:pPr>
        <w:spacing w:line="240" w:lineRule="auto"/>
      </w:pPr>
      <w:r>
        <w:continuationSeparator/>
      </w:r>
    </w:p>
  </w:footnote>
  <w:footnote w:id="1">
    <w:p w14:paraId="00134E84" w14:textId="77777777" w:rsidR="00BA5170" w:rsidRDefault="00BA5170" w:rsidP="006D68A4">
      <w:pPr>
        <w:pStyle w:val="Notedebasdepage"/>
      </w:pPr>
      <w:r>
        <w:rPr>
          <w:rStyle w:val="Appelnotedebasdep"/>
        </w:rPr>
        <w:footnoteRef/>
      </w:r>
      <w:r>
        <w:t xml:space="preserve"> A</w:t>
      </w:r>
      <w:r w:rsidRPr="003F5779">
        <w:t>rrêté du 29 octobre 2009 portant sur la règlementation prudentielle des établissements de paiemen</w:t>
      </w:r>
      <w:r>
        <w:t>t</w:t>
      </w:r>
    </w:p>
  </w:footnote>
  <w:footnote w:id="2">
    <w:p w14:paraId="7FB7DBEA" w14:textId="77777777" w:rsidR="00BA5170" w:rsidRDefault="00BA5170" w:rsidP="006739F9">
      <w:pPr>
        <w:pStyle w:val="Notedebasdepage"/>
      </w:pPr>
      <w:r>
        <w:rPr>
          <w:rStyle w:val="Appelnotedebasdep"/>
        </w:rPr>
        <w:footnoteRef/>
      </w:r>
      <w:r>
        <w:t xml:space="preserve"> </w:t>
      </w:r>
      <w:r w:rsidRPr="006739F9">
        <w:rPr>
          <w:bCs/>
        </w:rPr>
        <w:t>Arrêté du 3 novembre 2014 relatif au contrôle interne des entreprises du secteur de la banque, des services de paiement et des services d'investissement soumises au contrôle de l'Autorité de contrôle prudentiel et de résolution</w:t>
      </w:r>
    </w:p>
  </w:footnote>
  <w:footnote w:id="3">
    <w:p w14:paraId="05D90758" w14:textId="77777777" w:rsidR="00BA5170" w:rsidRDefault="00BA5170">
      <w:pPr>
        <w:pStyle w:val="Notedebasdepage"/>
      </w:pPr>
      <w:r>
        <w:rPr>
          <w:rStyle w:val="Appelnotedebasdep"/>
        </w:rPr>
        <w:footnoteRef/>
      </w:r>
      <w:r>
        <w:t xml:space="preserve"> Cette procédure inclut notamment les </w:t>
      </w:r>
      <w:r w:rsidRPr="00537085">
        <w:t>outils de surveillance utilisés ainsi que les mesures et procédures de suivi en place afin d’</w:t>
      </w:r>
      <w:r>
        <w:t xml:space="preserve">atténuer les risques de sécurité, les </w:t>
      </w:r>
      <w:r w:rsidRPr="00537085">
        <w:t>procédures de reporting des incidents</w:t>
      </w:r>
      <w:r>
        <w:t xml:space="preserve"> y compris les notification d’incident majeur en application de l’article 96 de la DSP2.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0B45E" w14:textId="1AA991B1" w:rsidR="00BA5170" w:rsidRDefault="00BA5170" w:rsidP="006720D4">
    <w:pPr>
      <w:pStyle w:val="En-tte"/>
      <w:jc w:val="right"/>
      <w:rPr>
        <w:rFonts w:ascii="Times New Roman" w:hAnsi="Times New Roman" w:cs="Times New Roman"/>
      </w:rPr>
    </w:pPr>
    <w:r>
      <w:rPr>
        <w:rFonts w:ascii="Times New Roman" w:hAnsi="Times New Roman" w:cs="Times New Roman"/>
      </w:rPr>
      <w:t xml:space="preserve">Annexe de l’instruction </w:t>
    </w:r>
    <w:r w:rsidR="00616F7D">
      <w:rPr>
        <w:rFonts w:ascii="Times New Roman" w:hAnsi="Times New Roman" w:cs="Times New Roman"/>
      </w:rPr>
      <w:t xml:space="preserve">n° </w:t>
    </w:r>
    <w:r>
      <w:rPr>
        <w:rFonts w:ascii="Times New Roman" w:hAnsi="Times New Roman" w:cs="Times New Roman"/>
      </w:rPr>
      <w:t>2014-I-05</w:t>
    </w:r>
  </w:p>
  <w:p w14:paraId="511461D9" w14:textId="331F42A6" w:rsidR="00BA5170" w:rsidRDefault="00BA5170" w:rsidP="006720D4">
    <w:pPr>
      <w:pStyle w:val="En-tte"/>
      <w:jc w:val="right"/>
      <w:rPr>
        <w:rFonts w:ascii="Times New Roman" w:hAnsi="Times New Roman" w:cs="Times New Roman"/>
      </w:rPr>
    </w:pPr>
    <w:r>
      <w:rPr>
        <w:rFonts w:ascii="Times New Roman" w:hAnsi="Times New Roman" w:cs="Times New Roman"/>
      </w:rPr>
      <w:t xml:space="preserve">modifiée par l’instruction </w:t>
    </w:r>
    <w:r w:rsidR="00616F7D">
      <w:rPr>
        <w:rFonts w:ascii="Times New Roman" w:hAnsi="Times New Roman" w:cs="Times New Roman"/>
      </w:rPr>
      <w:t>n° </w:t>
    </w:r>
    <w:r>
      <w:rPr>
        <w:rFonts w:ascii="Times New Roman" w:hAnsi="Times New Roman" w:cs="Times New Roman"/>
      </w:rPr>
      <w:t>2021-I-</w:t>
    </w:r>
    <w:r w:rsidR="00A97BF3">
      <w:rPr>
        <w:rFonts w:ascii="Times New Roman" w:hAnsi="Times New Roman" w:cs="Times New Roman"/>
      </w:rPr>
      <w:t>0</w:t>
    </w:r>
    <w:r w:rsidR="00420E81">
      <w:rPr>
        <w:rFonts w:ascii="Times New Roman" w:hAnsi="Times New Roman" w:cs="Times New Roman"/>
      </w:rPr>
      <w:t>8</w:t>
    </w:r>
    <w:r>
      <w:rPr>
        <w:rFonts w:ascii="Times New Roman" w:hAnsi="Times New Roman" w:cs="Times New Roman"/>
      </w:rPr>
      <w:t xml:space="preserve"> du </w:t>
    </w:r>
    <w:r w:rsidR="00BC5382">
      <w:rPr>
        <w:rFonts w:ascii="Times New Roman" w:hAnsi="Times New Roman" w:cs="Times New Roman"/>
      </w:rPr>
      <w:t>6 octobre 2021</w:t>
    </w:r>
  </w:p>
  <w:p w14:paraId="15FAAAA9" w14:textId="77777777" w:rsidR="00BA5170" w:rsidRDefault="00BA51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650"/>
    <w:multiLevelType w:val="hybridMultilevel"/>
    <w:tmpl w:val="F9165F26"/>
    <w:lvl w:ilvl="0" w:tplc="74EE61DA">
      <w:start w:val="2"/>
      <w:numFmt w:val="bullet"/>
      <w:lvlText w:val="-"/>
      <w:lvlJc w:val="left"/>
      <w:pPr>
        <w:ind w:left="720" w:hanging="360"/>
      </w:pPr>
      <w:rPr>
        <w:rFonts w:ascii="Arial" w:eastAsia="Calibri" w:hAnsi="Arial" w:cs="Aria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A34F7"/>
    <w:multiLevelType w:val="hybridMultilevel"/>
    <w:tmpl w:val="58D0A148"/>
    <w:lvl w:ilvl="0" w:tplc="040C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B783AE2"/>
    <w:multiLevelType w:val="hybridMultilevel"/>
    <w:tmpl w:val="AB125356"/>
    <w:lvl w:ilvl="0" w:tplc="7578D632">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B04AFA"/>
    <w:multiLevelType w:val="hybridMultilevel"/>
    <w:tmpl w:val="E9CE171C"/>
    <w:lvl w:ilvl="0" w:tplc="13C608DE">
      <w:start w:val="1"/>
      <w:numFmt w:val="upperLetter"/>
      <w:lvlText w:val="%1."/>
      <w:lvlJc w:val="left"/>
      <w:pPr>
        <w:ind w:left="786"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14BC31B7"/>
    <w:multiLevelType w:val="hybridMultilevel"/>
    <w:tmpl w:val="D8C0EBD4"/>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15:restartNumberingAfterBreak="0">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052BA5"/>
    <w:multiLevelType w:val="hybridMultilevel"/>
    <w:tmpl w:val="BC522EF0"/>
    <w:lvl w:ilvl="0" w:tplc="D3282C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F7BE2"/>
    <w:multiLevelType w:val="hybridMultilevel"/>
    <w:tmpl w:val="D4904974"/>
    <w:lvl w:ilvl="0" w:tplc="7578D632">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30987F17"/>
    <w:multiLevelType w:val="hybridMultilevel"/>
    <w:tmpl w:val="C06A42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9B5FB1"/>
    <w:multiLevelType w:val="hybridMultilevel"/>
    <w:tmpl w:val="9B62A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A25B6D"/>
    <w:multiLevelType w:val="hybridMultilevel"/>
    <w:tmpl w:val="571E928E"/>
    <w:lvl w:ilvl="0" w:tplc="040C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4A423CB"/>
    <w:multiLevelType w:val="hybridMultilevel"/>
    <w:tmpl w:val="428EC92A"/>
    <w:lvl w:ilvl="0" w:tplc="74EE61D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22968"/>
    <w:multiLevelType w:val="hybridMultilevel"/>
    <w:tmpl w:val="865294F8"/>
    <w:lvl w:ilvl="0" w:tplc="74EE61D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54C1D"/>
    <w:multiLevelType w:val="hybridMultilevel"/>
    <w:tmpl w:val="D4CAD412"/>
    <w:lvl w:ilvl="0" w:tplc="08090019">
      <w:start w:val="1"/>
      <w:numFmt w:val="lowerLetter"/>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6" w15:restartNumberingAfterBreak="0">
    <w:nsid w:val="4BB177DB"/>
    <w:multiLevelType w:val="hybridMultilevel"/>
    <w:tmpl w:val="F76C88A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44546A"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19" w15:restartNumberingAfterBreak="0">
    <w:nsid w:val="52427356"/>
    <w:multiLevelType w:val="hybridMultilevel"/>
    <w:tmpl w:val="9AD8DD2E"/>
    <w:lvl w:ilvl="0" w:tplc="BB2277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4A20186"/>
    <w:multiLevelType w:val="hybridMultilevel"/>
    <w:tmpl w:val="A6B056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5ACA4CFC">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74077F7"/>
    <w:multiLevelType w:val="hybridMultilevel"/>
    <w:tmpl w:val="1B24BD90"/>
    <w:lvl w:ilvl="0" w:tplc="040C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75B1970"/>
    <w:multiLevelType w:val="hybridMultilevel"/>
    <w:tmpl w:val="092A0876"/>
    <w:lvl w:ilvl="0" w:tplc="040C0019">
      <w:start w:val="1"/>
      <w:numFmt w:val="lowerLetter"/>
      <w:lvlText w:val="%1."/>
      <w:lvlJc w:val="left"/>
      <w:pPr>
        <w:ind w:left="1422" w:hanging="360"/>
      </w:pPr>
      <w:rPr>
        <w:rFonts w:hint="default"/>
      </w:rPr>
    </w:lvl>
    <w:lvl w:ilvl="1" w:tplc="040C0019">
      <w:start w:val="1"/>
      <w:numFmt w:val="lowerLetter"/>
      <w:lvlText w:val="%2."/>
      <w:lvlJc w:val="left"/>
      <w:pPr>
        <w:ind w:left="2142" w:hanging="360"/>
      </w:pPr>
    </w:lvl>
    <w:lvl w:ilvl="2" w:tplc="040C001B" w:tentative="1">
      <w:start w:val="1"/>
      <w:numFmt w:val="lowerRoman"/>
      <w:lvlText w:val="%3."/>
      <w:lvlJc w:val="right"/>
      <w:pPr>
        <w:ind w:left="2862" w:hanging="180"/>
      </w:pPr>
    </w:lvl>
    <w:lvl w:ilvl="3" w:tplc="040C000F" w:tentative="1">
      <w:start w:val="1"/>
      <w:numFmt w:val="decimal"/>
      <w:lvlText w:val="%4."/>
      <w:lvlJc w:val="left"/>
      <w:pPr>
        <w:ind w:left="3582" w:hanging="360"/>
      </w:pPr>
    </w:lvl>
    <w:lvl w:ilvl="4" w:tplc="040C0019" w:tentative="1">
      <w:start w:val="1"/>
      <w:numFmt w:val="lowerLetter"/>
      <w:lvlText w:val="%5."/>
      <w:lvlJc w:val="left"/>
      <w:pPr>
        <w:ind w:left="4302" w:hanging="360"/>
      </w:pPr>
    </w:lvl>
    <w:lvl w:ilvl="5" w:tplc="040C001B" w:tentative="1">
      <w:start w:val="1"/>
      <w:numFmt w:val="lowerRoman"/>
      <w:lvlText w:val="%6."/>
      <w:lvlJc w:val="right"/>
      <w:pPr>
        <w:ind w:left="5022" w:hanging="180"/>
      </w:pPr>
    </w:lvl>
    <w:lvl w:ilvl="6" w:tplc="040C000F" w:tentative="1">
      <w:start w:val="1"/>
      <w:numFmt w:val="decimal"/>
      <w:lvlText w:val="%7."/>
      <w:lvlJc w:val="left"/>
      <w:pPr>
        <w:ind w:left="5742" w:hanging="360"/>
      </w:pPr>
    </w:lvl>
    <w:lvl w:ilvl="7" w:tplc="040C0019" w:tentative="1">
      <w:start w:val="1"/>
      <w:numFmt w:val="lowerLetter"/>
      <w:lvlText w:val="%8."/>
      <w:lvlJc w:val="left"/>
      <w:pPr>
        <w:ind w:left="6462" w:hanging="360"/>
      </w:pPr>
    </w:lvl>
    <w:lvl w:ilvl="8" w:tplc="040C001B" w:tentative="1">
      <w:start w:val="1"/>
      <w:numFmt w:val="lowerRoman"/>
      <w:lvlText w:val="%9."/>
      <w:lvlJc w:val="right"/>
      <w:pPr>
        <w:ind w:left="7182" w:hanging="180"/>
      </w:pPr>
    </w:lvl>
  </w:abstractNum>
  <w:abstractNum w:abstractNumId="25" w15:restartNumberingAfterBreak="0">
    <w:nsid w:val="57D84D39"/>
    <w:multiLevelType w:val="hybridMultilevel"/>
    <w:tmpl w:val="BFE667AA"/>
    <w:lvl w:ilvl="0" w:tplc="F8E28D3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6C480F"/>
    <w:multiLevelType w:val="hybridMultilevel"/>
    <w:tmpl w:val="75D2868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B7134DE"/>
    <w:multiLevelType w:val="hybridMultilevel"/>
    <w:tmpl w:val="C3005B88"/>
    <w:lvl w:ilvl="0" w:tplc="4B7EA18A">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D01445"/>
    <w:multiLevelType w:val="hybridMultilevel"/>
    <w:tmpl w:val="CBC2712A"/>
    <w:lvl w:ilvl="0" w:tplc="D3282CD2">
      <w:numFmt w:val="bullet"/>
      <w:lvlText w:val="-"/>
      <w:lvlJc w:val="left"/>
      <w:pPr>
        <w:ind w:left="720" w:hanging="360"/>
      </w:pPr>
      <w:rPr>
        <w:rFonts w:ascii="Calibri" w:eastAsiaTheme="minorHAnsi" w:hAnsi="Calibri" w:cs="Calibri"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F092E8D"/>
    <w:multiLevelType w:val="hybridMultilevel"/>
    <w:tmpl w:val="1A7A1430"/>
    <w:lvl w:ilvl="0" w:tplc="1DF0EB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FE658AC"/>
    <w:multiLevelType w:val="hybridMultilevel"/>
    <w:tmpl w:val="93386712"/>
    <w:lvl w:ilvl="0" w:tplc="884A1F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FF208C3"/>
    <w:multiLevelType w:val="multilevel"/>
    <w:tmpl w:val="CCDA7B8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Roman"/>
      <w:lvlText w:val="%3."/>
      <w:lvlJc w:val="righ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833B57"/>
    <w:multiLevelType w:val="hybridMultilevel"/>
    <w:tmpl w:val="CA0A9344"/>
    <w:lvl w:ilvl="0" w:tplc="3684DC9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4B301C3"/>
    <w:multiLevelType w:val="hybridMultilevel"/>
    <w:tmpl w:val="0AB8B576"/>
    <w:lvl w:ilvl="0" w:tplc="74EE61DA">
      <w:start w:val="2"/>
      <w:numFmt w:val="bullet"/>
      <w:lvlText w:val="-"/>
      <w:lvlJc w:val="left"/>
      <w:pPr>
        <w:ind w:left="720" w:hanging="360"/>
      </w:pPr>
      <w:rPr>
        <w:rFonts w:ascii="Arial" w:eastAsia="Calibri" w:hAnsi="Arial" w:cs="Arial" w:hint="default"/>
      </w:rPr>
    </w:lvl>
    <w:lvl w:ilvl="1" w:tplc="0809000F">
      <w:start w:val="1"/>
      <w:numFmt w:val="decimal"/>
      <w:lvlText w:val="%2."/>
      <w:lvlJc w:val="left"/>
      <w:pPr>
        <w:ind w:left="1440" w:hanging="360"/>
      </w:pPr>
      <w:rPr>
        <w:rFonts w:hint="default"/>
      </w:rPr>
    </w:lvl>
    <w:lvl w:ilvl="2" w:tplc="08090019">
      <w:start w:val="1"/>
      <w:numFmt w:val="lowerLetter"/>
      <w:lvlText w:val="%3."/>
      <w:lvlJc w:val="left"/>
      <w:pPr>
        <w:ind w:left="2160" w:hanging="360"/>
      </w:pPr>
      <w:rPr>
        <w:rFont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D800739"/>
    <w:multiLevelType w:val="multilevel"/>
    <w:tmpl w:val="AC862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EAF701F"/>
    <w:multiLevelType w:val="hybridMultilevel"/>
    <w:tmpl w:val="2E7A66E8"/>
    <w:lvl w:ilvl="0" w:tplc="74EE61D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2F742A1"/>
    <w:multiLevelType w:val="hybridMultilevel"/>
    <w:tmpl w:val="147E6254"/>
    <w:lvl w:ilvl="0" w:tplc="4E36DC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ABE2158"/>
    <w:multiLevelType w:val="hybridMultilevel"/>
    <w:tmpl w:val="CD944F5C"/>
    <w:lvl w:ilvl="0" w:tplc="74EE61D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F35C92"/>
    <w:multiLevelType w:val="hybridMultilevel"/>
    <w:tmpl w:val="B41E92B4"/>
    <w:lvl w:ilvl="0" w:tplc="7578D632">
      <w:start w:val="1"/>
      <w:numFmt w:val="upperLetter"/>
      <w:lvlText w:val="%1."/>
      <w:lvlJc w:val="left"/>
      <w:pPr>
        <w:ind w:left="1068" w:hanging="360"/>
      </w:pPr>
      <w:rPr>
        <w:rFonts w:hint="default"/>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abstractNumId w:val="29"/>
  </w:num>
  <w:num w:numId="2">
    <w:abstractNumId w:val="40"/>
  </w:num>
  <w:num w:numId="3">
    <w:abstractNumId w:val="11"/>
  </w:num>
  <w:num w:numId="4">
    <w:abstractNumId w:val="9"/>
  </w:num>
  <w:num w:numId="5">
    <w:abstractNumId w:val="13"/>
  </w:num>
  <w:num w:numId="6">
    <w:abstractNumId w:val="0"/>
  </w:num>
  <w:num w:numId="7">
    <w:abstractNumId w:val="39"/>
  </w:num>
  <w:num w:numId="8">
    <w:abstractNumId w:val="2"/>
  </w:num>
  <w:num w:numId="9">
    <w:abstractNumId w:val="4"/>
  </w:num>
  <w:num w:numId="10">
    <w:abstractNumId w:val="28"/>
  </w:num>
  <w:num w:numId="11">
    <w:abstractNumId w:val="34"/>
  </w:num>
  <w:num w:numId="12">
    <w:abstractNumId w:val="33"/>
  </w:num>
  <w:num w:numId="13">
    <w:abstractNumId w:val="37"/>
  </w:num>
  <w:num w:numId="14">
    <w:abstractNumId w:val="10"/>
  </w:num>
  <w:num w:numId="15">
    <w:abstractNumId w:val="17"/>
  </w:num>
  <w:num w:numId="16">
    <w:abstractNumId w:val="20"/>
  </w:num>
  <w:num w:numId="17">
    <w:abstractNumId w:val="3"/>
  </w:num>
  <w:num w:numId="18">
    <w:abstractNumId w:val="7"/>
  </w:num>
  <w:num w:numId="19">
    <w:abstractNumId w:val="31"/>
  </w:num>
  <w:num w:numId="20">
    <w:abstractNumId w:val="18"/>
  </w:num>
  <w:num w:numId="21">
    <w:abstractNumId w:val="14"/>
  </w:num>
  <w:num w:numId="22">
    <w:abstractNumId w:val="22"/>
  </w:num>
  <w:num w:numId="23">
    <w:abstractNumId w:val="5"/>
  </w:num>
  <w:num w:numId="24">
    <w:abstractNumId w:val="5"/>
    <w:lvlOverride w:ilvl="0">
      <w:startOverride w:val="1"/>
    </w:lvlOverride>
  </w:num>
  <w:num w:numId="25">
    <w:abstractNumId w:val="1"/>
  </w:num>
  <w:num w:numId="26">
    <w:abstractNumId w:val="23"/>
  </w:num>
  <w:num w:numId="27">
    <w:abstractNumId w:val="26"/>
  </w:num>
  <w:num w:numId="28">
    <w:abstractNumId w:val="36"/>
  </w:num>
  <w:num w:numId="29">
    <w:abstractNumId w:val="35"/>
  </w:num>
  <w:num w:numId="30">
    <w:abstractNumId w:val="12"/>
  </w:num>
  <w:num w:numId="31">
    <w:abstractNumId w:val="21"/>
  </w:num>
  <w:num w:numId="32">
    <w:abstractNumId w:val="24"/>
  </w:num>
  <w:num w:numId="33">
    <w:abstractNumId w:val="38"/>
  </w:num>
  <w:num w:numId="34">
    <w:abstractNumId w:val="30"/>
  </w:num>
  <w:num w:numId="35">
    <w:abstractNumId w:val="5"/>
    <w:lvlOverride w:ilvl="0">
      <w:startOverride w:val="1"/>
    </w:lvlOverride>
  </w:num>
  <w:num w:numId="36">
    <w:abstractNumId w:val="19"/>
  </w:num>
  <w:num w:numId="37">
    <w:abstractNumId w:val="16"/>
  </w:num>
  <w:num w:numId="38">
    <w:abstractNumId w:val="27"/>
  </w:num>
  <w:num w:numId="39">
    <w:abstractNumId w:val="15"/>
  </w:num>
  <w:num w:numId="40">
    <w:abstractNumId w:val="6"/>
  </w:num>
  <w:num w:numId="41">
    <w:abstractNumId w:val="8"/>
  </w:num>
  <w:num w:numId="42">
    <w:abstractNumId w:val="25"/>
  </w:num>
  <w:num w:numId="43">
    <w:abstractNumId w:val="32"/>
  </w:num>
  <w:num w:numId="44">
    <w:abstractNumId w:val="39"/>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0D4"/>
    <w:rsid w:val="00027E56"/>
    <w:rsid w:val="0003592C"/>
    <w:rsid w:val="000557DF"/>
    <w:rsid w:val="00070703"/>
    <w:rsid w:val="000A669F"/>
    <w:rsid w:val="0018487B"/>
    <w:rsid w:val="00186F87"/>
    <w:rsid w:val="001952C1"/>
    <w:rsid w:val="001B5123"/>
    <w:rsid w:val="001C20CB"/>
    <w:rsid w:val="001F019A"/>
    <w:rsid w:val="001F310E"/>
    <w:rsid w:val="002170AC"/>
    <w:rsid w:val="00270D81"/>
    <w:rsid w:val="002C5D2F"/>
    <w:rsid w:val="002D3632"/>
    <w:rsid w:val="002F7CBA"/>
    <w:rsid w:val="00314768"/>
    <w:rsid w:val="003430A3"/>
    <w:rsid w:val="004034EE"/>
    <w:rsid w:val="00420E81"/>
    <w:rsid w:val="0046088B"/>
    <w:rsid w:val="00474D29"/>
    <w:rsid w:val="004C646B"/>
    <w:rsid w:val="004D2641"/>
    <w:rsid w:val="00537085"/>
    <w:rsid w:val="005F6736"/>
    <w:rsid w:val="00610FEB"/>
    <w:rsid w:val="00616F7D"/>
    <w:rsid w:val="00631F37"/>
    <w:rsid w:val="00640DEC"/>
    <w:rsid w:val="00661261"/>
    <w:rsid w:val="006720D4"/>
    <w:rsid w:val="006739F9"/>
    <w:rsid w:val="00695E59"/>
    <w:rsid w:val="006B5FCF"/>
    <w:rsid w:val="006B7031"/>
    <w:rsid w:val="006D68A4"/>
    <w:rsid w:val="007100BB"/>
    <w:rsid w:val="00710B68"/>
    <w:rsid w:val="007C72AD"/>
    <w:rsid w:val="00861B44"/>
    <w:rsid w:val="0091477C"/>
    <w:rsid w:val="00937499"/>
    <w:rsid w:val="009C32B3"/>
    <w:rsid w:val="00A053BA"/>
    <w:rsid w:val="00A06A69"/>
    <w:rsid w:val="00A32433"/>
    <w:rsid w:val="00A46CE9"/>
    <w:rsid w:val="00A97BF3"/>
    <w:rsid w:val="00AA526D"/>
    <w:rsid w:val="00AD5F52"/>
    <w:rsid w:val="00B22292"/>
    <w:rsid w:val="00B3642D"/>
    <w:rsid w:val="00B7313E"/>
    <w:rsid w:val="00B9205E"/>
    <w:rsid w:val="00BA5170"/>
    <w:rsid w:val="00BC5382"/>
    <w:rsid w:val="00BD665D"/>
    <w:rsid w:val="00C3271C"/>
    <w:rsid w:val="00C951B0"/>
    <w:rsid w:val="00CA5768"/>
    <w:rsid w:val="00CD68CE"/>
    <w:rsid w:val="00D30B71"/>
    <w:rsid w:val="00D65BF9"/>
    <w:rsid w:val="00D83586"/>
    <w:rsid w:val="00D95052"/>
    <w:rsid w:val="00DA2E14"/>
    <w:rsid w:val="00E25048"/>
    <w:rsid w:val="00E65493"/>
    <w:rsid w:val="00E8677D"/>
    <w:rsid w:val="00EA286B"/>
    <w:rsid w:val="00EB7D49"/>
    <w:rsid w:val="00ED05C8"/>
    <w:rsid w:val="00F9685B"/>
    <w:rsid w:val="00FA229B"/>
    <w:rsid w:val="00FD2C8A"/>
    <w:rsid w:val="00FE09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25EDC4"/>
  <w15:chartTrackingRefBased/>
  <w15:docId w15:val="{C0C7F8DF-99CD-4EDE-BFA7-217D5CC8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0D4"/>
    <w:pPr>
      <w:spacing w:after="0" w:line="276" w:lineRule="auto"/>
    </w:pPr>
  </w:style>
  <w:style w:type="paragraph" w:styleId="Titre1">
    <w:name w:val="heading 1"/>
    <w:basedOn w:val="Normal"/>
    <w:next w:val="Normal"/>
    <w:link w:val="Titre1Car"/>
    <w:uiPriority w:val="9"/>
    <w:qFormat/>
    <w:rsid w:val="006720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2F7CB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Titre2"/>
    <w:next w:val="Normal"/>
    <w:link w:val="Titre4Car"/>
    <w:uiPriority w:val="9"/>
    <w:unhideWhenUsed/>
    <w:qFormat/>
    <w:rsid w:val="006D68A4"/>
    <w:pPr>
      <w:keepNext w:val="0"/>
      <w:keepLines w:val="0"/>
      <w:numPr>
        <w:ilvl w:val="2"/>
        <w:numId w:val="15"/>
      </w:numPr>
      <w:spacing w:before="0" w:line="240" w:lineRule="auto"/>
      <w:ind w:left="782" w:hanging="357"/>
      <w:contextualSpacing/>
      <w:outlineLvl w:val="3"/>
    </w:pPr>
    <w:rPr>
      <w:rFonts w:ascii="Arial" w:eastAsia="Times New Roman" w:hAnsi="Arial" w:cs="Arial"/>
      <w:b/>
      <w:color w:val="1F497D"/>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720D4"/>
    <w:pPr>
      <w:tabs>
        <w:tab w:val="center" w:pos="4536"/>
        <w:tab w:val="right" w:pos="9072"/>
      </w:tabs>
      <w:spacing w:line="240" w:lineRule="auto"/>
    </w:pPr>
  </w:style>
  <w:style w:type="character" w:customStyle="1" w:styleId="En-tteCar">
    <w:name w:val="En-tête Car"/>
    <w:basedOn w:val="Policepardfaut"/>
    <w:link w:val="En-tte"/>
    <w:uiPriority w:val="99"/>
    <w:rsid w:val="006720D4"/>
  </w:style>
  <w:style w:type="paragraph" w:styleId="Pieddepage">
    <w:name w:val="footer"/>
    <w:basedOn w:val="Normal"/>
    <w:link w:val="PieddepageCar"/>
    <w:uiPriority w:val="99"/>
    <w:unhideWhenUsed/>
    <w:rsid w:val="006720D4"/>
    <w:pPr>
      <w:tabs>
        <w:tab w:val="center" w:pos="4536"/>
        <w:tab w:val="right" w:pos="9072"/>
      </w:tabs>
      <w:spacing w:line="240" w:lineRule="auto"/>
    </w:pPr>
  </w:style>
  <w:style w:type="character" w:customStyle="1" w:styleId="PieddepageCar">
    <w:name w:val="Pied de page Car"/>
    <w:basedOn w:val="Policepardfaut"/>
    <w:link w:val="Pieddepage"/>
    <w:uiPriority w:val="99"/>
    <w:rsid w:val="006720D4"/>
  </w:style>
  <w:style w:type="character" w:styleId="Lienhypertexte">
    <w:name w:val="Hyperlink"/>
    <w:basedOn w:val="Policepardfaut"/>
    <w:uiPriority w:val="99"/>
    <w:unhideWhenUsed/>
    <w:rsid w:val="006720D4"/>
    <w:rPr>
      <w:color w:val="0563C1" w:themeColor="hyperlink"/>
      <w:u w:val="single"/>
    </w:rPr>
  </w:style>
  <w:style w:type="character" w:customStyle="1" w:styleId="Titre1Car">
    <w:name w:val="Titre 1 Car"/>
    <w:basedOn w:val="Policepardfaut"/>
    <w:link w:val="Titre1"/>
    <w:uiPriority w:val="9"/>
    <w:rsid w:val="006720D4"/>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6720D4"/>
    <w:pPr>
      <w:spacing w:before="480"/>
      <w:outlineLvl w:val="9"/>
    </w:pPr>
    <w:rPr>
      <w:b/>
      <w:bCs/>
      <w:sz w:val="28"/>
      <w:szCs w:val="28"/>
      <w:lang w:eastAsia="fr-FR"/>
    </w:rPr>
  </w:style>
  <w:style w:type="paragraph" w:styleId="TM1">
    <w:name w:val="toc 1"/>
    <w:basedOn w:val="Normal"/>
    <w:next w:val="Normal"/>
    <w:autoRedefine/>
    <w:uiPriority w:val="39"/>
    <w:unhideWhenUsed/>
    <w:rsid w:val="00DA2E14"/>
    <w:pPr>
      <w:tabs>
        <w:tab w:val="left" w:pos="440"/>
        <w:tab w:val="right" w:leader="dot" w:pos="9062"/>
      </w:tabs>
      <w:spacing w:after="100"/>
    </w:pPr>
    <w:rPr>
      <w:rFonts w:ascii="Arial" w:eastAsia="Times New Roman" w:hAnsi="Arial" w:cs="Arial"/>
      <w:b/>
      <w:noProof/>
      <w:sz w:val="20"/>
      <w:lang w:eastAsia="fr-FR"/>
    </w:rPr>
  </w:style>
  <w:style w:type="paragraph" w:styleId="TM2">
    <w:name w:val="toc 2"/>
    <w:basedOn w:val="Normal"/>
    <w:next w:val="Normal"/>
    <w:autoRedefine/>
    <w:uiPriority w:val="39"/>
    <w:unhideWhenUsed/>
    <w:rsid w:val="00695E59"/>
    <w:pPr>
      <w:tabs>
        <w:tab w:val="left" w:pos="880"/>
        <w:tab w:val="right" w:leader="dot" w:pos="9062"/>
      </w:tabs>
      <w:spacing w:after="100"/>
      <w:ind w:left="220"/>
    </w:pPr>
    <w:rPr>
      <w:rFonts w:ascii="Arial" w:eastAsia="Times New Roman" w:hAnsi="Arial" w:cs="Arial"/>
      <w:noProof/>
      <w:lang w:eastAsia="fr-FR"/>
    </w:rPr>
  </w:style>
  <w:style w:type="paragraph" w:styleId="Notedebasdepage">
    <w:name w:val="footnote text"/>
    <w:basedOn w:val="Normal"/>
    <w:link w:val="NotedebasdepageCar"/>
    <w:uiPriority w:val="99"/>
    <w:semiHidden/>
    <w:unhideWhenUsed/>
    <w:rsid w:val="002F7CBA"/>
    <w:pPr>
      <w:spacing w:line="240" w:lineRule="auto"/>
    </w:pPr>
    <w:rPr>
      <w:sz w:val="20"/>
      <w:szCs w:val="20"/>
    </w:rPr>
  </w:style>
  <w:style w:type="character" w:customStyle="1" w:styleId="NotedebasdepageCar">
    <w:name w:val="Note de bas de page Car"/>
    <w:basedOn w:val="Policepardfaut"/>
    <w:link w:val="Notedebasdepage"/>
    <w:uiPriority w:val="99"/>
    <w:semiHidden/>
    <w:rsid w:val="002F7CBA"/>
    <w:rPr>
      <w:sz w:val="20"/>
      <w:szCs w:val="20"/>
    </w:rPr>
  </w:style>
  <w:style w:type="character" w:styleId="Appelnotedebasdep">
    <w:name w:val="footnote reference"/>
    <w:uiPriority w:val="99"/>
    <w:semiHidden/>
    <w:rsid w:val="002F7CBA"/>
    <w:rPr>
      <w:rFonts w:ascii="Times New Roman" w:hAnsi="Times New Roman"/>
      <w:position w:val="6"/>
      <w:sz w:val="12"/>
      <w:bdr w:val="none" w:sz="0" w:space="0" w:color="auto"/>
    </w:rPr>
  </w:style>
  <w:style w:type="character" w:customStyle="1" w:styleId="Titre2Car">
    <w:name w:val="Titre 2 Car"/>
    <w:basedOn w:val="Policepardfaut"/>
    <w:link w:val="Titre2"/>
    <w:uiPriority w:val="9"/>
    <w:semiHidden/>
    <w:rsid w:val="002F7CBA"/>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link w:val="ParagraphedelisteCar"/>
    <w:uiPriority w:val="34"/>
    <w:qFormat/>
    <w:rsid w:val="002F7CBA"/>
    <w:pPr>
      <w:ind w:left="720"/>
      <w:contextualSpacing/>
    </w:pPr>
  </w:style>
  <w:style w:type="character" w:customStyle="1" w:styleId="ParagraphedelisteCar">
    <w:name w:val="Paragraphe de liste Car"/>
    <w:link w:val="Paragraphedeliste"/>
    <w:uiPriority w:val="34"/>
    <w:rsid w:val="00CA5768"/>
  </w:style>
  <w:style w:type="character" w:customStyle="1" w:styleId="Titre4Car">
    <w:name w:val="Titre 4 Car"/>
    <w:basedOn w:val="Policepardfaut"/>
    <w:link w:val="Titre4"/>
    <w:uiPriority w:val="9"/>
    <w:rsid w:val="006D68A4"/>
    <w:rPr>
      <w:rFonts w:ascii="Arial" w:eastAsia="Times New Roman" w:hAnsi="Arial" w:cs="Arial"/>
      <w:b/>
      <w:color w:val="1F497D"/>
      <w:sz w:val="28"/>
      <w:szCs w:val="28"/>
      <w:lang w:eastAsia="fr-FR"/>
    </w:rPr>
  </w:style>
  <w:style w:type="character" w:styleId="Marquedecommentaire">
    <w:name w:val="annotation reference"/>
    <w:basedOn w:val="Policepardfaut"/>
    <w:uiPriority w:val="99"/>
    <w:semiHidden/>
    <w:unhideWhenUsed/>
    <w:rsid w:val="00640DEC"/>
    <w:rPr>
      <w:sz w:val="16"/>
      <w:szCs w:val="16"/>
    </w:rPr>
  </w:style>
  <w:style w:type="paragraph" w:styleId="Commentaire">
    <w:name w:val="annotation text"/>
    <w:basedOn w:val="Normal"/>
    <w:link w:val="CommentaireCar"/>
    <w:uiPriority w:val="99"/>
    <w:unhideWhenUsed/>
    <w:rsid w:val="00640DEC"/>
    <w:pPr>
      <w:spacing w:line="240" w:lineRule="auto"/>
    </w:pPr>
    <w:rPr>
      <w:sz w:val="20"/>
      <w:szCs w:val="20"/>
    </w:rPr>
  </w:style>
  <w:style w:type="character" w:customStyle="1" w:styleId="CommentaireCar">
    <w:name w:val="Commentaire Car"/>
    <w:basedOn w:val="Policepardfaut"/>
    <w:link w:val="Commentaire"/>
    <w:uiPriority w:val="99"/>
    <w:rsid w:val="00640DEC"/>
    <w:rPr>
      <w:sz w:val="20"/>
      <w:szCs w:val="20"/>
    </w:rPr>
  </w:style>
  <w:style w:type="paragraph" w:styleId="Objetducommentaire">
    <w:name w:val="annotation subject"/>
    <w:basedOn w:val="Commentaire"/>
    <w:next w:val="Commentaire"/>
    <w:link w:val="ObjetducommentaireCar"/>
    <w:uiPriority w:val="99"/>
    <w:semiHidden/>
    <w:unhideWhenUsed/>
    <w:rsid w:val="00640DEC"/>
    <w:rPr>
      <w:b/>
      <w:bCs/>
    </w:rPr>
  </w:style>
  <w:style w:type="character" w:customStyle="1" w:styleId="ObjetducommentaireCar">
    <w:name w:val="Objet du commentaire Car"/>
    <w:basedOn w:val="CommentaireCar"/>
    <w:link w:val="Objetducommentaire"/>
    <w:uiPriority w:val="99"/>
    <w:semiHidden/>
    <w:rsid w:val="00640DEC"/>
    <w:rPr>
      <w:b/>
      <w:bCs/>
      <w:sz w:val="20"/>
      <w:szCs w:val="20"/>
    </w:rPr>
  </w:style>
  <w:style w:type="paragraph" w:styleId="Textedebulles">
    <w:name w:val="Balloon Text"/>
    <w:basedOn w:val="Normal"/>
    <w:link w:val="TextedebullesCar"/>
    <w:uiPriority w:val="99"/>
    <w:semiHidden/>
    <w:unhideWhenUsed/>
    <w:rsid w:val="00640DEC"/>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0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1647">
      <w:bodyDiv w:val="1"/>
      <w:marLeft w:val="0"/>
      <w:marRight w:val="0"/>
      <w:marTop w:val="0"/>
      <w:marBottom w:val="0"/>
      <w:divBdr>
        <w:top w:val="none" w:sz="0" w:space="0" w:color="auto"/>
        <w:left w:val="none" w:sz="0" w:space="0" w:color="auto"/>
        <w:bottom w:val="none" w:sz="0" w:space="0" w:color="auto"/>
        <w:right w:val="none" w:sz="0" w:space="0" w:color="auto"/>
      </w:divBdr>
    </w:div>
    <w:div w:id="382869279">
      <w:bodyDiv w:val="1"/>
      <w:marLeft w:val="0"/>
      <w:marRight w:val="0"/>
      <w:marTop w:val="0"/>
      <w:marBottom w:val="0"/>
      <w:divBdr>
        <w:top w:val="none" w:sz="0" w:space="0" w:color="auto"/>
        <w:left w:val="none" w:sz="0" w:space="0" w:color="auto"/>
        <w:bottom w:val="none" w:sz="0" w:space="0" w:color="auto"/>
        <w:right w:val="none" w:sz="0" w:space="0" w:color="auto"/>
      </w:divBdr>
    </w:div>
    <w:div w:id="517499539">
      <w:bodyDiv w:val="1"/>
      <w:marLeft w:val="0"/>
      <w:marRight w:val="0"/>
      <w:marTop w:val="0"/>
      <w:marBottom w:val="0"/>
      <w:divBdr>
        <w:top w:val="none" w:sz="0" w:space="0" w:color="auto"/>
        <w:left w:val="none" w:sz="0" w:space="0" w:color="auto"/>
        <w:bottom w:val="none" w:sz="0" w:space="0" w:color="auto"/>
        <w:right w:val="none" w:sz="0" w:space="0" w:color="auto"/>
      </w:divBdr>
    </w:div>
    <w:div w:id="792016597">
      <w:bodyDiv w:val="1"/>
      <w:marLeft w:val="0"/>
      <w:marRight w:val="0"/>
      <w:marTop w:val="0"/>
      <w:marBottom w:val="0"/>
      <w:divBdr>
        <w:top w:val="none" w:sz="0" w:space="0" w:color="auto"/>
        <w:left w:val="none" w:sz="0" w:space="0" w:color="auto"/>
        <w:bottom w:val="none" w:sz="0" w:space="0" w:color="auto"/>
        <w:right w:val="none" w:sz="0" w:space="0" w:color="auto"/>
      </w:divBdr>
    </w:div>
    <w:div w:id="1070233932">
      <w:bodyDiv w:val="1"/>
      <w:marLeft w:val="0"/>
      <w:marRight w:val="0"/>
      <w:marTop w:val="0"/>
      <w:marBottom w:val="0"/>
      <w:divBdr>
        <w:top w:val="none" w:sz="0" w:space="0" w:color="auto"/>
        <w:left w:val="none" w:sz="0" w:space="0" w:color="auto"/>
        <w:bottom w:val="none" w:sz="0" w:space="0" w:color="auto"/>
        <w:right w:val="none" w:sz="0" w:space="0" w:color="auto"/>
      </w:divBdr>
    </w:div>
    <w:div w:id="2055347747">
      <w:bodyDiv w:val="1"/>
      <w:marLeft w:val="0"/>
      <w:marRight w:val="0"/>
      <w:marTop w:val="0"/>
      <w:marBottom w:val="0"/>
      <w:divBdr>
        <w:top w:val="none" w:sz="0" w:space="0" w:color="auto"/>
        <w:left w:val="none" w:sz="0" w:space="0" w:color="auto"/>
        <w:bottom w:val="none" w:sz="0" w:space="0" w:color="auto"/>
        <w:right w:val="none" w:sz="0" w:space="0" w:color="auto"/>
      </w:divBdr>
    </w:div>
    <w:div w:id="209809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pr.banque-france.fr/autoriser/procedures-secteur-banque/passeports-europeens-banque%20" TargetMode="External"/><Relationship Id="rId5" Type="http://schemas.openxmlformats.org/officeDocument/2006/relationships/webSettings" Target="webSettings.xml"/><Relationship Id="rId10" Type="http://schemas.openxmlformats.org/officeDocument/2006/relationships/hyperlink" Target="https://acpr.banque-france.fr/agrements-et-autorisations/procedures-secteur-banque/agrement-autorisation-ou-enregistrement/agent-prestataire-de-services-de-paiement.html" TargetMode="External"/><Relationship Id="rId4" Type="http://schemas.openxmlformats.org/officeDocument/2006/relationships/settings" Target="settings.xml"/><Relationship Id="rId9" Type="http://schemas.openxmlformats.org/officeDocument/2006/relationships/hyperlink" Target="https://acpr-autorisations.banque-france.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BEB8A-B74B-4BE4-A5C8-5BA69883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13</Pages>
  <Words>3830</Words>
  <Characters>21070</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BOSCH Gabriel (UA 2788)</dc:creator>
  <cp:keywords/>
  <dc:description/>
  <cp:lastModifiedBy>EUVRARD Pascale (UA 2780)</cp:lastModifiedBy>
  <cp:revision>18</cp:revision>
  <dcterms:created xsi:type="dcterms:W3CDTF">2021-08-03T09:39:00Z</dcterms:created>
  <dcterms:modified xsi:type="dcterms:W3CDTF">2021-09-28T13:55:00Z</dcterms:modified>
</cp:coreProperties>
</file>