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20FEB7B3" wp14:editId="66DA070C">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C74ADA" w:rsidRPr="002A75B9" w:rsidRDefault="00C74ADA"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C74ADA" w:rsidRPr="002A75B9" w:rsidRDefault="00C74ADA"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C74ADA" w:rsidRPr="002A75B9" w:rsidRDefault="00C74ADA"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C74ADA" w:rsidRPr="002A75B9" w:rsidRDefault="00C74ADA"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C74ADA" w:rsidRPr="002A75B9" w:rsidRDefault="00C74ADA" w:rsidP="0093368A">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rsidR="00C74ADA" w:rsidRPr="002A75B9" w:rsidRDefault="00C74ADA" w:rsidP="0093368A">
                      <w:pPr>
                        <w:ind w:left="-2268" w:firstLine="2268"/>
                        <w:jc w:val="center"/>
                        <w:rPr>
                          <w:b/>
                          <w:i/>
                          <w:color w:val="1F497D" w:themeColor="text2"/>
                          <w:sz w:val="28"/>
                          <w:szCs w:val="28"/>
                        </w:rPr>
                      </w:pPr>
                      <w:r w:rsidRPr="002A75B9">
                        <w:rPr>
                          <w:b/>
                          <w:i/>
                          <w:color w:val="1F497D" w:themeColor="text2"/>
                          <w:sz w:val="28"/>
                          <w:szCs w:val="28"/>
                        </w:rPr>
                        <w:t>L.52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7 </w:t>
                      </w:r>
                      <w:r w:rsidRPr="002A75B9">
                        <w:rPr>
                          <w:b/>
                          <w:i/>
                          <w:color w:val="1F497D" w:themeColor="text2"/>
                          <w:sz w:val="28"/>
                          <w:szCs w:val="28"/>
                        </w:rPr>
                        <w:t>et suivants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rsidR="006B791E" w:rsidRPr="00BD006B" w:rsidRDefault="006B791E" w:rsidP="006B791E">
      <w:pPr>
        <w:spacing w:line="240" w:lineRule="auto"/>
        <w:jc w:val="both"/>
        <w:rPr>
          <w:rFonts w:ascii="Arial" w:eastAsia="Times New Roman" w:hAnsi="Arial" w:cs="Arial"/>
          <w:b/>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2B2014">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rsidR="006B791E" w:rsidRPr="00BD006B" w:rsidRDefault="006B791E"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2B2014">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Direction des autorisations </w:t>
      </w:r>
    </w:p>
    <w:p w:rsidR="0093368A" w:rsidRDefault="000E429D"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0E429D" w:rsidRDefault="000E429D"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bookmarkStart w:id="0" w:name="_GoBack"/>
      <w:bookmarkEnd w:id="0"/>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2B2014" w:rsidRDefault="002B2014" w:rsidP="0093368A">
      <w:pPr>
        <w:spacing w:after="200"/>
        <w:rPr>
          <w:rFonts w:ascii="Arial" w:eastAsia="Times New Roman" w:hAnsi="Arial" w:cs="Arial"/>
          <w:b/>
          <w:bCs/>
          <w:color w:val="0070C1"/>
          <w:sz w:val="24"/>
          <w:szCs w:val="24"/>
          <w:lang w:eastAsia="fr-FR"/>
        </w:rPr>
      </w:pPr>
    </w:p>
    <w:p w:rsidR="002B2014" w:rsidRPr="009500E3" w:rsidRDefault="002B2014" w:rsidP="0093368A">
      <w:pPr>
        <w:spacing w:after="200"/>
        <w:rPr>
          <w:rFonts w:ascii="Arial" w:eastAsia="Times New Roman" w:hAnsi="Arial" w:cs="Arial"/>
          <w:b/>
          <w:bCs/>
          <w:color w:val="0070C1"/>
          <w:sz w:val="20"/>
          <w:szCs w:val="20"/>
          <w:lang w:eastAsia="fr-FR"/>
        </w:rPr>
      </w:pPr>
      <w:r w:rsidRPr="009500E3">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1B74A8"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557" w:history="1">
            <w:r w:rsidR="001B74A8" w:rsidRPr="00F32B6A">
              <w:rPr>
                <w:rStyle w:val="Lienhypertexte"/>
                <w:noProof/>
              </w:rPr>
              <w:t>1.</w:t>
            </w:r>
            <w:r w:rsidR="001B74A8">
              <w:rPr>
                <w:rFonts w:eastAsiaTheme="minorEastAsia"/>
                <w:noProof/>
                <w:lang w:eastAsia="fr-FR"/>
              </w:rPr>
              <w:tab/>
            </w:r>
            <w:r w:rsidR="001B74A8" w:rsidRPr="00F32B6A">
              <w:rPr>
                <w:rStyle w:val="Lienhypertexte"/>
                <w:noProof/>
              </w:rPr>
              <w:t>L’entreprise</w:t>
            </w:r>
            <w:r w:rsidR="001B74A8">
              <w:rPr>
                <w:noProof/>
                <w:webHidden/>
              </w:rPr>
              <w:tab/>
            </w:r>
            <w:r w:rsidR="001B74A8">
              <w:rPr>
                <w:noProof/>
                <w:webHidden/>
              </w:rPr>
              <w:fldChar w:fldCharType="begin"/>
            </w:r>
            <w:r w:rsidR="001B74A8">
              <w:rPr>
                <w:noProof/>
                <w:webHidden/>
              </w:rPr>
              <w:instrText xml:space="preserve"> PAGEREF _Toc507679557 \h </w:instrText>
            </w:r>
            <w:r w:rsidR="001B74A8">
              <w:rPr>
                <w:noProof/>
                <w:webHidden/>
              </w:rPr>
            </w:r>
            <w:r w:rsidR="001B74A8">
              <w:rPr>
                <w:noProof/>
                <w:webHidden/>
              </w:rPr>
              <w:fldChar w:fldCharType="separate"/>
            </w:r>
            <w:r w:rsidR="001B74A8">
              <w:rPr>
                <w:noProof/>
                <w:webHidden/>
              </w:rPr>
              <w:t>4</w:t>
            </w:r>
            <w:r w:rsidR="001B74A8">
              <w:rPr>
                <w:noProof/>
                <w:webHidden/>
              </w:rPr>
              <w:fldChar w:fldCharType="end"/>
            </w:r>
          </w:hyperlink>
        </w:p>
        <w:p w:rsidR="001B74A8" w:rsidRDefault="000E429D">
          <w:pPr>
            <w:pStyle w:val="TM1"/>
            <w:rPr>
              <w:rFonts w:eastAsiaTheme="minorEastAsia"/>
              <w:noProof/>
              <w:lang w:eastAsia="fr-FR"/>
            </w:rPr>
          </w:pPr>
          <w:hyperlink w:anchor="_Toc507679558" w:history="1">
            <w:r w:rsidR="001B74A8" w:rsidRPr="00F32B6A">
              <w:rPr>
                <w:rStyle w:val="Lienhypertexte"/>
                <w:noProof/>
              </w:rPr>
              <w:t>2.</w:t>
            </w:r>
            <w:r w:rsidR="001B74A8">
              <w:rPr>
                <w:rFonts w:eastAsiaTheme="minorEastAsia"/>
                <w:noProof/>
                <w:lang w:eastAsia="fr-FR"/>
              </w:rPr>
              <w:tab/>
            </w:r>
            <w:r w:rsidR="001B74A8" w:rsidRPr="00F32B6A">
              <w:rPr>
                <w:rStyle w:val="Lienhypertexte"/>
                <w:noProof/>
              </w:rPr>
              <w:t>Programme d’activité</w:t>
            </w:r>
            <w:r w:rsidR="001B74A8">
              <w:rPr>
                <w:noProof/>
                <w:webHidden/>
              </w:rPr>
              <w:tab/>
            </w:r>
            <w:r w:rsidR="001B74A8">
              <w:rPr>
                <w:noProof/>
                <w:webHidden/>
              </w:rPr>
              <w:fldChar w:fldCharType="begin"/>
            </w:r>
            <w:r w:rsidR="001B74A8">
              <w:rPr>
                <w:noProof/>
                <w:webHidden/>
              </w:rPr>
              <w:instrText xml:space="preserve"> PAGEREF _Toc507679558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5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Émission et gestion de monnaie électronique</w:t>
            </w:r>
            <w:r w:rsidR="001B74A8">
              <w:rPr>
                <w:noProof/>
                <w:webHidden/>
              </w:rPr>
              <w:tab/>
            </w:r>
            <w:r w:rsidR="001B74A8">
              <w:rPr>
                <w:noProof/>
                <w:webHidden/>
              </w:rPr>
              <w:fldChar w:fldCharType="begin"/>
            </w:r>
            <w:r w:rsidR="001B74A8">
              <w:rPr>
                <w:noProof/>
                <w:webHidden/>
              </w:rPr>
              <w:instrText xml:space="preserve"> PAGEREF _Toc507679559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Services de paiement  (le cas échéant):</w:t>
            </w:r>
            <w:r w:rsidR="001B74A8">
              <w:rPr>
                <w:noProof/>
                <w:webHidden/>
              </w:rPr>
              <w:tab/>
            </w:r>
            <w:r w:rsidR="001B74A8">
              <w:rPr>
                <w:noProof/>
                <w:webHidden/>
              </w:rPr>
              <w:fldChar w:fldCharType="begin"/>
            </w:r>
            <w:r w:rsidR="001B74A8">
              <w:rPr>
                <w:noProof/>
                <w:webHidden/>
              </w:rPr>
              <w:instrText xml:space="preserve"> PAGEREF _Toc507679560 \h </w:instrText>
            </w:r>
            <w:r w:rsidR="001B74A8">
              <w:rPr>
                <w:noProof/>
                <w:webHidden/>
              </w:rPr>
            </w:r>
            <w:r w:rsidR="001B74A8">
              <w:rPr>
                <w:noProof/>
                <w:webHidden/>
              </w:rPr>
              <w:fldChar w:fldCharType="separate"/>
            </w:r>
            <w:r w:rsidR="001B74A8">
              <w:rPr>
                <w:noProof/>
                <w:webHidden/>
              </w:rPr>
              <w:t>7</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1"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Établissement de monnaie électronique exerçant des activités de nature hybride</w:t>
            </w:r>
            <w:r w:rsidR="001B74A8">
              <w:rPr>
                <w:noProof/>
                <w:webHidden/>
              </w:rPr>
              <w:tab/>
            </w:r>
            <w:r w:rsidR="001B74A8">
              <w:rPr>
                <w:noProof/>
                <w:webHidden/>
              </w:rPr>
              <w:fldChar w:fldCharType="begin"/>
            </w:r>
            <w:r w:rsidR="001B74A8">
              <w:rPr>
                <w:noProof/>
                <w:webHidden/>
              </w:rPr>
              <w:instrText xml:space="preserve"> PAGEREF _Toc507679561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2"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Services connexes</w:t>
            </w:r>
            <w:r w:rsidR="001B74A8">
              <w:rPr>
                <w:noProof/>
                <w:webHidden/>
              </w:rPr>
              <w:tab/>
            </w:r>
            <w:r w:rsidR="001B74A8">
              <w:rPr>
                <w:noProof/>
                <w:webHidden/>
              </w:rPr>
              <w:fldChar w:fldCharType="begin"/>
            </w:r>
            <w:r w:rsidR="001B74A8">
              <w:rPr>
                <w:noProof/>
                <w:webHidden/>
              </w:rPr>
              <w:instrText xml:space="preserve"> PAGEREF _Toc507679562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3"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Recours à des distributeurs et/ou des agents</w:t>
            </w:r>
            <w:r w:rsidR="001B74A8">
              <w:rPr>
                <w:noProof/>
                <w:webHidden/>
              </w:rPr>
              <w:tab/>
            </w:r>
            <w:r w:rsidR="001B74A8">
              <w:rPr>
                <w:noProof/>
                <w:webHidden/>
              </w:rPr>
              <w:fldChar w:fldCharType="begin"/>
            </w:r>
            <w:r w:rsidR="001B74A8">
              <w:rPr>
                <w:noProof/>
                <w:webHidden/>
              </w:rPr>
              <w:instrText xml:space="preserve"> PAGEREF _Toc507679563 \h </w:instrText>
            </w:r>
            <w:r w:rsidR="001B74A8">
              <w:rPr>
                <w:noProof/>
                <w:webHidden/>
              </w:rPr>
            </w:r>
            <w:r w:rsidR="001B74A8">
              <w:rPr>
                <w:noProof/>
                <w:webHidden/>
              </w:rPr>
              <w:fldChar w:fldCharType="separate"/>
            </w:r>
            <w:r w:rsidR="001B74A8">
              <w:rPr>
                <w:noProof/>
                <w:webHidden/>
              </w:rPr>
              <w:t>8</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4" w:history="1">
            <w:r w:rsidR="001B74A8" w:rsidRPr="00F32B6A">
              <w:rPr>
                <w:rStyle w:val="Lienhypertexte"/>
                <w:noProof/>
              </w:rPr>
              <w:t>F.</w:t>
            </w:r>
            <w:r w:rsidR="001B74A8">
              <w:rPr>
                <w:rFonts w:eastAsiaTheme="minorEastAsia"/>
                <w:noProof/>
                <w:lang w:eastAsia="fr-FR"/>
              </w:rPr>
              <w:tab/>
            </w:r>
            <w:r w:rsidR="001B74A8" w:rsidRPr="00F32B6A">
              <w:rPr>
                <w:rStyle w:val="Lienhypertexte"/>
                <w:noProof/>
              </w:rPr>
              <w:t>Exercice d’activité à l’étranger</w:t>
            </w:r>
            <w:r w:rsidR="001B74A8">
              <w:rPr>
                <w:noProof/>
                <w:webHidden/>
              </w:rPr>
              <w:tab/>
            </w:r>
            <w:r w:rsidR="001B74A8">
              <w:rPr>
                <w:noProof/>
                <w:webHidden/>
              </w:rPr>
              <w:fldChar w:fldCharType="begin"/>
            </w:r>
            <w:r w:rsidR="001B74A8">
              <w:rPr>
                <w:noProof/>
                <w:webHidden/>
              </w:rPr>
              <w:instrText xml:space="preserve"> PAGEREF _Toc507679564 \h </w:instrText>
            </w:r>
            <w:r w:rsidR="001B74A8">
              <w:rPr>
                <w:noProof/>
                <w:webHidden/>
              </w:rPr>
            </w:r>
            <w:r w:rsidR="001B74A8">
              <w:rPr>
                <w:noProof/>
                <w:webHidden/>
              </w:rPr>
              <w:fldChar w:fldCharType="separate"/>
            </w:r>
            <w:r w:rsidR="001B74A8">
              <w:rPr>
                <w:noProof/>
                <w:webHidden/>
              </w:rPr>
              <w:t>9</w:t>
            </w:r>
            <w:r w:rsidR="001B74A8">
              <w:rPr>
                <w:noProof/>
                <w:webHidden/>
              </w:rPr>
              <w:fldChar w:fldCharType="end"/>
            </w:r>
          </w:hyperlink>
        </w:p>
        <w:p w:rsidR="001B74A8" w:rsidRDefault="000E429D">
          <w:pPr>
            <w:pStyle w:val="TM1"/>
            <w:rPr>
              <w:rFonts w:eastAsiaTheme="minorEastAsia"/>
              <w:noProof/>
              <w:lang w:eastAsia="fr-FR"/>
            </w:rPr>
          </w:pPr>
          <w:hyperlink w:anchor="_Toc507679565" w:history="1">
            <w:r w:rsidR="001B74A8" w:rsidRPr="00F32B6A">
              <w:rPr>
                <w:rStyle w:val="Lienhypertexte"/>
                <w:noProof/>
              </w:rPr>
              <w:t>3.</w:t>
            </w:r>
            <w:r w:rsidR="001B74A8">
              <w:rPr>
                <w:rFonts w:eastAsiaTheme="minorEastAsia"/>
                <w:noProof/>
                <w:lang w:eastAsia="fr-FR"/>
              </w:rPr>
              <w:tab/>
            </w:r>
            <w:r w:rsidR="001B74A8" w:rsidRPr="00F32B6A">
              <w:rPr>
                <w:rStyle w:val="Lienhypertexte"/>
                <w:noProof/>
              </w:rPr>
              <w:t>Plan d’affaires et réglementation prudentielle</w:t>
            </w:r>
            <w:r w:rsidR="001B74A8">
              <w:rPr>
                <w:noProof/>
                <w:webHidden/>
              </w:rPr>
              <w:tab/>
            </w:r>
            <w:r w:rsidR="001B74A8">
              <w:rPr>
                <w:noProof/>
                <w:webHidden/>
              </w:rPr>
              <w:fldChar w:fldCharType="begin"/>
            </w:r>
            <w:r w:rsidR="001B74A8">
              <w:rPr>
                <w:noProof/>
                <w:webHidden/>
              </w:rPr>
              <w:instrText xml:space="preserve"> PAGEREF _Toc507679565 \h </w:instrText>
            </w:r>
            <w:r w:rsidR="001B74A8">
              <w:rPr>
                <w:noProof/>
                <w:webHidden/>
              </w:rPr>
            </w:r>
            <w:r w:rsidR="001B74A8">
              <w:rPr>
                <w:noProof/>
                <w:webHidden/>
              </w:rPr>
              <w:fldChar w:fldCharType="separate"/>
            </w:r>
            <w:r w:rsidR="001B74A8">
              <w:rPr>
                <w:noProof/>
                <w:webHidden/>
              </w:rPr>
              <w:t>10</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Plan d’affaires</w:t>
            </w:r>
            <w:r w:rsidR="001B74A8">
              <w:rPr>
                <w:noProof/>
                <w:webHidden/>
              </w:rPr>
              <w:tab/>
            </w:r>
            <w:r w:rsidR="001B74A8">
              <w:rPr>
                <w:noProof/>
                <w:webHidden/>
              </w:rPr>
              <w:fldChar w:fldCharType="begin"/>
            </w:r>
            <w:r w:rsidR="001B74A8">
              <w:rPr>
                <w:noProof/>
                <w:webHidden/>
              </w:rPr>
              <w:instrText xml:space="preserve"> PAGEREF _Toc507679566 \h </w:instrText>
            </w:r>
            <w:r w:rsidR="001B74A8">
              <w:rPr>
                <w:noProof/>
                <w:webHidden/>
              </w:rPr>
            </w:r>
            <w:r w:rsidR="001B74A8">
              <w:rPr>
                <w:noProof/>
                <w:webHidden/>
              </w:rPr>
              <w:fldChar w:fldCharType="separate"/>
            </w:r>
            <w:r w:rsidR="001B74A8">
              <w:rPr>
                <w:noProof/>
                <w:webHidden/>
              </w:rPr>
              <w:t>10</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Capital initial</w:t>
            </w:r>
            <w:r w:rsidR="001B74A8">
              <w:rPr>
                <w:noProof/>
                <w:webHidden/>
              </w:rPr>
              <w:tab/>
            </w:r>
            <w:r w:rsidR="001B74A8">
              <w:rPr>
                <w:noProof/>
                <w:webHidden/>
              </w:rPr>
              <w:fldChar w:fldCharType="begin"/>
            </w:r>
            <w:r w:rsidR="001B74A8">
              <w:rPr>
                <w:noProof/>
                <w:webHidden/>
              </w:rPr>
              <w:instrText xml:space="preserve"> PAGEREF _Toc507679567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8"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Exigences en fonds propres prudentiels</w:t>
            </w:r>
            <w:r w:rsidR="001B74A8">
              <w:rPr>
                <w:noProof/>
                <w:webHidden/>
              </w:rPr>
              <w:tab/>
            </w:r>
            <w:r w:rsidR="001B74A8">
              <w:rPr>
                <w:noProof/>
                <w:webHidden/>
              </w:rPr>
              <w:fldChar w:fldCharType="begin"/>
            </w:r>
            <w:r w:rsidR="001B74A8">
              <w:rPr>
                <w:noProof/>
                <w:webHidden/>
              </w:rPr>
              <w:instrText xml:space="preserve"> PAGEREF _Toc507679568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69" w:history="1">
            <w:r w:rsidR="001B74A8" w:rsidRPr="00F32B6A">
              <w:rPr>
                <w:rStyle w:val="Lienhypertexte"/>
                <w:noProof/>
              </w:rPr>
              <w:t>D.</w:t>
            </w:r>
            <w:r w:rsidR="001B74A8">
              <w:rPr>
                <w:rFonts w:eastAsiaTheme="minorEastAsia"/>
                <w:noProof/>
                <w:lang w:eastAsia="fr-FR"/>
              </w:rPr>
              <w:tab/>
            </w:r>
            <w:r w:rsidR="001B74A8" w:rsidRPr="00F32B6A">
              <w:rPr>
                <w:rStyle w:val="Lienhypertexte"/>
                <w:noProof/>
              </w:rPr>
              <w:t>Protection des fonds collectés</w:t>
            </w:r>
            <w:r w:rsidR="001B74A8">
              <w:rPr>
                <w:noProof/>
                <w:webHidden/>
              </w:rPr>
              <w:tab/>
            </w:r>
            <w:r w:rsidR="001B74A8">
              <w:rPr>
                <w:noProof/>
                <w:webHidden/>
              </w:rPr>
              <w:fldChar w:fldCharType="begin"/>
            </w:r>
            <w:r w:rsidR="001B74A8">
              <w:rPr>
                <w:noProof/>
                <w:webHidden/>
              </w:rPr>
              <w:instrText xml:space="preserve"> PAGEREF _Toc507679569 \h </w:instrText>
            </w:r>
            <w:r w:rsidR="001B74A8">
              <w:rPr>
                <w:noProof/>
                <w:webHidden/>
              </w:rPr>
            </w:r>
            <w:r w:rsidR="001B74A8">
              <w:rPr>
                <w:noProof/>
                <w:webHidden/>
              </w:rPr>
              <w:fldChar w:fldCharType="separate"/>
            </w:r>
            <w:r w:rsidR="001B74A8">
              <w:rPr>
                <w:noProof/>
                <w:webHidden/>
              </w:rPr>
              <w:t>11</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0" w:history="1">
            <w:r w:rsidR="001B74A8" w:rsidRPr="00F32B6A">
              <w:rPr>
                <w:rStyle w:val="Lienhypertexte"/>
                <w:noProof/>
              </w:rPr>
              <w:t>E.</w:t>
            </w:r>
            <w:r w:rsidR="001B74A8">
              <w:rPr>
                <w:rFonts w:eastAsiaTheme="minorEastAsia"/>
                <w:noProof/>
                <w:lang w:eastAsia="fr-FR"/>
              </w:rPr>
              <w:tab/>
            </w:r>
            <w:r w:rsidR="001B74A8" w:rsidRPr="00F32B6A">
              <w:rPr>
                <w:rStyle w:val="Lienhypertexte"/>
                <w:noProof/>
              </w:rPr>
              <w:t>Assurance responsabilité civile professionnelle</w:t>
            </w:r>
            <w:r w:rsidR="001B74A8">
              <w:rPr>
                <w:noProof/>
                <w:webHidden/>
              </w:rPr>
              <w:tab/>
            </w:r>
            <w:r w:rsidR="001B74A8">
              <w:rPr>
                <w:noProof/>
                <w:webHidden/>
              </w:rPr>
              <w:fldChar w:fldCharType="begin"/>
            </w:r>
            <w:r w:rsidR="001B74A8">
              <w:rPr>
                <w:noProof/>
                <w:webHidden/>
              </w:rPr>
              <w:instrText xml:space="preserve"> PAGEREF _Toc507679570 \h </w:instrText>
            </w:r>
            <w:r w:rsidR="001B74A8">
              <w:rPr>
                <w:noProof/>
                <w:webHidden/>
              </w:rPr>
            </w:r>
            <w:r w:rsidR="001B74A8">
              <w:rPr>
                <w:noProof/>
                <w:webHidden/>
              </w:rPr>
              <w:fldChar w:fldCharType="separate"/>
            </w:r>
            <w:r w:rsidR="001B74A8">
              <w:rPr>
                <w:noProof/>
                <w:webHidden/>
              </w:rPr>
              <w:t>12</w:t>
            </w:r>
            <w:r w:rsidR="001B74A8">
              <w:rPr>
                <w:noProof/>
                <w:webHidden/>
              </w:rPr>
              <w:fldChar w:fldCharType="end"/>
            </w:r>
          </w:hyperlink>
        </w:p>
        <w:p w:rsidR="001B74A8" w:rsidRDefault="000E429D">
          <w:pPr>
            <w:pStyle w:val="TM1"/>
            <w:rPr>
              <w:rFonts w:eastAsiaTheme="minorEastAsia"/>
              <w:noProof/>
              <w:lang w:eastAsia="fr-FR"/>
            </w:rPr>
          </w:pPr>
          <w:hyperlink w:anchor="_Toc507679571" w:history="1">
            <w:r w:rsidR="001B74A8" w:rsidRPr="00F32B6A">
              <w:rPr>
                <w:rStyle w:val="Lienhypertexte"/>
                <w:noProof/>
              </w:rPr>
              <w:t>4.</w:t>
            </w:r>
            <w:r w:rsidR="001B74A8">
              <w:rPr>
                <w:rFonts w:eastAsiaTheme="minorEastAsia"/>
                <w:noProof/>
                <w:lang w:eastAsia="fr-FR"/>
              </w:rPr>
              <w:tab/>
            </w:r>
            <w:r w:rsidR="001B74A8" w:rsidRPr="00F32B6A">
              <w:rPr>
                <w:rStyle w:val="Lienhypertexte"/>
                <w:noProof/>
              </w:rPr>
              <w:t>Structure organisationnelle et mécanisme de contrôle interne</w:t>
            </w:r>
            <w:r w:rsidR="001B74A8">
              <w:rPr>
                <w:noProof/>
                <w:webHidden/>
              </w:rPr>
              <w:tab/>
            </w:r>
            <w:r w:rsidR="001B74A8">
              <w:rPr>
                <w:noProof/>
                <w:webHidden/>
              </w:rPr>
              <w:fldChar w:fldCharType="begin"/>
            </w:r>
            <w:r w:rsidR="001B74A8">
              <w:rPr>
                <w:noProof/>
                <w:webHidden/>
              </w:rPr>
              <w:instrText xml:space="preserve"> PAGEREF _Toc507679571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2"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Structure organisationnelle</w:t>
            </w:r>
            <w:r w:rsidR="001B74A8">
              <w:rPr>
                <w:noProof/>
                <w:webHidden/>
              </w:rPr>
              <w:tab/>
            </w:r>
            <w:r w:rsidR="001B74A8">
              <w:rPr>
                <w:noProof/>
                <w:webHidden/>
              </w:rPr>
              <w:fldChar w:fldCharType="begin"/>
            </w:r>
            <w:r w:rsidR="001B74A8">
              <w:rPr>
                <w:noProof/>
                <w:webHidden/>
              </w:rPr>
              <w:instrText xml:space="preserve"> PAGEREF _Toc507679572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3"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Mécanismes de contrôle interne</w:t>
            </w:r>
            <w:r w:rsidR="001B74A8">
              <w:rPr>
                <w:noProof/>
                <w:webHidden/>
              </w:rPr>
              <w:tab/>
            </w:r>
            <w:r w:rsidR="001B74A8">
              <w:rPr>
                <w:noProof/>
                <w:webHidden/>
              </w:rPr>
              <w:fldChar w:fldCharType="begin"/>
            </w:r>
            <w:r w:rsidR="001B74A8">
              <w:rPr>
                <w:noProof/>
                <w:webHidden/>
              </w:rPr>
              <w:instrText xml:space="preserve"> PAGEREF _Toc507679573 \h </w:instrText>
            </w:r>
            <w:r w:rsidR="001B74A8">
              <w:rPr>
                <w:noProof/>
                <w:webHidden/>
              </w:rPr>
            </w:r>
            <w:r w:rsidR="001B74A8">
              <w:rPr>
                <w:noProof/>
                <w:webHidden/>
              </w:rPr>
              <w:fldChar w:fldCharType="separate"/>
            </w:r>
            <w:r w:rsidR="001B74A8">
              <w:rPr>
                <w:noProof/>
                <w:webHidden/>
              </w:rPr>
              <w:t>13</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4" w:history="1">
            <w:r w:rsidR="001B74A8" w:rsidRPr="00F32B6A">
              <w:rPr>
                <w:rStyle w:val="Lienhypertexte"/>
                <w:noProof/>
              </w:rPr>
              <w:t>C.</w:t>
            </w:r>
            <w:r w:rsidR="001B74A8">
              <w:rPr>
                <w:rFonts w:eastAsiaTheme="minorEastAsia"/>
                <w:noProof/>
                <w:lang w:eastAsia="fr-FR"/>
              </w:rPr>
              <w:tab/>
            </w:r>
            <w:r w:rsidR="001B74A8" w:rsidRPr="00F32B6A">
              <w:rPr>
                <w:rStyle w:val="Lienhypertexte"/>
                <w:noProof/>
              </w:rPr>
              <w:t>Lutte contre le blanchiment de capitaux et le financement du terrorisme</w:t>
            </w:r>
            <w:r w:rsidR="001B74A8">
              <w:rPr>
                <w:noProof/>
                <w:webHidden/>
              </w:rPr>
              <w:tab/>
            </w:r>
            <w:r w:rsidR="001B74A8">
              <w:rPr>
                <w:noProof/>
                <w:webHidden/>
              </w:rPr>
              <w:fldChar w:fldCharType="begin"/>
            </w:r>
            <w:r w:rsidR="001B74A8">
              <w:rPr>
                <w:noProof/>
                <w:webHidden/>
              </w:rPr>
              <w:instrText xml:space="preserve"> PAGEREF _Toc507679574 \h </w:instrText>
            </w:r>
            <w:r w:rsidR="001B74A8">
              <w:rPr>
                <w:noProof/>
                <w:webHidden/>
              </w:rPr>
            </w:r>
            <w:r w:rsidR="001B74A8">
              <w:rPr>
                <w:noProof/>
                <w:webHidden/>
              </w:rPr>
              <w:fldChar w:fldCharType="separate"/>
            </w:r>
            <w:r w:rsidR="001B74A8">
              <w:rPr>
                <w:noProof/>
                <w:webHidden/>
              </w:rPr>
              <w:t>14</w:t>
            </w:r>
            <w:r w:rsidR="001B74A8">
              <w:rPr>
                <w:noProof/>
                <w:webHidden/>
              </w:rPr>
              <w:fldChar w:fldCharType="end"/>
            </w:r>
          </w:hyperlink>
        </w:p>
        <w:p w:rsidR="001B74A8" w:rsidRDefault="000E429D">
          <w:pPr>
            <w:pStyle w:val="TM1"/>
            <w:rPr>
              <w:rFonts w:eastAsiaTheme="minorEastAsia"/>
              <w:noProof/>
              <w:lang w:eastAsia="fr-FR"/>
            </w:rPr>
          </w:pPr>
          <w:hyperlink w:anchor="_Toc507679575" w:history="1">
            <w:r w:rsidR="001B74A8" w:rsidRPr="00F32B6A">
              <w:rPr>
                <w:rStyle w:val="Lienhypertexte"/>
                <w:noProof/>
              </w:rPr>
              <w:t>5.</w:t>
            </w:r>
            <w:r w:rsidR="001B74A8">
              <w:rPr>
                <w:rFonts w:eastAsiaTheme="minorEastAsia"/>
                <w:noProof/>
                <w:lang w:eastAsia="fr-FR"/>
              </w:rPr>
              <w:tab/>
            </w:r>
            <w:r w:rsidR="001B74A8" w:rsidRPr="00F32B6A">
              <w:rPr>
                <w:rStyle w:val="Lienhypertexte"/>
                <w:noProof/>
              </w:rPr>
              <w:t>Procédures des systèmes de sécurité et accès aux données sensibles</w:t>
            </w:r>
            <w:r w:rsidR="001B74A8">
              <w:rPr>
                <w:noProof/>
                <w:webHidden/>
              </w:rPr>
              <w:tab/>
            </w:r>
            <w:r w:rsidR="001B74A8">
              <w:rPr>
                <w:noProof/>
                <w:webHidden/>
              </w:rPr>
              <w:fldChar w:fldCharType="begin"/>
            </w:r>
            <w:r w:rsidR="001B74A8">
              <w:rPr>
                <w:noProof/>
                <w:webHidden/>
              </w:rPr>
              <w:instrText xml:space="preserve"> PAGEREF _Toc507679575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6"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Procédure de surveillance, de traitement et de suivi des incidents de sécurité et des réclamations clients</w:t>
            </w:r>
            <w:r w:rsidR="001B74A8">
              <w:rPr>
                <w:noProof/>
                <w:webHidden/>
              </w:rPr>
              <w:tab/>
            </w:r>
            <w:r w:rsidR="001B74A8">
              <w:rPr>
                <w:noProof/>
                <w:webHidden/>
              </w:rPr>
              <w:fldChar w:fldCharType="begin"/>
            </w:r>
            <w:r w:rsidR="001B74A8">
              <w:rPr>
                <w:noProof/>
                <w:webHidden/>
              </w:rPr>
              <w:instrText xml:space="preserve"> PAGEREF _Toc507679576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7"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Procédures pour restreindre, enregistrer, surveiller et tracer l’accès aux données de paiement sensibles et garder la trace de ces accès</w:t>
            </w:r>
            <w:r w:rsidR="001B74A8">
              <w:rPr>
                <w:noProof/>
                <w:webHidden/>
              </w:rPr>
              <w:tab/>
            </w:r>
            <w:r w:rsidR="001B74A8">
              <w:rPr>
                <w:noProof/>
                <w:webHidden/>
              </w:rPr>
              <w:fldChar w:fldCharType="begin"/>
            </w:r>
            <w:r w:rsidR="001B74A8">
              <w:rPr>
                <w:noProof/>
                <w:webHidden/>
              </w:rPr>
              <w:instrText xml:space="preserve"> PAGEREF _Toc507679577 \h </w:instrText>
            </w:r>
            <w:r w:rsidR="001B74A8">
              <w:rPr>
                <w:noProof/>
                <w:webHidden/>
              </w:rPr>
            </w:r>
            <w:r w:rsidR="001B74A8">
              <w:rPr>
                <w:noProof/>
                <w:webHidden/>
              </w:rPr>
              <w:fldChar w:fldCharType="separate"/>
            </w:r>
            <w:r w:rsidR="001B74A8">
              <w:rPr>
                <w:noProof/>
                <w:webHidden/>
              </w:rPr>
              <w:t>16</w:t>
            </w:r>
            <w:r w:rsidR="001B74A8">
              <w:rPr>
                <w:noProof/>
                <w:webHidden/>
              </w:rPr>
              <w:fldChar w:fldCharType="end"/>
            </w:r>
          </w:hyperlink>
        </w:p>
        <w:p w:rsidR="001B74A8" w:rsidRDefault="000E429D">
          <w:pPr>
            <w:pStyle w:val="TM1"/>
            <w:rPr>
              <w:rFonts w:eastAsiaTheme="minorEastAsia"/>
              <w:noProof/>
              <w:lang w:eastAsia="fr-FR"/>
            </w:rPr>
          </w:pPr>
          <w:hyperlink w:anchor="_Toc507679578" w:history="1">
            <w:r w:rsidR="001B74A8" w:rsidRPr="00F32B6A">
              <w:rPr>
                <w:rStyle w:val="Lienhypertexte"/>
                <w:noProof/>
              </w:rPr>
              <w:t>6.</w:t>
            </w:r>
            <w:r w:rsidR="001B74A8">
              <w:rPr>
                <w:rFonts w:eastAsiaTheme="minorEastAsia"/>
                <w:noProof/>
                <w:lang w:eastAsia="fr-FR"/>
              </w:rPr>
              <w:tab/>
            </w:r>
            <w:r w:rsidR="001B74A8" w:rsidRPr="00F32B6A">
              <w:rPr>
                <w:rStyle w:val="Lienhypertexte"/>
                <w:noProof/>
              </w:rPr>
              <w:t>Dispositif de continuité d’activité et politique de sécurité</w:t>
            </w:r>
            <w:r w:rsidR="001B74A8">
              <w:rPr>
                <w:noProof/>
                <w:webHidden/>
              </w:rPr>
              <w:tab/>
            </w:r>
            <w:r w:rsidR="001B74A8">
              <w:rPr>
                <w:noProof/>
                <w:webHidden/>
              </w:rPr>
              <w:fldChar w:fldCharType="begin"/>
            </w:r>
            <w:r w:rsidR="001B74A8">
              <w:rPr>
                <w:noProof/>
                <w:webHidden/>
              </w:rPr>
              <w:instrText xml:space="preserve"> PAGEREF _Toc507679578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79" w:history="1">
            <w:r w:rsidR="001B74A8" w:rsidRPr="00F32B6A">
              <w:rPr>
                <w:rStyle w:val="Lienhypertexte"/>
                <w:noProof/>
              </w:rPr>
              <w:t>A.</w:t>
            </w:r>
            <w:r w:rsidR="001B74A8">
              <w:rPr>
                <w:rFonts w:eastAsiaTheme="minorEastAsia"/>
                <w:noProof/>
                <w:lang w:eastAsia="fr-FR"/>
              </w:rPr>
              <w:tab/>
            </w:r>
            <w:r w:rsidR="001B74A8" w:rsidRPr="00F32B6A">
              <w:rPr>
                <w:rStyle w:val="Lienhypertexte"/>
                <w:noProof/>
              </w:rPr>
              <w:t>Continuité d’activité</w:t>
            </w:r>
            <w:r w:rsidR="001B74A8">
              <w:rPr>
                <w:noProof/>
                <w:webHidden/>
              </w:rPr>
              <w:tab/>
            </w:r>
            <w:r w:rsidR="001B74A8">
              <w:rPr>
                <w:noProof/>
                <w:webHidden/>
              </w:rPr>
              <w:fldChar w:fldCharType="begin"/>
            </w:r>
            <w:r w:rsidR="001B74A8">
              <w:rPr>
                <w:noProof/>
                <w:webHidden/>
              </w:rPr>
              <w:instrText xml:space="preserve"> PAGEREF _Toc507679579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rsidR="001B74A8" w:rsidRDefault="000E429D">
          <w:pPr>
            <w:pStyle w:val="TM2"/>
            <w:tabs>
              <w:tab w:val="left" w:pos="660"/>
              <w:tab w:val="right" w:leader="dot" w:pos="9062"/>
            </w:tabs>
            <w:rPr>
              <w:rFonts w:eastAsiaTheme="minorEastAsia"/>
              <w:noProof/>
              <w:lang w:eastAsia="fr-FR"/>
            </w:rPr>
          </w:pPr>
          <w:hyperlink w:anchor="_Toc507679580" w:history="1">
            <w:r w:rsidR="001B74A8" w:rsidRPr="00F32B6A">
              <w:rPr>
                <w:rStyle w:val="Lienhypertexte"/>
                <w:noProof/>
              </w:rPr>
              <w:t>B.</w:t>
            </w:r>
            <w:r w:rsidR="001B74A8">
              <w:rPr>
                <w:rFonts w:eastAsiaTheme="minorEastAsia"/>
                <w:noProof/>
                <w:lang w:eastAsia="fr-FR"/>
              </w:rPr>
              <w:tab/>
            </w:r>
            <w:r w:rsidR="001B74A8" w:rsidRPr="00F32B6A">
              <w:rPr>
                <w:rStyle w:val="Lienhypertexte"/>
                <w:noProof/>
              </w:rPr>
              <w:t>Politique de sécurité</w:t>
            </w:r>
            <w:r w:rsidR="001B74A8">
              <w:rPr>
                <w:noProof/>
                <w:webHidden/>
              </w:rPr>
              <w:tab/>
            </w:r>
            <w:r w:rsidR="001B74A8">
              <w:rPr>
                <w:noProof/>
                <w:webHidden/>
              </w:rPr>
              <w:fldChar w:fldCharType="begin"/>
            </w:r>
            <w:r w:rsidR="001B74A8">
              <w:rPr>
                <w:noProof/>
                <w:webHidden/>
              </w:rPr>
              <w:instrText xml:space="preserve"> PAGEREF _Toc507679580 \h </w:instrText>
            </w:r>
            <w:r w:rsidR="001B74A8">
              <w:rPr>
                <w:noProof/>
                <w:webHidden/>
              </w:rPr>
            </w:r>
            <w:r w:rsidR="001B74A8">
              <w:rPr>
                <w:noProof/>
                <w:webHidden/>
              </w:rPr>
              <w:fldChar w:fldCharType="separate"/>
            </w:r>
            <w:r w:rsidR="001B74A8">
              <w:rPr>
                <w:noProof/>
                <w:webHidden/>
              </w:rPr>
              <w:t>18</w:t>
            </w:r>
            <w:r w:rsidR="001B74A8">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557"/>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0E429D">
              <w:rPr>
                <w:rFonts w:ascii="Arial" w:eastAsia="Times New Roman" w:hAnsi="Arial" w:cs="Arial"/>
                <w:sz w:val="20"/>
                <w:szCs w:val="20"/>
                <w:lang w:eastAsia="fr-FR"/>
              </w:rPr>
            </w:r>
            <w:r w:rsidR="000E429D">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0E429D">
              <w:rPr>
                <w:rFonts w:ascii="Arial" w:eastAsia="Times New Roman" w:hAnsi="Arial" w:cs="Arial"/>
                <w:sz w:val="20"/>
                <w:szCs w:val="20"/>
                <w:lang w:eastAsia="fr-FR"/>
              </w:rPr>
            </w:r>
            <w:r w:rsidR="000E429D">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B2014">
        <w:rPr>
          <w:rFonts w:ascii="Arial" w:hAnsi="Arial" w:cs="Arial"/>
          <w:b/>
          <w:color w:val="1F497D" w:themeColor="text2"/>
          <w:sz w:val="20"/>
          <w:szCs w:val="20"/>
          <w:u w:val="single"/>
        </w:rPr>
        <w:t>participation qualifiée (</w:t>
      </w:r>
      <w:r w:rsidRPr="009500E3">
        <w:rPr>
          <w:rFonts w:ascii="Arial" w:hAnsi="Arial" w:cs="Arial"/>
          <w:b/>
          <w:color w:val="1F497D" w:themeColor="text2"/>
          <w:sz w:val="20"/>
          <w:szCs w:val="20"/>
          <w:u w:val="single"/>
        </w:rPr>
        <w:t>insérer le lien</w:t>
      </w:r>
      <w:r w:rsidRPr="002B2014">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E429D">
              <w:rPr>
                <w:rFonts w:ascii="Arial" w:eastAsia="Times New Roman" w:hAnsi="Arial" w:cs="Arial"/>
                <w:sz w:val="20"/>
                <w:szCs w:val="20"/>
                <w:lang w:eastAsia="fr-FR"/>
              </w:rPr>
            </w:r>
            <w:r w:rsidR="000E429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E429D">
              <w:rPr>
                <w:rFonts w:ascii="Arial" w:eastAsia="Times New Roman" w:hAnsi="Arial" w:cs="Arial"/>
                <w:sz w:val="20"/>
                <w:szCs w:val="20"/>
                <w:lang w:eastAsia="fr-FR"/>
              </w:rPr>
            </w:r>
            <w:r w:rsidR="000E429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Date d’entrée en </w:t>
            </w:r>
            <w:r>
              <w:rPr>
                <w:rFonts w:ascii="Arial" w:eastAsia="Times New Roman" w:hAnsi="Arial" w:cs="Arial"/>
                <w:sz w:val="20"/>
                <w:szCs w:val="24"/>
                <w:lang w:eastAsia="fr-FR"/>
              </w:rPr>
              <w:lastRenderedPageBreak/>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lastRenderedPageBreak/>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1B74A8">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E429D">
              <w:rPr>
                <w:rFonts w:ascii="Arial" w:eastAsia="Times New Roman" w:hAnsi="Arial" w:cs="Arial"/>
                <w:sz w:val="20"/>
                <w:szCs w:val="20"/>
                <w:lang w:eastAsia="fr-FR"/>
              </w:rPr>
            </w:r>
            <w:r w:rsidR="000E429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0E429D">
              <w:rPr>
                <w:rFonts w:ascii="Arial" w:eastAsia="Times New Roman" w:hAnsi="Arial" w:cs="Arial"/>
                <w:sz w:val="20"/>
                <w:szCs w:val="20"/>
                <w:lang w:eastAsia="fr-FR"/>
              </w:rPr>
            </w:r>
            <w:r w:rsidR="000E429D">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 et, le cas échéant, de services de paiement</w:t>
      </w:r>
      <w:r w:rsidR="00932DC8" w:rsidRPr="0079407F">
        <w:rPr>
          <w:rFonts w:ascii="Arial" w:hAnsi="Arial" w:cs="Arial"/>
          <w:b/>
          <w:color w:val="1F497D" w:themeColor="text2"/>
          <w:sz w:val="20"/>
          <w:szCs w:val="20"/>
          <w:u w:val="single"/>
        </w:rPr>
        <w:t> </w:t>
      </w:r>
      <w:r w:rsidRPr="0079407F">
        <w:rPr>
          <w:rFonts w:ascii="Arial" w:hAnsi="Arial" w:cs="Arial"/>
          <w:b/>
          <w:color w:val="1F497D" w:themeColor="text2"/>
          <w:sz w:val="20"/>
          <w:szCs w:val="20"/>
          <w:u w:val="single"/>
        </w:rPr>
        <w:t>:</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558"/>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FF5663" w:rsidRDefault="00FF5663" w:rsidP="00FF5663">
      <w:pPr>
        <w:rPr>
          <w:rFonts w:ascii="Arial" w:hAnsi="Arial" w:cs="Arial"/>
          <w:b/>
          <w:color w:val="0070C0"/>
          <w:sz w:val="28"/>
          <w:szCs w:val="28"/>
        </w:rPr>
      </w:pPr>
    </w:p>
    <w:p w:rsidR="00FF5663" w:rsidRPr="00FF5663" w:rsidRDefault="00FF5663" w:rsidP="00FF5663">
      <w:pPr>
        <w:pStyle w:val="Titre2"/>
      </w:pPr>
      <w:bookmarkStart w:id="6" w:name="_Toc507679559"/>
      <w:r w:rsidRPr="00FF5663">
        <w:t>Émission et gestion de monnaie électronique</w:t>
      </w:r>
      <w:bookmarkEnd w:id="6"/>
      <w:r w:rsidRPr="00FF5663">
        <w:t xml:space="preserve"> </w:t>
      </w:r>
      <w:r w:rsidRPr="00FF5663">
        <w:tab/>
      </w:r>
      <w:r w:rsidRPr="00FF5663">
        <w:tab/>
      </w:r>
      <w:r w:rsidRPr="00FF5663">
        <w:tab/>
      </w:r>
    </w:p>
    <w:p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 L. 315-1 du Code monétaire et financier)</w:t>
      </w:r>
    </w:p>
    <w:p w:rsidR="00FF5663" w:rsidRDefault="00FF5663" w:rsidP="00FF5663">
      <w:pPr>
        <w:jc w:val="both"/>
        <w:rPr>
          <w:rFonts w:ascii="Arial" w:hAnsi="Arial" w:cs="Arial"/>
          <w:sz w:val="20"/>
          <w:szCs w:val="20"/>
        </w:rPr>
      </w:pPr>
    </w:p>
    <w:p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rsidR="0093368A" w:rsidRPr="003B1354" w:rsidRDefault="0093368A" w:rsidP="0093368A">
      <w:pPr>
        <w:spacing w:line="240" w:lineRule="auto"/>
        <w:rPr>
          <w:rFonts w:ascii="Arial" w:eastAsia="Times New Roman" w:hAnsi="Arial" w:cs="Arial"/>
          <w:sz w:val="20"/>
          <w:szCs w:val="20"/>
          <w:lang w:eastAsia="fr-FR"/>
        </w:rPr>
      </w:pPr>
    </w:p>
    <w:p w:rsidR="00113E51" w:rsidRPr="00113E51" w:rsidRDefault="0093368A" w:rsidP="00113E51">
      <w:pPr>
        <w:pStyle w:val="Titre2"/>
      </w:pPr>
      <w:bookmarkStart w:id="7" w:name="_Toc507679560"/>
      <w:r w:rsidRPr="00A167A7">
        <w:t>Services de paiement</w:t>
      </w:r>
      <w:r w:rsidRPr="00113E51">
        <w:tab/>
      </w:r>
      <w:r w:rsidR="00C31841">
        <w:t xml:space="preserve"> </w:t>
      </w:r>
      <w:r w:rsidR="00C74ADA">
        <w:t>(le cas échéant):</w:t>
      </w:r>
      <w:bookmarkEnd w:id="7"/>
    </w:p>
    <w:p w:rsidR="0093368A" w:rsidRPr="00113E51" w:rsidRDefault="0093368A"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w:t>
      </w:r>
      <w:r w:rsidR="00D85052">
        <w:rPr>
          <w:rFonts w:ascii="Arial" w:eastAsia="Times New Roman" w:hAnsi="Arial" w:cs="Arial"/>
          <w:i/>
          <w:sz w:val="20"/>
          <w:szCs w:val="20"/>
          <w:lang w:eastAsia="fr-FR"/>
        </w:rPr>
        <w:t xml:space="preserve"> </w:t>
      </w:r>
      <w:r w:rsidRPr="00113E51">
        <w:rPr>
          <w:rFonts w:ascii="Arial" w:eastAsia="Times New Roman" w:hAnsi="Arial" w:cs="Arial"/>
          <w:i/>
          <w:sz w:val="20"/>
          <w:szCs w:val="20"/>
          <w:lang w:eastAsia="fr-FR"/>
        </w:rPr>
        <w:t>314-1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D85052" w:rsidP="0093368A">
      <w:pPr>
        <w:jc w:val="both"/>
        <w:rPr>
          <w:rFonts w:ascii="Arial" w:hAnsi="Arial" w:cs="Arial"/>
          <w:sz w:val="20"/>
          <w:szCs w:val="20"/>
        </w:rPr>
      </w:pPr>
      <w:r>
        <w:rPr>
          <w:rFonts w:ascii="Arial" w:hAnsi="Arial" w:cs="Arial"/>
          <w:sz w:val="20"/>
          <w:szCs w:val="20"/>
        </w:rPr>
        <w:t>Si vous souhaitez fournir des services de paiement, i</w:t>
      </w:r>
      <w:r w:rsidR="0093368A" w:rsidRPr="00AC0EC7">
        <w:rPr>
          <w:rFonts w:ascii="Arial" w:hAnsi="Arial" w:cs="Arial"/>
          <w:sz w:val="20"/>
          <w:szCs w:val="20"/>
        </w:rPr>
        <w:t>ndiquer le(s) type(s) de service de paiement envisagés</w:t>
      </w:r>
      <w:r w:rsidR="0093368A">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restart"/>
            <w:vAlign w:val="center"/>
          </w:tcPr>
          <w:p w:rsidR="0093368A" w:rsidRPr="009610C7" w:rsidRDefault="0093368A"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ign w:val="center"/>
          </w:tcPr>
          <w:p w:rsidR="0093368A" w:rsidRPr="00452F83" w:rsidRDefault="0093368A" w:rsidP="00B93618">
            <w:pPr>
              <w:jc w:val="center"/>
              <w:rPr>
                <w:rFonts w:ascii="Arial" w:hAnsi="Arial" w:cs="Arial"/>
                <w:sz w:val="20"/>
                <w:szCs w:val="20"/>
              </w:rPr>
            </w:pP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hAnsi="Arial" w:cs="Arial"/>
          <w:sz w:val="20"/>
          <w:szCs w:val="20"/>
        </w:rPr>
      </w:pPr>
    </w:p>
    <w:p w:rsidR="0093368A" w:rsidRDefault="00D85052" w:rsidP="00F3407B">
      <w:pPr>
        <w:jc w:val="both"/>
        <w:rPr>
          <w:rFonts w:ascii="Arial" w:hAnsi="Arial" w:cs="Arial"/>
          <w:sz w:val="20"/>
          <w:szCs w:val="20"/>
        </w:rPr>
      </w:pPr>
      <w:r>
        <w:rPr>
          <w:rFonts w:ascii="Arial" w:hAnsi="Arial" w:cs="Arial"/>
          <w:sz w:val="20"/>
          <w:szCs w:val="20"/>
        </w:rPr>
        <w:t>F</w:t>
      </w:r>
      <w:r w:rsidR="0093368A" w:rsidRPr="00116E70">
        <w:rPr>
          <w:rFonts w:ascii="Arial" w:hAnsi="Arial" w:cs="Arial"/>
          <w:sz w:val="20"/>
          <w:szCs w:val="20"/>
        </w:rPr>
        <w:t xml:space="preserve">ournir une description par étapes du type de services de paiement envisagé, y compris une explication des raisons pour lesquelles les activités et les opérations qui seront réalisées relèvent d’une des catégories juridiques de services de paiement énumérées à l’article L.314-1 du code </w:t>
      </w:r>
      <w:r w:rsidR="0093368A" w:rsidRPr="00116E70">
        <w:rPr>
          <w:rFonts w:ascii="Arial" w:hAnsi="Arial" w:cs="Arial"/>
          <w:sz w:val="20"/>
          <w:szCs w:val="20"/>
        </w:rPr>
        <w:lastRenderedPageBreak/>
        <w:t>monétaire et financier.</w:t>
      </w:r>
      <w:r>
        <w:rPr>
          <w:rFonts w:ascii="Arial" w:hAnsi="Arial" w:cs="Arial"/>
          <w:sz w:val="20"/>
          <w:szCs w:val="20"/>
        </w:rPr>
        <w:t xml:space="preserve"> Préciser si la fourniture des services de paiement est </w:t>
      </w:r>
      <w:proofErr w:type="gramStart"/>
      <w:r>
        <w:rPr>
          <w:rFonts w:ascii="Arial" w:hAnsi="Arial" w:cs="Arial"/>
          <w:sz w:val="20"/>
          <w:szCs w:val="20"/>
        </w:rPr>
        <w:t>liés</w:t>
      </w:r>
      <w:proofErr w:type="gramEnd"/>
      <w:r>
        <w:rPr>
          <w:rFonts w:ascii="Arial" w:hAnsi="Arial" w:cs="Arial"/>
          <w:sz w:val="20"/>
          <w:szCs w:val="20"/>
        </w:rPr>
        <w:t xml:space="preserve"> à l'émission de la monnaie électronique.</w:t>
      </w:r>
    </w:p>
    <w:p w:rsidR="00D85052" w:rsidRPr="00116E70" w:rsidRDefault="00D85052" w:rsidP="00F3407B">
      <w:pPr>
        <w:jc w:val="both"/>
        <w:rPr>
          <w:rFonts w:ascii="Arial" w:hAnsi="Arial" w:cs="Arial"/>
          <w:sz w:val="20"/>
          <w:szCs w:val="20"/>
        </w:rPr>
      </w:pP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B055A1">
        <w:rPr>
          <w:rFonts w:ascii="Arial" w:hAnsi="Arial" w:cs="Arial"/>
          <w:sz w:val="20"/>
          <w:szCs w:val="20"/>
        </w:rPr>
        <w:t>Fournir</w:t>
      </w:r>
      <w:r w:rsidR="0093368A">
        <w:rPr>
          <w:rFonts w:ascii="Arial" w:hAnsi="Arial" w:cs="Arial"/>
          <w:sz w:val="20"/>
          <w:szCs w:val="20"/>
        </w:rPr>
        <w:t xml:space="preserve"> une description de l’exécution </w:t>
      </w:r>
      <w:r w:rsidR="00790D10">
        <w:rPr>
          <w:rFonts w:ascii="Arial" w:hAnsi="Arial" w:cs="Arial"/>
          <w:sz w:val="20"/>
          <w:szCs w:val="20"/>
        </w:rPr>
        <w:t xml:space="preserve">des différents services de monnaie électronique et, le cas échéant, </w:t>
      </w:r>
      <w:r w:rsidR="0093368A">
        <w:rPr>
          <w:rFonts w:ascii="Arial" w:hAnsi="Arial" w:cs="Arial"/>
          <w:sz w:val="20"/>
          <w:szCs w:val="20"/>
        </w:rPr>
        <w:t xml:space="preserve">des différents services de paiement indiquant toutes les parties concernées et comprenant pour chaque service de paiement </w:t>
      </w:r>
      <w:r w:rsidR="00790D10">
        <w:rPr>
          <w:rFonts w:ascii="Arial" w:hAnsi="Arial" w:cs="Arial"/>
          <w:sz w:val="20"/>
          <w:szCs w:val="20"/>
        </w:rPr>
        <w:t xml:space="preserve">et chaque service de monnaie électronique </w:t>
      </w:r>
      <w:r w:rsidR="0093368A">
        <w:rPr>
          <w:rFonts w:ascii="Arial" w:hAnsi="Arial" w:cs="Arial"/>
          <w:sz w:val="20"/>
          <w:szCs w:val="20"/>
        </w:rPr>
        <w:t>fourni :</w:t>
      </w:r>
    </w:p>
    <w:p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w:t>
      </w:r>
      <w:r w:rsidR="00B055A1">
        <w:rPr>
          <w:rFonts w:ascii="Arial" w:hAnsi="Arial" w:cs="Arial"/>
          <w:sz w:val="20"/>
          <w:szCs w:val="20"/>
        </w:rPr>
        <w:t xml:space="preserve"> </w:t>
      </w:r>
      <w:r>
        <w:rPr>
          <w:rFonts w:ascii="Arial" w:hAnsi="Arial" w:cs="Arial"/>
          <w:sz w:val="20"/>
          <w:szCs w:val="20"/>
        </w:rPr>
        <w:t>;</w:t>
      </w:r>
    </w:p>
    <w:p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Un dispositif de règlement ;</w:t>
      </w:r>
    </w:p>
    <w:p w:rsidR="0093368A" w:rsidRDefault="0093368A" w:rsidP="001B74A8">
      <w:pPr>
        <w:pStyle w:val="Paragraphedeliste"/>
        <w:numPr>
          <w:ilvl w:val="0"/>
          <w:numId w:val="14"/>
        </w:numPr>
        <w:jc w:val="both"/>
        <w:rPr>
          <w:rFonts w:ascii="Arial" w:hAnsi="Arial" w:cs="Arial"/>
          <w:sz w:val="20"/>
          <w:szCs w:val="20"/>
        </w:rPr>
      </w:pPr>
      <w:r>
        <w:rPr>
          <w:rFonts w:ascii="Arial" w:hAnsi="Arial" w:cs="Arial"/>
          <w:sz w:val="20"/>
          <w:szCs w:val="20"/>
        </w:rPr>
        <w:t>Les temps de traitement</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Préciser le nombre de locaux différents à partir desquels l’entreprise a l’intention de fournir les services de </w:t>
      </w:r>
      <w:r w:rsidR="00932DC8">
        <w:rPr>
          <w:rFonts w:ascii="Arial" w:hAnsi="Arial" w:cs="Arial"/>
          <w:sz w:val="20"/>
          <w:szCs w:val="20"/>
        </w:rPr>
        <w:t>monnaie électronique</w:t>
      </w:r>
      <w:r w:rsidR="00932DC8" w:rsidRPr="00AB3231">
        <w:rPr>
          <w:rFonts w:ascii="Arial" w:hAnsi="Arial" w:cs="Arial"/>
          <w:sz w:val="20"/>
          <w:szCs w:val="20"/>
        </w:rPr>
        <w:t xml:space="preserve"> </w:t>
      </w:r>
      <w:r w:rsidR="0093368A" w:rsidRPr="00AB3231">
        <w:rPr>
          <w:rFonts w:ascii="Arial" w:hAnsi="Arial" w:cs="Arial"/>
          <w:sz w:val="20"/>
          <w:szCs w:val="20"/>
        </w:rPr>
        <w:t>et</w:t>
      </w:r>
      <w:r w:rsidR="00932DC8">
        <w:rPr>
          <w:rFonts w:ascii="Arial" w:hAnsi="Arial" w:cs="Arial"/>
          <w:sz w:val="20"/>
          <w:szCs w:val="20"/>
        </w:rPr>
        <w:t>, le cas échéant,</w:t>
      </w:r>
      <w:r w:rsidR="00C31841">
        <w:rPr>
          <w:rFonts w:ascii="Arial" w:hAnsi="Arial" w:cs="Arial"/>
          <w:sz w:val="20"/>
          <w:szCs w:val="20"/>
        </w:rPr>
        <w:t xml:space="preserve"> </w:t>
      </w:r>
      <w:r w:rsidR="0093368A" w:rsidRPr="00AB3231">
        <w:rPr>
          <w:rFonts w:ascii="Arial" w:hAnsi="Arial" w:cs="Arial"/>
          <w:sz w:val="20"/>
          <w:szCs w:val="20"/>
        </w:rPr>
        <w:t xml:space="preserve">des activités </w:t>
      </w:r>
      <w:r w:rsidR="00932DC8">
        <w:rPr>
          <w:rFonts w:ascii="Arial" w:hAnsi="Arial" w:cs="Arial"/>
          <w:sz w:val="20"/>
          <w:szCs w:val="20"/>
        </w:rPr>
        <w:t>de fourniture de services de paiement.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8" w:name="_Toc507679561"/>
      <w:r w:rsidRPr="00A167A7">
        <w:t xml:space="preserve">Établissement de </w:t>
      </w:r>
      <w:r w:rsidR="00DA73EF">
        <w:t>monnaie électronique</w:t>
      </w:r>
      <w:r w:rsidR="00DA73EF" w:rsidRPr="00A167A7">
        <w:t xml:space="preserve"> </w:t>
      </w:r>
      <w:r w:rsidRPr="00A167A7">
        <w:t>exerçant des activités de nature hybride</w:t>
      </w:r>
      <w:bookmarkEnd w:id="8"/>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DE0DB7">
        <w:rPr>
          <w:rFonts w:ascii="Arial" w:hAnsi="Arial" w:cs="Arial"/>
          <w:bCs/>
          <w:i/>
          <w:sz w:val="16"/>
          <w:szCs w:val="16"/>
        </w:rPr>
        <w:t>(Article L. </w:t>
      </w:r>
      <w:r w:rsidR="00DA73EF" w:rsidRPr="00DE0DB7">
        <w:rPr>
          <w:rFonts w:ascii="Arial" w:hAnsi="Arial" w:cs="Arial"/>
          <w:bCs/>
          <w:i/>
          <w:sz w:val="16"/>
          <w:szCs w:val="16"/>
        </w:rPr>
        <w:t>526-3</w:t>
      </w:r>
      <w:r w:rsidRPr="00DE0DB7">
        <w:rPr>
          <w:rFonts w:ascii="Arial" w:hAnsi="Arial" w:cs="Arial"/>
          <w:bCs/>
          <w:i/>
          <w:sz w:val="16"/>
          <w:szCs w:val="16"/>
        </w:rPr>
        <w:t> : sous réserve de l’application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 xml:space="preserve">peuvent exercer à titre de profession habituelle une activité autre que </w:t>
      </w:r>
      <w:r w:rsidR="00DA73EF" w:rsidRPr="00DE0DB7">
        <w:rPr>
          <w:rFonts w:ascii="Arial" w:hAnsi="Arial" w:cs="Arial"/>
          <w:bCs/>
          <w:i/>
          <w:sz w:val="16"/>
          <w:szCs w:val="16"/>
        </w:rPr>
        <w:t>l’émission ou 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autres que les opérations mentionnées</w:t>
      </w:r>
      <w:r w:rsidR="00DA73EF">
        <w:rPr>
          <w:rFonts w:ascii="Arial" w:hAnsi="Arial" w:cs="Arial"/>
          <w:bCs/>
          <w:i/>
          <w:sz w:val="16"/>
          <w:szCs w:val="16"/>
        </w:rPr>
        <w:t xml:space="preserve"> à l’article L. 526-2</w:t>
      </w:r>
      <w:r w:rsidRPr="00C1149C">
        <w:rPr>
          <w:rFonts w:ascii="Arial" w:hAnsi="Arial" w:cs="Arial"/>
          <w:bCs/>
          <w:i/>
          <w:sz w:val="16"/>
          <w:szCs w:val="16"/>
        </w:rPr>
        <w:t xml:space="preserve">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d’établissement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Pr="00C1149C">
        <w:rPr>
          <w:rFonts w:ascii="Arial" w:hAnsi="Arial" w:cs="Arial"/>
          <w:bCs/>
          <w:i/>
          <w:sz w:val="16"/>
          <w:szCs w:val="16"/>
        </w:rPr>
        <w:t>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9" w:name="_Toc507679562"/>
      <w:r w:rsidRPr="00A167A7">
        <w:t>Services connexes</w:t>
      </w:r>
      <w:bookmarkEnd w:id="9"/>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3°</w:t>
      </w:r>
      <w:r w:rsidRPr="002A6978">
        <w:rPr>
          <w:rFonts w:ascii="Arial" w:hAnsi="Arial" w:cs="Arial"/>
          <w:i/>
        </w:rPr>
        <w:t xml:space="preserve">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Default="0093368A" w:rsidP="00B93618">
            <w:pPr>
              <w:spacing w:after="60"/>
              <w:jc w:val="both"/>
              <w:rPr>
                <w:rFonts w:ascii="Arial" w:hAnsi="Arial" w:cs="Arial"/>
                <w:sz w:val="20"/>
                <w:szCs w:val="20"/>
              </w:rPr>
            </w:pPr>
            <w:r>
              <w:rPr>
                <w:rFonts w:ascii="Arial" w:hAnsi="Arial" w:cs="Arial"/>
                <w:sz w:val="20"/>
                <w:szCs w:val="20"/>
              </w:rPr>
              <w:t>octroi de crédits mentionnés au premier alinéa de l’article L. 313-1</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0E429D">
              <w:rPr>
                <w:rFonts w:ascii="Arial" w:hAnsi="Arial" w:cs="Arial"/>
                <w:sz w:val="20"/>
              </w:rPr>
            </w:r>
            <w:r w:rsidR="000E429D">
              <w:rPr>
                <w:rFonts w:ascii="Arial" w:hAnsi="Arial" w:cs="Arial"/>
                <w:sz w:val="20"/>
              </w:rPr>
              <w:fldChar w:fldCharType="separate"/>
            </w:r>
            <w:r w:rsidRPr="00452F83">
              <w:rPr>
                <w:rFonts w:ascii="Arial" w:hAnsi="Arial" w:cs="Arial"/>
                <w:sz w:val="20"/>
              </w:rPr>
              <w:fldChar w:fldCharType="end"/>
            </w:r>
          </w:p>
        </w:tc>
      </w:tr>
    </w:tbl>
    <w:p w:rsidR="0093368A" w:rsidRPr="002A56FF" w:rsidRDefault="0093368A" w:rsidP="002A56FF">
      <w:pPr>
        <w:tabs>
          <w:tab w:val="left" w:pos="1418"/>
        </w:tabs>
      </w:pPr>
    </w:p>
    <w:p w:rsidR="0093368A" w:rsidRPr="00A167A7" w:rsidRDefault="0093368A" w:rsidP="0093368A">
      <w:pPr>
        <w:pStyle w:val="Titre2"/>
      </w:pPr>
      <w:bookmarkStart w:id="10" w:name="_Toc507679563"/>
      <w:r w:rsidRPr="00A167A7">
        <w:t xml:space="preserve">Recours à des </w:t>
      </w:r>
      <w:r w:rsidR="00560054">
        <w:t xml:space="preserve">distributeurs et/ou des </w:t>
      </w:r>
      <w:r w:rsidRPr="00A167A7">
        <w:t>agents</w:t>
      </w:r>
      <w:bookmarkEnd w:id="10"/>
    </w:p>
    <w:p w:rsidR="0093368A" w:rsidRPr="00FB4E9D" w:rsidRDefault="0093368A" w:rsidP="0093368A">
      <w:pPr>
        <w:ind w:left="360" w:firstLine="349"/>
        <w:rPr>
          <w:rFonts w:ascii="Arial" w:hAnsi="Arial" w:cs="Arial"/>
          <w:i/>
          <w:sz w:val="20"/>
          <w:szCs w:val="20"/>
        </w:rPr>
      </w:pPr>
      <w:r w:rsidRPr="009500E3">
        <w:rPr>
          <w:rFonts w:ascii="Arial" w:hAnsi="Arial" w:cs="Arial"/>
          <w:i/>
          <w:sz w:val="20"/>
          <w:szCs w:val="20"/>
        </w:rPr>
        <w:t xml:space="preserve">(Articles L. 523-1 à L. 523-6 </w:t>
      </w:r>
      <w:r w:rsidR="00C31841" w:rsidRPr="009500E3">
        <w:rPr>
          <w:rFonts w:ascii="Arial" w:hAnsi="Arial" w:cs="Arial"/>
          <w:i/>
          <w:sz w:val="20"/>
          <w:szCs w:val="20"/>
        </w:rPr>
        <w:t xml:space="preserve">et L.525-8 </w:t>
      </w:r>
      <w:r w:rsidRPr="009500E3">
        <w:rPr>
          <w:rFonts w:ascii="Arial" w:hAnsi="Arial" w:cs="Arial"/>
          <w:i/>
          <w:sz w:val="20"/>
          <w:szCs w:val="20"/>
        </w:rPr>
        <w:t>du Code monétaire et financier)</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nombre prévisionnel d</w:t>
      </w:r>
      <w:r>
        <w:rPr>
          <w:rFonts w:ascii="Arial" w:hAnsi="Arial" w:cs="Arial"/>
          <w:sz w:val="20"/>
          <w:szCs w:val="20"/>
        </w:rPr>
        <w:t>’</w:t>
      </w:r>
      <w:r w:rsidR="000A78B3">
        <w:rPr>
          <w:rFonts w:ascii="Arial" w:hAnsi="Arial" w:cs="Arial"/>
          <w:sz w:val="20"/>
          <w:szCs w:val="20"/>
        </w:rPr>
        <w:t>de distributeurs et/ou d'</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w:t>
      </w:r>
      <w:r w:rsidRPr="005D261E">
        <w:rPr>
          <w:rFonts w:ascii="Arial" w:hAnsi="Arial" w:cs="Arial"/>
          <w:sz w:val="20"/>
          <w:szCs w:val="20"/>
        </w:rPr>
        <w:lastRenderedPageBreak/>
        <w:t>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 xml:space="preserve">distributeurs et/ou </w:t>
      </w:r>
      <w:r>
        <w:rPr>
          <w:rFonts w:ascii="Arial" w:hAnsi="Arial" w:cs="Arial"/>
          <w:sz w:val="20"/>
          <w:szCs w:val="20"/>
        </w:rPr>
        <w:t>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w:t>
      </w:r>
      <w:r w:rsidR="000A78B3">
        <w:rPr>
          <w:rFonts w:ascii="Arial" w:hAnsi="Arial" w:cs="Arial"/>
          <w:sz w:val="20"/>
          <w:szCs w:val="20"/>
        </w:rPr>
        <w:t>les agents de services de paiement</w:t>
      </w:r>
      <w:r>
        <w:rPr>
          <w:rFonts w:ascii="Arial" w:hAnsi="Arial" w:cs="Arial"/>
          <w:sz w:val="20"/>
          <w:szCs w:val="20"/>
        </w:rPr>
        <w:t xml:space="preserve">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11" w:name="_Toc507679564"/>
      <w:r w:rsidRPr="00A167A7">
        <w:t>Exercice d’activité à l’étranger</w:t>
      </w:r>
      <w:bookmarkEnd w:id="11"/>
    </w:p>
    <w:p w:rsidR="00644B5F" w:rsidRDefault="00644B5F" w:rsidP="00644B5F">
      <w:pPr>
        <w:tabs>
          <w:tab w:val="left" w:pos="709"/>
          <w:tab w:val="left" w:pos="1418"/>
        </w:tabs>
        <w:rPr>
          <w:rFonts w:ascii="Arial" w:hAnsi="Arial" w:cs="Arial"/>
          <w:i/>
          <w:sz w:val="20"/>
          <w:szCs w:val="20"/>
        </w:rPr>
      </w:pPr>
      <w:r>
        <w:rPr>
          <w:rFonts w:ascii="Arial" w:hAnsi="Arial" w:cs="Arial"/>
          <w:i/>
          <w:sz w:val="20"/>
          <w:szCs w:val="20"/>
        </w:rPr>
        <w:tab/>
      </w:r>
      <w:r w:rsidRPr="001363B8">
        <w:rPr>
          <w:rFonts w:ascii="Arial" w:hAnsi="Arial" w:cs="Arial"/>
          <w:i/>
          <w:sz w:val="20"/>
          <w:szCs w:val="20"/>
        </w:rPr>
        <w:t>(Article</w:t>
      </w:r>
      <w:r>
        <w:rPr>
          <w:rFonts w:ascii="Arial" w:hAnsi="Arial" w:cs="Arial"/>
          <w:i/>
          <w:sz w:val="20"/>
          <w:szCs w:val="20"/>
        </w:rPr>
        <w:t>s</w:t>
      </w:r>
      <w:r w:rsidRPr="001363B8">
        <w:rPr>
          <w:rFonts w:ascii="Arial" w:hAnsi="Arial" w:cs="Arial"/>
          <w:i/>
          <w:sz w:val="20"/>
          <w:szCs w:val="20"/>
        </w:rPr>
        <w:t xml:space="preserve"> </w:t>
      </w:r>
      <w:r w:rsidRPr="00DE0DB7">
        <w:rPr>
          <w:rFonts w:ascii="Arial" w:hAnsi="Arial" w:cs="Arial"/>
          <w:i/>
          <w:sz w:val="20"/>
          <w:szCs w:val="20"/>
        </w:rPr>
        <w:t>L. 526</w:t>
      </w:r>
      <w:r>
        <w:rPr>
          <w:rFonts w:ascii="Arial" w:hAnsi="Arial" w:cs="Arial"/>
          <w:i/>
          <w:sz w:val="20"/>
          <w:szCs w:val="20"/>
        </w:rPr>
        <w:t>-21 et suivants</w:t>
      </w:r>
      <w:r w:rsidRPr="001363B8">
        <w:rPr>
          <w:rFonts w:ascii="Arial" w:hAnsi="Arial" w:cs="Arial"/>
          <w:i/>
          <w:sz w:val="20"/>
          <w:szCs w:val="20"/>
        </w:rPr>
        <w:t xml:space="preserve"> du Code monétaire et financier)</w:t>
      </w:r>
    </w:p>
    <w:p w:rsidR="00644B5F" w:rsidRDefault="00644B5F" w:rsidP="0093368A">
      <w:pPr>
        <w:tabs>
          <w:tab w:val="left" w:pos="1418"/>
        </w:tabs>
        <w:rPr>
          <w:rFonts w:ascii="Arial" w:hAnsi="Arial" w:cs="Arial"/>
          <w:sz w:val="20"/>
          <w:szCs w:val="20"/>
        </w:rPr>
      </w:pPr>
    </w:p>
    <w:p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8F45D7">
        <w:rPr>
          <w:rFonts w:ascii="Arial" w:hAnsi="Arial" w:cs="Arial"/>
          <w:sz w:val="20"/>
          <w:szCs w:val="20"/>
        </w:rPr>
        <w:t>monnaie électronique et, le cas échéant, de services de paiement,</w:t>
      </w:r>
      <w:r w:rsidR="008F45D7" w:rsidRPr="00222FC2">
        <w:rPr>
          <w:rFonts w:ascii="Arial" w:hAnsi="Arial" w:cs="Arial"/>
          <w:sz w:val="20"/>
          <w:szCs w:val="20"/>
        </w:rPr>
        <w:t xml:space="preserve"> </w:t>
      </w:r>
      <w:r w:rsidRPr="00222FC2">
        <w:rPr>
          <w:rFonts w:ascii="Arial" w:hAnsi="Arial" w:cs="Arial"/>
          <w:sz w:val="20"/>
          <w:szCs w:val="20"/>
        </w:rPr>
        <w:t>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rsidR="001B6ADC" w:rsidRDefault="000E429D" w:rsidP="0093368A">
      <w:pPr>
        <w:jc w:val="both"/>
        <w:rPr>
          <w:rFonts w:ascii="Arial" w:hAnsi="Arial" w:cs="Arial"/>
          <w:sz w:val="20"/>
          <w:szCs w:val="20"/>
        </w:rPr>
      </w:pPr>
      <w:hyperlink r:id="rId12" w:history="1">
        <w:r w:rsidR="001B6ADC" w:rsidRPr="00B13BD0">
          <w:rPr>
            <w:rStyle w:val="Lienhypertexte"/>
            <w:rFonts w:ascii="Arial" w:hAnsi="Arial" w:cs="Arial"/>
            <w:sz w:val="20"/>
            <w:szCs w:val="20"/>
          </w:rPr>
          <w:t>https://acpr.banque-france.fr/autoriser/procedures-secteur-banque/passeports-europeens-banque</w:t>
        </w:r>
      </w:hyperlink>
    </w:p>
    <w:p w:rsidR="001B6ADC" w:rsidRDefault="001B6ADC" w:rsidP="0093368A">
      <w:pPr>
        <w:jc w:val="both"/>
        <w:rPr>
          <w:rFonts w:ascii="Arial" w:hAnsi="Arial" w:cs="Arial"/>
          <w:sz w:val="20"/>
          <w:szCs w:val="20"/>
        </w:rPr>
      </w:pPr>
    </w:p>
    <w:p w:rsidR="0093368A" w:rsidRPr="00222FC2" w:rsidRDefault="0093368A" w:rsidP="001B74A8">
      <w:pPr>
        <w:pStyle w:val="Paragraphedeliste"/>
        <w:numPr>
          <w:ilvl w:val="0"/>
          <w:numId w:val="13"/>
        </w:numPr>
        <w:spacing w:after="120"/>
        <w:jc w:val="both"/>
        <w:rPr>
          <w:rFonts w:ascii="Arial" w:hAnsi="Arial" w:cs="Arial"/>
          <w:sz w:val="20"/>
          <w:szCs w:val="20"/>
        </w:rPr>
      </w:pPr>
      <w:r w:rsidRPr="00222FC2">
        <w:rPr>
          <w:rFonts w:ascii="Arial" w:hAnsi="Arial" w:cs="Arial"/>
          <w:sz w:val="20"/>
          <w:szCs w:val="20"/>
        </w:rPr>
        <w:t xml:space="preserve">Indiquer si l'exercice d'activités de services de </w:t>
      </w:r>
      <w:r w:rsidR="00932DC8">
        <w:rPr>
          <w:rFonts w:ascii="Arial" w:hAnsi="Arial" w:cs="Arial"/>
          <w:sz w:val="20"/>
          <w:szCs w:val="20"/>
        </w:rPr>
        <w:t xml:space="preserve">monnaie électronique et, le cas échéant, de services de </w:t>
      </w:r>
      <w:r w:rsidRPr="00222FC2">
        <w:rPr>
          <w:rFonts w:ascii="Arial" w:hAnsi="Arial" w:cs="Arial"/>
          <w:sz w:val="20"/>
          <w:szCs w:val="20"/>
        </w:rPr>
        <w:t>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 xml:space="preserve">entre l’émetteur de la monnaie électronique et le détenteur de la monnaie électronique et du projet de contrat </w:t>
      </w:r>
      <w:r w:rsidR="0093368A" w:rsidRPr="00F3407B">
        <w:rPr>
          <w:rFonts w:ascii="Arial" w:hAnsi="Arial" w:cs="Arial"/>
          <w:sz w:val="20"/>
          <w:szCs w:val="20"/>
        </w:rPr>
        <w:t xml:space="preserve">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DE0DB7">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r w:rsidR="00790D10">
        <w:rPr>
          <w:rFonts w:ascii="Arial" w:hAnsi="Arial" w:cs="Arial"/>
          <w:sz w:val="20"/>
          <w:szCs w:val="20"/>
        </w:rPr>
        <w:t xml:space="preserve">, si le demandeur a l’intention de fournir des services de paiement en </w:t>
      </w:r>
      <w:r w:rsidR="00BA583E">
        <w:rPr>
          <w:rFonts w:ascii="Arial" w:hAnsi="Arial" w:cs="Arial"/>
          <w:sz w:val="20"/>
          <w:szCs w:val="20"/>
        </w:rPr>
        <w:t>plus des services de monnaie électronique</w:t>
      </w:r>
    </w:p>
    <w:p w:rsidR="0093368A" w:rsidRPr="00AB3231" w:rsidRDefault="00F3407B" w:rsidP="00DE0DB7">
      <w:pPr>
        <w:spacing w:line="240" w:lineRule="auto"/>
        <w:jc w:val="both"/>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r w:rsidR="00DE0DB7">
        <w:rPr>
          <w:rFonts w:ascii="Arial" w:hAnsi="Arial" w:cs="Arial"/>
          <w:sz w:val="20"/>
          <w:szCs w:val="20"/>
        </w:rPr>
        <w:t>.</w:t>
      </w:r>
    </w:p>
    <w:p w:rsidR="0093368A" w:rsidRDefault="0093368A" w:rsidP="00DE0DB7">
      <w:pPr>
        <w:spacing w:after="200"/>
        <w:jc w:val="both"/>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2" w:name="_Toc507679565"/>
      <w:r w:rsidRPr="00A167A7">
        <w:lastRenderedPageBreak/>
        <w:t>Plan d’affaires et réglementation prudentielle</w:t>
      </w:r>
      <w:bookmarkEnd w:id="12"/>
    </w:p>
    <w:p w:rsidR="0093368A" w:rsidRDefault="0093368A" w:rsidP="0093368A">
      <w:pPr>
        <w:tabs>
          <w:tab w:val="left" w:pos="1418"/>
        </w:tabs>
        <w:rPr>
          <w:rFonts w:ascii="Arial" w:hAnsi="Arial" w:cs="Arial"/>
          <w:sz w:val="20"/>
          <w:szCs w:val="20"/>
        </w:rPr>
      </w:pPr>
    </w:p>
    <w:p w:rsidR="0093368A" w:rsidRPr="00F14B4B" w:rsidRDefault="0093368A" w:rsidP="001B74A8">
      <w:pPr>
        <w:pStyle w:val="Titre2"/>
        <w:numPr>
          <w:ilvl w:val="0"/>
          <w:numId w:val="19"/>
        </w:numPr>
        <w:ind w:left="782" w:hanging="357"/>
      </w:pPr>
      <w:bookmarkStart w:id="13" w:name="_Toc507679566"/>
      <w:r w:rsidRPr="00F14B4B">
        <w:t>Plan d’affaires</w:t>
      </w:r>
      <w:bookmarkEnd w:id="13"/>
    </w:p>
    <w:p w:rsidR="0093368A" w:rsidRDefault="0093368A" w:rsidP="0093368A">
      <w:pPr>
        <w:tabs>
          <w:tab w:val="left" w:pos="1418"/>
        </w:tabs>
        <w:rPr>
          <w:rFonts w:ascii="Arial" w:hAnsi="Arial" w:cs="Arial"/>
          <w:sz w:val="20"/>
          <w:szCs w:val="20"/>
        </w:rPr>
      </w:pPr>
    </w:p>
    <w:p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 xml:space="preserve">Une étude de marché qui inclura notamment une analyse du positionnement concurrentiel dans le segment du marché </w:t>
      </w:r>
      <w:r w:rsidR="00C83AB4">
        <w:rPr>
          <w:rFonts w:ascii="Arial" w:hAnsi="Arial" w:cs="Arial"/>
          <w:sz w:val="20"/>
          <w:szCs w:val="20"/>
        </w:rPr>
        <w:t>de monnaie électronique</w:t>
      </w:r>
      <w:r>
        <w:rPr>
          <w:rFonts w:ascii="Arial" w:hAnsi="Arial" w:cs="Arial"/>
          <w:sz w:val="20"/>
          <w:szCs w:val="20"/>
        </w:rPr>
        <w:t xml:space="preserve"> concernés du futur établissement, la stratégie et la méthode de commercialisation (support marketing, canaux de distribution…)</w:t>
      </w:r>
      <w:r w:rsidR="00422664">
        <w:rPr>
          <w:rFonts w:ascii="Arial" w:hAnsi="Arial" w:cs="Arial"/>
          <w:sz w:val="20"/>
          <w:szCs w:val="20"/>
        </w:rPr>
        <w:t xml:space="preserve"> et le cas échéant, dans le segment de marché des paiements concernés.</w:t>
      </w:r>
    </w:p>
    <w:p w:rsidR="0093368A" w:rsidRDefault="0093368A" w:rsidP="0021695F">
      <w:pPr>
        <w:spacing w:line="240" w:lineRule="auto"/>
        <w:ind w:left="357" w:firstLine="709"/>
        <w:jc w:val="both"/>
        <w:rPr>
          <w:rFonts w:ascii="Arial" w:eastAsia="Times New Roman" w:hAnsi="Arial" w:cs="Arial"/>
          <w:sz w:val="20"/>
          <w:szCs w:val="20"/>
          <w:lang w:eastAsia="fr-FR"/>
        </w:rPr>
      </w:pPr>
    </w:p>
    <w:p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rsidR="0093368A" w:rsidRPr="007E33CB" w:rsidRDefault="0093368A" w:rsidP="001B74A8">
      <w:pPr>
        <w:numPr>
          <w:ilvl w:val="2"/>
          <w:numId w:val="10"/>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concurrents, fournisseurs) ;</w:t>
      </w:r>
    </w:p>
    <w:p w:rsidR="0093368A" w:rsidRPr="0058646A" w:rsidRDefault="0093368A" w:rsidP="0093368A">
      <w:pPr>
        <w:tabs>
          <w:tab w:val="left" w:pos="1418"/>
        </w:tabs>
        <w:jc w:val="both"/>
        <w:rPr>
          <w:rFonts w:ascii="Arial" w:hAnsi="Arial" w:cs="Arial"/>
          <w:sz w:val="20"/>
          <w:szCs w:val="20"/>
        </w:rPr>
      </w:pPr>
    </w:p>
    <w:p w:rsidR="0093368A" w:rsidRDefault="0093368A" w:rsidP="001B74A8">
      <w:pPr>
        <w:pStyle w:val="Paragraphedeliste"/>
        <w:numPr>
          <w:ilvl w:val="0"/>
          <w:numId w:val="1"/>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93368A" w:rsidRPr="00DB7697" w:rsidRDefault="0093368A" w:rsidP="001B74A8">
      <w:pPr>
        <w:pStyle w:val="Paragraphedeliste"/>
        <w:numPr>
          <w:ilvl w:val="0"/>
          <w:numId w:val="1"/>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rsidR="0093368A" w:rsidRPr="00DB7697" w:rsidRDefault="0093368A" w:rsidP="0093368A">
      <w:pPr>
        <w:pStyle w:val="Paragraphedeliste"/>
        <w:jc w:val="both"/>
        <w:rPr>
          <w:rFonts w:ascii="Arial" w:hAnsi="Arial" w:cs="Arial"/>
          <w:sz w:val="20"/>
          <w:szCs w:val="20"/>
        </w:rPr>
      </w:pPr>
    </w:p>
    <w:p w:rsidR="0093368A" w:rsidRPr="00DB7697"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rsidR="0093368A" w:rsidRDefault="0093368A" w:rsidP="001B74A8">
      <w:pPr>
        <w:pStyle w:val="Paragraphedeliste"/>
        <w:numPr>
          <w:ilvl w:val="1"/>
          <w:numId w:val="1"/>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w:t>
      </w:r>
      <w:r w:rsidR="00422664">
        <w:rPr>
          <w:rFonts w:ascii="Arial" w:hAnsi="Arial" w:cs="Arial"/>
          <w:sz w:val="20"/>
          <w:szCs w:val="20"/>
        </w:rPr>
        <w:t xml:space="preserve"> et du bilan -</w:t>
      </w:r>
      <w:r w:rsidRPr="00DB7697">
        <w:rPr>
          <w:rFonts w:ascii="Arial" w:hAnsi="Arial" w:cs="Arial"/>
          <w:sz w:val="20"/>
          <w:szCs w:val="20"/>
        </w:rPr>
        <w:t>dettes financières, les fonds propres…(</w:t>
      </w:r>
      <w:r>
        <w:rPr>
          <w:rFonts w:ascii="Arial" w:hAnsi="Arial" w:cs="Arial"/>
          <w:sz w:val="20"/>
          <w:szCs w:val="20"/>
        </w:rPr>
        <w:t>2</w:t>
      </w:r>
      <w:r w:rsidRPr="00DB7697">
        <w:rPr>
          <w:rFonts w:ascii="Arial" w:hAnsi="Arial" w:cs="Arial"/>
          <w:sz w:val="20"/>
          <w:szCs w:val="20"/>
        </w:rPr>
        <w:t>)</w:t>
      </w:r>
      <w:r w:rsidR="00422664">
        <w:rPr>
          <w:rFonts w:ascii="Arial" w:hAnsi="Arial" w:cs="Arial"/>
          <w:sz w:val="20"/>
          <w:szCs w:val="20"/>
        </w:rPr>
        <w:t>-</w:t>
      </w:r>
    </w:p>
    <w:p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rsidR="0093368A" w:rsidRPr="00DB7697" w:rsidRDefault="0093368A" w:rsidP="001B74A8">
      <w:pPr>
        <w:pStyle w:val="Paragraphedeliste"/>
        <w:numPr>
          <w:ilvl w:val="1"/>
          <w:numId w:val="1"/>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rsidR="0093368A" w:rsidRDefault="0093368A" w:rsidP="001B74A8">
      <w:pPr>
        <w:pStyle w:val="Paragraphedeliste"/>
        <w:numPr>
          <w:ilvl w:val="1"/>
          <w:numId w:val="1"/>
        </w:numPr>
        <w:jc w:val="both"/>
        <w:rPr>
          <w:rFonts w:ascii="Arial" w:hAnsi="Arial" w:cs="Arial"/>
          <w:sz w:val="20"/>
          <w:szCs w:val="20"/>
        </w:rPr>
      </w:pPr>
      <w:r w:rsidRPr="00DB7697">
        <w:rPr>
          <w:rFonts w:ascii="Arial" w:hAnsi="Arial" w:cs="Arial"/>
          <w:sz w:val="20"/>
          <w:szCs w:val="20"/>
        </w:rPr>
        <w:t xml:space="preserve">Une ventilation détaillée du montant des flux de paiement </w:t>
      </w:r>
      <w:r w:rsidR="00422664">
        <w:rPr>
          <w:rFonts w:ascii="Arial" w:hAnsi="Arial" w:cs="Arial"/>
          <w:sz w:val="20"/>
          <w:szCs w:val="20"/>
        </w:rPr>
        <w:t xml:space="preserve">par service de paiement </w:t>
      </w:r>
      <w:r w:rsidR="00C83AB4">
        <w:rPr>
          <w:rFonts w:ascii="Arial" w:hAnsi="Arial" w:cs="Arial"/>
          <w:sz w:val="20"/>
          <w:szCs w:val="20"/>
        </w:rPr>
        <w:t xml:space="preserve">et/ou de monnaie électronique </w:t>
      </w:r>
      <w:r w:rsidRPr="00DB7697">
        <w:rPr>
          <w:rFonts w:ascii="Arial" w:hAnsi="Arial" w:cs="Arial"/>
          <w:sz w:val="20"/>
          <w:szCs w:val="20"/>
        </w:rPr>
        <w:t>prévisionnels</w:t>
      </w:r>
      <w:r w:rsidR="00C83AB4">
        <w:rPr>
          <w:rFonts w:ascii="Arial" w:hAnsi="Arial" w:cs="Arial"/>
          <w:sz w:val="20"/>
          <w:szCs w:val="20"/>
        </w:rPr>
        <w:t xml:space="preserve"> </w:t>
      </w:r>
      <w:r w:rsidRPr="00DB7697">
        <w:rPr>
          <w:rFonts w:ascii="Arial" w:hAnsi="Arial" w:cs="Arial"/>
          <w:sz w:val="20"/>
          <w:szCs w:val="20"/>
        </w:rPr>
        <w:t>sur trois années pleines.</w:t>
      </w:r>
    </w:p>
    <w:p w:rsidR="0093368A" w:rsidRDefault="0093368A" w:rsidP="0093368A">
      <w:pPr>
        <w:tabs>
          <w:tab w:val="left" w:pos="1418"/>
        </w:tabs>
        <w:jc w:val="both"/>
        <w:rPr>
          <w:rFonts w:ascii="Arial" w:hAnsi="Arial" w:cs="Arial"/>
          <w:sz w:val="20"/>
          <w:szCs w:val="20"/>
        </w:rPr>
      </w:pPr>
    </w:p>
    <w:p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r w:rsidR="00422664">
        <w:rPr>
          <w:rFonts w:ascii="Arial" w:hAnsi="Arial" w:cs="Arial"/>
          <w:i/>
          <w:sz w:val="18"/>
          <w:szCs w:val="18"/>
        </w:rPr>
        <w:t xml:space="preserve"> </w:t>
      </w:r>
      <w:r w:rsidRPr="0093368A">
        <w:rPr>
          <w:rFonts w:ascii="Arial" w:hAnsi="Arial" w:cs="Arial"/>
          <w:i/>
          <w:sz w:val="18"/>
          <w:szCs w:val="18"/>
        </w:rPr>
        <w:t>les dotations aux amortissements et aux provisions sur immobilisations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r w:rsidR="00422664">
        <w:rPr>
          <w:rFonts w:ascii="Arial" w:hAnsi="Arial" w:cs="Arial"/>
          <w:i/>
          <w:sz w:val="18"/>
          <w:szCs w:val="18"/>
        </w:rPr>
        <w:t xml:space="preserve"> </w:t>
      </w:r>
      <w:r w:rsidRPr="0093368A">
        <w:rPr>
          <w:rFonts w:ascii="Arial" w:hAnsi="Arial" w:cs="Arial"/>
          <w:i/>
          <w:sz w:val="18"/>
          <w:szCs w:val="18"/>
        </w:rPr>
        <w:t>le coût du risque ;</w:t>
      </w:r>
      <w:r w:rsidR="00422664">
        <w:rPr>
          <w:rFonts w:ascii="Arial" w:hAnsi="Arial" w:cs="Arial"/>
          <w:i/>
          <w:sz w:val="18"/>
          <w:szCs w:val="18"/>
        </w:rPr>
        <w:t xml:space="preserve"> </w:t>
      </w:r>
      <w:r w:rsidRPr="0093368A">
        <w:rPr>
          <w:rFonts w:ascii="Arial" w:hAnsi="Arial" w:cs="Arial"/>
          <w:i/>
          <w:sz w:val="18"/>
          <w:szCs w:val="18"/>
        </w:rPr>
        <w:t>le résultat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r w:rsidR="00422664">
        <w:rPr>
          <w:rFonts w:ascii="Arial" w:hAnsi="Arial" w:cs="Arial"/>
          <w:i/>
          <w:sz w:val="18"/>
          <w:szCs w:val="18"/>
        </w:rPr>
        <w:t xml:space="preserve"> </w:t>
      </w:r>
      <w:r w:rsidRPr="0093368A">
        <w:rPr>
          <w:rFonts w:ascii="Arial" w:hAnsi="Arial" w:cs="Arial"/>
          <w:i/>
          <w:sz w:val="18"/>
          <w:szCs w:val="18"/>
        </w:rPr>
        <w:t>le résultat courant avant impôt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r w:rsidR="00422664">
        <w:rPr>
          <w:rFonts w:ascii="Arial" w:hAnsi="Arial" w:cs="Arial"/>
          <w:i/>
          <w:sz w:val="18"/>
          <w:szCs w:val="18"/>
        </w:rPr>
        <w:t xml:space="preserve"> </w:t>
      </w:r>
      <w:r w:rsidRPr="0093368A">
        <w:rPr>
          <w:rFonts w:ascii="Arial" w:hAnsi="Arial" w:cs="Arial"/>
          <w:i/>
          <w:sz w:val="18"/>
          <w:szCs w:val="18"/>
        </w:rPr>
        <w:t>l’impôt sur les bénéfices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r w:rsidR="00422664">
        <w:rPr>
          <w:rFonts w:ascii="Arial" w:hAnsi="Arial" w:cs="Arial"/>
          <w:i/>
          <w:sz w:val="18"/>
          <w:szCs w:val="18"/>
        </w:rPr>
        <w:t xml:space="preserve"> </w:t>
      </w:r>
      <w:r w:rsidRPr="0093368A">
        <w:rPr>
          <w:rFonts w:ascii="Arial" w:hAnsi="Arial" w:cs="Arial"/>
          <w:i/>
          <w:sz w:val="18"/>
          <w:szCs w:val="18"/>
        </w:rPr>
        <w:t>le résultat net.</w:t>
      </w:r>
    </w:p>
    <w:p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w:t>
      </w:r>
      <w:r w:rsidR="007C5909">
        <w:rPr>
          <w:rFonts w:ascii="Arial" w:hAnsi="Arial" w:cs="Arial"/>
          <w:i/>
          <w:sz w:val="18"/>
          <w:szCs w:val="18"/>
        </w:rPr>
        <w:t>, distributeurs</w:t>
      </w:r>
      <w:r w:rsidRPr="00CA51E6">
        <w:rPr>
          <w:rFonts w:ascii="Arial" w:hAnsi="Arial" w:cs="Arial"/>
          <w:i/>
          <w:sz w:val="18"/>
          <w:szCs w:val="18"/>
        </w:rPr>
        <w:t>…),  Internet…)</w:t>
      </w:r>
    </w:p>
    <w:p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t>des prévisions d’activité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des hypothèses en matière de financement ;</w:t>
      </w:r>
    </w:p>
    <w:p w:rsidR="0093368A" w:rsidRPr="00FB1F58"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FB1F58">
        <w:rPr>
          <w:rFonts w:ascii="Arial" w:eastAsia="Times New Roman" w:hAnsi="Arial" w:cs="Arial"/>
          <w:i/>
          <w:sz w:val="18"/>
          <w:szCs w:val="18"/>
          <w:lang w:eastAsia="fr-FR"/>
        </w:rPr>
        <w:lastRenderedPageBreak/>
        <w:t>une hypothèse d’affectation du résultat (distribution des dividendes aux actionnaires, mise en réserve ou en report à nouveau) ;</w:t>
      </w:r>
      <w:r w:rsidR="00422664" w:rsidRPr="00FB1F58">
        <w:rPr>
          <w:rFonts w:ascii="Arial" w:eastAsia="Times New Roman" w:hAnsi="Arial" w:cs="Arial"/>
          <w:i/>
          <w:sz w:val="18"/>
          <w:szCs w:val="18"/>
          <w:lang w:eastAsia="fr-FR"/>
        </w:rPr>
        <w:t xml:space="preserve"> </w:t>
      </w:r>
      <w:r w:rsidRPr="00FB1F58">
        <w:rPr>
          <w:rFonts w:ascii="Arial" w:eastAsia="Times New Roman" w:hAnsi="Arial" w:cs="Arial"/>
          <w:i/>
          <w:sz w:val="18"/>
          <w:szCs w:val="18"/>
          <w:lang w:eastAsia="fr-FR"/>
        </w:rPr>
        <w:t>une hypothèse cohérente de taux d’imposition ;</w:t>
      </w:r>
    </w:p>
    <w:p w:rsidR="0093368A" w:rsidRPr="00CA51E6" w:rsidRDefault="0093368A" w:rsidP="001B74A8">
      <w:pPr>
        <w:numPr>
          <w:ilvl w:val="2"/>
          <w:numId w:val="11"/>
        </w:numPr>
        <w:spacing w:line="240" w:lineRule="auto"/>
        <w:ind w:left="0" w:firstLine="0"/>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rsidR="0093368A" w:rsidRDefault="0093368A" w:rsidP="00422664">
      <w:pPr>
        <w:tabs>
          <w:tab w:val="left" w:pos="1418"/>
        </w:tabs>
        <w:jc w:val="both"/>
        <w:rPr>
          <w:rFonts w:ascii="Arial" w:hAnsi="Arial" w:cs="Arial"/>
          <w:sz w:val="20"/>
          <w:szCs w:val="20"/>
        </w:rPr>
      </w:pPr>
    </w:p>
    <w:p w:rsidR="0093368A" w:rsidRDefault="0093368A" w:rsidP="001B74A8">
      <w:pPr>
        <w:pStyle w:val="Titre2"/>
        <w:numPr>
          <w:ilvl w:val="0"/>
          <w:numId w:val="19"/>
        </w:numPr>
        <w:ind w:left="782" w:hanging="357"/>
      </w:pPr>
      <w:bookmarkStart w:id="14" w:name="_Toc507679567"/>
      <w:r>
        <w:t>Capital initial</w:t>
      </w:r>
      <w:bookmarkEnd w:id="14"/>
      <w:r>
        <w:t xml:space="preserve"> </w:t>
      </w:r>
    </w:p>
    <w:p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w:t>
      </w:r>
      <w:r w:rsidR="00C83AB4">
        <w:rPr>
          <w:rFonts w:ascii="Arial" w:hAnsi="Arial" w:cs="Arial"/>
          <w:sz w:val="20"/>
          <w:szCs w:val="20"/>
        </w:rPr>
        <w:t>pour une activité d’émission de monnaie électronique ou de fourniture de services de paiements, le cas échéant</w:t>
      </w:r>
      <w:r w:rsidRPr="00CA51E6">
        <w:rPr>
          <w:rFonts w:ascii="Arial" w:hAnsi="Arial" w:cs="Arial"/>
          <w:sz w:val="20"/>
          <w:szCs w:val="20"/>
        </w:rPr>
        <w:t>.</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r w:rsidR="00195CC5">
        <w:rPr>
          <w:rFonts w:ascii="Arial" w:hAnsi="Arial" w:cs="Arial"/>
          <w:sz w:val="20"/>
          <w:szCs w:val="20"/>
        </w:rPr>
        <w:t xml:space="preserve"> (état comptable certifié, certificat de dépôt des fonds délivré par un établissement de crédit…)</w:t>
      </w:r>
    </w:p>
    <w:p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rsidTr="00B93618">
        <w:trPr>
          <w:trHeight w:val="567"/>
        </w:trPr>
        <w:tc>
          <w:tcPr>
            <w:tcW w:w="6204"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3830C1" w:rsidRPr="00FF1FD6" w:rsidTr="00B93618">
        <w:trPr>
          <w:trHeight w:val="567"/>
        </w:trPr>
        <w:tc>
          <w:tcPr>
            <w:tcW w:w="6204" w:type="dxa"/>
            <w:vAlign w:val="center"/>
          </w:tcPr>
          <w:p w:rsidR="003830C1" w:rsidRPr="00FF1FD6" w:rsidRDefault="003830C1" w:rsidP="00B93618">
            <w:pPr>
              <w:spacing w:before="60"/>
              <w:rPr>
                <w:rFonts w:ascii="Arial" w:hAnsi="Arial" w:cs="Arial"/>
                <w:sz w:val="20"/>
                <w:szCs w:val="20"/>
              </w:rPr>
            </w:pPr>
            <w:proofErr w:type="spellStart"/>
            <w:r>
              <w:rPr>
                <w:rFonts w:ascii="Arial" w:hAnsi="Arial" w:cs="Arial"/>
                <w:sz w:val="20"/>
                <w:szCs w:val="20"/>
              </w:rPr>
              <w:t>Emission</w:t>
            </w:r>
            <w:proofErr w:type="spellEnd"/>
            <w:r>
              <w:rPr>
                <w:rFonts w:ascii="Arial" w:hAnsi="Arial" w:cs="Arial"/>
                <w:sz w:val="20"/>
                <w:szCs w:val="20"/>
              </w:rPr>
              <w:t xml:space="preserve"> de monnaie électronique</w:t>
            </w:r>
          </w:p>
        </w:tc>
        <w:tc>
          <w:tcPr>
            <w:tcW w:w="2976" w:type="dxa"/>
          </w:tcPr>
          <w:p w:rsidR="003830C1" w:rsidRDefault="003830C1" w:rsidP="00B93618">
            <w:pPr>
              <w:spacing w:before="120"/>
              <w:rPr>
                <w:rFonts w:ascii="Arial" w:hAnsi="Arial" w:cs="Arial"/>
                <w:sz w:val="20"/>
                <w:szCs w:val="20"/>
              </w:rPr>
            </w:pPr>
            <w:r>
              <w:rPr>
                <w:rFonts w:ascii="Arial" w:hAnsi="Arial" w:cs="Arial"/>
                <w:sz w:val="20"/>
                <w:szCs w:val="20"/>
              </w:rPr>
              <w:t>350 000</w:t>
            </w:r>
          </w:p>
        </w:tc>
      </w:tr>
    </w:tbl>
    <w:p w:rsidR="0093368A" w:rsidRDefault="0093368A" w:rsidP="00AB3231">
      <w:pPr>
        <w:rPr>
          <w:rFonts w:ascii="Arial" w:hAnsi="Arial" w:cs="Arial"/>
          <w:sz w:val="20"/>
          <w:szCs w:val="20"/>
        </w:rPr>
      </w:pPr>
    </w:p>
    <w:p w:rsidR="00C83AB4" w:rsidRPr="00AB3231" w:rsidRDefault="00C83AB4" w:rsidP="00AB3231">
      <w:pPr>
        <w:rPr>
          <w:rFonts w:ascii="Arial" w:hAnsi="Arial" w:cs="Arial"/>
          <w:sz w:val="20"/>
          <w:szCs w:val="20"/>
        </w:rPr>
      </w:pPr>
    </w:p>
    <w:p w:rsidR="0093368A" w:rsidRPr="003B1354" w:rsidRDefault="0093368A" w:rsidP="001B74A8">
      <w:pPr>
        <w:pStyle w:val="Titre2"/>
        <w:numPr>
          <w:ilvl w:val="0"/>
          <w:numId w:val="19"/>
        </w:numPr>
        <w:ind w:left="782" w:hanging="357"/>
      </w:pPr>
      <w:bookmarkStart w:id="15" w:name="_Toc507679568"/>
      <w:r>
        <w:t>E</w:t>
      </w:r>
      <w:r w:rsidRPr="003B1354">
        <w:t>xigences en fonds propres</w:t>
      </w:r>
      <w:r>
        <w:t xml:space="preserve"> prudentiels</w:t>
      </w:r>
      <w:bookmarkEnd w:id="15"/>
      <w:r w:rsidRPr="003B1354" w:rsidDel="00CA51E6">
        <w:t xml:space="preserve"> </w:t>
      </w:r>
    </w:p>
    <w:p w:rsidR="0093368A" w:rsidRDefault="0093368A" w:rsidP="0093368A">
      <w:pPr>
        <w:tabs>
          <w:tab w:val="left" w:pos="1418"/>
        </w:tabs>
        <w:rPr>
          <w:rFonts w:ascii="Arial" w:hAnsi="Arial" w:cs="Arial"/>
          <w:sz w:val="20"/>
          <w:szCs w:val="20"/>
        </w:rPr>
      </w:pPr>
    </w:p>
    <w:p w:rsidR="0093368A" w:rsidRPr="00FB1F58" w:rsidRDefault="006E42A9" w:rsidP="0093368A">
      <w:pPr>
        <w:pStyle w:val="Corpsdetexte2"/>
      </w:pPr>
      <w:r w:rsidRPr="00FB1F58">
        <w:t>Pour les établissements qui exerceront uniquement une activité d’émission de monnaie électronique il conviendra de cocher uniquement la méthode D. Dans le cas où l’établissement propose, en sus, la fourniture de services de paiement, il conviendra de cocher la méthode D ainsi que l’une des trois autres méthodes</w:t>
      </w:r>
      <w:r w:rsidR="00976DE6" w:rsidRPr="00FB1F58">
        <w:t>. L’établissement devra justifier ce choix au regard des risques liés aux activités visées, et démontrer qu’il pourra appliquer la méthode choisie. Une attention particulière sera portée sur l’estimation prévisionnelle du respect des normes de gestion applicables au demandeur en matière de solvabilité et de calcul des exigences en fonds propres, en application de l’arrêté du 29 octobre 2009 (articles 29 et suivants) et du 02 mai 2013 (article 35).</w:t>
      </w:r>
    </w:p>
    <w:p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6E42A9" w:rsidRPr="00970E4B" w:rsidRDefault="006E42A9" w:rsidP="001B74A8">
      <w:pPr>
        <w:pStyle w:val="Paragraphedeliste"/>
        <w:numPr>
          <w:ilvl w:val="1"/>
          <w:numId w:val="2"/>
        </w:numPr>
        <w:tabs>
          <w:tab w:val="left" w:pos="3402"/>
        </w:tabs>
        <w:ind w:left="1434" w:hanging="357"/>
        <w:jc w:val="both"/>
        <w:rPr>
          <w:rFonts w:ascii="Arial" w:hAnsi="Arial" w:cs="Arial"/>
          <w:sz w:val="20"/>
          <w:szCs w:val="20"/>
        </w:rPr>
      </w:pPr>
      <w:r>
        <w:rPr>
          <w:rFonts w:ascii="Arial" w:hAnsi="Arial" w:cs="Arial"/>
          <w:sz w:val="20"/>
          <w:szCs w:val="20"/>
        </w:rPr>
        <w:t>Méthode D</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p>
    <w:p w:rsidR="0093368A" w:rsidRPr="00D723B8" w:rsidRDefault="0093368A" w:rsidP="001B74A8">
      <w:pPr>
        <w:pStyle w:val="Paragraphedeliste"/>
        <w:numPr>
          <w:ilvl w:val="0"/>
          <w:numId w:val="5"/>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3"/>
      </w:r>
      <w:r>
        <w:rPr>
          <w:rFonts w:ascii="Arial" w:hAnsi="Arial" w:cs="Arial"/>
          <w:sz w:val="20"/>
          <w:szCs w:val="20"/>
        </w:rPr>
        <w:t xml:space="preserve"> sur les trois exercices à venir.</w:t>
      </w:r>
    </w:p>
    <w:p w:rsidR="0093368A" w:rsidRPr="0022176C" w:rsidRDefault="0093368A" w:rsidP="001B74A8">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méthodes de calcul pour calculer les exigences en fonds propres prudentiels en précisant, le cas échéant, les montants des fonds propres nécessaires relatifs aux opérations de crédit.</w:t>
      </w:r>
      <w:r w:rsidR="00FB1F58">
        <w:rPr>
          <w:rFonts w:ascii="Arial" w:hAnsi="Arial" w:cs="Arial"/>
          <w:sz w:val="20"/>
          <w:szCs w:val="20"/>
        </w:rPr>
        <w:t xml:space="preserve"> Pour les services de paiement, fournir également le calcul pour les méthodes qui n'ont pas été choisies.</w:t>
      </w:r>
    </w:p>
    <w:p w:rsidR="0093368A" w:rsidRDefault="0093368A" w:rsidP="0093368A">
      <w:pPr>
        <w:tabs>
          <w:tab w:val="left" w:pos="1418"/>
        </w:tabs>
        <w:jc w:val="both"/>
        <w:rPr>
          <w:rFonts w:ascii="Arial" w:hAnsi="Arial" w:cs="Arial"/>
          <w:sz w:val="20"/>
          <w:szCs w:val="20"/>
        </w:rPr>
      </w:pPr>
    </w:p>
    <w:p w:rsidR="0093368A" w:rsidRPr="003B1354" w:rsidRDefault="0093368A" w:rsidP="001B74A8">
      <w:pPr>
        <w:pStyle w:val="Titre2"/>
        <w:numPr>
          <w:ilvl w:val="0"/>
          <w:numId w:val="19"/>
        </w:numPr>
        <w:ind w:left="782" w:hanging="357"/>
      </w:pPr>
      <w:bookmarkStart w:id="16" w:name="_Toc507679569"/>
      <w:r w:rsidRPr="003B1354">
        <w:t>Protection des fonds collectés</w:t>
      </w:r>
      <w:bookmarkEnd w:id="16"/>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w:t>
      </w:r>
      <w:r w:rsidR="00FB1F58" w:rsidRPr="00560054">
        <w:rPr>
          <w:rFonts w:ascii="Arial" w:hAnsi="Arial" w:cs="Arial"/>
          <w:i/>
          <w:sz w:val="20"/>
          <w:szCs w:val="20"/>
        </w:rPr>
        <w:t xml:space="preserve">et L 522-17 </w:t>
      </w:r>
      <w:r w:rsidRPr="00560054">
        <w:rPr>
          <w:rFonts w:ascii="Arial" w:hAnsi="Arial" w:cs="Arial"/>
          <w:i/>
          <w:sz w:val="20"/>
          <w:szCs w:val="20"/>
        </w:rPr>
        <w:t>du Code monétaire et financier)</w:t>
      </w:r>
    </w:p>
    <w:p w:rsidR="0093368A" w:rsidRDefault="0093368A" w:rsidP="0093368A">
      <w:pPr>
        <w:pStyle w:val="Corpsdetexte2"/>
      </w:pP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et le cas échéant, </w:t>
      </w:r>
      <w:r>
        <w:rPr>
          <w:rFonts w:ascii="Arial" w:hAnsi="Arial" w:cs="Arial"/>
          <w:sz w:val="20"/>
          <w:szCs w:val="20"/>
        </w:rPr>
        <w:t xml:space="preserve">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560054" w:rsidRDefault="00560054" w:rsidP="0093368A">
      <w:pPr>
        <w:tabs>
          <w:tab w:val="left" w:pos="1418"/>
        </w:tabs>
        <w:rPr>
          <w:rFonts w:ascii="Arial" w:hAnsi="Arial" w:cs="Arial"/>
          <w:sz w:val="20"/>
          <w:szCs w:val="20"/>
        </w:rPr>
      </w:pPr>
    </w:p>
    <w:p w:rsidR="0093368A" w:rsidRPr="001363B8" w:rsidRDefault="0093368A" w:rsidP="001B74A8">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lastRenderedPageBreak/>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973F0D">
        <w:rPr>
          <w:rFonts w:ascii="Arial" w:hAnsi="Arial" w:cs="Arial"/>
          <w:i/>
          <w:sz w:val="20"/>
          <w:szCs w:val="20"/>
        </w:rPr>
        <w:t>38</w:t>
      </w:r>
      <w:r w:rsidR="00973F0D"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 xml:space="preserve">de monnaie électronique, et le cas échéant, </w:t>
      </w:r>
      <w:r>
        <w:rPr>
          <w:rFonts w:ascii="Arial" w:hAnsi="Arial" w:cs="Arial"/>
          <w:sz w:val="20"/>
          <w:szCs w:val="20"/>
        </w:rPr>
        <w:t>de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1B74A8">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1B74A8">
      <w:pPr>
        <w:pStyle w:val="Paragraphedeliste"/>
        <w:numPr>
          <w:ilvl w:val="2"/>
          <w:numId w:val="11"/>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93368A" w:rsidRDefault="0093368A" w:rsidP="0093368A">
      <w:pPr>
        <w:spacing w:after="200"/>
        <w:rPr>
          <w:rFonts w:ascii="Arial" w:hAnsi="Arial" w:cs="Arial"/>
          <w:sz w:val="20"/>
          <w:szCs w:val="20"/>
        </w:rPr>
      </w:pPr>
    </w:p>
    <w:p w:rsidR="0093368A" w:rsidRDefault="0093368A" w:rsidP="001B74A8">
      <w:pPr>
        <w:pStyle w:val="Titre2"/>
        <w:numPr>
          <w:ilvl w:val="0"/>
          <w:numId w:val="19"/>
        </w:numPr>
        <w:ind w:left="782" w:hanging="357"/>
      </w:pPr>
      <w:bookmarkStart w:id="17" w:name="_Toc507679570"/>
      <w:r>
        <w:t>Assurance responsabilité civile professionnelle</w:t>
      </w:r>
      <w:bookmarkEnd w:id="17"/>
    </w:p>
    <w:p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rsidR="0060241A" w:rsidRDefault="0060241A" w:rsidP="0093368A">
      <w:pPr>
        <w:pStyle w:val="Corpsdetexte2"/>
      </w:pPr>
    </w:p>
    <w:p w:rsidR="0093368A" w:rsidRPr="00F76D30" w:rsidRDefault="0093368A" w:rsidP="0093368A">
      <w:pPr>
        <w:pStyle w:val="Corpsdetexte2"/>
        <w:rPr>
          <w:u w:val="single"/>
        </w:rPr>
      </w:pPr>
      <w:r w:rsidRPr="00F76D30">
        <w:rPr>
          <w:u w:val="single"/>
        </w:rPr>
        <w:t xml:space="preserve">Sont concernés </w:t>
      </w:r>
      <w:r w:rsidR="00BF2E8E">
        <w:rPr>
          <w:u w:val="single"/>
        </w:rPr>
        <w:t xml:space="preserve">uniquement </w:t>
      </w:r>
      <w:r w:rsidRPr="00F76D30">
        <w:rPr>
          <w:u w:val="single"/>
        </w:rPr>
        <w:t>les établissements qui fourniront les services de paiement 7 et/ou 8</w:t>
      </w:r>
      <w:r>
        <w:rPr>
          <w:u w:val="single"/>
        </w:rPr>
        <w:t xml:space="preserve"> (</w:t>
      </w:r>
      <w:r w:rsidR="00680D5F">
        <w:rPr>
          <w:u w:val="single"/>
        </w:rPr>
        <w:t>article L. 314-1 du Code monétaire et financier</w:t>
      </w:r>
      <w:r>
        <w:rPr>
          <w:u w:val="single"/>
        </w:rPr>
        <w:t>)</w:t>
      </w:r>
      <w:r w:rsidRPr="00F76D30">
        <w:rPr>
          <w:u w:val="single"/>
        </w:rPr>
        <w:t>.</w:t>
      </w:r>
    </w:p>
    <w:p w:rsidR="0093368A"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p>
    <w:p w:rsidR="0060241A" w:rsidRDefault="0093368A" w:rsidP="0093368A">
      <w:pPr>
        <w:pStyle w:val="Corpsdetexte2"/>
      </w:pPr>
      <w:r>
        <w:t>Le projet de contrat devra être joint au dossier.</w:t>
      </w:r>
    </w:p>
    <w:p w:rsidR="0060241A" w:rsidRDefault="0060241A">
      <w:pPr>
        <w:spacing w:after="200"/>
        <w:rPr>
          <w:rFonts w:ascii="Arial" w:hAnsi="Arial" w:cs="Arial"/>
          <w:sz w:val="20"/>
          <w:szCs w:val="20"/>
        </w:rPr>
      </w:pPr>
      <w:r>
        <w:br w:type="page"/>
      </w:r>
    </w:p>
    <w:p w:rsidR="0093368A" w:rsidRDefault="0093368A" w:rsidP="0093368A">
      <w:pPr>
        <w:pStyle w:val="Corpsdetexte2"/>
      </w:pPr>
    </w:p>
    <w:p w:rsidR="0093368A" w:rsidRPr="00F14B4B" w:rsidRDefault="0093368A" w:rsidP="0093368A">
      <w:pPr>
        <w:pStyle w:val="Titre1"/>
      </w:pPr>
      <w:bookmarkStart w:id="18" w:name="_Toc507679571"/>
      <w:r w:rsidRPr="00F14B4B">
        <w:t>Structure organisationnelle et mécanisme de contrôle interne</w:t>
      </w:r>
      <w:bookmarkEnd w:id="18"/>
    </w:p>
    <w:p w:rsidR="0093368A" w:rsidRDefault="0093368A" w:rsidP="0093368A">
      <w:pPr>
        <w:tabs>
          <w:tab w:val="left" w:pos="1418"/>
        </w:tabs>
        <w:rPr>
          <w:rFonts w:ascii="Arial" w:hAnsi="Arial" w:cs="Arial"/>
          <w:sz w:val="20"/>
          <w:szCs w:val="20"/>
        </w:rPr>
      </w:pPr>
    </w:p>
    <w:p w:rsidR="0093368A" w:rsidRPr="00F14B4B" w:rsidRDefault="0093368A" w:rsidP="001B74A8">
      <w:pPr>
        <w:pStyle w:val="Titre2"/>
        <w:numPr>
          <w:ilvl w:val="2"/>
          <w:numId w:val="8"/>
        </w:numPr>
        <w:ind w:left="782" w:hanging="357"/>
      </w:pPr>
      <w:bookmarkStart w:id="19" w:name="_Toc507679572"/>
      <w:r w:rsidRPr="00F14B4B">
        <w:t>Structure organisationnelle</w:t>
      </w:r>
      <w:bookmarkEnd w:id="19"/>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agents ou des distributeurs.</w:t>
      </w:r>
    </w:p>
    <w:p w:rsidR="0093368A" w:rsidRPr="0048236B" w:rsidRDefault="0093368A" w:rsidP="0093368A">
      <w:pPr>
        <w:pStyle w:val="Paragraphedeliste"/>
        <w:rPr>
          <w:rFonts w:ascii="Arial" w:hAnsi="Arial" w:cs="Arial"/>
          <w:sz w:val="20"/>
          <w:szCs w:val="20"/>
        </w:rPr>
      </w:pP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4"/>
      </w:r>
      <w:r>
        <w:rPr>
          <w:rFonts w:ascii="Arial" w:hAnsi="Arial" w:cs="Arial"/>
          <w:sz w:val="20"/>
          <w:szCs w:val="20"/>
        </w:rPr>
        <w:t>.</w:t>
      </w:r>
    </w:p>
    <w:p w:rsidR="0093368A" w:rsidRDefault="0093368A" w:rsidP="001B74A8">
      <w:pPr>
        <w:pStyle w:val="Paragraphedeliste"/>
        <w:numPr>
          <w:ilvl w:val="1"/>
          <w:numId w:val="6"/>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1B74A8">
      <w:pPr>
        <w:pStyle w:val="Paragraphedeliste"/>
        <w:numPr>
          <w:ilvl w:val="0"/>
          <w:numId w:val="6"/>
        </w:numPr>
        <w:tabs>
          <w:tab w:val="left" w:pos="1418"/>
        </w:tabs>
        <w:jc w:val="both"/>
        <w:rPr>
          <w:rFonts w:ascii="Arial" w:hAnsi="Arial" w:cs="Arial"/>
          <w:sz w:val="20"/>
          <w:szCs w:val="20"/>
        </w:rPr>
      </w:pPr>
      <w:r w:rsidRPr="00C24395">
        <w:rPr>
          <w:rFonts w:ascii="Arial" w:hAnsi="Arial" w:cs="Arial"/>
          <w:sz w:val="20"/>
          <w:szCs w:val="20"/>
        </w:rPr>
        <w:t xml:space="preserve">L’identité du ou des commissaires aux comptes (CAC) (nom et adresse). </w:t>
      </w:r>
    </w:p>
    <w:p w:rsidR="00DC6FCE" w:rsidRPr="00DC6FCE" w:rsidRDefault="00DC6FCE" w:rsidP="00DC6FCE">
      <w:pPr>
        <w:pStyle w:val="Paragraphedeliste"/>
        <w:rPr>
          <w:rFonts w:ascii="Arial" w:hAnsi="Arial" w:cs="Arial"/>
          <w:sz w:val="20"/>
          <w:szCs w:val="20"/>
        </w:rPr>
      </w:pPr>
    </w:p>
    <w:p w:rsidR="00DC6FCE" w:rsidRPr="0062526D" w:rsidRDefault="00DC6FCE" w:rsidP="00DC6FCE">
      <w:pPr>
        <w:pStyle w:val="Paragraphedeliste"/>
        <w:tabs>
          <w:tab w:val="left" w:pos="1418"/>
        </w:tabs>
        <w:jc w:val="both"/>
        <w:rPr>
          <w:rFonts w:ascii="Arial" w:hAnsi="Arial" w:cs="Arial"/>
          <w:sz w:val="20"/>
          <w:szCs w:val="20"/>
        </w:rPr>
      </w:pPr>
    </w:p>
    <w:p w:rsidR="0093368A" w:rsidRPr="00601E1C" w:rsidRDefault="0093368A" w:rsidP="001B74A8">
      <w:pPr>
        <w:pStyle w:val="Titre2"/>
        <w:numPr>
          <w:ilvl w:val="2"/>
          <w:numId w:val="8"/>
        </w:numPr>
        <w:ind w:left="782" w:hanging="357"/>
      </w:pPr>
      <w:bookmarkStart w:id="20" w:name="_Toc507679573"/>
      <w:r w:rsidRPr="00601E1C">
        <w:t>Mécanismes de contrôle interne</w:t>
      </w:r>
      <w:bookmarkEnd w:id="20"/>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0A78B3" w:rsidRDefault="0093368A" w:rsidP="0093368A">
      <w:pPr>
        <w:pStyle w:val="Pieddepage"/>
        <w:rPr>
          <w:rFonts w:ascii="Arial" w:hAnsi="Arial" w:cs="Arial"/>
          <w:sz w:val="20"/>
          <w:szCs w:val="20"/>
        </w:rPr>
      </w:pPr>
      <w:r w:rsidRPr="00214E60">
        <w:rPr>
          <w:rFonts w:ascii="Arial" w:hAnsi="Arial" w:cs="Arial"/>
          <w:b/>
          <w:sz w:val="20"/>
          <w:szCs w:val="20"/>
        </w:rPr>
        <w:t xml:space="preserve">(1) </w:t>
      </w:r>
      <w:r w:rsidRPr="000A78B3">
        <w:rPr>
          <w:rFonts w:ascii="Arial" w:hAnsi="Arial" w:cs="Arial"/>
          <w:sz w:val="20"/>
          <w:szCs w:val="20"/>
        </w:rPr>
        <w:t>Joindre un CV actualisé</w:t>
      </w:r>
    </w:p>
    <w:p w:rsidR="0093368A" w:rsidRDefault="0093368A" w:rsidP="0093368A">
      <w:pPr>
        <w:tabs>
          <w:tab w:val="left" w:pos="1418"/>
        </w:tabs>
        <w:jc w:val="both"/>
        <w:rPr>
          <w:rFonts w:ascii="Arial" w:hAnsi="Arial" w:cs="Arial"/>
          <w:b/>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jc w:val="both"/>
        <w:rPr>
          <w:rFonts w:ascii="Arial" w:hAnsi="Arial" w:cs="Arial"/>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0E429D">
        <w:rPr>
          <w:rFonts w:ascii="Arial" w:hAnsi="Arial" w:cs="Arial"/>
          <w:sz w:val="20"/>
          <w:szCs w:val="20"/>
        </w:rPr>
      </w:r>
      <w:r w:rsidR="000E429D">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Si l’établissement envisage d’octroyer des crédits</w:t>
      </w:r>
      <w:r w:rsidR="000A78B3">
        <w:rPr>
          <w:rFonts w:ascii="Arial" w:hAnsi="Arial" w:cs="Arial"/>
          <w:sz w:val="20"/>
          <w:szCs w:val="20"/>
        </w:rPr>
        <w:t xml:space="preserve"> dans le cadre de la fourniture des services de paiement</w:t>
      </w:r>
      <w:r>
        <w:rPr>
          <w:rFonts w:ascii="Arial" w:hAnsi="Arial" w:cs="Arial"/>
          <w:sz w:val="20"/>
          <w:szCs w:val="20"/>
        </w:rPr>
        <w:t xml:space="preserve">, la politique de crédit et le dispositif spécifique de suivi du risque de crédit devra être présenté.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 xml:space="preserve">intégrant la fréquence des contrôles et les systèmes de </w:t>
      </w:r>
      <w:proofErr w:type="spellStart"/>
      <w:r>
        <w:rPr>
          <w:rFonts w:ascii="Arial" w:hAnsi="Arial" w:cs="Arial"/>
          <w:sz w:val="20"/>
          <w:szCs w:val="20"/>
        </w:rPr>
        <w:t>reporting</w:t>
      </w:r>
      <w:proofErr w:type="spellEnd"/>
      <w:r w:rsidRPr="00011F7B">
        <w:rPr>
          <w:rFonts w:ascii="Arial" w:hAnsi="Arial" w:cs="Arial"/>
          <w:sz w:val="20"/>
          <w:szCs w:val="20"/>
        </w:rPr>
        <w:t>.</w:t>
      </w:r>
    </w:p>
    <w:p w:rsidR="0093368A" w:rsidRDefault="0093368A" w:rsidP="0093368A">
      <w:pPr>
        <w:spacing w:line="240" w:lineRule="auto"/>
        <w:jc w:val="both"/>
        <w:rPr>
          <w:rFonts w:ascii="Arial" w:hAnsi="Arial" w:cs="Arial"/>
          <w:sz w:val="20"/>
          <w:szCs w:val="20"/>
        </w:rPr>
      </w:pPr>
    </w:p>
    <w:p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w:t>
      </w:r>
      <w:r w:rsidR="00195CC5">
        <w:rPr>
          <w:rFonts w:ascii="Arial" w:hAnsi="Arial" w:cs="Arial"/>
          <w:sz w:val="20"/>
          <w:szCs w:val="20"/>
        </w:rPr>
        <w:t xml:space="preserve"> et / ou 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et systèmes informatiques, processus et infrastructures utilisés par les agents</w:t>
      </w:r>
      <w:r w:rsidR="00195CC5">
        <w:rPr>
          <w:rFonts w:ascii="Arial" w:hAnsi="Arial" w:cs="Arial"/>
          <w:sz w:val="20"/>
          <w:szCs w:val="20"/>
        </w:rPr>
        <w:t xml:space="preserve"> et / ou 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rsidR="0093368A" w:rsidRDefault="0093368A" w:rsidP="0093368A">
      <w:pPr>
        <w:tabs>
          <w:tab w:val="left" w:pos="1418"/>
        </w:tabs>
        <w:spacing w:line="240" w:lineRule="auto"/>
        <w:jc w:val="both"/>
        <w:rPr>
          <w:rFonts w:ascii="Arial" w:hAnsi="Arial" w:cs="Arial"/>
          <w:sz w:val="20"/>
          <w:szCs w:val="20"/>
        </w:rPr>
      </w:pPr>
    </w:p>
    <w:p w:rsidR="0093368A" w:rsidRPr="003B1354" w:rsidRDefault="00F72E89" w:rsidP="001B74A8">
      <w:pPr>
        <w:pStyle w:val="Titre2"/>
        <w:numPr>
          <w:ilvl w:val="2"/>
          <w:numId w:val="8"/>
        </w:numPr>
        <w:ind w:left="782" w:hanging="357"/>
      </w:pPr>
      <w:bookmarkStart w:id="21" w:name="_Toc507679574"/>
      <w:r>
        <w:t>Lutte contre le blanchiment de capitaux et le financement du terrorisme</w:t>
      </w:r>
      <w:bookmarkEnd w:id="21"/>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1B74A8">
      <w:pPr>
        <w:pStyle w:val="Paragraphedeliste"/>
        <w:numPr>
          <w:ilvl w:val="0"/>
          <w:numId w:val="15"/>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lastRenderedPageBreak/>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0736FD">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w:t>
      </w:r>
      <w:r w:rsidR="002003CB">
        <w:rPr>
          <w:rFonts w:ascii="Arial" w:hAnsi="Arial" w:cs="Arial"/>
          <w:bCs/>
          <w:sz w:val="20"/>
          <w:szCs w:val="20"/>
        </w:rPr>
        <w:t xml:space="preserve"> et / ou de distributeurs</w:t>
      </w:r>
      <w:r w:rsidR="0093368A" w:rsidRPr="00AB3231">
        <w:rPr>
          <w:rFonts w:ascii="Arial" w:hAnsi="Arial" w:cs="Arial"/>
          <w:bCs/>
          <w:sz w:val="20"/>
          <w:szCs w:val="20"/>
        </w:rPr>
        <w:t>,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rsidR="0093368A" w:rsidRPr="003D2C56"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0736FD">
      <w:pPr>
        <w:spacing w:line="240" w:lineRule="auto"/>
        <w:jc w:val="both"/>
        <w:rPr>
          <w:rFonts w:ascii="Arial" w:hAnsi="Arial" w:cs="Arial"/>
          <w:bCs/>
          <w:sz w:val="20"/>
          <w:szCs w:val="20"/>
        </w:rPr>
      </w:pPr>
    </w:p>
    <w:p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0736FD">
      <w:pPr>
        <w:pStyle w:val="Paragraphedeliste"/>
        <w:ind w:left="0"/>
        <w:contextualSpacing w:val="0"/>
        <w:rPr>
          <w:rFonts w:ascii="Arial" w:hAnsi="Arial" w:cs="Arial"/>
          <w:bCs/>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rsidR="0093368A" w:rsidRDefault="0093368A" w:rsidP="000736FD">
      <w:pPr>
        <w:spacing w:line="240" w:lineRule="auto"/>
        <w:jc w:val="both"/>
        <w:rPr>
          <w:rFonts w:ascii="Arial" w:hAnsi="Arial" w:cs="Arial"/>
          <w:sz w:val="20"/>
          <w:szCs w:val="20"/>
        </w:rPr>
      </w:pPr>
    </w:p>
    <w:p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93368A">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2" w:name="_Toc507679575"/>
      <w:r>
        <w:lastRenderedPageBreak/>
        <w:t>Procédures des systèmes de sécurité</w:t>
      </w:r>
      <w:r w:rsidR="0093368A" w:rsidRPr="00A167A7">
        <w:t xml:space="preserve"> </w:t>
      </w:r>
      <w:r>
        <w:t>et accès aux données sensibles</w:t>
      </w:r>
      <w:bookmarkEnd w:id="22"/>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D963A6" w:rsidRPr="002003CB" w:rsidRDefault="00D963A6" w:rsidP="00D963A6">
      <w:pPr>
        <w:jc w:val="both"/>
        <w:rPr>
          <w:rFonts w:ascii="Arial" w:hAnsi="Arial" w:cs="Arial"/>
          <w:sz w:val="20"/>
          <w:szCs w:val="20"/>
        </w:rPr>
      </w:pPr>
      <w:r w:rsidRPr="002003CB">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rsidR="00D963A6" w:rsidRPr="002003CB" w:rsidRDefault="00D963A6" w:rsidP="00D963A6">
      <w:pPr>
        <w:jc w:val="both"/>
        <w:rPr>
          <w:rFonts w:ascii="Arial" w:hAnsi="Arial" w:cs="Arial"/>
          <w:sz w:val="20"/>
          <w:szCs w:val="20"/>
        </w:rPr>
      </w:pP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type de données collectées en rapport avec les clients, le canal</w:t>
      </w:r>
      <w:r w:rsidR="007B0824">
        <w:rPr>
          <w:rFonts w:ascii="Arial" w:hAnsi="Arial" w:cs="Arial"/>
          <w:sz w:val="20"/>
          <w:szCs w:val="20"/>
        </w:rPr>
        <w:t xml:space="preserve"> de distribution de la monnaie électronique</w:t>
      </w:r>
      <w:r w:rsidRPr="002003CB">
        <w:rPr>
          <w:rFonts w:ascii="Arial" w:hAnsi="Arial" w:cs="Arial"/>
          <w:sz w:val="20"/>
          <w:szCs w:val="20"/>
        </w:rPr>
        <w:t>, l’instrument, les juridictions et les devises ;</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portée de la collecte sur les activités et entités concernées, y compris les succursales et les agents ;</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Les moyens de collecte</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Le but de la collecte</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fréquence de la collecte</w:t>
      </w:r>
    </w:p>
    <w:p w:rsidR="00D963A6" w:rsidRPr="002003CB" w:rsidRDefault="00D963A6" w:rsidP="001B74A8">
      <w:pPr>
        <w:pStyle w:val="Paragraphedeliste"/>
        <w:numPr>
          <w:ilvl w:val="1"/>
          <w:numId w:val="6"/>
        </w:numPr>
        <w:ind w:left="717"/>
        <w:jc w:val="both"/>
        <w:rPr>
          <w:rFonts w:ascii="Arial" w:hAnsi="Arial" w:cs="Arial"/>
          <w:sz w:val="20"/>
          <w:szCs w:val="20"/>
        </w:rPr>
      </w:pPr>
      <w:r w:rsidRPr="002003CB">
        <w:rPr>
          <w:rFonts w:ascii="Arial" w:hAnsi="Arial" w:cs="Arial"/>
          <w:sz w:val="20"/>
          <w:szCs w:val="20"/>
        </w:rPr>
        <w:t>La documentation, tel qu’un manuel, décrivant le fonctionnement du système</w:t>
      </w:r>
    </w:p>
    <w:p w:rsidR="00D963A6" w:rsidRPr="002003CB" w:rsidRDefault="00D963A6" w:rsidP="0093368A">
      <w:pPr>
        <w:spacing w:line="240" w:lineRule="auto"/>
        <w:jc w:val="both"/>
        <w:rPr>
          <w:rFonts w:ascii="Arial" w:hAnsi="Arial" w:cs="Arial"/>
          <w:bCs/>
          <w:sz w:val="20"/>
          <w:szCs w:val="20"/>
        </w:rPr>
      </w:pPr>
    </w:p>
    <w:p w:rsidR="0093368A" w:rsidRPr="00503B91" w:rsidRDefault="00F72E89" w:rsidP="001B74A8">
      <w:pPr>
        <w:pStyle w:val="Titre2"/>
        <w:numPr>
          <w:ilvl w:val="0"/>
          <w:numId w:val="23"/>
        </w:numPr>
      </w:pPr>
      <w:bookmarkStart w:id="23" w:name="_Toc507679576"/>
      <w:r>
        <w:t>Procédure de surveillance</w:t>
      </w:r>
      <w:r w:rsidR="00AA1081">
        <w:t>, de traitement</w:t>
      </w:r>
      <w:r w:rsidR="0093368A" w:rsidRPr="00503B91">
        <w:t xml:space="preserve"> </w:t>
      </w:r>
      <w:r>
        <w:t xml:space="preserve">et </w:t>
      </w:r>
      <w:r w:rsidR="00AA1081">
        <w:t xml:space="preserve">de </w:t>
      </w:r>
      <w:r>
        <w:t>suivi des incidents de</w:t>
      </w:r>
      <w:r w:rsidR="0093368A" w:rsidRPr="00503B91">
        <w:t xml:space="preserve"> </w:t>
      </w:r>
      <w:r>
        <w:t>sécurité et des réclamations clients</w:t>
      </w:r>
      <w:bookmarkEnd w:id="23"/>
    </w:p>
    <w:p w:rsidR="0093368A" w:rsidRPr="00503B91" w:rsidRDefault="0093368A" w:rsidP="0093368A">
      <w:pPr>
        <w:spacing w:line="240" w:lineRule="auto"/>
        <w:jc w:val="both"/>
        <w:rPr>
          <w:rFonts w:ascii="Arial" w:hAnsi="Arial" w:cs="Arial"/>
          <w:b/>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6D2212">
        <w:rPr>
          <w:rFonts w:ascii="Arial" w:hAnsi="Arial" w:cs="Arial"/>
          <w:bCs/>
          <w:sz w:val="20"/>
          <w:szCs w:val="20"/>
        </w:rPr>
        <w:t xml:space="preserve">modalités </w:t>
      </w:r>
      <w:r w:rsidR="00406922">
        <w:rPr>
          <w:rFonts w:ascii="Arial" w:hAnsi="Arial" w:cs="Arial"/>
          <w:bCs/>
          <w:sz w:val="20"/>
          <w:szCs w:val="20"/>
        </w:rPr>
        <w:t>de remontée des fraudes au sein de l’organisation du demandeur ;</w:t>
      </w:r>
    </w:p>
    <w:p w:rsidR="0040692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rsidR="0093368A" w:rsidRDefault="0093368A"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procédures de </w:t>
      </w:r>
      <w:proofErr w:type="spellStart"/>
      <w:r>
        <w:rPr>
          <w:rFonts w:ascii="Arial" w:hAnsi="Arial" w:cs="Arial"/>
          <w:bCs/>
          <w:sz w:val="20"/>
          <w:szCs w:val="20"/>
        </w:rPr>
        <w:t>reporting</w:t>
      </w:r>
      <w:proofErr w:type="spellEnd"/>
      <w:r>
        <w:rPr>
          <w:rFonts w:ascii="Arial" w:hAnsi="Arial" w:cs="Arial"/>
          <w:bCs/>
          <w:sz w:val="20"/>
          <w:szCs w:val="20"/>
        </w:rPr>
        <w:t xml:space="preserve"> des incidents, incluant la communication des </w:t>
      </w:r>
      <w:proofErr w:type="spellStart"/>
      <w:r>
        <w:rPr>
          <w:rFonts w:ascii="Arial" w:hAnsi="Arial" w:cs="Arial"/>
          <w:bCs/>
          <w:sz w:val="20"/>
          <w:szCs w:val="20"/>
        </w:rPr>
        <w:t>reportings</w:t>
      </w:r>
      <w:proofErr w:type="spellEnd"/>
      <w:r>
        <w:rPr>
          <w:rFonts w:ascii="Arial" w:hAnsi="Arial" w:cs="Arial"/>
          <w:bCs/>
          <w:sz w:val="20"/>
          <w:szCs w:val="20"/>
        </w:rPr>
        <w:t xml:space="preserve">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rsidR="00406922" w:rsidRPr="00E53112" w:rsidRDefault="00406922" w:rsidP="001B74A8">
      <w:pPr>
        <w:pStyle w:val="Paragraphedeliste"/>
        <w:numPr>
          <w:ilvl w:val="1"/>
          <w:numId w:val="7"/>
        </w:numPr>
        <w:ind w:left="717"/>
        <w:jc w:val="both"/>
        <w:rPr>
          <w:rFonts w:ascii="Arial" w:hAnsi="Arial" w:cs="Arial"/>
          <w:bCs/>
          <w:sz w:val="20"/>
          <w:szCs w:val="20"/>
        </w:rPr>
      </w:pPr>
      <w:r>
        <w:rPr>
          <w:rFonts w:ascii="Arial" w:hAnsi="Arial" w:cs="Arial"/>
          <w:bCs/>
          <w:sz w:val="20"/>
          <w:szCs w:val="20"/>
        </w:rPr>
        <w:t xml:space="preserve">Les outils de surveillance utilisés </w:t>
      </w:r>
      <w:r w:rsidR="006D2212">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rsidR="0093368A" w:rsidRDefault="0093368A" w:rsidP="002003CB">
      <w:pPr>
        <w:spacing w:line="240" w:lineRule="auto"/>
        <w:ind w:left="357"/>
        <w:jc w:val="both"/>
        <w:rPr>
          <w:rFonts w:ascii="Arial" w:hAnsi="Arial" w:cs="Arial"/>
          <w:bCs/>
          <w:sz w:val="20"/>
          <w:szCs w:val="20"/>
        </w:rPr>
      </w:pPr>
    </w:p>
    <w:p w:rsidR="0093368A" w:rsidRPr="00F557C5" w:rsidRDefault="0093368A" w:rsidP="001B74A8">
      <w:pPr>
        <w:pStyle w:val="Titre2"/>
      </w:pPr>
      <w:bookmarkStart w:id="24" w:name="_Toc507679577"/>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24"/>
    </w:p>
    <w:p w:rsidR="0093368A" w:rsidRDefault="0093368A" w:rsidP="0093368A">
      <w:pPr>
        <w:spacing w:line="240" w:lineRule="auto"/>
        <w:jc w:val="both"/>
        <w:rPr>
          <w:rFonts w:ascii="Arial" w:hAnsi="Arial" w:cs="Arial"/>
          <w:bCs/>
          <w:sz w:val="20"/>
          <w:szCs w:val="20"/>
        </w:rPr>
      </w:pPr>
    </w:p>
    <w:p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xml:space="preserve">, incluant les bases de données et les </w:t>
      </w:r>
      <w:r w:rsidR="0093368A" w:rsidRPr="004C62D4">
        <w:rPr>
          <w:rFonts w:ascii="Arial" w:hAnsi="Arial" w:cs="Arial"/>
          <w:bCs/>
          <w:sz w:val="20"/>
          <w:szCs w:val="20"/>
        </w:rPr>
        <w:lastRenderedPageBreak/>
        <w:t>infrastructures de secours</w:t>
      </w:r>
      <w:r w:rsidR="00FA6DFC">
        <w:rPr>
          <w:rFonts w:ascii="Arial" w:hAnsi="Arial" w:cs="Arial"/>
          <w:bCs/>
          <w:sz w:val="20"/>
          <w:szCs w:val="20"/>
        </w:rPr>
        <w:t xml:space="preserve">.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5" w:name="_Toc507679578"/>
      <w:r>
        <w:lastRenderedPageBreak/>
        <w:t>Dispositif de continuité d’activité</w:t>
      </w:r>
      <w:r w:rsidR="0093368A" w:rsidRPr="00A167A7">
        <w:t xml:space="preserve"> </w:t>
      </w:r>
      <w:r>
        <w:t>et politique de sécurité</w:t>
      </w:r>
      <w:bookmarkEnd w:id="25"/>
    </w:p>
    <w:p w:rsidR="00305D0E" w:rsidRDefault="00305D0E" w:rsidP="0093368A">
      <w:pPr>
        <w:spacing w:line="240" w:lineRule="auto"/>
        <w:jc w:val="both"/>
        <w:rPr>
          <w:rFonts w:ascii="Arial" w:hAnsi="Arial" w:cs="Arial"/>
          <w:bCs/>
          <w:sz w:val="20"/>
          <w:szCs w:val="20"/>
        </w:rPr>
      </w:pPr>
    </w:p>
    <w:p w:rsidR="00F72E89" w:rsidRPr="00F72E89" w:rsidRDefault="00F72E89" w:rsidP="001B74A8">
      <w:pPr>
        <w:pStyle w:val="Titre2"/>
        <w:numPr>
          <w:ilvl w:val="0"/>
          <w:numId w:val="24"/>
        </w:numPr>
      </w:pPr>
      <w:bookmarkStart w:id="26" w:name="_Toc507679579"/>
      <w:r>
        <w:t>Continuité d’activité</w:t>
      </w:r>
      <w:bookmarkEnd w:id="26"/>
    </w:p>
    <w:p w:rsidR="00F72E89" w:rsidRDefault="00F72E89"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C06843">
        <w:rPr>
          <w:rFonts w:ascii="Arial" w:hAnsi="Arial" w:cs="Arial"/>
          <w:bCs/>
          <w:sz w:val="20"/>
          <w:szCs w:val="20"/>
        </w:rPr>
        <w:t xml:space="preserve"> ainsi que les pertes de données maximales admissibles</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rsidR="0093368A" w:rsidRDefault="0093368A"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rsidR="002208D0" w:rsidRDefault="002208D0" w:rsidP="001B74A8">
      <w:pPr>
        <w:pStyle w:val="Paragraphedeliste"/>
        <w:numPr>
          <w:ilvl w:val="1"/>
          <w:numId w:val="9"/>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rsidR="00DD1B85" w:rsidRDefault="00DD1B85" w:rsidP="0093368A">
      <w:pPr>
        <w:rPr>
          <w:rFonts w:ascii="Arial" w:hAnsi="Arial" w:cs="Arial"/>
          <w:b/>
          <w:sz w:val="20"/>
          <w:szCs w:val="20"/>
        </w:rPr>
      </w:pPr>
    </w:p>
    <w:p w:rsidR="00D963A6" w:rsidRDefault="00F72E89" w:rsidP="001B74A8">
      <w:pPr>
        <w:pStyle w:val="Titre2"/>
      </w:pPr>
      <w:bookmarkStart w:id="27" w:name="_Toc507679580"/>
      <w:r>
        <w:t>Politique de sécurité</w:t>
      </w:r>
      <w:bookmarkEnd w:id="27"/>
    </w:p>
    <w:p w:rsidR="00897657" w:rsidRPr="002003CB" w:rsidRDefault="00897657" w:rsidP="00897657">
      <w:pPr>
        <w:jc w:val="both"/>
        <w:rPr>
          <w:rFonts w:ascii="Arial" w:hAnsi="Arial" w:cs="Arial"/>
          <w:bCs/>
          <w:sz w:val="20"/>
          <w:szCs w:val="20"/>
        </w:rPr>
      </w:pPr>
    </w:p>
    <w:p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rsidR="008C3C87" w:rsidRPr="002003CB" w:rsidRDefault="008C3C87" w:rsidP="00E52199">
      <w:pPr>
        <w:jc w:val="both"/>
        <w:rPr>
          <w:rFonts w:ascii="Arial" w:hAnsi="Arial" w:cs="Arial"/>
          <w:sz w:val="20"/>
          <w:szCs w:val="20"/>
        </w:rPr>
      </w:pPr>
    </w:p>
    <w:p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monnaie électronique et, le cas échéant, du (des) service(s) de paiement</w:t>
      </w:r>
      <w:r w:rsidR="00830FE9" w:rsidRPr="002003CB">
        <w:rPr>
          <w:rFonts w:ascii="Arial" w:hAnsi="Arial" w:cs="Arial"/>
          <w:sz w:val="20"/>
          <w:szCs w:val="20"/>
        </w:rPr>
        <w:t xml:space="preserv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et, le cas échéant, </w:t>
      </w:r>
      <w:r w:rsidRPr="002003CB">
        <w:rPr>
          <w:rFonts w:ascii="Arial" w:hAnsi="Arial" w:cs="Arial"/>
          <w:sz w:val="20"/>
          <w:szCs w:val="20"/>
        </w:rPr>
        <w:t>de services de paiement contre les risques identifiés ;</w:t>
      </w:r>
    </w:p>
    <w:p w:rsidR="008C3C87" w:rsidRPr="002003CB" w:rsidRDefault="008C3C87"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rsidR="008C3C87" w:rsidRPr="002003CB" w:rsidRDefault="002E3853" w:rsidP="001B74A8">
      <w:pPr>
        <w:pStyle w:val="Paragraphedeliste"/>
        <w:numPr>
          <w:ilvl w:val="3"/>
          <w:numId w:val="9"/>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2003CB" w:rsidRDefault="008C3C87"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sidR="00830FE9">
        <w:rPr>
          <w:rFonts w:ascii="Arial" w:hAnsi="Arial" w:cs="Arial"/>
          <w:sz w:val="20"/>
          <w:szCs w:val="20"/>
        </w:rPr>
        <w:t> ;</w:t>
      </w:r>
    </w:p>
    <w:p w:rsidR="00D963A6" w:rsidRPr="002003CB" w:rsidRDefault="00762DE8" w:rsidP="001B74A8">
      <w:pPr>
        <w:pStyle w:val="Paragraphedeliste"/>
        <w:numPr>
          <w:ilvl w:val="3"/>
          <w:numId w:val="9"/>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rsidR="00D963A6"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rsidR="00762DE8" w:rsidRPr="002003CB" w:rsidRDefault="00762DE8"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2003CB">
        <w:rPr>
          <w:rFonts w:ascii="Arial" w:hAnsi="Arial" w:cs="Arial"/>
          <w:sz w:val="20"/>
          <w:szCs w:val="20"/>
        </w:rPr>
        <w:t>détectif</w:t>
      </w:r>
      <w:proofErr w:type="spellEnd"/>
      <w:r w:rsidRPr="002003CB">
        <w:rPr>
          <w:rFonts w:ascii="Arial" w:hAnsi="Arial" w:cs="Arial"/>
          <w:sz w:val="20"/>
          <w:szCs w:val="20"/>
        </w:rPr>
        <w:t xml:space="preserve">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rsidR="00897657" w:rsidRPr="002003CB" w:rsidRDefault="00957083"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lastRenderedPageBreak/>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rsidR="00337A6A" w:rsidRPr="002003CB" w:rsidRDefault="00337A6A"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 xml:space="preserve">La nature technique et organisationnelle et la fréquence de chaque mesure, par exemple s’il agit d’une mesure préventive ou détective si elle est mise en œuvre en temps </w:t>
      </w:r>
      <w:proofErr w:type="spellStart"/>
      <w:r w:rsidRPr="002003CB">
        <w:rPr>
          <w:rFonts w:ascii="Arial" w:hAnsi="Arial" w:cs="Arial"/>
          <w:sz w:val="20"/>
          <w:szCs w:val="20"/>
        </w:rPr>
        <w:t>réél</w:t>
      </w:r>
      <w:proofErr w:type="spellEnd"/>
      <w:r w:rsidRPr="002003CB">
        <w:rPr>
          <w:rFonts w:ascii="Arial" w:hAnsi="Arial" w:cs="Arial"/>
          <w:sz w:val="20"/>
          <w:szCs w:val="20"/>
        </w:rPr>
        <w:t> ;</w:t>
      </w:r>
    </w:p>
    <w:p w:rsidR="00A0642F" w:rsidRPr="002003CB" w:rsidRDefault="00A0642F" w:rsidP="001B74A8">
      <w:pPr>
        <w:pStyle w:val="Paragraphedeliste"/>
        <w:numPr>
          <w:ilvl w:val="0"/>
          <w:numId w:val="21"/>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rsidR="00A0642F" w:rsidRPr="002003CB" w:rsidRDefault="00A0642F" w:rsidP="001B74A8">
      <w:pPr>
        <w:pStyle w:val="Paragraphedeliste"/>
        <w:numPr>
          <w:ilvl w:val="0"/>
          <w:numId w:val="20"/>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et, le cas échéant, de </w:t>
      </w:r>
      <w:r w:rsidRPr="002003CB">
        <w:rPr>
          <w:rFonts w:ascii="Arial" w:hAnsi="Arial" w:cs="Arial"/>
          <w:sz w:val="20"/>
          <w:szCs w:val="20"/>
        </w:rPr>
        <w:t>paiement, qui devrait inclure :</w:t>
      </w:r>
    </w:p>
    <w:p w:rsidR="00A0642F" w:rsidRDefault="002E3853" w:rsidP="001B74A8">
      <w:pPr>
        <w:pStyle w:val="Paragraphedeliste"/>
        <w:numPr>
          <w:ilvl w:val="0"/>
          <w:numId w:val="22"/>
        </w:numPr>
        <w:ind w:left="1854"/>
        <w:jc w:val="both"/>
        <w:rPr>
          <w:rFonts w:ascii="Arial" w:hAnsi="Arial" w:cs="Arial"/>
          <w:sz w:val="20"/>
          <w:szCs w:val="20"/>
        </w:rPr>
      </w:pPr>
      <w:r>
        <w:rPr>
          <w:rFonts w:ascii="Arial" w:hAnsi="Arial" w:cs="Arial"/>
          <w:sz w:val="20"/>
          <w:szCs w:val="20"/>
        </w:rPr>
        <w:t xml:space="preserve">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w:t>
      </w:r>
      <w:r w:rsidR="002F00C3">
        <w:rPr>
          <w:rFonts w:ascii="Arial" w:hAnsi="Arial" w:cs="Arial"/>
          <w:sz w:val="20"/>
          <w:szCs w:val="20"/>
        </w:rPr>
        <w:t>contestation d’opérations…)</w:t>
      </w:r>
    </w:p>
    <w:p w:rsidR="009A5480"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Le cas échéant, l</w:t>
      </w:r>
      <w:r w:rsidR="009A5480">
        <w:rPr>
          <w:rFonts w:ascii="Arial" w:hAnsi="Arial" w:cs="Arial"/>
          <w:sz w:val="20"/>
          <w:szCs w:val="20"/>
        </w:rPr>
        <w:t xml:space="preserve">a description des caractéristiques de l’instrument de paiement (caractéristiques du mandat de prélèvement, présence d’une puce sur la carte de paiement…) mis </w:t>
      </w:r>
      <w:r>
        <w:rPr>
          <w:rFonts w:ascii="Arial" w:hAnsi="Arial" w:cs="Arial"/>
          <w:sz w:val="20"/>
          <w:szCs w:val="20"/>
        </w:rPr>
        <w:t>à disposition de la clientè</w:t>
      </w:r>
      <w:r w:rsidR="009A5480">
        <w:rPr>
          <w:rFonts w:ascii="Arial" w:hAnsi="Arial" w:cs="Arial"/>
          <w:sz w:val="20"/>
          <w:szCs w:val="20"/>
        </w:rPr>
        <w:t xml:space="preserve">le </w:t>
      </w:r>
      <w:r>
        <w:rPr>
          <w:rFonts w:ascii="Arial" w:hAnsi="Arial" w:cs="Arial"/>
          <w:sz w:val="20"/>
          <w:szCs w:val="20"/>
        </w:rPr>
        <w:t>ou géré par le requérant ;</w:t>
      </w:r>
    </w:p>
    <w:p w:rsidR="00A038AA" w:rsidRPr="002003CB" w:rsidRDefault="00A038AA" w:rsidP="001B74A8">
      <w:pPr>
        <w:pStyle w:val="Paragraphedeliste"/>
        <w:numPr>
          <w:ilvl w:val="0"/>
          <w:numId w:val="22"/>
        </w:numPr>
        <w:ind w:left="1854"/>
        <w:jc w:val="both"/>
        <w:rPr>
          <w:rFonts w:ascii="Arial" w:hAnsi="Arial" w:cs="Arial"/>
          <w:sz w:val="20"/>
          <w:szCs w:val="20"/>
        </w:rPr>
      </w:pPr>
      <w:r>
        <w:rPr>
          <w:rFonts w:ascii="Arial" w:hAnsi="Arial" w:cs="Arial"/>
          <w:sz w:val="20"/>
          <w:szCs w:val="20"/>
        </w:rPr>
        <w:t>La procédure d’authentification du client utilisée pour l’accès tant à la consultation qu’à l’autorisation des opérations de paiement et pour tous les instruments de paiement sous-jacents ;</w:t>
      </w:r>
    </w:p>
    <w:p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 xml:space="preserve">Une explication de la manière dont le </w:t>
      </w:r>
      <w:r w:rsidR="00677800">
        <w:rPr>
          <w:rFonts w:ascii="Arial" w:hAnsi="Arial" w:cs="Arial"/>
          <w:sz w:val="20"/>
          <w:szCs w:val="20"/>
        </w:rPr>
        <w:t>requérant</w:t>
      </w:r>
      <w:r w:rsidR="00677800" w:rsidRPr="002003CB">
        <w:rPr>
          <w:rFonts w:ascii="Arial" w:hAnsi="Arial" w:cs="Arial"/>
          <w:sz w:val="20"/>
          <w:szCs w:val="20"/>
        </w:rPr>
        <w:t xml:space="preserve"> </w:t>
      </w:r>
      <w:r w:rsidRPr="002003CB">
        <w:rPr>
          <w:rFonts w:ascii="Arial" w:hAnsi="Arial" w:cs="Arial"/>
          <w:sz w:val="20"/>
          <w:szCs w:val="20"/>
        </w:rPr>
        <w:t xml:space="preserve">garantit à l’utilisateur légitime </w:t>
      </w:r>
      <w:r w:rsidR="00F5185A" w:rsidRPr="002003CB">
        <w:rPr>
          <w:rFonts w:ascii="Arial" w:hAnsi="Arial" w:cs="Arial"/>
          <w:sz w:val="20"/>
          <w:szCs w:val="20"/>
        </w:rPr>
        <w:t>d</w:t>
      </w:r>
      <w:r w:rsidR="00F5185A">
        <w:rPr>
          <w:rFonts w:ascii="Arial" w:hAnsi="Arial" w:cs="Arial"/>
          <w:sz w:val="20"/>
          <w:szCs w:val="20"/>
        </w:rPr>
        <w:t>es</w:t>
      </w:r>
      <w:r w:rsidR="00F5185A" w:rsidRPr="002003CB">
        <w:rPr>
          <w:rFonts w:ascii="Arial" w:hAnsi="Arial" w:cs="Arial"/>
          <w:sz w:val="20"/>
          <w:szCs w:val="20"/>
        </w:rPr>
        <w:t xml:space="preserve"> </w:t>
      </w:r>
      <w:r w:rsidRPr="002003CB">
        <w:rPr>
          <w:rFonts w:ascii="Arial" w:hAnsi="Arial" w:cs="Arial"/>
          <w:sz w:val="20"/>
          <w:szCs w:val="20"/>
        </w:rPr>
        <w:t>service</w:t>
      </w:r>
      <w:r w:rsidR="00F5185A">
        <w:rPr>
          <w:rFonts w:ascii="Arial" w:hAnsi="Arial" w:cs="Arial"/>
          <w:sz w:val="20"/>
          <w:szCs w:val="20"/>
        </w:rPr>
        <w:t>s</w:t>
      </w:r>
      <w:r w:rsidRPr="002003CB">
        <w:rPr>
          <w:rFonts w:ascii="Arial" w:hAnsi="Arial" w:cs="Arial"/>
          <w:sz w:val="20"/>
          <w:szCs w:val="20"/>
        </w:rPr>
        <w:t xml:space="preserve"> de </w:t>
      </w:r>
      <w:r w:rsidR="00F5185A">
        <w:rPr>
          <w:rFonts w:ascii="Arial" w:hAnsi="Arial" w:cs="Arial"/>
          <w:sz w:val="20"/>
          <w:szCs w:val="20"/>
        </w:rPr>
        <w:t xml:space="preserve">monnaie électronique et, le cas échéant, des services </w:t>
      </w:r>
      <w:r w:rsidRPr="002003CB">
        <w:rPr>
          <w:rFonts w:ascii="Arial" w:hAnsi="Arial" w:cs="Arial"/>
          <w:sz w:val="20"/>
          <w:szCs w:val="20"/>
        </w:rPr>
        <w:t>paiement</w:t>
      </w:r>
      <w:r w:rsidR="002E3853">
        <w:rPr>
          <w:rFonts w:ascii="Arial" w:hAnsi="Arial" w:cs="Arial"/>
          <w:sz w:val="20"/>
          <w:szCs w:val="20"/>
        </w:rPr>
        <w:t>,</w:t>
      </w:r>
      <w:r w:rsidRPr="002003CB">
        <w:rPr>
          <w:rFonts w:ascii="Arial" w:hAnsi="Arial" w:cs="Arial"/>
          <w:sz w:val="20"/>
          <w:szCs w:val="20"/>
        </w:rPr>
        <w:t xml:space="preserve"> la mise à disposition et l’intégrité des facteurs d’authentification, tels que les jetons matériels, et les applications mobiles, au moment tant de l’enrôlement initial que du renouvellement</w:t>
      </w:r>
      <w:r w:rsidR="00F5185A">
        <w:rPr>
          <w:rFonts w:ascii="Arial" w:hAnsi="Arial" w:cs="Arial"/>
          <w:sz w:val="20"/>
          <w:szCs w:val="20"/>
        </w:rPr>
        <w:t> ;</w:t>
      </w:r>
    </w:p>
    <w:p w:rsidR="00A0642F" w:rsidRPr="002003CB" w:rsidRDefault="00A0642F" w:rsidP="001B74A8">
      <w:pPr>
        <w:pStyle w:val="Paragraphedeliste"/>
        <w:numPr>
          <w:ilvl w:val="0"/>
          <w:numId w:val="22"/>
        </w:numPr>
        <w:ind w:left="1854"/>
        <w:jc w:val="both"/>
        <w:rPr>
          <w:rFonts w:ascii="Arial" w:hAnsi="Arial" w:cs="Arial"/>
          <w:sz w:val="20"/>
          <w:szCs w:val="20"/>
        </w:rPr>
      </w:pPr>
      <w:r w:rsidRPr="002003CB">
        <w:rPr>
          <w:rFonts w:ascii="Arial" w:hAnsi="Arial" w:cs="Arial"/>
          <w:sz w:val="20"/>
          <w:szCs w:val="20"/>
        </w:rPr>
        <w:t>Une description de</w:t>
      </w:r>
      <w:r w:rsidR="002E3853">
        <w:rPr>
          <w:rFonts w:ascii="Arial" w:hAnsi="Arial" w:cs="Arial"/>
          <w:sz w:val="20"/>
          <w:szCs w:val="20"/>
        </w:rPr>
        <w:t>s moyens techniques</w:t>
      </w:r>
      <w:r w:rsidRPr="002003CB">
        <w:rPr>
          <w:rFonts w:ascii="Arial" w:hAnsi="Arial" w:cs="Arial"/>
          <w:sz w:val="20"/>
          <w:szCs w:val="20"/>
        </w:rPr>
        <w:t xml:space="preserve"> et des procédures mis en place par </w:t>
      </w:r>
      <w:r w:rsidR="00F5185A">
        <w:rPr>
          <w:rFonts w:ascii="Arial" w:hAnsi="Arial" w:cs="Arial"/>
          <w:sz w:val="20"/>
          <w:szCs w:val="20"/>
        </w:rPr>
        <w:t>l’établissement de monnaie électronique</w:t>
      </w:r>
      <w:r w:rsidRPr="002003CB">
        <w:rPr>
          <w:rFonts w:ascii="Arial" w:hAnsi="Arial" w:cs="Arial"/>
          <w:sz w:val="20"/>
          <w:szCs w:val="20"/>
        </w:rPr>
        <w:t xml:space="preserve"> pour </w:t>
      </w:r>
      <w:r w:rsidR="002E3853">
        <w:rPr>
          <w:rFonts w:ascii="Arial" w:hAnsi="Arial" w:cs="Arial"/>
          <w:sz w:val="20"/>
          <w:szCs w:val="20"/>
        </w:rPr>
        <w:t>réaliser</w:t>
      </w:r>
      <w:r w:rsidR="002E3853" w:rsidRPr="002003CB">
        <w:rPr>
          <w:rFonts w:ascii="Arial" w:hAnsi="Arial" w:cs="Arial"/>
          <w:sz w:val="20"/>
          <w:szCs w:val="20"/>
        </w:rPr>
        <w:t xml:space="preserve"> </w:t>
      </w:r>
      <w:r w:rsidRPr="002003CB">
        <w:rPr>
          <w:rFonts w:ascii="Arial" w:hAnsi="Arial" w:cs="Arial"/>
          <w:sz w:val="20"/>
          <w:szCs w:val="20"/>
        </w:rPr>
        <w:t>les opérations et détecter les opérations suspectes ou inhabituelles ;</w:t>
      </w:r>
    </w:p>
    <w:p w:rsidR="00305D0E" w:rsidRPr="002003CB" w:rsidRDefault="00305D0E" w:rsidP="00F67A9A">
      <w:pPr>
        <w:ind w:left="357"/>
        <w:jc w:val="both"/>
        <w:rPr>
          <w:rFonts w:ascii="Arial" w:hAnsi="Arial" w:cs="Arial"/>
          <w:sz w:val="20"/>
          <w:szCs w:val="20"/>
        </w:rPr>
      </w:pPr>
      <w:r w:rsidRPr="002003CB">
        <w:rPr>
          <w:rFonts w:ascii="Arial" w:hAnsi="Arial" w:cs="Arial"/>
          <w:sz w:val="20"/>
          <w:szCs w:val="20"/>
        </w:rPr>
        <w:t>h)</w:t>
      </w:r>
      <w:r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et, le cas échéant, les services de </w:t>
      </w:r>
      <w:r w:rsidRPr="002003CB">
        <w:rPr>
          <w:rFonts w:ascii="Arial" w:hAnsi="Arial" w:cs="Arial"/>
          <w:sz w:val="20"/>
          <w:szCs w:val="20"/>
        </w:rPr>
        <w:t>paiement</w:t>
      </w:r>
      <w:r w:rsidR="00F5185A">
        <w:rPr>
          <w:rFonts w:ascii="Arial" w:hAnsi="Arial" w:cs="Arial"/>
          <w:sz w:val="20"/>
          <w:szCs w:val="20"/>
        </w:rPr>
        <w:t>,</w:t>
      </w:r>
      <w:r w:rsidRPr="002003CB">
        <w:rPr>
          <w:rFonts w:ascii="Arial" w:hAnsi="Arial" w:cs="Arial"/>
          <w:sz w:val="20"/>
          <w:szCs w:val="20"/>
        </w:rPr>
        <w:t xml:space="preserve"> proposés, y compris le risque de fraude</w:t>
      </w:r>
      <w:r w:rsidR="002E3853">
        <w:rPr>
          <w:rFonts w:ascii="Arial" w:hAnsi="Arial" w:cs="Arial"/>
          <w:sz w:val="20"/>
          <w:szCs w:val="20"/>
        </w:rPr>
        <w:t>,</w:t>
      </w:r>
      <w:r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Pr="002003CB">
        <w:rPr>
          <w:rFonts w:ascii="Arial" w:hAnsi="Arial" w:cs="Arial"/>
          <w:sz w:val="20"/>
          <w:szCs w:val="20"/>
        </w:rPr>
        <w:t>s dans le dossier de la demande, démontrant qu’il est remédié aux risques ;</w:t>
      </w:r>
    </w:p>
    <w:p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rsidR="00D3524E" w:rsidRPr="002003CB" w:rsidRDefault="00D3524E" w:rsidP="00F06BBE"/>
    <w:sectPr w:rsidR="00D3524E" w:rsidRPr="002003CB" w:rsidSect="00B9361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CF" w:rsidRDefault="00480ACF" w:rsidP="0093368A">
      <w:pPr>
        <w:spacing w:line="240" w:lineRule="auto"/>
      </w:pPr>
      <w:r>
        <w:separator/>
      </w:r>
    </w:p>
  </w:endnote>
  <w:endnote w:type="continuationSeparator" w:id="0">
    <w:p w:rsidR="00480ACF" w:rsidRDefault="00480ACF"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C74ADA" w:rsidRDefault="00C74ADA">
        <w:pPr>
          <w:pStyle w:val="Pieddepage"/>
          <w:jc w:val="right"/>
        </w:pPr>
        <w:r>
          <w:fldChar w:fldCharType="begin"/>
        </w:r>
        <w:r>
          <w:instrText>PAGE   \* MERGEFORMAT</w:instrText>
        </w:r>
        <w:r>
          <w:fldChar w:fldCharType="separate"/>
        </w:r>
        <w:r w:rsidR="000E429D">
          <w:rPr>
            <w:noProof/>
          </w:rPr>
          <w:t>1</w:t>
        </w:r>
        <w:r>
          <w:fldChar w:fldCharType="end"/>
        </w:r>
      </w:p>
    </w:sdtContent>
  </w:sdt>
  <w:p w:rsidR="00C74ADA" w:rsidRDefault="00C74A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CF" w:rsidRDefault="00480ACF" w:rsidP="0093368A">
      <w:pPr>
        <w:spacing w:line="240" w:lineRule="auto"/>
      </w:pPr>
      <w:r>
        <w:separator/>
      </w:r>
    </w:p>
  </w:footnote>
  <w:footnote w:type="continuationSeparator" w:id="0">
    <w:p w:rsidR="00480ACF" w:rsidRDefault="00480ACF" w:rsidP="0093368A">
      <w:pPr>
        <w:spacing w:line="240" w:lineRule="auto"/>
      </w:pPr>
      <w:r>
        <w:continuationSeparator/>
      </w:r>
    </w:p>
  </w:footnote>
  <w:footnote w:id="1">
    <w:p w:rsidR="00C74ADA" w:rsidRDefault="00C74ADA" w:rsidP="0093368A">
      <w:pPr>
        <w:pStyle w:val="Notedebasdepage"/>
      </w:pPr>
      <w:r>
        <w:rPr>
          <w:rStyle w:val="Appelnotedebasdep"/>
        </w:rPr>
        <w:footnoteRef/>
      </w:r>
      <w:r>
        <w:t xml:space="preserve"> Inscrire en cours de constitution si la société n’est pas encore créée/en cours de création</w:t>
      </w:r>
    </w:p>
  </w:footnote>
  <w:footnote w:id="2">
    <w:p w:rsidR="00C74ADA" w:rsidRDefault="00C74ADA" w:rsidP="002003CB">
      <w:pPr>
        <w:pStyle w:val="Notedebasdepage"/>
        <w:jc w:val="both"/>
      </w:pPr>
      <w:r>
        <w:rPr>
          <w:rStyle w:val="Appelnotedebasdep"/>
        </w:rPr>
        <w:footnoteRef/>
      </w:r>
      <w:r>
        <w:t xml:space="preserve"> Capital initial tel que visé par l’article 4 de l’arrêté du 2 mai 2013. On entend par capital initial le montant des fonds propres tel que visé  par l’article 35 du même arrêté et l’article 26 du Règlement (UE) N°575/2013 du Parlement européen et du Conseil du 26 juin 2013 (« CRR »).</w:t>
      </w:r>
    </w:p>
  </w:footnote>
  <w:footnote w:id="3">
    <w:p w:rsidR="00C74ADA" w:rsidRDefault="00C74ADA"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4">
    <w:p w:rsidR="00C74ADA" w:rsidRDefault="00C74ADA"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11">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7"/>
  </w:num>
  <w:num w:numId="5">
    <w:abstractNumId w:val="0"/>
  </w:num>
  <w:num w:numId="6">
    <w:abstractNumId w:val="15"/>
  </w:num>
  <w:num w:numId="7">
    <w:abstractNumId w:val="13"/>
  </w:num>
  <w:num w:numId="8">
    <w:abstractNumId w:val="19"/>
  </w:num>
  <w:num w:numId="9">
    <w:abstractNumId w:val="12"/>
  </w:num>
  <w:num w:numId="10">
    <w:abstractNumId w:val="3"/>
  </w:num>
  <w:num w:numId="11">
    <w:abstractNumId w:val="18"/>
  </w:num>
  <w:num w:numId="12">
    <w:abstractNumId w:val="8"/>
  </w:num>
  <w:num w:numId="13">
    <w:abstractNumId w:val="1"/>
  </w:num>
  <w:num w:numId="14">
    <w:abstractNumId w:val="16"/>
  </w:num>
  <w:num w:numId="15">
    <w:abstractNumId w:val="20"/>
  </w:num>
  <w:num w:numId="16">
    <w:abstractNumId w:val="6"/>
  </w:num>
  <w:num w:numId="17">
    <w:abstractNumId w:val="2"/>
  </w:num>
  <w:num w:numId="18">
    <w:abstractNumId w:val="5"/>
  </w:num>
  <w:num w:numId="19">
    <w:abstractNumId w:val="10"/>
  </w:num>
  <w:num w:numId="20">
    <w:abstractNumId w:val="14"/>
  </w:num>
  <w:num w:numId="21">
    <w:abstractNumId w:val="21"/>
  </w:num>
  <w:num w:numId="22">
    <w:abstractNumId w:val="17"/>
  </w:num>
  <w:num w:numId="23">
    <w:abstractNumId w:val="2"/>
    <w:lvlOverride w:ilvl="0">
      <w:startOverride w:val="1"/>
    </w:lvlOverride>
  </w:num>
  <w:num w:numId="24">
    <w:abstractNumId w:val="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5395C"/>
    <w:rsid w:val="000736FD"/>
    <w:rsid w:val="00074738"/>
    <w:rsid w:val="000905BA"/>
    <w:rsid w:val="00096E49"/>
    <w:rsid w:val="000A78B3"/>
    <w:rsid w:val="000B03F3"/>
    <w:rsid w:val="000E429D"/>
    <w:rsid w:val="000E4E61"/>
    <w:rsid w:val="00113E51"/>
    <w:rsid w:val="00116E70"/>
    <w:rsid w:val="001562DD"/>
    <w:rsid w:val="001729DE"/>
    <w:rsid w:val="001778C5"/>
    <w:rsid w:val="00195CC5"/>
    <w:rsid w:val="001B29B0"/>
    <w:rsid w:val="001B6ADC"/>
    <w:rsid w:val="001B74A8"/>
    <w:rsid w:val="001E69DC"/>
    <w:rsid w:val="001F5225"/>
    <w:rsid w:val="002003CB"/>
    <w:rsid w:val="0021695F"/>
    <w:rsid w:val="002208D0"/>
    <w:rsid w:val="002351DB"/>
    <w:rsid w:val="00252184"/>
    <w:rsid w:val="002A56FF"/>
    <w:rsid w:val="002B2014"/>
    <w:rsid w:val="002B2196"/>
    <w:rsid w:val="002E30CF"/>
    <w:rsid w:val="002E3853"/>
    <w:rsid w:val="002E621B"/>
    <w:rsid w:val="002F00C3"/>
    <w:rsid w:val="00305D0E"/>
    <w:rsid w:val="00321119"/>
    <w:rsid w:val="00333050"/>
    <w:rsid w:val="00337A6A"/>
    <w:rsid w:val="00343F7A"/>
    <w:rsid w:val="003565B9"/>
    <w:rsid w:val="00360915"/>
    <w:rsid w:val="00381B07"/>
    <w:rsid w:val="003830C1"/>
    <w:rsid w:val="003C299D"/>
    <w:rsid w:val="003C412B"/>
    <w:rsid w:val="003C55C1"/>
    <w:rsid w:val="003E3541"/>
    <w:rsid w:val="003F263A"/>
    <w:rsid w:val="004057BC"/>
    <w:rsid w:val="00406922"/>
    <w:rsid w:val="00412813"/>
    <w:rsid w:val="00422664"/>
    <w:rsid w:val="00436482"/>
    <w:rsid w:val="004473DE"/>
    <w:rsid w:val="00451907"/>
    <w:rsid w:val="00480ACF"/>
    <w:rsid w:val="004C5E6F"/>
    <w:rsid w:val="004C62D4"/>
    <w:rsid w:val="004F2391"/>
    <w:rsid w:val="004F5429"/>
    <w:rsid w:val="00543CAF"/>
    <w:rsid w:val="00546E4D"/>
    <w:rsid w:val="00553E14"/>
    <w:rsid w:val="00560054"/>
    <w:rsid w:val="005636B0"/>
    <w:rsid w:val="00597863"/>
    <w:rsid w:val="0060241A"/>
    <w:rsid w:val="00610185"/>
    <w:rsid w:val="00634929"/>
    <w:rsid w:val="00644B5F"/>
    <w:rsid w:val="00677800"/>
    <w:rsid w:val="00680D5F"/>
    <w:rsid w:val="006B791E"/>
    <w:rsid w:val="006C2A33"/>
    <w:rsid w:val="006D1501"/>
    <w:rsid w:val="006D2212"/>
    <w:rsid w:val="006E42A9"/>
    <w:rsid w:val="00706BB2"/>
    <w:rsid w:val="00762DE8"/>
    <w:rsid w:val="00790D10"/>
    <w:rsid w:val="007B0824"/>
    <w:rsid w:val="007C225D"/>
    <w:rsid w:val="007C5909"/>
    <w:rsid w:val="007C5D2C"/>
    <w:rsid w:val="007D1761"/>
    <w:rsid w:val="00821632"/>
    <w:rsid w:val="00827106"/>
    <w:rsid w:val="00830FE9"/>
    <w:rsid w:val="00855690"/>
    <w:rsid w:val="008753CE"/>
    <w:rsid w:val="008852BF"/>
    <w:rsid w:val="00897657"/>
    <w:rsid w:val="008B420E"/>
    <w:rsid w:val="008B61F9"/>
    <w:rsid w:val="008C3C87"/>
    <w:rsid w:val="008F45D7"/>
    <w:rsid w:val="00921842"/>
    <w:rsid w:val="00932DC8"/>
    <w:rsid w:val="0093368A"/>
    <w:rsid w:val="00942B39"/>
    <w:rsid w:val="00943EF5"/>
    <w:rsid w:val="009500E3"/>
    <w:rsid w:val="00957083"/>
    <w:rsid w:val="00966C83"/>
    <w:rsid w:val="00971FAF"/>
    <w:rsid w:val="00973F0D"/>
    <w:rsid w:val="00976DE6"/>
    <w:rsid w:val="0099596C"/>
    <w:rsid w:val="009A5480"/>
    <w:rsid w:val="009B2B08"/>
    <w:rsid w:val="009B4F6F"/>
    <w:rsid w:val="009C5CC7"/>
    <w:rsid w:val="00A038AA"/>
    <w:rsid w:val="00A0642F"/>
    <w:rsid w:val="00A74F8A"/>
    <w:rsid w:val="00A96CBC"/>
    <w:rsid w:val="00AA1081"/>
    <w:rsid w:val="00AA1E53"/>
    <w:rsid w:val="00AA6247"/>
    <w:rsid w:val="00AB3231"/>
    <w:rsid w:val="00AB48E1"/>
    <w:rsid w:val="00AC4856"/>
    <w:rsid w:val="00B055A1"/>
    <w:rsid w:val="00B2439C"/>
    <w:rsid w:val="00B81F49"/>
    <w:rsid w:val="00B93618"/>
    <w:rsid w:val="00B96B24"/>
    <w:rsid w:val="00BA0F66"/>
    <w:rsid w:val="00BA583E"/>
    <w:rsid w:val="00BA5F6B"/>
    <w:rsid w:val="00BA65A2"/>
    <w:rsid w:val="00BB3BF6"/>
    <w:rsid w:val="00BD234F"/>
    <w:rsid w:val="00BF2E8E"/>
    <w:rsid w:val="00C01B26"/>
    <w:rsid w:val="00C06843"/>
    <w:rsid w:val="00C17124"/>
    <w:rsid w:val="00C31841"/>
    <w:rsid w:val="00C55479"/>
    <w:rsid w:val="00C66DAE"/>
    <w:rsid w:val="00C74ADA"/>
    <w:rsid w:val="00C83AB4"/>
    <w:rsid w:val="00D24076"/>
    <w:rsid w:val="00D31A4C"/>
    <w:rsid w:val="00D3524E"/>
    <w:rsid w:val="00D427AE"/>
    <w:rsid w:val="00D85052"/>
    <w:rsid w:val="00D947EA"/>
    <w:rsid w:val="00D963A6"/>
    <w:rsid w:val="00DA73EF"/>
    <w:rsid w:val="00DB1C15"/>
    <w:rsid w:val="00DC6FCE"/>
    <w:rsid w:val="00DD1B85"/>
    <w:rsid w:val="00DE0DB7"/>
    <w:rsid w:val="00DE54C4"/>
    <w:rsid w:val="00DF73CC"/>
    <w:rsid w:val="00E228CD"/>
    <w:rsid w:val="00E52199"/>
    <w:rsid w:val="00E61A2E"/>
    <w:rsid w:val="00E73F49"/>
    <w:rsid w:val="00E84365"/>
    <w:rsid w:val="00EA0258"/>
    <w:rsid w:val="00EA77E9"/>
    <w:rsid w:val="00EB2A08"/>
    <w:rsid w:val="00EC6407"/>
    <w:rsid w:val="00EE2FBE"/>
    <w:rsid w:val="00F06BBE"/>
    <w:rsid w:val="00F3297B"/>
    <w:rsid w:val="00F3407B"/>
    <w:rsid w:val="00F3741D"/>
    <w:rsid w:val="00F5185A"/>
    <w:rsid w:val="00F67A9A"/>
    <w:rsid w:val="00F72E89"/>
    <w:rsid w:val="00F832D3"/>
    <w:rsid w:val="00F86F6A"/>
    <w:rsid w:val="00FA6DFC"/>
    <w:rsid w:val="00FB1F58"/>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6"/>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7"/>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8"/>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12"/>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pr.banque-france.fr/autoriser/procedures-secteur-banque/passeports-europeens-banq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72580-8311-49BE-A1AF-FAA6C1AD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0</TotalTime>
  <Pages>19</Pages>
  <Words>6729</Words>
  <Characters>37015</Characters>
  <Application>Microsoft Office Word</Application>
  <DocSecurity>0</DocSecurity>
  <Lines>308</Lines>
  <Paragraphs>87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dcterms:created xsi:type="dcterms:W3CDTF">2018-11-30T13:29:00Z</dcterms:created>
  <dcterms:modified xsi:type="dcterms:W3CDTF">2018-12-10T08:51:00Z</dcterms:modified>
</cp:coreProperties>
</file>