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8A" w:rsidRDefault="0093368A" w:rsidP="0093368A">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60288" behindDoc="0" locked="0" layoutInCell="1" allowOverlap="1" wp14:anchorId="4D3B14AC" wp14:editId="6E94D975">
            <wp:simplePos x="0" y="0"/>
            <wp:positionH relativeFrom="column">
              <wp:posOffset>-476250</wp:posOffset>
            </wp:positionH>
            <wp:positionV relativeFrom="paragraph">
              <wp:posOffset>-466090</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Default="0093368A" w:rsidP="0093368A">
      <w:pPr>
        <w:spacing w:line="240" w:lineRule="auto"/>
        <w:jc w:val="both"/>
        <w:rPr>
          <w:rFonts w:ascii="Arial" w:eastAsia="Times New Roman" w:hAnsi="Arial" w:cs="Arial"/>
          <w:b/>
          <w:color w:val="1F497D" w:themeColor="text2"/>
          <w:u w:val="single"/>
          <w:lang w:eastAsia="fr-FR"/>
        </w:rPr>
      </w:pPr>
    </w:p>
    <w:p w:rsidR="0093368A" w:rsidRPr="003565B9" w:rsidRDefault="003565B9" w:rsidP="0093368A">
      <w:pPr>
        <w:rPr>
          <w:rFonts w:ascii="Arial" w:hAnsi="Arial" w:cs="Arial"/>
          <w:sz w:val="20"/>
          <w:szCs w:val="20"/>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20FEB7B3" wp14:editId="66DA070C">
                <wp:simplePos x="0" y="0"/>
                <wp:positionH relativeFrom="margin">
                  <wp:posOffset>509270</wp:posOffset>
                </wp:positionH>
                <wp:positionV relativeFrom="margin">
                  <wp:posOffset>605155</wp:posOffset>
                </wp:positionV>
                <wp:extent cx="4867275" cy="746125"/>
                <wp:effectExtent l="38100" t="38100" r="142875" b="12192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A1709B" w:rsidRPr="002A75B9" w:rsidRDefault="00A1709B" w:rsidP="0093368A">
                            <w:pPr>
                              <w:ind w:left="-2268" w:firstLine="2268"/>
                              <w:jc w:val="center"/>
                              <w:rPr>
                                <w:b/>
                                <w:color w:val="1F497D" w:themeColor="text2"/>
                                <w:sz w:val="32"/>
                                <w:szCs w:val="32"/>
                              </w:rPr>
                            </w:pPr>
                            <w:r w:rsidRPr="002A75B9">
                              <w:rPr>
                                <w:b/>
                                <w:color w:val="1F497D" w:themeColor="text2"/>
                                <w:sz w:val="32"/>
                                <w:szCs w:val="32"/>
                              </w:rPr>
                              <w:t>Formulaire de demande d’agrément</w:t>
                            </w:r>
                          </w:p>
                          <w:p w:rsidR="00A1709B" w:rsidRPr="002A75B9" w:rsidRDefault="00A1709B" w:rsidP="0093368A">
                            <w:pPr>
                              <w:ind w:left="-2268" w:firstLine="2268"/>
                              <w:jc w:val="center"/>
                              <w:rPr>
                                <w:b/>
                                <w:color w:val="1F497D" w:themeColor="text2"/>
                                <w:sz w:val="40"/>
                                <w:szCs w:val="40"/>
                              </w:rPr>
                            </w:pPr>
                            <w:r w:rsidRPr="002A75B9">
                              <w:rPr>
                                <w:b/>
                                <w:color w:val="1F497D" w:themeColor="text2"/>
                                <w:sz w:val="40"/>
                                <w:szCs w:val="40"/>
                              </w:rPr>
                              <w:t>Établissement de paiement</w:t>
                            </w:r>
                          </w:p>
                          <w:p w:rsidR="00A1709B" w:rsidRPr="002A75B9" w:rsidRDefault="00A1709B" w:rsidP="0093368A">
                            <w:pPr>
                              <w:ind w:left="-2268" w:firstLine="2268"/>
                              <w:jc w:val="center"/>
                              <w:rPr>
                                <w:b/>
                                <w:i/>
                                <w:color w:val="1F497D" w:themeColor="text2"/>
                                <w:sz w:val="28"/>
                                <w:szCs w:val="28"/>
                              </w:rPr>
                            </w:pPr>
                            <w:r w:rsidRPr="002A75B9">
                              <w:rPr>
                                <w:b/>
                                <w:i/>
                                <w:color w:val="1F497D" w:themeColor="text2"/>
                                <w:sz w:val="28"/>
                                <w:szCs w:val="28"/>
                              </w:rPr>
                              <w:t>L.522-1</w:t>
                            </w:r>
                            <w:r>
                              <w:rPr>
                                <w:b/>
                                <w:i/>
                                <w:color w:val="1F497D" w:themeColor="text2"/>
                                <w:sz w:val="28"/>
                                <w:szCs w:val="28"/>
                              </w:rPr>
                              <w:t xml:space="preserve"> </w:t>
                            </w:r>
                            <w:r w:rsidRPr="002A75B9">
                              <w:rPr>
                                <w:b/>
                                <w:i/>
                                <w:color w:val="1F497D" w:themeColor="text2"/>
                                <w:sz w:val="28"/>
                                <w:szCs w:val="28"/>
                              </w:rPr>
                              <w:t>et suivants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40.1pt;margin-top:47.65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rsidR="00A1709B" w:rsidRPr="002A75B9" w:rsidRDefault="00A1709B" w:rsidP="0093368A">
                      <w:pPr>
                        <w:ind w:left="-2268" w:firstLine="2268"/>
                        <w:jc w:val="center"/>
                        <w:rPr>
                          <w:b/>
                          <w:color w:val="1F497D" w:themeColor="text2"/>
                          <w:sz w:val="32"/>
                          <w:szCs w:val="32"/>
                        </w:rPr>
                      </w:pPr>
                      <w:r w:rsidRPr="002A75B9">
                        <w:rPr>
                          <w:b/>
                          <w:color w:val="1F497D" w:themeColor="text2"/>
                          <w:sz w:val="32"/>
                          <w:szCs w:val="32"/>
                        </w:rPr>
                        <w:t>Formulaire de demande d’agrément</w:t>
                      </w:r>
                    </w:p>
                    <w:p w:rsidR="00A1709B" w:rsidRPr="002A75B9" w:rsidRDefault="00A1709B" w:rsidP="0093368A">
                      <w:pPr>
                        <w:ind w:left="-2268" w:firstLine="2268"/>
                        <w:jc w:val="center"/>
                        <w:rPr>
                          <w:b/>
                          <w:color w:val="1F497D" w:themeColor="text2"/>
                          <w:sz w:val="40"/>
                          <w:szCs w:val="40"/>
                        </w:rPr>
                      </w:pPr>
                      <w:r w:rsidRPr="002A75B9">
                        <w:rPr>
                          <w:b/>
                          <w:color w:val="1F497D" w:themeColor="text2"/>
                          <w:sz w:val="40"/>
                          <w:szCs w:val="40"/>
                        </w:rPr>
                        <w:t>Établissement de paiement</w:t>
                      </w:r>
                    </w:p>
                    <w:p w:rsidR="00A1709B" w:rsidRPr="002A75B9" w:rsidRDefault="00A1709B" w:rsidP="0093368A">
                      <w:pPr>
                        <w:ind w:left="-2268" w:firstLine="2268"/>
                        <w:jc w:val="center"/>
                        <w:rPr>
                          <w:b/>
                          <w:i/>
                          <w:color w:val="1F497D" w:themeColor="text2"/>
                          <w:sz w:val="28"/>
                          <w:szCs w:val="28"/>
                        </w:rPr>
                      </w:pPr>
                      <w:r w:rsidRPr="002A75B9">
                        <w:rPr>
                          <w:b/>
                          <w:i/>
                          <w:color w:val="1F497D" w:themeColor="text2"/>
                          <w:sz w:val="28"/>
                          <w:szCs w:val="28"/>
                        </w:rPr>
                        <w:t>L.522-1</w:t>
                      </w:r>
                      <w:r>
                        <w:rPr>
                          <w:b/>
                          <w:i/>
                          <w:color w:val="1F497D" w:themeColor="text2"/>
                          <w:sz w:val="28"/>
                          <w:szCs w:val="28"/>
                        </w:rPr>
                        <w:t xml:space="preserve"> </w:t>
                      </w:r>
                      <w:r w:rsidRPr="002A75B9">
                        <w:rPr>
                          <w:b/>
                          <w:i/>
                          <w:color w:val="1F497D" w:themeColor="text2"/>
                          <w:sz w:val="28"/>
                          <w:szCs w:val="28"/>
                        </w:rPr>
                        <w:t>et suivants du Code Monétaire et financier</w:t>
                      </w:r>
                    </w:p>
                  </w:txbxContent>
                </v:textbox>
                <w10:wrap type="square" anchorx="margin" anchory="margin"/>
              </v:rect>
            </w:pict>
          </mc:Fallback>
        </mc:AlternateContent>
      </w: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p>
    <w:p w:rsidR="0093368A" w:rsidRDefault="0093368A" w:rsidP="0093368A">
      <w:pPr>
        <w:spacing w:line="240" w:lineRule="auto"/>
        <w:jc w:val="both"/>
        <w:rPr>
          <w:rFonts w:ascii="Arial" w:eastAsia="Times New Roman" w:hAnsi="Arial" w:cs="Arial"/>
          <w:b/>
          <w:sz w:val="20"/>
          <w:szCs w:val="20"/>
          <w:u w:val="single"/>
          <w:lang w:eastAsia="fr-FR"/>
        </w:rPr>
      </w:pPr>
    </w:p>
    <w:p w:rsidR="003565B9" w:rsidRPr="003565B9" w:rsidRDefault="003565B9" w:rsidP="0093368A">
      <w:pPr>
        <w:spacing w:line="240" w:lineRule="auto"/>
        <w:jc w:val="both"/>
        <w:rPr>
          <w:rFonts w:ascii="Arial" w:eastAsia="Times New Roman" w:hAnsi="Arial" w:cs="Arial"/>
          <w:b/>
          <w:sz w:val="20"/>
          <w:szCs w:val="20"/>
          <w:u w:val="single"/>
          <w:lang w:eastAsia="fr-FR"/>
        </w:rPr>
      </w:pPr>
    </w:p>
    <w:p w:rsidR="0093368A" w:rsidRPr="003565B9" w:rsidRDefault="0093368A" w:rsidP="0093368A">
      <w:pPr>
        <w:spacing w:line="240" w:lineRule="auto"/>
        <w:jc w:val="both"/>
        <w:rPr>
          <w:rFonts w:ascii="Arial" w:eastAsia="Times New Roman" w:hAnsi="Arial" w:cs="Arial"/>
          <w:b/>
          <w:sz w:val="20"/>
          <w:szCs w:val="20"/>
          <w:u w:val="single"/>
          <w:lang w:eastAsia="fr-FR"/>
        </w:rPr>
      </w:pPr>
      <w:bookmarkStart w:id="0" w:name="_GoBack"/>
      <w:bookmarkEnd w:id="0"/>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d’agrément avec le service en charge des agréments et autorisations </w:t>
      </w:r>
      <w:r>
        <w:rPr>
          <w:rFonts w:ascii="Arial" w:eastAsia="Times New Roman" w:hAnsi="Arial" w:cs="Arial"/>
          <w:b/>
          <w:color w:val="1F497D" w:themeColor="text2"/>
          <w:lang w:eastAsia="fr-FR"/>
        </w:rPr>
        <w:t xml:space="preserve">des établissements de paiement </w:t>
      </w:r>
      <w:r w:rsidRPr="00BD006B">
        <w:rPr>
          <w:rFonts w:ascii="Arial" w:eastAsia="Times New Roman" w:hAnsi="Arial" w:cs="Arial"/>
          <w:b/>
          <w:color w:val="1F497D" w:themeColor="text2"/>
          <w:lang w:eastAsia="fr-FR"/>
        </w:rPr>
        <w:t xml:space="preserve">(Service des établissements et procédures spécialisés / mail : </w:t>
      </w:r>
      <w:hyperlink r:id="rId10" w:history="1">
        <w:r w:rsidRPr="006070A8">
          <w:rPr>
            <w:rStyle w:val="Lienhypertexte"/>
            <w:rFonts w:ascii="Arial" w:eastAsia="Times New Roman" w:hAnsi="Arial" w:cs="Arial"/>
            <w:b/>
            <w:lang w:eastAsia="fr-FR"/>
          </w:rPr>
          <w:t>2785-SECRETARIAT-SERVICE-UT@acpr.banque-france.fr</w:t>
        </w:r>
      </w:hyperlink>
      <w:r w:rsidR="001B4A91">
        <w:rPr>
          <w:rStyle w:val="Lienhypertexte"/>
          <w:rFonts w:ascii="Arial" w:eastAsia="Times New Roman" w:hAnsi="Arial" w:cs="Arial"/>
          <w:b/>
          <w:lang w:eastAsia="fr-FR"/>
        </w:rPr>
        <w:t>)</w:t>
      </w:r>
    </w:p>
    <w:p w:rsidR="0093368A" w:rsidRPr="00BD006B" w:rsidRDefault="0093368A" w:rsidP="0093368A">
      <w:pPr>
        <w:spacing w:line="240" w:lineRule="auto"/>
        <w:jc w:val="both"/>
        <w:rPr>
          <w:rFonts w:ascii="Arial" w:eastAsia="Times New Roman" w:hAnsi="Arial" w:cs="Arial"/>
          <w:b/>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rsidR="0093368A" w:rsidRPr="00BD006B" w:rsidRDefault="0093368A" w:rsidP="0093368A">
      <w:pPr>
        <w:spacing w:after="60" w:line="240" w:lineRule="auto"/>
        <w:ind w:left="426"/>
        <w:contextualSpacing/>
        <w:jc w:val="both"/>
        <w:rPr>
          <w:rFonts w:ascii="Arial" w:eastAsia="Times New Roman" w:hAnsi="Arial" w:cs="Arial"/>
          <w:color w:val="1F497D" w:themeColor="text2"/>
          <w:lang w:eastAsia="fr-FR"/>
        </w:rPr>
      </w:pPr>
    </w:p>
    <w:p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 xml:space="preserve">articles L. 522-9 et </w:t>
      </w:r>
      <w:r w:rsidR="00890EF0">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522-1</w:t>
      </w:r>
      <w:r w:rsidRPr="00BD006B">
        <w:rPr>
          <w:rFonts w:ascii="Arial" w:eastAsia="Times New Roman" w:hAnsi="Arial" w:cs="Arial"/>
          <w:b/>
          <w:color w:val="1F497D" w:themeColor="text2"/>
          <w:lang w:eastAsia="fr-FR"/>
        </w:rPr>
        <w:t xml:space="preserve"> du Code monétaire et financier.</w:t>
      </w:r>
    </w:p>
    <w:p w:rsidR="0093368A" w:rsidRPr="00BD006B" w:rsidRDefault="0093368A" w:rsidP="0093368A">
      <w:pPr>
        <w:spacing w:line="240" w:lineRule="auto"/>
        <w:jc w:val="both"/>
        <w:rPr>
          <w:rFonts w:ascii="Arial" w:eastAsia="Times New Roman" w:hAnsi="Arial" w:cs="Arial"/>
          <w:b/>
          <w:color w:val="1F497D" w:themeColor="text2"/>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sidRPr="00563425">
        <w:rPr>
          <w:rFonts w:ascii="Arial" w:eastAsia="Times New Roman" w:hAnsi="Arial" w:cs="Arial"/>
          <w:lang w:eastAsia="fr-FR"/>
        </w:rPr>
        <w:t>Le</w:t>
      </w:r>
      <w:r>
        <w:rPr>
          <w:rFonts w:ascii="Arial" w:eastAsia="Times New Roman" w:hAnsi="Arial" w:cs="Arial"/>
          <w:lang w:eastAsia="fr-FR"/>
        </w:rPr>
        <w:t xml:space="preserve"> formulaire</w:t>
      </w:r>
      <w:r w:rsidRPr="00563425">
        <w:rPr>
          <w:rFonts w:ascii="Arial" w:eastAsia="Times New Roman" w:hAnsi="Arial" w:cs="Arial"/>
          <w:lang w:eastAsia="fr-FR"/>
        </w:rPr>
        <w:t>, dûment rempli</w:t>
      </w:r>
      <w:r w:rsidR="00890EF0">
        <w:rPr>
          <w:rFonts w:ascii="Arial" w:eastAsia="Times New Roman" w:hAnsi="Arial" w:cs="Arial"/>
          <w:lang w:eastAsia="fr-FR"/>
        </w:rPr>
        <w:t>, daté</w:t>
      </w:r>
      <w:r w:rsidRPr="00563425">
        <w:rPr>
          <w:rFonts w:ascii="Arial" w:eastAsia="Times New Roman" w:hAnsi="Arial" w:cs="Arial"/>
          <w:lang w:eastAsia="fr-FR"/>
        </w:rPr>
        <w:t xml:space="preserve"> et signé, </w:t>
      </w:r>
      <w:r>
        <w:rPr>
          <w:rFonts w:ascii="Arial" w:eastAsia="Times New Roman" w:hAnsi="Arial" w:cs="Arial"/>
          <w:lang w:eastAsia="fr-FR"/>
        </w:rPr>
        <w:t>es</w:t>
      </w:r>
      <w:r w:rsidRPr="00563425">
        <w:rPr>
          <w:rFonts w:ascii="Arial" w:eastAsia="Times New Roman" w:hAnsi="Arial" w:cs="Arial"/>
          <w:lang w:eastAsia="fr-FR"/>
        </w:rPr>
        <w:t xml:space="preserve">t à adresser en </w:t>
      </w:r>
      <w:r w:rsidRPr="00563425">
        <w:rPr>
          <w:rFonts w:ascii="Arial" w:eastAsia="Times New Roman" w:hAnsi="Arial" w:cs="Arial"/>
          <w:b/>
          <w:bCs/>
          <w:lang w:eastAsia="fr-FR"/>
        </w:rPr>
        <w:t>version papier</w:t>
      </w:r>
      <w:r>
        <w:rPr>
          <w:rFonts w:ascii="Arial" w:eastAsia="Times New Roman" w:hAnsi="Arial" w:cs="Arial"/>
          <w:b/>
          <w:bCs/>
          <w:lang w:eastAsia="fr-FR"/>
        </w:rPr>
        <w:t xml:space="preserve"> et </w:t>
      </w:r>
      <w:r>
        <w:rPr>
          <w:rFonts w:ascii="Arial" w:eastAsia="Times New Roman" w:hAnsi="Arial" w:cs="Arial"/>
          <w:b/>
          <w:lang w:eastAsia="fr-FR"/>
        </w:rPr>
        <w:t>sur un support numérique (type clef USB)</w:t>
      </w:r>
      <w:r w:rsidRPr="00563425">
        <w:rPr>
          <w:rFonts w:ascii="Arial" w:eastAsia="Times New Roman" w:hAnsi="Arial" w:cs="Arial"/>
          <w:lang w:eastAsia="fr-FR"/>
        </w:rPr>
        <w:t xml:space="preserve"> à</w:t>
      </w:r>
      <w:r>
        <w:rPr>
          <w:rFonts w:ascii="Arial" w:eastAsia="Times New Roman" w:hAnsi="Arial" w:cs="Arial"/>
          <w:lang w:eastAsia="fr-FR"/>
        </w:rPr>
        <w:t> :</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563425">
        <w:rPr>
          <w:rFonts w:ascii="Arial" w:eastAsia="Times New Roman" w:hAnsi="Arial" w:cs="Arial"/>
          <w:lang w:eastAsia="fr-FR"/>
        </w:rPr>
        <w:t>Autorité de contrôle prudentiel et de résolution</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Service des établissements et procédures spécialisés</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Direction des agréments, des autorisations et de la réglementation</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 xml:space="preserve">61, rue </w:t>
      </w:r>
      <w:proofErr w:type="spellStart"/>
      <w:r>
        <w:rPr>
          <w:rFonts w:ascii="Arial" w:eastAsia="Times New Roman" w:hAnsi="Arial" w:cs="Arial"/>
          <w:lang w:eastAsia="fr-FR"/>
        </w:rPr>
        <w:t>Taitbout</w:t>
      </w:r>
      <w:proofErr w:type="spellEnd"/>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75436 Paris Cedex 09</w:t>
      </w:r>
    </w:p>
    <w:p w:rsidR="0093368A"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Pr>
          <w:rFonts w:ascii="Arial" w:eastAsia="Times New Roman" w:hAnsi="Arial" w:cs="Arial"/>
          <w:lang w:eastAsia="fr-FR"/>
        </w:rPr>
        <w:t>Les annexes peuvent figurer uniquement sur support numérique.</w:t>
      </w:r>
    </w:p>
    <w:p w:rsidR="0093368A" w:rsidRPr="00315E00"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ind w:left="284" w:right="-1" w:hanging="284"/>
        <w:rPr>
          <w:rFonts w:ascii="Arial" w:eastAsia="Times New Roman" w:hAnsi="Arial" w:cs="Arial"/>
          <w:sz w:val="20"/>
          <w:szCs w:val="24"/>
          <w:lang w:eastAsia="fr-FR"/>
        </w:rPr>
      </w:pP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rsidTr="00B93618">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rsidTr="00B93618">
        <w:trPr>
          <w:gridAfter w:val="2"/>
          <w:wAfter w:w="8330" w:type="dxa"/>
        </w:trPr>
        <w:tc>
          <w:tcPr>
            <w:tcW w:w="1668" w:type="dxa"/>
            <w:shd w:val="clear" w:color="auto" w:fill="auto"/>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rsidTr="00B93618">
        <w:trPr>
          <w:trHeight w:val="80"/>
        </w:trPr>
        <w:tc>
          <w:tcPr>
            <w:tcW w:w="7338" w:type="dxa"/>
            <w:gridSpan w:val="3"/>
            <w:shd w:val="clear" w:color="auto" w:fill="auto"/>
          </w:tcPr>
          <w:p w:rsidR="0093368A" w:rsidRDefault="0093368A" w:rsidP="00B93618">
            <w:pPr>
              <w:spacing w:before="120" w:after="120" w:line="240" w:lineRule="auto"/>
              <w:rPr>
                <w:rFonts w:ascii="Arial" w:eastAsia="Times New Roman" w:hAnsi="Arial" w:cs="Arial"/>
                <w:sz w:val="20"/>
                <w:szCs w:val="24"/>
                <w:lang w:eastAsia="fr-FR"/>
              </w:rPr>
            </w:pPr>
          </w:p>
          <w:p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rsidTr="00B93618">
              <w:tc>
                <w:tcPr>
                  <w:tcW w:w="1316"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rsidTr="00B93618">
              <w:tc>
                <w:tcPr>
                  <w:tcW w:w="1668"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p>
        </w:tc>
      </w:tr>
    </w:tbl>
    <w:p w:rsidR="00890EF0" w:rsidRDefault="00890EF0" w:rsidP="0093368A">
      <w:pPr>
        <w:spacing w:after="200"/>
        <w:rPr>
          <w:rFonts w:ascii="Arial" w:eastAsia="Times New Roman" w:hAnsi="Arial" w:cs="Arial"/>
          <w:b/>
          <w:bCs/>
          <w:color w:val="0070C1"/>
          <w:sz w:val="24"/>
          <w:szCs w:val="24"/>
          <w:lang w:eastAsia="fr-FR"/>
        </w:rPr>
      </w:pPr>
    </w:p>
    <w:p w:rsidR="00890EF0" w:rsidRPr="00F11A47" w:rsidRDefault="00890EF0" w:rsidP="0093368A">
      <w:pPr>
        <w:spacing w:after="200"/>
        <w:rPr>
          <w:rFonts w:ascii="Arial" w:eastAsia="Times New Roman" w:hAnsi="Arial" w:cs="Arial"/>
          <w:b/>
          <w:bCs/>
          <w:color w:val="0070C1"/>
          <w:sz w:val="20"/>
          <w:szCs w:val="20"/>
          <w:lang w:eastAsia="fr-FR"/>
        </w:rPr>
      </w:pPr>
      <w:r w:rsidRPr="00F11A47">
        <w:rPr>
          <w:rFonts w:ascii="Arial" w:eastAsia="Times New Roman" w:hAnsi="Arial" w:cs="Arial"/>
          <w:b/>
          <w:bCs/>
          <w:color w:val="0070C1"/>
          <w:sz w:val="20"/>
          <w:szCs w:val="20"/>
          <w:lang w:eastAsia="fr-FR"/>
        </w:rPr>
        <w:t>Signature :</w:t>
      </w:r>
    </w:p>
    <w:p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rsidR="0093368A" w:rsidRDefault="00DB1C15" w:rsidP="00DB1C15">
          <w:pPr>
            <w:pStyle w:val="En-ttedetabledesmatires"/>
            <w:jc w:val="center"/>
          </w:pPr>
          <w:r>
            <w:t>SOMMAIRE</w:t>
          </w:r>
        </w:p>
        <w:p w:rsidR="007D371F"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346" w:history="1">
            <w:r w:rsidR="007D371F" w:rsidRPr="00D55B52">
              <w:rPr>
                <w:rStyle w:val="Lienhypertexte"/>
                <w:noProof/>
              </w:rPr>
              <w:t>1.</w:t>
            </w:r>
            <w:r w:rsidR="007D371F">
              <w:rPr>
                <w:rFonts w:eastAsiaTheme="minorEastAsia"/>
                <w:noProof/>
                <w:lang w:eastAsia="fr-FR"/>
              </w:rPr>
              <w:tab/>
            </w:r>
            <w:r w:rsidR="007D371F" w:rsidRPr="00D55B52">
              <w:rPr>
                <w:rStyle w:val="Lienhypertexte"/>
                <w:noProof/>
              </w:rPr>
              <w:t>L’entreprise</w:t>
            </w:r>
            <w:r w:rsidR="007D371F">
              <w:rPr>
                <w:noProof/>
                <w:webHidden/>
              </w:rPr>
              <w:tab/>
            </w:r>
            <w:r w:rsidR="007D371F">
              <w:rPr>
                <w:noProof/>
                <w:webHidden/>
              </w:rPr>
              <w:fldChar w:fldCharType="begin"/>
            </w:r>
            <w:r w:rsidR="007D371F">
              <w:rPr>
                <w:noProof/>
                <w:webHidden/>
              </w:rPr>
              <w:instrText xml:space="preserve"> PAGEREF _Toc507679346 \h </w:instrText>
            </w:r>
            <w:r w:rsidR="007D371F">
              <w:rPr>
                <w:noProof/>
                <w:webHidden/>
              </w:rPr>
            </w:r>
            <w:r w:rsidR="007D371F">
              <w:rPr>
                <w:noProof/>
                <w:webHidden/>
              </w:rPr>
              <w:fldChar w:fldCharType="separate"/>
            </w:r>
            <w:r w:rsidR="007D371F">
              <w:rPr>
                <w:noProof/>
                <w:webHidden/>
              </w:rPr>
              <w:t>4</w:t>
            </w:r>
            <w:r w:rsidR="007D371F">
              <w:rPr>
                <w:noProof/>
                <w:webHidden/>
              </w:rPr>
              <w:fldChar w:fldCharType="end"/>
            </w:r>
          </w:hyperlink>
        </w:p>
        <w:p w:rsidR="007D371F" w:rsidRDefault="00800C68">
          <w:pPr>
            <w:pStyle w:val="TM1"/>
            <w:rPr>
              <w:rFonts w:eastAsiaTheme="minorEastAsia"/>
              <w:noProof/>
              <w:lang w:eastAsia="fr-FR"/>
            </w:rPr>
          </w:pPr>
          <w:hyperlink w:anchor="_Toc507679347" w:history="1">
            <w:r w:rsidR="007D371F" w:rsidRPr="00D55B52">
              <w:rPr>
                <w:rStyle w:val="Lienhypertexte"/>
                <w:noProof/>
              </w:rPr>
              <w:t>2.</w:t>
            </w:r>
            <w:r w:rsidR="007D371F">
              <w:rPr>
                <w:rFonts w:eastAsiaTheme="minorEastAsia"/>
                <w:noProof/>
                <w:lang w:eastAsia="fr-FR"/>
              </w:rPr>
              <w:tab/>
            </w:r>
            <w:r w:rsidR="007D371F" w:rsidRPr="00D55B52">
              <w:rPr>
                <w:rStyle w:val="Lienhypertexte"/>
                <w:noProof/>
              </w:rPr>
              <w:t>Programme d’activité</w:t>
            </w:r>
            <w:r w:rsidR="007D371F">
              <w:rPr>
                <w:noProof/>
                <w:webHidden/>
              </w:rPr>
              <w:tab/>
            </w:r>
            <w:r w:rsidR="007D371F">
              <w:rPr>
                <w:noProof/>
                <w:webHidden/>
              </w:rPr>
              <w:fldChar w:fldCharType="begin"/>
            </w:r>
            <w:r w:rsidR="007D371F">
              <w:rPr>
                <w:noProof/>
                <w:webHidden/>
              </w:rPr>
              <w:instrText xml:space="preserve"> PAGEREF _Toc507679347 \h </w:instrText>
            </w:r>
            <w:r w:rsidR="007D371F">
              <w:rPr>
                <w:noProof/>
                <w:webHidden/>
              </w:rPr>
            </w:r>
            <w:r w:rsidR="007D371F">
              <w:rPr>
                <w:noProof/>
                <w:webHidden/>
              </w:rPr>
              <w:fldChar w:fldCharType="separate"/>
            </w:r>
            <w:r w:rsidR="007D371F">
              <w:rPr>
                <w:noProof/>
                <w:webHidden/>
              </w:rPr>
              <w:t>7</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48"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Services de paiement</w:t>
            </w:r>
            <w:r w:rsidR="007D371F">
              <w:rPr>
                <w:noProof/>
                <w:webHidden/>
              </w:rPr>
              <w:tab/>
            </w:r>
            <w:r w:rsidR="007D371F">
              <w:rPr>
                <w:noProof/>
                <w:webHidden/>
              </w:rPr>
              <w:fldChar w:fldCharType="begin"/>
            </w:r>
            <w:r w:rsidR="007D371F">
              <w:rPr>
                <w:noProof/>
                <w:webHidden/>
              </w:rPr>
              <w:instrText xml:space="preserve"> PAGEREF _Toc507679348 \h </w:instrText>
            </w:r>
            <w:r w:rsidR="007D371F">
              <w:rPr>
                <w:noProof/>
                <w:webHidden/>
              </w:rPr>
            </w:r>
            <w:r w:rsidR="007D371F">
              <w:rPr>
                <w:noProof/>
                <w:webHidden/>
              </w:rPr>
              <w:fldChar w:fldCharType="separate"/>
            </w:r>
            <w:r w:rsidR="007D371F">
              <w:rPr>
                <w:noProof/>
                <w:webHidden/>
              </w:rPr>
              <w:t>7</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49"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Établissement de paiement exerçant des activités de nature hybride</w:t>
            </w:r>
            <w:r w:rsidR="007D371F">
              <w:rPr>
                <w:noProof/>
                <w:webHidden/>
              </w:rPr>
              <w:tab/>
            </w:r>
            <w:r w:rsidR="007D371F">
              <w:rPr>
                <w:noProof/>
                <w:webHidden/>
              </w:rPr>
              <w:fldChar w:fldCharType="begin"/>
            </w:r>
            <w:r w:rsidR="007D371F">
              <w:rPr>
                <w:noProof/>
                <w:webHidden/>
              </w:rPr>
              <w:instrText xml:space="preserve"> PAGEREF _Toc507679349 \h </w:instrText>
            </w:r>
            <w:r w:rsidR="007D371F">
              <w:rPr>
                <w:noProof/>
                <w:webHidden/>
              </w:rPr>
            </w:r>
            <w:r w:rsidR="007D371F">
              <w:rPr>
                <w:noProof/>
                <w:webHidden/>
              </w:rPr>
              <w:fldChar w:fldCharType="separate"/>
            </w:r>
            <w:r w:rsidR="007D371F">
              <w:rPr>
                <w:noProof/>
                <w:webHidden/>
              </w:rPr>
              <w:t>8</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50" w:history="1">
            <w:r w:rsidR="007D371F" w:rsidRPr="00D55B52">
              <w:rPr>
                <w:rStyle w:val="Lienhypertexte"/>
                <w:noProof/>
              </w:rPr>
              <w:t>C.</w:t>
            </w:r>
            <w:r w:rsidR="007D371F">
              <w:rPr>
                <w:rFonts w:eastAsiaTheme="minorEastAsia"/>
                <w:noProof/>
                <w:lang w:eastAsia="fr-FR"/>
              </w:rPr>
              <w:tab/>
            </w:r>
            <w:r w:rsidR="007D371F" w:rsidRPr="00D55B52">
              <w:rPr>
                <w:rStyle w:val="Lienhypertexte"/>
                <w:noProof/>
              </w:rPr>
              <w:t>Services connexes</w:t>
            </w:r>
            <w:r w:rsidR="007D371F">
              <w:rPr>
                <w:noProof/>
                <w:webHidden/>
              </w:rPr>
              <w:tab/>
            </w:r>
            <w:r w:rsidR="007D371F">
              <w:rPr>
                <w:noProof/>
                <w:webHidden/>
              </w:rPr>
              <w:fldChar w:fldCharType="begin"/>
            </w:r>
            <w:r w:rsidR="007D371F">
              <w:rPr>
                <w:noProof/>
                <w:webHidden/>
              </w:rPr>
              <w:instrText xml:space="preserve"> PAGEREF _Toc507679350 \h </w:instrText>
            </w:r>
            <w:r w:rsidR="007D371F">
              <w:rPr>
                <w:noProof/>
                <w:webHidden/>
              </w:rPr>
            </w:r>
            <w:r w:rsidR="007D371F">
              <w:rPr>
                <w:noProof/>
                <w:webHidden/>
              </w:rPr>
              <w:fldChar w:fldCharType="separate"/>
            </w:r>
            <w:r w:rsidR="007D371F">
              <w:rPr>
                <w:noProof/>
                <w:webHidden/>
              </w:rPr>
              <w:t>8</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51" w:history="1">
            <w:r w:rsidR="007D371F" w:rsidRPr="00D55B52">
              <w:rPr>
                <w:rStyle w:val="Lienhypertexte"/>
                <w:noProof/>
              </w:rPr>
              <w:t>D.</w:t>
            </w:r>
            <w:r w:rsidR="007D371F">
              <w:rPr>
                <w:rFonts w:eastAsiaTheme="minorEastAsia"/>
                <w:noProof/>
                <w:lang w:eastAsia="fr-FR"/>
              </w:rPr>
              <w:tab/>
            </w:r>
            <w:r w:rsidR="007D371F" w:rsidRPr="00D55B52">
              <w:rPr>
                <w:rStyle w:val="Lienhypertexte"/>
                <w:noProof/>
              </w:rPr>
              <w:t>Recours à des agents</w:t>
            </w:r>
            <w:r w:rsidR="007D371F">
              <w:rPr>
                <w:noProof/>
                <w:webHidden/>
              </w:rPr>
              <w:tab/>
            </w:r>
            <w:r w:rsidR="007D371F">
              <w:rPr>
                <w:noProof/>
                <w:webHidden/>
              </w:rPr>
              <w:fldChar w:fldCharType="begin"/>
            </w:r>
            <w:r w:rsidR="007D371F">
              <w:rPr>
                <w:noProof/>
                <w:webHidden/>
              </w:rPr>
              <w:instrText xml:space="preserve"> PAGEREF _Toc507679351 \h </w:instrText>
            </w:r>
            <w:r w:rsidR="007D371F">
              <w:rPr>
                <w:noProof/>
                <w:webHidden/>
              </w:rPr>
            </w:r>
            <w:r w:rsidR="007D371F">
              <w:rPr>
                <w:noProof/>
                <w:webHidden/>
              </w:rPr>
              <w:fldChar w:fldCharType="separate"/>
            </w:r>
            <w:r w:rsidR="007D371F">
              <w:rPr>
                <w:noProof/>
                <w:webHidden/>
              </w:rPr>
              <w:t>8</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52" w:history="1">
            <w:r w:rsidR="007D371F" w:rsidRPr="00D55B52">
              <w:rPr>
                <w:rStyle w:val="Lienhypertexte"/>
                <w:noProof/>
              </w:rPr>
              <w:t>E.</w:t>
            </w:r>
            <w:r w:rsidR="007D371F">
              <w:rPr>
                <w:rFonts w:eastAsiaTheme="minorEastAsia"/>
                <w:noProof/>
                <w:lang w:eastAsia="fr-FR"/>
              </w:rPr>
              <w:tab/>
            </w:r>
            <w:r w:rsidR="007D371F" w:rsidRPr="00D55B52">
              <w:rPr>
                <w:rStyle w:val="Lienhypertexte"/>
                <w:noProof/>
              </w:rPr>
              <w:t>Exercice d’activité à l’étranger</w:t>
            </w:r>
            <w:r w:rsidR="007D371F">
              <w:rPr>
                <w:noProof/>
                <w:webHidden/>
              </w:rPr>
              <w:tab/>
            </w:r>
            <w:r w:rsidR="007D371F">
              <w:rPr>
                <w:noProof/>
                <w:webHidden/>
              </w:rPr>
              <w:fldChar w:fldCharType="begin"/>
            </w:r>
            <w:r w:rsidR="007D371F">
              <w:rPr>
                <w:noProof/>
                <w:webHidden/>
              </w:rPr>
              <w:instrText xml:space="preserve"> PAGEREF _Toc507679352 \h </w:instrText>
            </w:r>
            <w:r w:rsidR="007D371F">
              <w:rPr>
                <w:noProof/>
                <w:webHidden/>
              </w:rPr>
            </w:r>
            <w:r w:rsidR="007D371F">
              <w:rPr>
                <w:noProof/>
                <w:webHidden/>
              </w:rPr>
              <w:fldChar w:fldCharType="separate"/>
            </w:r>
            <w:r w:rsidR="007D371F">
              <w:rPr>
                <w:noProof/>
                <w:webHidden/>
              </w:rPr>
              <w:t>8</w:t>
            </w:r>
            <w:r w:rsidR="007D371F">
              <w:rPr>
                <w:noProof/>
                <w:webHidden/>
              </w:rPr>
              <w:fldChar w:fldCharType="end"/>
            </w:r>
          </w:hyperlink>
        </w:p>
        <w:p w:rsidR="007D371F" w:rsidRDefault="00800C68">
          <w:pPr>
            <w:pStyle w:val="TM1"/>
            <w:rPr>
              <w:rFonts w:eastAsiaTheme="minorEastAsia"/>
              <w:noProof/>
              <w:lang w:eastAsia="fr-FR"/>
            </w:rPr>
          </w:pPr>
          <w:hyperlink w:anchor="_Toc507679353" w:history="1">
            <w:r w:rsidR="007D371F" w:rsidRPr="00D55B52">
              <w:rPr>
                <w:rStyle w:val="Lienhypertexte"/>
                <w:noProof/>
              </w:rPr>
              <w:t>3.</w:t>
            </w:r>
            <w:r w:rsidR="007D371F">
              <w:rPr>
                <w:rFonts w:eastAsiaTheme="minorEastAsia"/>
                <w:noProof/>
                <w:lang w:eastAsia="fr-FR"/>
              </w:rPr>
              <w:tab/>
            </w:r>
            <w:r w:rsidR="007D371F" w:rsidRPr="00D55B52">
              <w:rPr>
                <w:rStyle w:val="Lienhypertexte"/>
                <w:noProof/>
              </w:rPr>
              <w:t>Plan d’affaires et réglementation prudentielle</w:t>
            </w:r>
            <w:r w:rsidR="007D371F">
              <w:rPr>
                <w:noProof/>
                <w:webHidden/>
              </w:rPr>
              <w:tab/>
            </w:r>
            <w:r w:rsidR="007D371F">
              <w:rPr>
                <w:noProof/>
                <w:webHidden/>
              </w:rPr>
              <w:fldChar w:fldCharType="begin"/>
            </w:r>
            <w:r w:rsidR="007D371F">
              <w:rPr>
                <w:noProof/>
                <w:webHidden/>
              </w:rPr>
              <w:instrText xml:space="preserve"> PAGEREF _Toc507679353 \h </w:instrText>
            </w:r>
            <w:r w:rsidR="007D371F">
              <w:rPr>
                <w:noProof/>
                <w:webHidden/>
              </w:rPr>
            </w:r>
            <w:r w:rsidR="007D371F">
              <w:rPr>
                <w:noProof/>
                <w:webHidden/>
              </w:rPr>
              <w:fldChar w:fldCharType="separate"/>
            </w:r>
            <w:r w:rsidR="007D371F">
              <w:rPr>
                <w:noProof/>
                <w:webHidden/>
              </w:rPr>
              <w:t>10</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54"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Plan d’affaires</w:t>
            </w:r>
            <w:r w:rsidR="007D371F">
              <w:rPr>
                <w:noProof/>
                <w:webHidden/>
              </w:rPr>
              <w:tab/>
            </w:r>
            <w:r w:rsidR="007D371F">
              <w:rPr>
                <w:noProof/>
                <w:webHidden/>
              </w:rPr>
              <w:fldChar w:fldCharType="begin"/>
            </w:r>
            <w:r w:rsidR="007D371F">
              <w:rPr>
                <w:noProof/>
                <w:webHidden/>
              </w:rPr>
              <w:instrText xml:space="preserve"> PAGEREF _Toc507679354 \h </w:instrText>
            </w:r>
            <w:r w:rsidR="007D371F">
              <w:rPr>
                <w:noProof/>
                <w:webHidden/>
              </w:rPr>
            </w:r>
            <w:r w:rsidR="007D371F">
              <w:rPr>
                <w:noProof/>
                <w:webHidden/>
              </w:rPr>
              <w:fldChar w:fldCharType="separate"/>
            </w:r>
            <w:r w:rsidR="007D371F">
              <w:rPr>
                <w:noProof/>
                <w:webHidden/>
              </w:rPr>
              <w:t>10</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55"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Capital initial</w:t>
            </w:r>
            <w:r w:rsidR="007D371F">
              <w:rPr>
                <w:noProof/>
                <w:webHidden/>
              </w:rPr>
              <w:tab/>
            </w:r>
            <w:r w:rsidR="007D371F">
              <w:rPr>
                <w:noProof/>
                <w:webHidden/>
              </w:rPr>
              <w:fldChar w:fldCharType="begin"/>
            </w:r>
            <w:r w:rsidR="007D371F">
              <w:rPr>
                <w:noProof/>
                <w:webHidden/>
              </w:rPr>
              <w:instrText xml:space="preserve"> PAGEREF _Toc507679355 \h </w:instrText>
            </w:r>
            <w:r w:rsidR="007D371F">
              <w:rPr>
                <w:noProof/>
                <w:webHidden/>
              </w:rPr>
            </w:r>
            <w:r w:rsidR="007D371F">
              <w:rPr>
                <w:noProof/>
                <w:webHidden/>
              </w:rPr>
              <w:fldChar w:fldCharType="separate"/>
            </w:r>
            <w:r w:rsidR="007D371F">
              <w:rPr>
                <w:noProof/>
                <w:webHidden/>
              </w:rPr>
              <w:t>11</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56" w:history="1">
            <w:r w:rsidR="007D371F" w:rsidRPr="00D55B52">
              <w:rPr>
                <w:rStyle w:val="Lienhypertexte"/>
                <w:noProof/>
              </w:rPr>
              <w:t>C.</w:t>
            </w:r>
            <w:r w:rsidR="007D371F">
              <w:rPr>
                <w:rFonts w:eastAsiaTheme="minorEastAsia"/>
                <w:noProof/>
                <w:lang w:eastAsia="fr-FR"/>
              </w:rPr>
              <w:tab/>
            </w:r>
            <w:r w:rsidR="007D371F" w:rsidRPr="00D55B52">
              <w:rPr>
                <w:rStyle w:val="Lienhypertexte"/>
                <w:noProof/>
              </w:rPr>
              <w:t>Exigences en fonds propres prudentiels</w:t>
            </w:r>
            <w:r w:rsidR="007D371F">
              <w:rPr>
                <w:noProof/>
                <w:webHidden/>
              </w:rPr>
              <w:tab/>
            </w:r>
            <w:r w:rsidR="007D371F">
              <w:rPr>
                <w:noProof/>
                <w:webHidden/>
              </w:rPr>
              <w:fldChar w:fldCharType="begin"/>
            </w:r>
            <w:r w:rsidR="007D371F">
              <w:rPr>
                <w:noProof/>
                <w:webHidden/>
              </w:rPr>
              <w:instrText xml:space="preserve"> PAGEREF _Toc507679356 \h </w:instrText>
            </w:r>
            <w:r w:rsidR="007D371F">
              <w:rPr>
                <w:noProof/>
                <w:webHidden/>
              </w:rPr>
            </w:r>
            <w:r w:rsidR="007D371F">
              <w:rPr>
                <w:noProof/>
                <w:webHidden/>
              </w:rPr>
              <w:fldChar w:fldCharType="separate"/>
            </w:r>
            <w:r w:rsidR="007D371F">
              <w:rPr>
                <w:noProof/>
                <w:webHidden/>
              </w:rPr>
              <w:t>11</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57" w:history="1">
            <w:r w:rsidR="007D371F" w:rsidRPr="00D55B52">
              <w:rPr>
                <w:rStyle w:val="Lienhypertexte"/>
                <w:noProof/>
              </w:rPr>
              <w:t>D.</w:t>
            </w:r>
            <w:r w:rsidR="007D371F">
              <w:rPr>
                <w:rFonts w:eastAsiaTheme="minorEastAsia"/>
                <w:noProof/>
                <w:lang w:eastAsia="fr-FR"/>
              </w:rPr>
              <w:tab/>
            </w:r>
            <w:r w:rsidR="007D371F" w:rsidRPr="00D55B52">
              <w:rPr>
                <w:rStyle w:val="Lienhypertexte"/>
                <w:noProof/>
              </w:rPr>
              <w:t>Protection des fonds collectés</w:t>
            </w:r>
            <w:r w:rsidR="007D371F">
              <w:rPr>
                <w:noProof/>
                <w:webHidden/>
              </w:rPr>
              <w:tab/>
            </w:r>
            <w:r w:rsidR="007D371F">
              <w:rPr>
                <w:noProof/>
                <w:webHidden/>
              </w:rPr>
              <w:fldChar w:fldCharType="begin"/>
            </w:r>
            <w:r w:rsidR="007D371F">
              <w:rPr>
                <w:noProof/>
                <w:webHidden/>
              </w:rPr>
              <w:instrText xml:space="preserve"> PAGEREF _Toc507679357 \h </w:instrText>
            </w:r>
            <w:r w:rsidR="007D371F">
              <w:rPr>
                <w:noProof/>
                <w:webHidden/>
              </w:rPr>
            </w:r>
            <w:r w:rsidR="007D371F">
              <w:rPr>
                <w:noProof/>
                <w:webHidden/>
              </w:rPr>
              <w:fldChar w:fldCharType="separate"/>
            </w:r>
            <w:r w:rsidR="007D371F">
              <w:rPr>
                <w:noProof/>
                <w:webHidden/>
              </w:rPr>
              <w:t>12</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58" w:history="1">
            <w:r w:rsidR="007D371F" w:rsidRPr="00D55B52">
              <w:rPr>
                <w:rStyle w:val="Lienhypertexte"/>
                <w:noProof/>
              </w:rPr>
              <w:t>E.</w:t>
            </w:r>
            <w:r w:rsidR="007D371F">
              <w:rPr>
                <w:rFonts w:eastAsiaTheme="minorEastAsia"/>
                <w:noProof/>
                <w:lang w:eastAsia="fr-FR"/>
              </w:rPr>
              <w:tab/>
            </w:r>
            <w:r w:rsidR="007D371F" w:rsidRPr="00D55B52">
              <w:rPr>
                <w:rStyle w:val="Lienhypertexte"/>
                <w:noProof/>
              </w:rPr>
              <w:t>Assurance responsabilité civile professionnelle</w:t>
            </w:r>
            <w:r w:rsidR="007D371F">
              <w:rPr>
                <w:noProof/>
                <w:webHidden/>
              </w:rPr>
              <w:tab/>
            </w:r>
            <w:r w:rsidR="007D371F">
              <w:rPr>
                <w:noProof/>
                <w:webHidden/>
              </w:rPr>
              <w:fldChar w:fldCharType="begin"/>
            </w:r>
            <w:r w:rsidR="007D371F">
              <w:rPr>
                <w:noProof/>
                <w:webHidden/>
              </w:rPr>
              <w:instrText xml:space="preserve"> PAGEREF _Toc507679358 \h </w:instrText>
            </w:r>
            <w:r w:rsidR="007D371F">
              <w:rPr>
                <w:noProof/>
                <w:webHidden/>
              </w:rPr>
            </w:r>
            <w:r w:rsidR="007D371F">
              <w:rPr>
                <w:noProof/>
                <w:webHidden/>
              </w:rPr>
              <w:fldChar w:fldCharType="separate"/>
            </w:r>
            <w:r w:rsidR="007D371F">
              <w:rPr>
                <w:noProof/>
                <w:webHidden/>
              </w:rPr>
              <w:t>12</w:t>
            </w:r>
            <w:r w:rsidR="007D371F">
              <w:rPr>
                <w:noProof/>
                <w:webHidden/>
              </w:rPr>
              <w:fldChar w:fldCharType="end"/>
            </w:r>
          </w:hyperlink>
        </w:p>
        <w:p w:rsidR="007D371F" w:rsidRDefault="00800C68">
          <w:pPr>
            <w:pStyle w:val="TM1"/>
            <w:rPr>
              <w:rFonts w:eastAsiaTheme="minorEastAsia"/>
              <w:noProof/>
              <w:lang w:eastAsia="fr-FR"/>
            </w:rPr>
          </w:pPr>
          <w:hyperlink w:anchor="_Toc507679359" w:history="1">
            <w:r w:rsidR="007D371F" w:rsidRPr="00D55B52">
              <w:rPr>
                <w:rStyle w:val="Lienhypertexte"/>
                <w:noProof/>
              </w:rPr>
              <w:t>4.</w:t>
            </w:r>
            <w:r w:rsidR="007D371F">
              <w:rPr>
                <w:rFonts w:eastAsiaTheme="minorEastAsia"/>
                <w:noProof/>
                <w:lang w:eastAsia="fr-FR"/>
              </w:rPr>
              <w:tab/>
            </w:r>
            <w:r w:rsidR="007D371F" w:rsidRPr="00D55B52">
              <w:rPr>
                <w:rStyle w:val="Lienhypertexte"/>
                <w:noProof/>
              </w:rPr>
              <w:t>Structure organisationnelle et mécanisme de contrôle interne</w:t>
            </w:r>
            <w:r w:rsidR="007D371F">
              <w:rPr>
                <w:noProof/>
                <w:webHidden/>
              </w:rPr>
              <w:tab/>
            </w:r>
            <w:r w:rsidR="007D371F">
              <w:rPr>
                <w:noProof/>
                <w:webHidden/>
              </w:rPr>
              <w:fldChar w:fldCharType="begin"/>
            </w:r>
            <w:r w:rsidR="007D371F">
              <w:rPr>
                <w:noProof/>
                <w:webHidden/>
              </w:rPr>
              <w:instrText xml:space="preserve"> PAGEREF _Toc507679359 \h </w:instrText>
            </w:r>
            <w:r w:rsidR="007D371F">
              <w:rPr>
                <w:noProof/>
                <w:webHidden/>
              </w:rPr>
            </w:r>
            <w:r w:rsidR="007D371F">
              <w:rPr>
                <w:noProof/>
                <w:webHidden/>
              </w:rPr>
              <w:fldChar w:fldCharType="separate"/>
            </w:r>
            <w:r w:rsidR="007D371F">
              <w:rPr>
                <w:noProof/>
                <w:webHidden/>
              </w:rPr>
              <w:t>13</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60"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Structure organisationnelle</w:t>
            </w:r>
            <w:r w:rsidR="007D371F">
              <w:rPr>
                <w:noProof/>
                <w:webHidden/>
              </w:rPr>
              <w:tab/>
            </w:r>
            <w:r w:rsidR="007D371F">
              <w:rPr>
                <w:noProof/>
                <w:webHidden/>
              </w:rPr>
              <w:fldChar w:fldCharType="begin"/>
            </w:r>
            <w:r w:rsidR="007D371F">
              <w:rPr>
                <w:noProof/>
                <w:webHidden/>
              </w:rPr>
              <w:instrText xml:space="preserve"> PAGEREF _Toc507679360 \h </w:instrText>
            </w:r>
            <w:r w:rsidR="007D371F">
              <w:rPr>
                <w:noProof/>
                <w:webHidden/>
              </w:rPr>
            </w:r>
            <w:r w:rsidR="007D371F">
              <w:rPr>
                <w:noProof/>
                <w:webHidden/>
              </w:rPr>
              <w:fldChar w:fldCharType="separate"/>
            </w:r>
            <w:r w:rsidR="007D371F">
              <w:rPr>
                <w:noProof/>
                <w:webHidden/>
              </w:rPr>
              <w:t>13</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61"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Mécanismes de contrôle interne</w:t>
            </w:r>
            <w:r w:rsidR="007D371F">
              <w:rPr>
                <w:noProof/>
                <w:webHidden/>
              </w:rPr>
              <w:tab/>
            </w:r>
            <w:r w:rsidR="007D371F">
              <w:rPr>
                <w:noProof/>
                <w:webHidden/>
              </w:rPr>
              <w:fldChar w:fldCharType="begin"/>
            </w:r>
            <w:r w:rsidR="007D371F">
              <w:rPr>
                <w:noProof/>
                <w:webHidden/>
              </w:rPr>
              <w:instrText xml:space="preserve"> PAGEREF _Toc507679361 \h </w:instrText>
            </w:r>
            <w:r w:rsidR="007D371F">
              <w:rPr>
                <w:noProof/>
                <w:webHidden/>
              </w:rPr>
            </w:r>
            <w:r w:rsidR="007D371F">
              <w:rPr>
                <w:noProof/>
                <w:webHidden/>
              </w:rPr>
              <w:fldChar w:fldCharType="separate"/>
            </w:r>
            <w:r w:rsidR="007D371F">
              <w:rPr>
                <w:noProof/>
                <w:webHidden/>
              </w:rPr>
              <w:t>13</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62" w:history="1">
            <w:r w:rsidR="007D371F" w:rsidRPr="00D55B52">
              <w:rPr>
                <w:rStyle w:val="Lienhypertexte"/>
                <w:noProof/>
              </w:rPr>
              <w:t>C.</w:t>
            </w:r>
            <w:r w:rsidR="007D371F">
              <w:rPr>
                <w:rFonts w:eastAsiaTheme="minorEastAsia"/>
                <w:noProof/>
                <w:lang w:eastAsia="fr-FR"/>
              </w:rPr>
              <w:tab/>
            </w:r>
            <w:r w:rsidR="007D371F" w:rsidRPr="00D55B52">
              <w:rPr>
                <w:rStyle w:val="Lienhypertexte"/>
                <w:noProof/>
              </w:rPr>
              <w:t>Lutte contre le blanchiment de capitaux et le financement du terrorisme</w:t>
            </w:r>
            <w:r w:rsidR="007D371F">
              <w:rPr>
                <w:noProof/>
                <w:webHidden/>
              </w:rPr>
              <w:tab/>
            </w:r>
            <w:r w:rsidR="007D371F">
              <w:rPr>
                <w:noProof/>
                <w:webHidden/>
              </w:rPr>
              <w:fldChar w:fldCharType="begin"/>
            </w:r>
            <w:r w:rsidR="007D371F">
              <w:rPr>
                <w:noProof/>
                <w:webHidden/>
              </w:rPr>
              <w:instrText xml:space="preserve"> PAGEREF _Toc507679362 \h </w:instrText>
            </w:r>
            <w:r w:rsidR="007D371F">
              <w:rPr>
                <w:noProof/>
                <w:webHidden/>
              </w:rPr>
            </w:r>
            <w:r w:rsidR="007D371F">
              <w:rPr>
                <w:noProof/>
                <w:webHidden/>
              </w:rPr>
              <w:fldChar w:fldCharType="separate"/>
            </w:r>
            <w:r w:rsidR="007D371F">
              <w:rPr>
                <w:noProof/>
                <w:webHidden/>
              </w:rPr>
              <w:t>14</w:t>
            </w:r>
            <w:r w:rsidR="007D371F">
              <w:rPr>
                <w:noProof/>
                <w:webHidden/>
              </w:rPr>
              <w:fldChar w:fldCharType="end"/>
            </w:r>
          </w:hyperlink>
        </w:p>
        <w:p w:rsidR="007D371F" w:rsidRDefault="00800C68">
          <w:pPr>
            <w:pStyle w:val="TM1"/>
            <w:rPr>
              <w:rFonts w:eastAsiaTheme="minorEastAsia"/>
              <w:noProof/>
              <w:lang w:eastAsia="fr-FR"/>
            </w:rPr>
          </w:pPr>
          <w:hyperlink w:anchor="_Toc507679363" w:history="1">
            <w:r w:rsidR="007D371F" w:rsidRPr="00D55B52">
              <w:rPr>
                <w:rStyle w:val="Lienhypertexte"/>
                <w:noProof/>
              </w:rPr>
              <w:t>5.</w:t>
            </w:r>
            <w:r w:rsidR="007D371F">
              <w:rPr>
                <w:rFonts w:eastAsiaTheme="minorEastAsia"/>
                <w:noProof/>
                <w:lang w:eastAsia="fr-FR"/>
              </w:rPr>
              <w:tab/>
            </w:r>
            <w:r w:rsidR="007D371F" w:rsidRPr="00D55B52">
              <w:rPr>
                <w:rStyle w:val="Lienhypertexte"/>
                <w:noProof/>
              </w:rPr>
              <w:t>Procédures des systèmes de sécurité et accès aux données sensibles</w:t>
            </w:r>
            <w:r w:rsidR="007D371F">
              <w:rPr>
                <w:noProof/>
                <w:webHidden/>
              </w:rPr>
              <w:tab/>
            </w:r>
            <w:r w:rsidR="007D371F">
              <w:rPr>
                <w:noProof/>
                <w:webHidden/>
              </w:rPr>
              <w:fldChar w:fldCharType="begin"/>
            </w:r>
            <w:r w:rsidR="007D371F">
              <w:rPr>
                <w:noProof/>
                <w:webHidden/>
              </w:rPr>
              <w:instrText xml:space="preserve"> PAGEREF _Toc507679363 \h </w:instrText>
            </w:r>
            <w:r w:rsidR="007D371F">
              <w:rPr>
                <w:noProof/>
                <w:webHidden/>
              </w:rPr>
            </w:r>
            <w:r w:rsidR="007D371F">
              <w:rPr>
                <w:noProof/>
                <w:webHidden/>
              </w:rPr>
              <w:fldChar w:fldCharType="separate"/>
            </w:r>
            <w:r w:rsidR="007D371F">
              <w:rPr>
                <w:noProof/>
                <w:webHidden/>
              </w:rPr>
              <w:t>16</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64"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Procédure de surveillance, de traitement et de suivi des incidents de sécurité et des réclamations clients</w:t>
            </w:r>
            <w:r w:rsidR="007D371F">
              <w:rPr>
                <w:noProof/>
                <w:webHidden/>
              </w:rPr>
              <w:tab/>
            </w:r>
            <w:r w:rsidR="007D371F">
              <w:rPr>
                <w:noProof/>
                <w:webHidden/>
              </w:rPr>
              <w:fldChar w:fldCharType="begin"/>
            </w:r>
            <w:r w:rsidR="007D371F">
              <w:rPr>
                <w:noProof/>
                <w:webHidden/>
              </w:rPr>
              <w:instrText xml:space="preserve"> PAGEREF _Toc507679364 \h </w:instrText>
            </w:r>
            <w:r w:rsidR="007D371F">
              <w:rPr>
                <w:noProof/>
                <w:webHidden/>
              </w:rPr>
            </w:r>
            <w:r w:rsidR="007D371F">
              <w:rPr>
                <w:noProof/>
                <w:webHidden/>
              </w:rPr>
              <w:fldChar w:fldCharType="separate"/>
            </w:r>
            <w:r w:rsidR="007D371F">
              <w:rPr>
                <w:noProof/>
                <w:webHidden/>
              </w:rPr>
              <w:t>16</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65"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Procédures pour restreindre, enregistrer, surveiller, et tracer l’accès aux données de paiement sensibles et garder la trace de ces accès</w:t>
            </w:r>
            <w:r w:rsidR="007D371F">
              <w:rPr>
                <w:noProof/>
                <w:webHidden/>
              </w:rPr>
              <w:tab/>
            </w:r>
            <w:r w:rsidR="007D371F">
              <w:rPr>
                <w:noProof/>
                <w:webHidden/>
              </w:rPr>
              <w:fldChar w:fldCharType="begin"/>
            </w:r>
            <w:r w:rsidR="007D371F">
              <w:rPr>
                <w:noProof/>
                <w:webHidden/>
              </w:rPr>
              <w:instrText xml:space="preserve"> PAGEREF _Toc507679365 \h </w:instrText>
            </w:r>
            <w:r w:rsidR="007D371F">
              <w:rPr>
                <w:noProof/>
                <w:webHidden/>
              </w:rPr>
            </w:r>
            <w:r w:rsidR="007D371F">
              <w:rPr>
                <w:noProof/>
                <w:webHidden/>
              </w:rPr>
              <w:fldChar w:fldCharType="separate"/>
            </w:r>
            <w:r w:rsidR="007D371F">
              <w:rPr>
                <w:noProof/>
                <w:webHidden/>
              </w:rPr>
              <w:t>16</w:t>
            </w:r>
            <w:r w:rsidR="007D371F">
              <w:rPr>
                <w:noProof/>
                <w:webHidden/>
              </w:rPr>
              <w:fldChar w:fldCharType="end"/>
            </w:r>
          </w:hyperlink>
        </w:p>
        <w:p w:rsidR="007D371F" w:rsidRDefault="00800C68">
          <w:pPr>
            <w:pStyle w:val="TM1"/>
            <w:rPr>
              <w:rFonts w:eastAsiaTheme="minorEastAsia"/>
              <w:noProof/>
              <w:lang w:eastAsia="fr-FR"/>
            </w:rPr>
          </w:pPr>
          <w:hyperlink w:anchor="_Toc507679366" w:history="1">
            <w:r w:rsidR="007D371F" w:rsidRPr="00D55B52">
              <w:rPr>
                <w:rStyle w:val="Lienhypertexte"/>
                <w:noProof/>
              </w:rPr>
              <w:t>6.</w:t>
            </w:r>
            <w:r w:rsidR="007D371F">
              <w:rPr>
                <w:rFonts w:eastAsiaTheme="minorEastAsia"/>
                <w:noProof/>
                <w:lang w:eastAsia="fr-FR"/>
              </w:rPr>
              <w:tab/>
            </w:r>
            <w:r w:rsidR="007D371F" w:rsidRPr="00D55B52">
              <w:rPr>
                <w:rStyle w:val="Lienhypertexte"/>
                <w:noProof/>
              </w:rPr>
              <w:t>Dispositif de continuité d’activité et politique de sécurité</w:t>
            </w:r>
            <w:r w:rsidR="007D371F">
              <w:rPr>
                <w:noProof/>
                <w:webHidden/>
              </w:rPr>
              <w:tab/>
            </w:r>
            <w:r w:rsidR="007D371F">
              <w:rPr>
                <w:noProof/>
                <w:webHidden/>
              </w:rPr>
              <w:fldChar w:fldCharType="begin"/>
            </w:r>
            <w:r w:rsidR="007D371F">
              <w:rPr>
                <w:noProof/>
                <w:webHidden/>
              </w:rPr>
              <w:instrText xml:space="preserve"> PAGEREF _Toc507679366 \h </w:instrText>
            </w:r>
            <w:r w:rsidR="007D371F">
              <w:rPr>
                <w:noProof/>
                <w:webHidden/>
              </w:rPr>
            </w:r>
            <w:r w:rsidR="007D371F">
              <w:rPr>
                <w:noProof/>
                <w:webHidden/>
              </w:rPr>
              <w:fldChar w:fldCharType="separate"/>
            </w:r>
            <w:r w:rsidR="007D371F">
              <w:rPr>
                <w:noProof/>
                <w:webHidden/>
              </w:rPr>
              <w:t>18</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67"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Continuité d’activité</w:t>
            </w:r>
            <w:r w:rsidR="007D371F">
              <w:rPr>
                <w:noProof/>
                <w:webHidden/>
              </w:rPr>
              <w:tab/>
            </w:r>
            <w:r w:rsidR="007D371F">
              <w:rPr>
                <w:noProof/>
                <w:webHidden/>
              </w:rPr>
              <w:fldChar w:fldCharType="begin"/>
            </w:r>
            <w:r w:rsidR="007D371F">
              <w:rPr>
                <w:noProof/>
                <w:webHidden/>
              </w:rPr>
              <w:instrText xml:space="preserve"> PAGEREF _Toc507679367 \h </w:instrText>
            </w:r>
            <w:r w:rsidR="007D371F">
              <w:rPr>
                <w:noProof/>
                <w:webHidden/>
              </w:rPr>
            </w:r>
            <w:r w:rsidR="007D371F">
              <w:rPr>
                <w:noProof/>
                <w:webHidden/>
              </w:rPr>
              <w:fldChar w:fldCharType="separate"/>
            </w:r>
            <w:r w:rsidR="007D371F">
              <w:rPr>
                <w:noProof/>
                <w:webHidden/>
              </w:rPr>
              <w:t>18</w:t>
            </w:r>
            <w:r w:rsidR="007D371F">
              <w:rPr>
                <w:noProof/>
                <w:webHidden/>
              </w:rPr>
              <w:fldChar w:fldCharType="end"/>
            </w:r>
          </w:hyperlink>
        </w:p>
        <w:p w:rsidR="007D371F" w:rsidRDefault="00800C68">
          <w:pPr>
            <w:pStyle w:val="TM2"/>
            <w:tabs>
              <w:tab w:val="left" w:pos="660"/>
              <w:tab w:val="right" w:leader="dot" w:pos="9062"/>
            </w:tabs>
            <w:rPr>
              <w:rFonts w:eastAsiaTheme="minorEastAsia"/>
              <w:noProof/>
              <w:lang w:eastAsia="fr-FR"/>
            </w:rPr>
          </w:pPr>
          <w:hyperlink w:anchor="_Toc507679368"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Politique de sécurité des services de paiement</w:t>
            </w:r>
            <w:r w:rsidR="007D371F">
              <w:rPr>
                <w:noProof/>
                <w:webHidden/>
              </w:rPr>
              <w:tab/>
            </w:r>
            <w:r w:rsidR="007D371F">
              <w:rPr>
                <w:noProof/>
                <w:webHidden/>
              </w:rPr>
              <w:fldChar w:fldCharType="begin"/>
            </w:r>
            <w:r w:rsidR="007D371F">
              <w:rPr>
                <w:noProof/>
                <w:webHidden/>
              </w:rPr>
              <w:instrText xml:space="preserve"> PAGEREF _Toc507679368 \h </w:instrText>
            </w:r>
            <w:r w:rsidR="007D371F">
              <w:rPr>
                <w:noProof/>
                <w:webHidden/>
              </w:rPr>
            </w:r>
            <w:r w:rsidR="007D371F">
              <w:rPr>
                <w:noProof/>
                <w:webHidden/>
              </w:rPr>
              <w:fldChar w:fldCharType="separate"/>
            </w:r>
            <w:r w:rsidR="007D371F">
              <w:rPr>
                <w:noProof/>
                <w:webHidden/>
              </w:rPr>
              <w:t>18</w:t>
            </w:r>
            <w:r w:rsidR="007D371F">
              <w:rPr>
                <w:noProof/>
                <w:webHidden/>
              </w:rPr>
              <w:fldChar w:fldCharType="end"/>
            </w:r>
          </w:hyperlink>
        </w:p>
        <w:p w:rsidR="0093368A" w:rsidRDefault="0093368A" w:rsidP="0093368A">
          <w:r>
            <w:rPr>
              <w:b/>
              <w:bCs/>
            </w:rPr>
            <w:fldChar w:fldCharType="end"/>
          </w:r>
        </w:p>
      </w:sdtContent>
    </w:sdt>
    <w:p w:rsidR="0093368A" w:rsidRDefault="0093368A" w:rsidP="0093368A">
      <w:pPr>
        <w:spacing w:after="200"/>
        <w:rPr>
          <w:rFonts w:ascii="Arial" w:hAnsi="Arial" w:cs="Arial"/>
        </w:rPr>
      </w:pPr>
      <w:r>
        <w:rPr>
          <w:rFonts w:ascii="Arial" w:hAnsi="Arial" w:cs="Arial"/>
        </w:rPr>
        <w:br w:type="page"/>
      </w:r>
    </w:p>
    <w:p w:rsidR="0093368A" w:rsidRPr="00394CB9" w:rsidRDefault="0093368A" w:rsidP="0093368A">
      <w:pPr>
        <w:pStyle w:val="Titre1"/>
      </w:pPr>
      <w:bookmarkStart w:id="1" w:name="_Toc507679346"/>
      <w:r w:rsidRPr="00394CB9">
        <w:lastRenderedPageBreak/>
        <w:t>L’entreprise</w:t>
      </w:r>
      <w:bookmarkEnd w:id="1"/>
    </w:p>
    <w:p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Default="0093368A" w:rsidP="0093368A">
      <w:pPr>
        <w:spacing w:line="240" w:lineRule="auto"/>
        <w:ind w:firstLine="709"/>
        <w:rPr>
          <w:rFonts w:ascii="Arial" w:eastAsia="Times New Roman" w:hAnsi="Arial" w:cs="Arial"/>
          <w:i/>
          <w:sz w:val="20"/>
          <w:szCs w:val="20"/>
          <w:lang w:eastAsia="fr-FR"/>
        </w:rPr>
      </w:pPr>
    </w:p>
    <w:p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r>
              <w:rPr>
                <w:rStyle w:val="Appelnotedebasdep"/>
                <w:rFonts w:eastAsia="Times New Roman" w:cs="Arial"/>
                <w:szCs w:val="24"/>
                <w:lang w:eastAsia="fr-FR"/>
              </w:rPr>
              <w:footnoteReference w:id="1"/>
            </w:r>
          </w:p>
        </w:tc>
        <w:tc>
          <w:tcPr>
            <w:tcW w:w="2126" w:type="dxa"/>
            <w:shd w:val="clear" w:color="auto" w:fill="C6D9F1" w:themeFill="text2" w:themeFillTint="33"/>
          </w:tcPr>
          <w:p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rsidTr="00B93618">
        <w:tc>
          <w:tcPr>
            <w:tcW w:w="223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rsidTr="00B93618">
        <w:tc>
          <w:tcPr>
            <w:tcW w:w="2240"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p>
        </w:tc>
      </w:tr>
    </w:tbl>
    <w:p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93368A" w:rsidRPr="00F16B9E" w:rsidTr="00B93618">
        <w:tc>
          <w:tcPr>
            <w:tcW w:w="1668"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4"/>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2"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2"/>
          </w:p>
        </w:tc>
      </w:tr>
    </w:tbl>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rsidR="0093368A" w:rsidRPr="00F16B9E" w:rsidRDefault="0093368A" w:rsidP="0093368A">
      <w:pPr>
        <w:spacing w:line="240" w:lineRule="auto"/>
        <w:rPr>
          <w:rFonts w:ascii="Arial" w:eastAsia="Times New Roman" w:hAnsi="Arial" w:cs="Arial"/>
          <w:sz w:val="20"/>
          <w:szCs w:val="20"/>
          <w:lang w:eastAsia="fr-FR"/>
        </w:rPr>
      </w:pPr>
    </w:p>
    <w:p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rsidTr="00B93618">
        <w:trPr>
          <w:jc w:val="center"/>
        </w:trPr>
        <w:tc>
          <w:tcPr>
            <w:tcW w:w="1134" w:type="dxa"/>
            <w:vAlign w:val="center"/>
          </w:tcPr>
          <w:p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800C68">
              <w:rPr>
                <w:rFonts w:ascii="Arial" w:eastAsia="Times New Roman" w:hAnsi="Arial" w:cs="Arial"/>
                <w:sz w:val="20"/>
                <w:szCs w:val="20"/>
                <w:lang w:eastAsia="fr-FR"/>
              </w:rPr>
            </w:r>
            <w:r w:rsidR="00800C68">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800C68">
              <w:rPr>
                <w:rFonts w:ascii="Arial" w:eastAsia="Times New Roman" w:hAnsi="Arial" w:cs="Arial"/>
                <w:sz w:val="20"/>
                <w:szCs w:val="20"/>
                <w:lang w:eastAsia="fr-FR"/>
              </w:rPr>
            </w:r>
            <w:r w:rsidR="00800C68">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rsidTr="00B93618">
        <w:tc>
          <w:tcPr>
            <w:tcW w:w="3085" w:type="dxa"/>
            <w:shd w:val="clear" w:color="auto" w:fill="auto"/>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rsidR="0093368A" w:rsidRDefault="0093368A" w:rsidP="0093368A">
      <w:pPr>
        <w:spacing w:line="240" w:lineRule="auto"/>
        <w:rPr>
          <w:rFonts w:ascii="Arial" w:eastAsia="Times New Roman" w:hAnsi="Arial" w:cs="Arial"/>
          <w:sz w:val="20"/>
          <w:szCs w:val="20"/>
          <w:lang w:eastAsia="fr-FR"/>
        </w:rPr>
      </w:pPr>
    </w:p>
    <w:p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rsidR="0093368A" w:rsidRPr="00F16B9E"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93368A" w:rsidRPr="00B00A2F" w:rsidRDefault="0093368A" w:rsidP="0093368A">
      <w:pPr>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rsidTr="00B93618">
        <w:tc>
          <w:tcPr>
            <w:tcW w:w="1526" w:type="dxa"/>
          </w:tcPr>
          <w:p w:rsidR="0093368A" w:rsidRPr="00F16B9E" w:rsidRDefault="0093368A" w:rsidP="00B93618">
            <w:pPr>
              <w:rPr>
                <w:rFonts w:ascii="Arial" w:hAnsi="Arial" w:cs="Arial"/>
                <w:b/>
              </w:rPr>
            </w:pPr>
          </w:p>
        </w:tc>
        <w:tc>
          <w:tcPr>
            <w:tcW w:w="2977"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rsidTr="00B93618">
        <w:trPr>
          <w:trHeight w:val="567"/>
        </w:trPr>
        <w:tc>
          <w:tcPr>
            <w:tcW w:w="1526" w:type="dxa"/>
            <w:vAlign w:val="center"/>
          </w:tcPr>
          <w:p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93368A" w:rsidRDefault="0093368A" w:rsidP="0093368A">
      <w:pPr>
        <w:spacing w:line="240" w:lineRule="auto"/>
        <w:rPr>
          <w:rFonts w:ascii="Arial" w:hAnsi="Arial" w:cs="Arial"/>
          <w:b/>
          <w:color w:val="365F91" w:themeColor="accent1" w:themeShade="BF"/>
          <w:sz w:val="20"/>
          <w:szCs w:val="20"/>
        </w:rPr>
      </w:pPr>
    </w:p>
    <w:p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relatif aux actionnaires ou associés détenant une participation </w:t>
      </w:r>
      <w:r w:rsidRPr="00890EF0">
        <w:rPr>
          <w:rFonts w:ascii="Arial" w:hAnsi="Arial" w:cs="Arial"/>
          <w:b/>
          <w:color w:val="1F497D" w:themeColor="text2"/>
          <w:sz w:val="20"/>
          <w:szCs w:val="20"/>
          <w:u w:val="single"/>
        </w:rPr>
        <w:t>qualifiée (</w:t>
      </w:r>
      <w:r w:rsidRPr="00F11A47">
        <w:rPr>
          <w:rFonts w:ascii="Arial" w:hAnsi="Arial" w:cs="Arial"/>
          <w:b/>
          <w:color w:val="1F497D" w:themeColor="text2"/>
          <w:sz w:val="20"/>
          <w:szCs w:val="20"/>
          <w:u w:val="single"/>
        </w:rPr>
        <w:t>insérer le lien</w:t>
      </w:r>
      <w:r w:rsidRPr="00890EF0">
        <w:rPr>
          <w:rFonts w:ascii="Arial" w:hAnsi="Arial" w:cs="Arial"/>
          <w:b/>
          <w:color w:val="1F497D" w:themeColor="text2"/>
          <w:sz w:val="20"/>
          <w:szCs w:val="20"/>
          <w:u w:val="single"/>
        </w:rPr>
        <w:t>)</w:t>
      </w:r>
    </w:p>
    <w:p w:rsidR="0093368A" w:rsidRDefault="0093368A" w:rsidP="0093368A">
      <w:pPr>
        <w:spacing w:line="240" w:lineRule="auto"/>
        <w:rPr>
          <w:rFonts w:ascii="Arial" w:hAnsi="Arial" w:cs="Arial"/>
          <w:b/>
          <w:color w:val="365F91" w:themeColor="accent1" w:themeShade="BF"/>
          <w:sz w:val="20"/>
          <w:szCs w:val="20"/>
        </w:rPr>
      </w:pPr>
    </w:p>
    <w:p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proofErr w:type="gramStart"/>
      <w:r>
        <w:rPr>
          <w:rFonts w:ascii="Arial" w:hAnsi="Arial" w:cs="Arial"/>
          <w:b/>
          <w:i/>
          <w:color w:val="1F497D" w:themeColor="text2"/>
          <w:sz w:val="20"/>
          <w:szCs w:val="20"/>
        </w:rPr>
        <w:t>o</w:t>
      </w:r>
      <w:r w:rsidRPr="003F4B79">
        <w:rPr>
          <w:rFonts w:ascii="Arial" w:hAnsi="Arial" w:cs="Arial"/>
          <w:b/>
          <w:i/>
          <w:color w:val="1F497D" w:themeColor="text2"/>
          <w:sz w:val="20"/>
          <w:szCs w:val="20"/>
        </w:rPr>
        <w:t>u</w:t>
      </w:r>
      <w:proofErr w:type="gramEnd"/>
      <w:r w:rsidRPr="003F4B79">
        <w:rPr>
          <w:rFonts w:ascii="Arial" w:hAnsi="Arial" w:cs="Arial"/>
          <w:b/>
          <w:i/>
          <w:color w:val="1F497D" w:themeColor="text2"/>
          <w:sz w:val="20"/>
          <w:szCs w:val="20"/>
        </w:rPr>
        <w:t xml:space="preserve"> toute action de concert au sens de l’article L. 233-10 du Code de commerce)</w:t>
      </w:r>
    </w:p>
    <w:p w:rsidR="0093368A" w:rsidRDefault="0093368A" w:rsidP="0093368A">
      <w:pPr>
        <w:spacing w:line="240" w:lineRule="auto"/>
        <w:jc w:val="both"/>
        <w:rPr>
          <w:rFonts w:ascii="Arial" w:eastAsia="Times New Roman" w:hAnsi="Arial" w:cs="Arial"/>
          <w:sz w:val="20"/>
          <w:szCs w:val="20"/>
          <w:lang w:eastAsia="fr-FR"/>
        </w:rPr>
      </w:pPr>
    </w:p>
    <w:p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800C68">
              <w:rPr>
                <w:rFonts w:ascii="Arial" w:eastAsia="Times New Roman" w:hAnsi="Arial" w:cs="Arial"/>
                <w:sz w:val="20"/>
                <w:szCs w:val="20"/>
                <w:lang w:eastAsia="fr-FR"/>
              </w:rPr>
            </w:r>
            <w:r w:rsidR="00800C68">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800C68">
              <w:rPr>
                <w:rFonts w:ascii="Arial" w:eastAsia="Times New Roman" w:hAnsi="Arial" w:cs="Arial"/>
                <w:sz w:val="20"/>
                <w:szCs w:val="20"/>
                <w:lang w:eastAsia="fr-FR"/>
              </w:rPr>
            </w:r>
            <w:r w:rsidR="00800C68">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rsidR="0093368A" w:rsidRPr="00610094" w:rsidRDefault="0093368A" w:rsidP="0093368A">
      <w:pPr>
        <w:spacing w:line="240" w:lineRule="auto"/>
        <w:rPr>
          <w:rFonts w:ascii="Arial" w:eastAsia="Times New Roman" w:hAnsi="Arial" w:cs="Arial"/>
          <w:sz w:val="20"/>
          <w:szCs w:val="20"/>
          <w:lang w:eastAsia="fr-FR"/>
        </w:rPr>
      </w:pPr>
    </w:p>
    <w:p w:rsidR="0093368A" w:rsidRPr="0051038D" w:rsidRDefault="0093368A" w:rsidP="0093368A">
      <w:pPr>
        <w:jc w:val="both"/>
        <w:rPr>
          <w:rFonts w:ascii="Arial" w:hAnsi="Arial" w:cs="Arial"/>
          <w:b/>
          <w:color w:val="1F497D" w:themeColor="text2"/>
          <w:sz w:val="20"/>
          <w:szCs w:val="20"/>
          <w:u w:val="single"/>
        </w:rPr>
      </w:pPr>
    </w:p>
    <w:p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rsidR="0093368A" w:rsidRDefault="0093368A" w:rsidP="0093368A">
      <w:pPr>
        <w:jc w:val="both"/>
        <w:rPr>
          <w:rFonts w:ascii="Arial" w:hAnsi="Arial" w:cs="Arial"/>
          <w:sz w:val="20"/>
          <w:szCs w:val="20"/>
        </w:rPr>
      </w:pPr>
    </w:p>
    <w:p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522-6 du Code monétaire et financier, l’établissement de paiement doit se doter d’un solide dispositif de gouvernance avec la présence d’au moins deux dirigeants effectifs.</w:t>
      </w:r>
    </w:p>
    <w:p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1"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rsidR="0093368A" w:rsidRDefault="0093368A" w:rsidP="0093368A">
      <w:pPr>
        <w:jc w:val="both"/>
        <w:rPr>
          <w:rFonts w:ascii="Arial" w:eastAsia="Times New Roman" w:hAnsi="Arial" w:cs="Times New Roman"/>
          <w:kern w:val="19"/>
          <w:sz w:val="19"/>
          <w:szCs w:val="19"/>
          <w:lang w:eastAsia="fr-FR" w:bidi="fr-FR"/>
        </w:rPr>
      </w:pPr>
    </w:p>
    <w:p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rsidR="0093368A" w:rsidRDefault="0093368A" w:rsidP="0093368A">
      <w:pPr>
        <w:spacing w:line="240" w:lineRule="auto"/>
        <w:rPr>
          <w:rFonts w:ascii="Arial" w:eastAsia="Times New Roman" w:hAnsi="Arial" w:cs="Arial"/>
          <w:sz w:val="20"/>
          <w:szCs w:val="20"/>
          <w:lang w:eastAsia="fr-FR"/>
        </w:rPr>
      </w:pPr>
    </w:p>
    <w:p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rsidR="0093368A" w:rsidRPr="00610094" w:rsidRDefault="0093368A" w:rsidP="0093368A">
      <w:pPr>
        <w:spacing w:line="240" w:lineRule="auto"/>
        <w:rPr>
          <w:rFonts w:ascii="Arial" w:eastAsia="Times New Roman" w:hAnsi="Arial" w:cs="Arial"/>
          <w:sz w:val="20"/>
          <w:szCs w:val="20"/>
          <w:lang w:eastAsia="fr-FR"/>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43"/>
        <w:gridCol w:w="1951"/>
        <w:gridCol w:w="2835"/>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35"/>
        <w:gridCol w:w="32"/>
      </w:tblGrid>
      <w:tr w:rsidR="0093368A" w:rsidRPr="00AA4FE8" w:rsidTr="00B93618">
        <w:trPr>
          <w:gridAfter w:val="1"/>
          <w:wAfter w:w="32" w:type="dxa"/>
        </w:trPr>
        <w:tc>
          <w:tcPr>
            <w:tcW w:w="1951"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rsidTr="00B93618">
        <w:trPr>
          <w:gridAfter w:val="1"/>
          <w:wAfter w:w="32" w:type="dxa"/>
          <w:trHeight w:val="230"/>
        </w:trPr>
        <w:tc>
          <w:tcPr>
            <w:tcW w:w="1951"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p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180"/>
      </w:tblGrid>
      <w:tr w:rsidR="0093368A" w:rsidRPr="00AA4FE8" w:rsidTr="00B93618">
        <w:tc>
          <w:tcPr>
            <w:tcW w:w="918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rsidTr="00B93618">
        <w:tc>
          <w:tcPr>
            <w:tcW w:w="1526"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rsidTr="00B93618">
        <w:tc>
          <w:tcPr>
            <w:tcW w:w="1951" w:type="dxa"/>
            <w:shd w:val="clear" w:color="auto" w:fill="auto"/>
          </w:tcPr>
          <w:p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Date d’entrée en fonction</w:t>
            </w:r>
          </w:p>
        </w:tc>
        <w:tc>
          <w:tcPr>
            <w:tcW w:w="2410" w:type="dxa"/>
            <w:shd w:val="clear" w:color="auto" w:fill="C6D9F1" w:themeFill="text2" w:themeFillTint="33"/>
          </w:tcPr>
          <w:p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93368A" w:rsidRDefault="0093368A" w:rsidP="0093368A">
      <w:pPr>
        <w:rPr>
          <w:rFonts w:ascii="Arial" w:hAnsi="Arial" w:cs="Arial"/>
          <w:sz w:val="20"/>
          <w:szCs w:val="20"/>
        </w:rPr>
      </w:pPr>
    </w:p>
    <w:p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lastRenderedPageBreak/>
        <w:t>Membres personnes morales de l’organe social</w:t>
      </w:r>
    </w:p>
    <w:p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rsidTr="00B93618">
        <w:tc>
          <w:tcPr>
            <w:tcW w:w="2240" w:type="dxa"/>
            <w:shd w:val="clear" w:color="auto" w:fill="auto"/>
          </w:tcPr>
          <w:p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2409"/>
        <w:gridCol w:w="2268"/>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93368A" w:rsidRPr="002F65F1" w:rsidRDefault="0093368A" w:rsidP="00B93618">
            <w:pPr>
              <w:rPr>
                <w:rFonts w:ascii="Arial" w:hAnsi="Arial" w:cs="Arial"/>
                <w:sz w:val="20"/>
              </w:rPr>
            </w:pPr>
          </w:p>
        </w:tc>
      </w:tr>
    </w:tbl>
    <w:p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693"/>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93368A" w:rsidRPr="002F65F1" w:rsidTr="00B93618">
        <w:tc>
          <w:tcPr>
            <w:tcW w:w="1951" w:type="dxa"/>
            <w:shd w:val="clear" w:color="auto" w:fill="auto"/>
          </w:tcPr>
          <w:p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Default="0093368A" w:rsidP="0093368A">
      <w:pPr>
        <w:rPr>
          <w:rFonts w:ascii="Arial" w:hAnsi="Arial" w:cs="Arial"/>
          <w:sz w:val="20"/>
          <w:szCs w:val="20"/>
        </w:rPr>
      </w:pPr>
    </w:p>
    <w:p w:rsidR="0093368A" w:rsidRDefault="0093368A" w:rsidP="0093368A">
      <w:pPr>
        <w:rPr>
          <w:rFonts w:ascii="Arial" w:hAnsi="Arial" w:cs="Arial"/>
          <w:sz w:val="20"/>
          <w:szCs w:val="20"/>
        </w:rPr>
      </w:pPr>
    </w:p>
    <w:p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rsidTr="00B93618">
        <w:trPr>
          <w:jc w:val="center"/>
        </w:trPr>
        <w:tc>
          <w:tcPr>
            <w:tcW w:w="1134" w:type="dxa"/>
            <w:vAlign w:val="center"/>
          </w:tcPr>
          <w:p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800C68">
              <w:rPr>
                <w:rFonts w:ascii="Arial" w:eastAsia="Times New Roman" w:hAnsi="Arial" w:cs="Arial"/>
                <w:sz w:val="20"/>
                <w:szCs w:val="20"/>
                <w:lang w:eastAsia="fr-FR"/>
              </w:rPr>
            </w:r>
            <w:r w:rsidR="00800C68">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800C68">
              <w:rPr>
                <w:rFonts w:ascii="Arial" w:eastAsia="Times New Roman" w:hAnsi="Arial" w:cs="Arial"/>
                <w:sz w:val="20"/>
                <w:szCs w:val="20"/>
                <w:lang w:eastAsia="fr-FR"/>
              </w:rPr>
            </w:r>
            <w:r w:rsidR="00800C68">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rsidR="0093368A" w:rsidRPr="00466DB0" w:rsidRDefault="0093368A" w:rsidP="0093368A">
      <w:pPr>
        <w:rPr>
          <w:rFonts w:ascii="Arial" w:hAnsi="Arial" w:cs="Arial"/>
          <w:color w:val="1F497D" w:themeColor="text2"/>
          <w:sz w:val="20"/>
          <w:szCs w:val="20"/>
        </w:rPr>
      </w:pPr>
    </w:p>
    <w:p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Association professionnelle à laquelle l’entreprise envisage d’adhérer en rapport avec la prestation de services de paiement :</w:t>
      </w:r>
    </w:p>
    <w:p w:rsidR="0093368A" w:rsidRPr="00A74F8A" w:rsidRDefault="0093368A" w:rsidP="0093368A">
      <w:pPr>
        <w:rPr>
          <w:rFonts w:ascii="Arial" w:hAnsi="Arial" w:cs="Arial"/>
          <w:sz w:val="20"/>
          <w:szCs w:val="20"/>
        </w:rPr>
      </w:pPr>
    </w:p>
    <w:p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rsidR="0093368A" w:rsidRPr="00FF1FD6" w:rsidRDefault="0093368A" w:rsidP="009B2B08">
      <w:pPr>
        <w:spacing w:line="240" w:lineRule="auto"/>
        <w:rPr>
          <w:rFonts w:ascii="Arial" w:hAnsi="Arial" w:cs="Arial"/>
          <w:sz w:val="20"/>
          <w:szCs w:val="20"/>
        </w:rPr>
      </w:pPr>
    </w:p>
    <w:p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 xml:space="preserve">Un exemplaire des statuts ou projet de statuts légaux de l’entreprise ; si la société est déjà constituée, un extrait K-Bis de moins de trois mois. </w:t>
      </w:r>
    </w:p>
    <w:p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 qualifiées</w:t>
      </w:r>
      <w:proofErr w:type="gramStart"/>
      <w:r w:rsidR="0093368A" w:rsidRPr="009B2B08">
        <w:rPr>
          <w:rFonts w:ascii="Arial" w:hAnsi="Arial" w:cs="Arial"/>
          <w:sz w:val="20"/>
          <w:szCs w:val="20"/>
        </w:rPr>
        <w:t>)Un</w:t>
      </w:r>
      <w:proofErr w:type="gramEnd"/>
      <w:r w:rsidR="0093368A" w:rsidRPr="009B2B08">
        <w:rPr>
          <w:rFonts w:ascii="Arial" w:hAnsi="Arial" w:cs="Arial"/>
          <w:sz w:val="20"/>
          <w:szCs w:val="20"/>
        </w:rPr>
        <w:t xml:space="preserve"> organigramme détaillé du groupe d’appartenance, le cas échéant.</w:t>
      </w:r>
    </w:p>
    <w:p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rsidR="0093368A" w:rsidRPr="00394CB9" w:rsidRDefault="0093368A" w:rsidP="0093368A">
      <w:pPr>
        <w:pStyle w:val="Titre1"/>
      </w:pPr>
      <w:bookmarkStart w:id="5" w:name="_Toc507679347"/>
      <w:r w:rsidRPr="00394CB9">
        <w:lastRenderedPageBreak/>
        <w:t>Programme d’activité</w:t>
      </w:r>
      <w:bookmarkEnd w:id="5"/>
    </w:p>
    <w:p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52"/>
        <w:gridCol w:w="5528"/>
      </w:tblGrid>
      <w:tr w:rsidR="0093368A" w:rsidRPr="002F65F1" w:rsidTr="00B93618">
        <w:tc>
          <w:tcPr>
            <w:tcW w:w="3652" w:type="dxa"/>
            <w:shd w:val="clear" w:color="auto" w:fill="auto"/>
          </w:tcPr>
          <w:p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93368A" w:rsidRPr="003B1354" w:rsidRDefault="0093368A" w:rsidP="0093368A">
      <w:pPr>
        <w:spacing w:line="240" w:lineRule="auto"/>
        <w:rPr>
          <w:rFonts w:ascii="Arial" w:eastAsia="Times New Roman" w:hAnsi="Arial" w:cs="Arial"/>
          <w:sz w:val="20"/>
          <w:szCs w:val="20"/>
          <w:lang w:eastAsia="fr-FR"/>
        </w:rPr>
      </w:pPr>
    </w:p>
    <w:p w:rsidR="0093368A" w:rsidRPr="00A167A7" w:rsidRDefault="0093368A" w:rsidP="0093368A">
      <w:pPr>
        <w:pStyle w:val="Titre2"/>
      </w:pPr>
      <w:bookmarkStart w:id="6" w:name="_Toc507679348"/>
      <w:r w:rsidRPr="00A167A7">
        <w:t>Services de paiement</w:t>
      </w:r>
      <w:bookmarkEnd w:id="6"/>
    </w:p>
    <w:p w:rsidR="0093368A" w:rsidRPr="003B1354" w:rsidRDefault="0093368A" w:rsidP="0093368A">
      <w:pPr>
        <w:tabs>
          <w:tab w:val="left" w:pos="709"/>
        </w:tabs>
        <w:spacing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ab/>
      </w:r>
      <w:r w:rsidRPr="003B1354">
        <w:rPr>
          <w:rFonts w:ascii="Arial" w:eastAsia="Times New Roman" w:hAnsi="Arial" w:cs="Arial"/>
          <w:i/>
          <w:sz w:val="20"/>
          <w:szCs w:val="20"/>
          <w:lang w:eastAsia="fr-FR"/>
        </w:rPr>
        <w:t>(Article L. 314-1 du Code monétaire et financier)</w:t>
      </w:r>
    </w:p>
    <w:p w:rsidR="0093368A" w:rsidRPr="003B1354" w:rsidRDefault="0093368A" w:rsidP="0093368A">
      <w:pPr>
        <w:spacing w:line="240" w:lineRule="auto"/>
        <w:rPr>
          <w:rFonts w:ascii="Arial" w:eastAsia="Times New Roman" w:hAnsi="Arial" w:cs="Arial"/>
          <w:sz w:val="20"/>
          <w:szCs w:val="20"/>
          <w:lang w:eastAsia="fr-FR"/>
        </w:rPr>
      </w:pPr>
    </w:p>
    <w:p w:rsidR="0093368A" w:rsidRPr="00AC0EC7" w:rsidRDefault="0093368A" w:rsidP="0093368A">
      <w:pPr>
        <w:jc w:val="both"/>
        <w:rPr>
          <w:rFonts w:ascii="Arial" w:hAnsi="Arial" w:cs="Arial"/>
          <w:sz w:val="20"/>
          <w:szCs w:val="20"/>
        </w:rPr>
      </w:pPr>
      <w:r w:rsidRPr="00AC0EC7">
        <w:rPr>
          <w:rFonts w:ascii="Arial" w:hAnsi="Arial" w:cs="Arial"/>
          <w:sz w:val="20"/>
          <w:szCs w:val="20"/>
        </w:rPr>
        <w:t>Indiquer le(s) type(s) de service de paiement envisagés</w:t>
      </w:r>
      <w:r>
        <w:rPr>
          <w:rFonts w:ascii="Arial" w:hAnsi="Arial" w:cs="Arial"/>
          <w:sz w:val="20"/>
          <w:szCs w:val="20"/>
        </w:rPr>
        <w:t> :</w:t>
      </w:r>
    </w:p>
    <w:p w:rsidR="0093368A" w:rsidRDefault="0093368A" w:rsidP="0093368A">
      <w:pPr>
        <w:jc w:val="both"/>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rsidR="0093368A" w:rsidRPr="00452F83" w:rsidRDefault="0093368A" w:rsidP="00B93618">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p>
        </w:tc>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rsidR="0093368A" w:rsidRPr="00452F83" w:rsidRDefault="0093368A"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Merge w:val="restart"/>
            <w:vAlign w:val="center"/>
          </w:tcPr>
          <w:p w:rsidR="0093368A" w:rsidRPr="009610C7" w:rsidRDefault="0093368A" w:rsidP="00B93618">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Merge/>
            <w:vAlign w:val="center"/>
          </w:tcPr>
          <w:p w:rsidR="0093368A" w:rsidRPr="00452F83" w:rsidRDefault="0093368A" w:rsidP="00B93618">
            <w:pPr>
              <w:jc w:val="center"/>
              <w:rPr>
                <w:rFonts w:ascii="Arial" w:hAnsi="Arial" w:cs="Arial"/>
                <w:sz w:val="20"/>
                <w:szCs w:val="20"/>
              </w:rPr>
            </w:pP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d’ordres de paiement</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vAlign w:val="center"/>
          </w:tcPr>
          <w:p w:rsidR="0093368A" w:rsidRPr="00452F83" w:rsidRDefault="0093368A" w:rsidP="00B93618">
            <w:pPr>
              <w:jc w:val="center"/>
              <w:rPr>
                <w:rFonts w:ascii="Arial" w:hAnsi="Arial" w:cs="Arial"/>
                <w:sz w:val="20"/>
                <w:szCs w:val="20"/>
              </w:rPr>
            </w:pPr>
            <w:r w:rsidRPr="00452F83">
              <w:rPr>
                <w:rFonts w:ascii="Arial" w:hAnsi="Arial" w:cs="Arial"/>
                <w:sz w:val="20"/>
                <w:szCs w:val="20"/>
              </w:rPr>
              <w:t>6</w:t>
            </w:r>
            <w:r>
              <w:rPr>
                <w:rFonts w:ascii="Arial" w:hAnsi="Arial" w:cs="Arial"/>
                <w:sz w:val="20"/>
                <w:szCs w:val="20"/>
              </w:rPr>
              <w:t>°</w:t>
            </w:r>
          </w:p>
        </w:tc>
        <w:tc>
          <w:tcPr>
            <w:tcW w:w="7087" w:type="dxa"/>
            <w:gridSpan w:val="2"/>
            <w:vAlign w:val="center"/>
          </w:tcPr>
          <w:p w:rsidR="0093368A" w:rsidRPr="00452F83" w:rsidRDefault="0093368A" w:rsidP="00B93618">
            <w:pPr>
              <w:rPr>
                <w:rFonts w:ascii="Arial" w:hAnsi="Arial" w:cs="Arial"/>
                <w:sz w:val="20"/>
                <w:szCs w:val="20"/>
              </w:rPr>
            </w:pPr>
            <w:r>
              <w:rPr>
                <w:rFonts w:ascii="Arial" w:hAnsi="Arial" w:cs="Arial"/>
                <w:sz w:val="20"/>
                <w:szCs w:val="20"/>
              </w:rPr>
              <w:t>S</w:t>
            </w:r>
            <w:r w:rsidRPr="00452F83">
              <w:rPr>
                <w:rFonts w:ascii="Arial" w:hAnsi="Arial" w:cs="Arial"/>
                <w:sz w:val="20"/>
                <w:szCs w:val="20"/>
              </w:rPr>
              <w:t>ervices de transmission de fonds</w:t>
            </w:r>
          </w:p>
        </w:tc>
        <w:tc>
          <w:tcPr>
            <w:tcW w:w="85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tcBorders>
              <w:top w:val="single" w:sz="4" w:space="0" w:color="BFBFBF"/>
              <w:left w:val="single" w:sz="4" w:space="0" w:color="BFBFBF"/>
              <w:bottom w:val="single" w:sz="4" w:space="0" w:color="BFBFBF"/>
              <w:right w:val="single" w:sz="4" w:space="0" w:color="BFBFBF"/>
            </w:tcBorders>
            <w:vAlign w:val="center"/>
          </w:tcPr>
          <w:p w:rsidR="0093368A" w:rsidRPr="00452F83" w:rsidRDefault="0093368A" w:rsidP="00B93618">
            <w:pPr>
              <w:jc w:val="center"/>
              <w:rPr>
                <w:rFonts w:ascii="Arial" w:hAnsi="Arial" w:cs="Arial"/>
                <w:sz w:val="20"/>
                <w:szCs w:val="20"/>
              </w:rPr>
            </w:pPr>
            <w:r>
              <w:rPr>
                <w:rFonts w:ascii="Arial" w:hAnsi="Arial" w:cs="Arial"/>
                <w:sz w:val="20"/>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93368A" w:rsidRPr="00452F83" w:rsidRDefault="0093368A" w:rsidP="00B93618">
            <w:pPr>
              <w:rPr>
                <w:rFonts w:ascii="Arial" w:hAnsi="Arial" w:cs="Arial"/>
                <w:sz w:val="20"/>
                <w:szCs w:val="20"/>
              </w:rPr>
            </w:pPr>
            <w:r>
              <w:rPr>
                <w:rFonts w:ascii="Arial" w:hAnsi="Arial" w:cs="Arial"/>
                <w:sz w:val="20"/>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r w:rsidR="0093368A" w:rsidRPr="00452F83" w:rsidTr="00543CAF">
        <w:tc>
          <w:tcPr>
            <w:tcW w:w="567" w:type="dxa"/>
            <w:tcBorders>
              <w:top w:val="single" w:sz="4" w:space="0" w:color="BFBFBF"/>
              <w:left w:val="single" w:sz="4" w:space="0" w:color="BFBFBF"/>
              <w:bottom w:val="single" w:sz="4" w:space="0" w:color="BFBFBF"/>
              <w:right w:val="single" w:sz="4" w:space="0" w:color="BFBFBF"/>
            </w:tcBorders>
            <w:vAlign w:val="center"/>
          </w:tcPr>
          <w:p w:rsidR="0093368A" w:rsidRDefault="0093368A" w:rsidP="00B93618">
            <w:pPr>
              <w:jc w:val="center"/>
              <w:rPr>
                <w:rFonts w:ascii="Arial" w:hAnsi="Arial" w:cs="Arial"/>
                <w:sz w:val="20"/>
                <w:szCs w:val="20"/>
              </w:rPr>
            </w:pPr>
            <w:r>
              <w:rPr>
                <w:rFonts w:ascii="Arial" w:hAnsi="Arial" w:cs="Arial"/>
                <w:sz w:val="20"/>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93368A" w:rsidRDefault="0093368A" w:rsidP="00B93618">
            <w:pPr>
              <w:rPr>
                <w:rFonts w:ascii="Arial" w:hAnsi="Arial" w:cs="Arial"/>
                <w:sz w:val="20"/>
                <w:szCs w:val="20"/>
              </w:rPr>
            </w:pPr>
            <w:r>
              <w:rPr>
                <w:rFonts w:ascii="Arial" w:hAnsi="Arial" w:cs="Arial"/>
                <w:sz w:val="20"/>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hAnsi="Arial" w:cs="Arial"/>
          <w:sz w:val="20"/>
          <w:szCs w:val="20"/>
        </w:rPr>
      </w:pPr>
    </w:p>
    <w:p w:rsidR="0093368A" w:rsidRPr="00116E70"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116E70">
        <w:rPr>
          <w:rFonts w:ascii="Arial" w:hAnsi="Arial" w:cs="Arial"/>
          <w:sz w:val="20"/>
          <w:szCs w:val="20"/>
        </w:rPr>
        <w:t>Fournir une description par étapes du type de services de paiement envisagé, y compris une explication des raisons pour lesquelles les activités et les opérations qui seront réalisées relèvent d’une des catégories juridiques de services de paiement énumérées à l’article L.314-1 du code monétaire et financier.</w:t>
      </w:r>
    </w:p>
    <w:p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Préciser si l’entreprise entrera à quelque moment que ce soit en possession des fonds.</w:t>
      </w:r>
    </w:p>
    <w:p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Fournir une description de l’exécution des différents services de paiement indiquant toutes les parties concernées et comprenant pour chaque service de paiement fourni :</w:t>
      </w:r>
    </w:p>
    <w:p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 xml:space="preserve">Un </w:t>
      </w:r>
      <w:r w:rsidRPr="00815461">
        <w:rPr>
          <w:rFonts w:ascii="Arial" w:hAnsi="Arial" w:cs="Arial"/>
          <w:sz w:val="20"/>
          <w:szCs w:val="20"/>
        </w:rPr>
        <w:t>schéma des flux financiers par service de paiement</w:t>
      </w:r>
      <w:r>
        <w:rPr>
          <w:rFonts w:ascii="Arial" w:hAnsi="Arial" w:cs="Arial"/>
          <w:sz w:val="20"/>
          <w:szCs w:val="20"/>
        </w:rPr>
        <w:t xml:space="preserve"> (1à 6) ;</w:t>
      </w:r>
    </w:p>
    <w:p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Un dispositif de règlement par services de paiement (1 à 6) ;</w:t>
      </w:r>
    </w:p>
    <w:p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Les temps de traitement</w:t>
      </w:r>
    </w:p>
    <w:p w:rsidR="0093368A" w:rsidRPr="00815461" w:rsidRDefault="0093368A" w:rsidP="0093368A">
      <w:pPr>
        <w:pStyle w:val="Paragraphedeliste"/>
        <w:ind w:left="1080"/>
        <w:jc w:val="both"/>
        <w:rPr>
          <w:rFonts w:ascii="Arial" w:hAnsi="Arial" w:cs="Arial"/>
          <w:sz w:val="20"/>
          <w:szCs w:val="20"/>
        </w:rPr>
      </w:pPr>
    </w:p>
    <w:p w:rsidR="0093368A" w:rsidRDefault="0093368A" w:rsidP="0093368A">
      <w:pPr>
        <w:jc w:val="both"/>
        <w:rPr>
          <w:rFonts w:ascii="Arial" w:hAnsi="Arial" w:cs="Arial"/>
          <w:sz w:val="20"/>
          <w:szCs w:val="20"/>
        </w:rPr>
      </w:pPr>
    </w:p>
    <w:p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Préciser le nombre de locaux différents à partir desquels l’entreprise a l’intention de fournir les services de paiement et/ou exercer des activités se rapportant à la prestation des services de paiement le cas échéant.</w:t>
      </w:r>
    </w:p>
    <w:p w:rsidR="0093368A" w:rsidRDefault="0093368A" w:rsidP="0093368A">
      <w:pPr>
        <w:jc w:val="both"/>
        <w:rPr>
          <w:rFonts w:ascii="Arial" w:hAnsi="Arial" w:cs="Arial"/>
          <w:sz w:val="20"/>
          <w:szCs w:val="20"/>
        </w:rPr>
      </w:pPr>
    </w:p>
    <w:p w:rsidR="0093368A" w:rsidRPr="00A167A7" w:rsidRDefault="0093368A" w:rsidP="0093368A">
      <w:pPr>
        <w:pStyle w:val="Titre2"/>
      </w:pPr>
      <w:bookmarkStart w:id="7" w:name="_Toc507679349"/>
      <w:r w:rsidRPr="00A167A7">
        <w:t>Établissement de paiement exerçant des activités de nature hybride</w:t>
      </w:r>
      <w:bookmarkEnd w:id="7"/>
    </w:p>
    <w:p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890EF0">
        <w:rPr>
          <w:rFonts w:ascii="Arial" w:hAnsi="Arial" w:cs="Arial"/>
          <w:bCs/>
          <w:i/>
          <w:sz w:val="16"/>
          <w:szCs w:val="16"/>
        </w:rPr>
        <w:t>(Article L. 522-3 : sous réserve de l’application des dispositions de l’article L. 522-8, paragraphe 2, les établissements de</w:t>
      </w:r>
      <w:r w:rsidRPr="00C1149C">
        <w:rPr>
          <w:rFonts w:ascii="Arial" w:hAnsi="Arial" w:cs="Arial"/>
          <w:bCs/>
          <w:i/>
          <w:sz w:val="16"/>
          <w:szCs w:val="16"/>
        </w:rPr>
        <w:t xml:space="preserve"> paiement peuvent exercer à titre de profession habituelle une activité autre que la prestation de services de paiement ou de services connexes dans le respect des dispositions législatives et réglementaires applicables à cette activité.</w:t>
      </w:r>
    </w:p>
    <w:p w:rsidR="0093368A" w:rsidRPr="00C1149C" w:rsidRDefault="0093368A" w:rsidP="0093368A">
      <w:pPr>
        <w:jc w:val="both"/>
        <w:rPr>
          <w:rFonts w:ascii="Arial" w:hAnsi="Arial" w:cs="Arial"/>
          <w:bCs/>
          <w:i/>
          <w:sz w:val="16"/>
          <w:szCs w:val="16"/>
        </w:rPr>
      </w:pPr>
      <w:r w:rsidRPr="00C1149C">
        <w:rPr>
          <w:rFonts w:ascii="Arial" w:hAnsi="Arial" w:cs="Arial"/>
          <w:bCs/>
          <w:i/>
          <w:sz w:val="16"/>
          <w:szCs w:val="16"/>
        </w:rPr>
        <w:t>Il s’agit dans ce cas d’établissement de paiement exerçant des activités de nature hybride [...]</w:t>
      </w:r>
      <w:r>
        <w:rPr>
          <w:rFonts w:ascii="Arial" w:hAnsi="Arial" w:cs="Arial"/>
          <w:bCs/>
          <w:i/>
          <w:sz w:val="16"/>
          <w:szCs w:val="16"/>
        </w:rPr>
        <w:t>)</w:t>
      </w:r>
    </w:p>
    <w:p w:rsidR="0093368A" w:rsidRDefault="0093368A" w:rsidP="0093368A">
      <w:pPr>
        <w:rPr>
          <w:rFonts w:ascii="Arial" w:hAnsi="Arial" w:cs="Arial"/>
          <w:sz w:val="20"/>
          <w:szCs w:val="20"/>
          <w:u w:val="single"/>
        </w:rPr>
      </w:pPr>
    </w:p>
    <w:p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rsidR="0093368A" w:rsidRPr="00B40B81" w:rsidRDefault="0093368A" w:rsidP="0093368A">
      <w:pPr>
        <w:rPr>
          <w:rFonts w:ascii="Arial" w:hAnsi="Arial" w:cs="Arial"/>
          <w:sz w:val="20"/>
          <w:szCs w:val="20"/>
        </w:rPr>
      </w:pPr>
    </w:p>
    <w:tbl>
      <w:tblPr>
        <w:tblW w:w="0" w:type="auto"/>
        <w:jc w:val="center"/>
        <w:tblInd w:w="392" w:type="dxa"/>
        <w:tblLook w:val="04A0" w:firstRow="1" w:lastRow="0" w:firstColumn="1" w:lastColumn="0" w:noHBand="0" w:noVBand="1"/>
      </w:tblPr>
      <w:tblGrid>
        <w:gridCol w:w="1701"/>
        <w:gridCol w:w="1701"/>
        <w:gridCol w:w="1701"/>
        <w:gridCol w:w="1701"/>
      </w:tblGrid>
      <w:tr w:rsidR="0093368A" w:rsidRPr="00452F83" w:rsidTr="00AB3231">
        <w:trPr>
          <w:jc w:val="center"/>
        </w:trPr>
        <w:tc>
          <w:tcPr>
            <w:tcW w:w="1701" w:type="dxa"/>
            <w:vAlign w:val="center"/>
          </w:tcPr>
          <w:p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c>
          <w:tcPr>
            <w:tcW w:w="1701"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Personne responsable de l’activité de services de paiement </w:t>
      </w:r>
    </w:p>
    <w:p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proofErr w:type="gramStart"/>
      <w:r w:rsidRPr="00A70190">
        <w:rPr>
          <w:rFonts w:ascii="Arial" w:eastAsia="Times New Roman" w:hAnsi="Arial" w:cs="Arial"/>
          <w:i/>
          <w:sz w:val="16"/>
          <w:szCs w:val="16"/>
          <w:lang w:eastAsia="fr-FR"/>
        </w:rPr>
        <w:t>si</w:t>
      </w:r>
      <w:proofErr w:type="gramEnd"/>
      <w:r w:rsidRPr="00A70190">
        <w:rPr>
          <w:rFonts w:ascii="Arial" w:eastAsia="Times New Roman" w:hAnsi="Arial" w:cs="Arial"/>
          <w:i/>
          <w:sz w:val="16"/>
          <w:szCs w:val="16"/>
          <w:lang w:eastAsia="fr-FR"/>
        </w:rPr>
        <w:t xml:space="preserve"> différente des dirigeants effectifs</w:t>
      </w:r>
      <w:r>
        <w:rPr>
          <w:rFonts w:ascii="Arial" w:eastAsia="Times New Roman" w:hAnsi="Arial" w:cs="Arial"/>
          <w:i/>
          <w:sz w:val="16"/>
          <w:szCs w:val="16"/>
          <w:lang w:eastAsia="fr-FR"/>
        </w:rPr>
        <w:t>)</w:t>
      </w:r>
    </w:p>
    <w:p w:rsidR="0093368A" w:rsidRPr="0027268E" w:rsidRDefault="0093368A" w:rsidP="0093368A">
      <w:pPr>
        <w:rPr>
          <w:rFonts w:ascii="Arial" w:hAnsi="Arial" w:cs="Arial"/>
          <w:i/>
          <w:sz w:val="20"/>
          <w:szCs w:val="20"/>
        </w:rPr>
      </w:pPr>
      <w:r w:rsidRPr="0027268E">
        <w:rPr>
          <w:rFonts w:ascii="Arial" w:hAnsi="Arial" w:cs="Arial"/>
          <w:i/>
          <w:sz w:val="20"/>
          <w:szCs w:val="20"/>
        </w:rPr>
        <w:t xml:space="preserve">Même formulaire que pour les dirigeants effectifs </w:t>
      </w:r>
    </w:p>
    <w:p w:rsidR="0093368A" w:rsidRDefault="0093368A" w:rsidP="0093368A">
      <w:pPr>
        <w:jc w:val="both"/>
        <w:rPr>
          <w:rFonts w:ascii="Arial" w:hAnsi="Arial" w:cs="Arial"/>
          <w:sz w:val="20"/>
          <w:szCs w:val="20"/>
        </w:rPr>
      </w:pPr>
    </w:p>
    <w:p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une description détaillée des activités exercées ou envisagées par l’établissement contenant toutes les informations nécessaires y compris les volumes attendues desdites activités.</w:t>
      </w:r>
    </w:p>
    <w:p w:rsidR="0093368A" w:rsidRPr="00696BE8" w:rsidRDefault="0093368A" w:rsidP="0093368A">
      <w:pPr>
        <w:pStyle w:val="Paragraphedeliste"/>
        <w:jc w:val="both"/>
        <w:rPr>
          <w:rFonts w:ascii="Arial" w:hAnsi="Arial" w:cs="Arial"/>
          <w:sz w:val="20"/>
          <w:szCs w:val="20"/>
        </w:rPr>
      </w:pPr>
    </w:p>
    <w:p w:rsidR="0093368A" w:rsidRPr="00A167A7" w:rsidRDefault="0093368A" w:rsidP="0093368A">
      <w:pPr>
        <w:pStyle w:val="Titre2"/>
      </w:pPr>
      <w:bookmarkStart w:id="8" w:name="_Toc507679350"/>
      <w:r w:rsidRPr="00A167A7">
        <w:t>Services connexes</w:t>
      </w:r>
      <w:bookmarkEnd w:id="8"/>
    </w:p>
    <w:p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522-2 du Code monétaire et financier)</w:t>
      </w:r>
    </w:p>
    <w:p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rsidTr="00B93618">
        <w:tc>
          <w:tcPr>
            <w:tcW w:w="6804" w:type="dxa"/>
            <w:vAlign w:val="center"/>
          </w:tcPr>
          <w:p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r w:rsidR="0093368A" w:rsidRPr="00452F83" w:rsidTr="00B93618">
        <w:tc>
          <w:tcPr>
            <w:tcW w:w="6804" w:type="dxa"/>
            <w:vAlign w:val="center"/>
          </w:tcPr>
          <w:p w:rsidR="0093368A" w:rsidRDefault="0093368A" w:rsidP="00B93618">
            <w:pPr>
              <w:spacing w:after="60"/>
              <w:jc w:val="both"/>
              <w:rPr>
                <w:rFonts w:ascii="Arial" w:hAnsi="Arial" w:cs="Arial"/>
                <w:sz w:val="20"/>
                <w:szCs w:val="20"/>
              </w:rPr>
            </w:pPr>
            <w:r>
              <w:rPr>
                <w:rFonts w:ascii="Arial" w:hAnsi="Arial" w:cs="Arial"/>
                <w:sz w:val="20"/>
                <w:szCs w:val="20"/>
              </w:rPr>
              <w:t>octroi de crédits mentionnés au premier alinéa de l’article L. 313-1</w:t>
            </w:r>
          </w:p>
        </w:tc>
        <w:tc>
          <w:tcPr>
            <w:tcW w:w="850" w:type="dxa"/>
            <w:vAlign w:val="center"/>
          </w:tcPr>
          <w:p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800C68">
              <w:rPr>
                <w:rFonts w:ascii="Arial" w:hAnsi="Arial" w:cs="Arial"/>
                <w:sz w:val="20"/>
              </w:rPr>
            </w:r>
            <w:r w:rsidR="00800C68">
              <w:rPr>
                <w:rFonts w:ascii="Arial" w:hAnsi="Arial" w:cs="Arial"/>
                <w:sz w:val="20"/>
              </w:rPr>
              <w:fldChar w:fldCharType="separate"/>
            </w:r>
            <w:r w:rsidRPr="00452F83">
              <w:rPr>
                <w:rFonts w:ascii="Arial" w:hAnsi="Arial" w:cs="Arial"/>
                <w:sz w:val="20"/>
              </w:rPr>
              <w:fldChar w:fldCharType="end"/>
            </w:r>
          </w:p>
        </w:tc>
      </w:tr>
    </w:tbl>
    <w:p w:rsidR="0093368A" w:rsidRDefault="0093368A" w:rsidP="0093368A">
      <w:pPr>
        <w:tabs>
          <w:tab w:val="left" w:pos="1418"/>
        </w:tabs>
        <w:rPr>
          <w:rFonts w:ascii="Arial" w:hAnsi="Arial" w:cs="Arial"/>
          <w:sz w:val="20"/>
          <w:szCs w:val="20"/>
        </w:rPr>
      </w:pPr>
    </w:p>
    <w:p w:rsidR="0093368A" w:rsidRPr="00A167A7" w:rsidRDefault="0093368A" w:rsidP="0093368A">
      <w:pPr>
        <w:pStyle w:val="Titre2"/>
      </w:pPr>
      <w:bookmarkStart w:id="9" w:name="_Toc507679351"/>
      <w:r w:rsidRPr="00A167A7">
        <w:t>Recours à des agents</w:t>
      </w:r>
      <w:bookmarkEnd w:id="9"/>
    </w:p>
    <w:p w:rsidR="0093368A" w:rsidRPr="00FB4E9D" w:rsidRDefault="0093368A" w:rsidP="0093368A">
      <w:pPr>
        <w:ind w:left="360" w:firstLine="349"/>
        <w:rPr>
          <w:rFonts w:ascii="Arial" w:hAnsi="Arial" w:cs="Arial"/>
          <w:i/>
          <w:sz w:val="20"/>
          <w:szCs w:val="20"/>
        </w:rPr>
      </w:pPr>
      <w:r>
        <w:rPr>
          <w:rFonts w:ascii="Arial" w:hAnsi="Arial" w:cs="Arial"/>
          <w:i/>
          <w:sz w:val="20"/>
          <w:szCs w:val="20"/>
        </w:rPr>
        <w:t>(</w:t>
      </w:r>
      <w:r w:rsidRPr="00FB4E9D">
        <w:rPr>
          <w:rFonts w:ascii="Arial" w:hAnsi="Arial" w:cs="Arial"/>
          <w:i/>
          <w:sz w:val="20"/>
          <w:szCs w:val="20"/>
        </w:rPr>
        <w:t>Articles L. 523-1 à L. 523-6 du Code monétaire et financier</w:t>
      </w:r>
      <w:r>
        <w:rPr>
          <w:rFonts w:ascii="Arial" w:hAnsi="Arial" w:cs="Arial"/>
          <w:i/>
          <w:sz w:val="20"/>
          <w:szCs w:val="20"/>
        </w:rPr>
        <w:t>)</w:t>
      </w:r>
    </w:p>
    <w:p w:rsidR="0093368A" w:rsidRDefault="0093368A" w:rsidP="0093368A">
      <w:pPr>
        <w:tabs>
          <w:tab w:val="left" w:pos="1134"/>
        </w:tabs>
        <w:jc w:val="both"/>
        <w:rPr>
          <w:rFonts w:ascii="Arial" w:hAnsi="Arial" w:cs="Arial"/>
          <w:sz w:val="20"/>
          <w:szCs w:val="20"/>
        </w:rPr>
      </w:pPr>
    </w:p>
    <w:p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Préciser le nombre prévisionnel d</w:t>
      </w:r>
      <w:r>
        <w:rPr>
          <w:rFonts w:ascii="Arial" w:hAnsi="Arial" w:cs="Arial"/>
          <w:sz w:val="20"/>
          <w:szCs w:val="20"/>
        </w:rPr>
        <w:t>’</w:t>
      </w:r>
      <w:r w:rsidRPr="005D261E">
        <w:rPr>
          <w:rFonts w:ascii="Arial" w:hAnsi="Arial" w:cs="Arial"/>
          <w:sz w:val="20"/>
          <w:szCs w:val="20"/>
        </w:rPr>
        <w:t>agents 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 partie sur le contrôle interne). Joindre le contrat ou le projet de contrat avec les agents.</w:t>
      </w:r>
    </w:p>
    <w:p w:rsidR="0093368A" w:rsidRPr="005D261E" w:rsidRDefault="0093368A" w:rsidP="0093368A">
      <w:pPr>
        <w:tabs>
          <w:tab w:val="left" w:pos="1134"/>
        </w:tabs>
        <w:jc w:val="both"/>
        <w:rPr>
          <w:rFonts w:ascii="Arial" w:hAnsi="Arial" w:cs="Arial"/>
          <w:sz w:val="20"/>
          <w:szCs w:val="20"/>
        </w:rPr>
      </w:pPr>
      <w:r>
        <w:rPr>
          <w:rFonts w:ascii="Arial" w:hAnsi="Arial" w:cs="Arial"/>
          <w:sz w:val="20"/>
          <w:szCs w:val="20"/>
        </w:rPr>
        <w:t xml:space="preserve">Si ceux-ci sont d’ores et déjà identifiés, </w:t>
      </w:r>
      <w:r w:rsidRPr="005D261E">
        <w:rPr>
          <w:rFonts w:ascii="Arial" w:hAnsi="Arial" w:cs="Arial"/>
          <w:sz w:val="20"/>
          <w:szCs w:val="20"/>
        </w:rPr>
        <w:t>joindre les formulaires de déclaration</w:t>
      </w:r>
      <w:r>
        <w:rPr>
          <w:rFonts w:ascii="Arial" w:hAnsi="Arial" w:cs="Arial"/>
          <w:sz w:val="20"/>
          <w:szCs w:val="20"/>
        </w:rPr>
        <w:t xml:space="preserve"> que vous trouverez sous le lien suivant : </w:t>
      </w:r>
      <w:r w:rsidRPr="005D261E">
        <w:rPr>
          <w:rFonts w:ascii="Arial" w:hAnsi="Arial" w:cs="Arial"/>
          <w:sz w:val="20"/>
          <w:szCs w:val="20"/>
        </w:rPr>
        <w:t xml:space="preserve"> </w:t>
      </w:r>
    </w:p>
    <w:p w:rsidR="0093368A" w:rsidRPr="00222FC2" w:rsidRDefault="0093368A" w:rsidP="0093368A">
      <w:pPr>
        <w:pStyle w:val="Paragraphedeliste"/>
        <w:tabs>
          <w:tab w:val="left" w:pos="1134"/>
        </w:tabs>
        <w:ind w:left="0"/>
        <w:jc w:val="both"/>
        <w:rPr>
          <w:rStyle w:val="Lienhypertexte"/>
          <w:rFonts w:ascii="Arial" w:eastAsiaTheme="minorHAnsi" w:hAnsi="Arial" w:cs="Arial"/>
          <w:sz w:val="20"/>
          <w:szCs w:val="20"/>
          <w:lang w:eastAsia="en-US"/>
        </w:rPr>
      </w:pPr>
      <w:r w:rsidRPr="00222FC2">
        <w:rPr>
          <w:rStyle w:val="Lienhypertexte"/>
          <w:rFonts w:eastAsiaTheme="minorHAnsi"/>
          <w:lang w:eastAsia="en-US"/>
        </w:rPr>
        <w:t>(</w:t>
      </w:r>
      <w:r w:rsidRPr="00222FC2">
        <w:rPr>
          <w:rStyle w:val="Lienhypertexte"/>
          <w:rFonts w:ascii="Arial" w:eastAsiaTheme="minorHAnsi" w:hAnsi="Arial" w:cs="Arial"/>
          <w:sz w:val="20"/>
          <w:szCs w:val="20"/>
          <w:lang w:eastAsia="en-US"/>
        </w:rPr>
        <w:t>https://acpr.banque-france.fr/agrements-et-autorisations/procedures-secteur-banque/agrement-autorisation-ou-enregistrement/agent-prestataire-de-services-de-paiement.html)</w:t>
      </w:r>
    </w:p>
    <w:p w:rsidR="0093368A" w:rsidRDefault="0093368A" w:rsidP="0093368A">
      <w:pPr>
        <w:tabs>
          <w:tab w:val="left" w:pos="1418"/>
        </w:tabs>
        <w:rPr>
          <w:rFonts w:ascii="Arial" w:hAnsi="Arial" w:cs="Arial"/>
          <w:sz w:val="20"/>
          <w:szCs w:val="20"/>
        </w:rPr>
      </w:pPr>
    </w:p>
    <w:p w:rsidR="0093368A" w:rsidRPr="00A167A7" w:rsidRDefault="0093368A" w:rsidP="0093368A">
      <w:pPr>
        <w:pStyle w:val="Titre2"/>
      </w:pPr>
      <w:bookmarkStart w:id="10" w:name="_Toc507679352"/>
      <w:r w:rsidRPr="00A167A7">
        <w:t>Exercice d’activité à l’étranger</w:t>
      </w:r>
      <w:bookmarkEnd w:id="10"/>
    </w:p>
    <w:p w:rsidR="0093368A" w:rsidRDefault="0093368A" w:rsidP="0093368A">
      <w:pPr>
        <w:tabs>
          <w:tab w:val="left" w:pos="1418"/>
        </w:tabs>
        <w:rPr>
          <w:rFonts w:ascii="Arial" w:hAnsi="Arial" w:cs="Arial"/>
          <w:sz w:val="20"/>
          <w:szCs w:val="20"/>
        </w:rPr>
      </w:pPr>
    </w:p>
    <w:p w:rsidR="0093368A" w:rsidRPr="00222FC2" w:rsidRDefault="0093368A" w:rsidP="0093368A">
      <w:pPr>
        <w:pStyle w:val="Paragraphedeliste"/>
        <w:numPr>
          <w:ilvl w:val="0"/>
          <w:numId w:val="25"/>
        </w:numPr>
        <w:spacing w:after="120"/>
        <w:jc w:val="both"/>
        <w:rPr>
          <w:rFonts w:ascii="Arial" w:hAnsi="Arial" w:cs="Arial"/>
          <w:sz w:val="20"/>
          <w:szCs w:val="20"/>
        </w:rPr>
      </w:pPr>
      <w:r w:rsidRPr="00222FC2">
        <w:rPr>
          <w:rFonts w:ascii="Arial" w:hAnsi="Arial" w:cs="Arial"/>
          <w:sz w:val="20"/>
          <w:szCs w:val="20"/>
        </w:rPr>
        <w:t>Indiquer si l'exercice d'activités de services de paiement en libre prestation de services ou en libre établissement dans un autre État de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rsidTr="00B93618">
        <w:trPr>
          <w:jc w:val="center"/>
        </w:trPr>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lastRenderedPageBreak/>
              <w:t>Oui</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00C68">
              <w:rPr>
                <w:rFonts w:ascii="Arial" w:hAnsi="Arial" w:cs="Arial"/>
                <w:sz w:val="20"/>
                <w:szCs w:val="20"/>
              </w:rPr>
            </w:r>
            <w:r w:rsidR="00800C68">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00C68">
              <w:rPr>
                <w:rFonts w:ascii="Arial" w:hAnsi="Arial" w:cs="Arial"/>
                <w:sz w:val="20"/>
                <w:szCs w:val="20"/>
              </w:rPr>
            </w:r>
            <w:r w:rsidR="00800C68">
              <w:rPr>
                <w:rFonts w:ascii="Arial" w:hAnsi="Arial" w:cs="Arial"/>
                <w:sz w:val="20"/>
                <w:szCs w:val="20"/>
              </w:rPr>
              <w:fldChar w:fldCharType="separate"/>
            </w:r>
            <w:r w:rsidRPr="002F65F1">
              <w:rPr>
                <w:rFonts w:ascii="Arial" w:hAnsi="Arial" w:cs="Arial"/>
                <w:sz w:val="20"/>
                <w:szCs w:val="20"/>
              </w:rPr>
              <w:fldChar w:fldCharType="end"/>
            </w:r>
          </w:p>
        </w:tc>
      </w:tr>
    </w:tbl>
    <w:p w:rsidR="0093368A" w:rsidRDefault="0093368A" w:rsidP="0093368A">
      <w:pPr>
        <w:jc w:val="both"/>
        <w:rPr>
          <w:rFonts w:ascii="Arial" w:hAnsi="Arial" w:cs="Arial"/>
          <w:sz w:val="20"/>
          <w:szCs w:val="20"/>
        </w:rPr>
      </w:pPr>
      <w:r>
        <w:rPr>
          <w:rFonts w:ascii="Arial" w:hAnsi="Arial" w:cs="Arial"/>
          <w:sz w:val="20"/>
          <w:szCs w:val="20"/>
        </w:rPr>
        <w:t>Si oui, le requérant doit compléter le formulaire relatif à l’exercice d’activités dans un autre État de l’Espace économique européen et ce pour chaque pays que vous trouverez sous le lien suivant :</w:t>
      </w:r>
    </w:p>
    <w:p w:rsidR="0093368A" w:rsidRDefault="00821632" w:rsidP="0093368A">
      <w:pPr>
        <w:jc w:val="both"/>
        <w:rPr>
          <w:rFonts w:ascii="Arial" w:hAnsi="Arial" w:cs="Arial"/>
          <w:sz w:val="20"/>
          <w:szCs w:val="20"/>
        </w:rPr>
      </w:pPr>
      <w:r w:rsidRPr="00821632">
        <w:rPr>
          <w:rFonts w:ascii="Arial" w:hAnsi="Arial" w:cs="Arial"/>
          <w:sz w:val="20"/>
          <w:szCs w:val="20"/>
        </w:rPr>
        <w:t>https://acpr.banque-france.fr/autoriser/procedures-secteur-banque/passeports-europeens-banque</w:t>
      </w:r>
      <w:r w:rsidRPr="00821632" w:rsidDel="00821632">
        <w:rPr>
          <w:rFonts w:ascii="Arial" w:hAnsi="Arial" w:cs="Arial"/>
          <w:sz w:val="20"/>
          <w:szCs w:val="20"/>
        </w:rPr>
        <w:t xml:space="preserve"> </w:t>
      </w:r>
    </w:p>
    <w:p w:rsidR="0093368A" w:rsidRDefault="0093368A" w:rsidP="0093368A">
      <w:pPr>
        <w:jc w:val="both"/>
        <w:rPr>
          <w:rFonts w:ascii="Arial" w:hAnsi="Arial" w:cs="Arial"/>
          <w:sz w:val="20"/>
          <w:szCs w:val="20"/>
        </w:rPr>
      </w:pPr>
    </w:p>
    <w:p w:rsidR="0093368A" w:rsidRPr="00222FC2" w:rsidRDefault="0093368A" w:rsidP="0093368A">
      <w:pPr>
        <w:pStyle w:val="Paragraphedeliste"/>
        <w:numPr>
          <w:ilvl w:val="0"/>
          <w:numId w:val="25"/>
        </w:numPr>
        <w:spacing w:after="120"/>
        <w:jc w:val="both"/>
        <w:rPr>
          <w:rFonts w:ascii="Arial" w:hAnsi="Arial" w:cs="Arial"/>
          <w:sz w:val="20"/>
          <w:szCs w:val="20"/>
        </w:rPr>
      </w:pPr>
      <w:r w:rsidRPr="00222FC2">
        <w:rPr>
          <w:rFonts w:ascii="Arial" w:hAnsi="Arial" w:cs="Arial"/>
          <w:sz w:val="20"/>
          <w:szCs w:val="20"/>
        </w:rPr>
        <w:t>Indiquer si l'exercice d'activités de services de paiement dans des États n’appartenant pas à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rsidTr="00B93618">
        <w:trPr>
          <w:jc w:val="center"/>
        </w:trPr>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00C68">
              <w:rPr>
                <w:rFonts w:ascii="Arial" w:hAnsi="Arial" w:cs="Arial"/>
                <w:sz w:val="20"/>
                <w:szCs w:val="20"/>
              </w:rPr>
            </w:r>
            <w:r w:rsidR="00800C68">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00C68">
              <w:rPr>
                <w:rFonts w:ascii="Arial" w:hAnsi="Arial" w:cs="Arial"/>
                <w:sz w:val="20"/>
                <w:szCs w:val="20"/>
              </w:rPr>
            </w:r>
            <w:r w:rsidR="00800C68">
              <w:rPr>
                <w:rFonts w:ascii="Arial" w:hAnsi="Arial" w:cs="Arial"/>
                <w:sz w:val="20"/>
                <w:szCs w:val="20"/>
              </w:rPr>
              <w:fldChar w:fldCharType="separate"/>
            </w:r>
            <w:r w:rsidRPr="002F65F1">
              <w:rPr>
                <w:rFonts w:ascii="Arial" w:hAnsi="Arial" w:cs="Arial"/>
                <w:sz w:val="20"/>
                <w:szCs w:val="20"/>
              </w:rPr>
              <w:fldChar w:fldCharType="end"/>
            </w:r>
          </w:p>
        </w:tc>
      </w:tr>
    </w:tbl>
    <w:p w:rsidR="0093368A" w:rsidRDefault="0093368A" w:rsidP="0093368A">
      <w:pPr>
        <w:jc w:val="both"/>
        <w:rPr>
          <w:rFonts w:ascii="Arial" w:hAnsi="Arial" w:cs="Arial"/>
          <w:sz w:val="20"/>
          <w:szCs w:val="20"/>
        </w:rPr>
      </w:pPr>
      <w:r>
        <w:rPr>
          <w:rFonts w:ascii="Arial" w:hAnsi="Arial" w:cs="Arial"/>
          <w:sz w:val="20"/>
          <w:szCs w:val="20"/>
        </w:rPr>
        <w:t>Si oui, d</w:t>
      </w:r>
      <w:r w:rsidRPr="0075315B">
        <w:rPr>
          <w:rFonts w:ascii="Arial" w:hAnsi="Arial" w:cs="Arial"/>
          <w:sz w:val="20"/>
          <w:szCs w:val="20"/>
        </w:rPr>
        <w:t>écrire les opérations envisagées et leurs conditions d'exercice (forme jur</w:t>
      </w:r>
      <w:r>
        <w:rPr>
          <w:rFonts w:ascii="Arial" w:hAnsi="Arial" w:cs="Arial"/>
          <w:sz w:val="20"/>
          <w:szCs w:val="20"/>
        </w:rPr>
        <w:t>idique, moyens mis en œuvre...).</w:t>
      </w:r>
    </w:p>
    <w:p w:rsidR="0093368A" w:rsidRDefault="0093368A" w:rsidP="00AB3231">
      <w:pPr>
        <w:spacing w:line="240" w:lineRule="auto"/>
        <w:rPr>
          <w:rFonts w:ascii="Arial" w:hAnsi="Arial" w:cs="Arial"/>
          <w:sz w:val="20"/>
          <w:szCs w:val="20"/>
        </w:rPr>
      </w:pPr>
    </w:p>
    <w:p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rsidR="00F3407B" w:rsidRPr="00F3407B" w:rsidRDefault="00F3407B" w:rsidP="00AB3231">
      <w:pPr>
        <w:spacing w:line="240" w:lineRule="auto"/>
        <w:rPr>
          <w:rFonts w:ascii="Arial" w:hAnsi="Arial" w:cs="Arial"/>
          <w:sz w:val="20"/>
          <w:szCs w:val="20"/>
        </w:rPr>
      </w:pPr>
    </w:p>
    <w:p w:rsidR="0093368A" w:rsidRPr="009B4F6F" w:rsidRDefault="00F3407B" w:rsidP="0021695F">
      <w:pPr>
        <w:spacing w:line="240" w:lineRule="auto"/>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cadre au sens de </w:t>
      </w:r>
      <w:r w:rsidR="0093368A" w:rsidRPr="009B4F6F">
        <w:rPr>
          <w:rFonts w:ascii="Arial" w:hAnsi="Arial" w:cs="Arial"/>
          <w:sz w:val="20"/>
          <w:szCs w:val="20"/>
        </w:rPr>
        <w:t>l’article L.</w:t>
      </w:r>
      <w:r w:rsidR="001562DD" w:rsidRPr="009B4F6F">
        <w:rPr>
          <w:rFonts w:ascii="Arial" w:hAnsi="Arial" w:cs="Arial"/>
          <w:sz w:val="20"/>
          <w:szCs w:val="20"/>
        </w:rPr>
        <w:t> 314-12</w:t>
      </w:r>
      <w:r w:rsidR="0093368A" w:rsidRPr="009B4F6F">
        <w:rPr>
          <w:rFonts w:ascii="Arial" w:hAnsi="Arial" w:cs="Arial"/>
          <w:sz w:val="20"/>
          <w:szCs w:val="20"/>
        </w:rPr>
        <w:t>du</w:t>
      </w:r>
      <w:r w:rsidR="0093368A" w:rsidRPr="001562DD">
        <w:rPr>
          <w:rFonts w:ascii="Arial" w:hAnsi="Arial" w:cs="Arial"/>
          <w:sz w:val="20"/>
          <w:szCs w:val="20"/>
        </w:rPr>
        <w:t xml:space="preserve"> code </w:t>
      </w:r>
      <w:r w:rsidR="0093368A" w:rsidRPr="009B4F6F">
        <w:rPr>
          <w:rFonts w:ascii="Arial" w:hAnsi="Arial" w:cs="Arial"/>
          <w:sz w:val="20"/>
          <w:szCs w:val="20"/>
        </w:rPr>
        <w:t>m</w:t>
      </w:r>
      <w:r w:rsidR="0093368A" w:rsidRPr="00F3407B">
        <w:rPr>
          <w:rFonts w:ascii="Arial" w:hAnsi="Arial" w:cs="Arial"/>
          <w:sz w:val="20"/>
          <w:szCs w:val="20"/>
        </w:rPr>
        <w:t>onétaire et financier</w:t>
      </w:r>
    </w:p>
    <w:p w:rsidR="0093368A" w:rsidRPr="00AB3231" w:rsidRDefault="00F3407B" w:rsidP="0021695F">
      <w:pPr>
        <w:spacing w:line="240" w:lineRule="auto"/>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Les projets de contrats entre toutes les parties impliquées dans la fourniture des services de paiement y compris ceux avec des schémas de carte de paiement le cas échéant</w:t>
      </w:r>
    </w:p>
    <w:p w:rsidR="0093368A" w:rsidRDefault="0093368A" w:rsidP="0093368A">
      <w:pPr>
        <w:spacing w:after="200"/>
        <w:rPr>
          <w:rFonts w:ascii="Arial" w:hAnsi="Arial" w:cs="Arial"/>
          <w:sz w:val="20"/>
          <w:szCs w:val="20"/>
        </w:rPr>
      </w:pPr>
      <w:r>
        <w:rPr>
          <w:rFonts w:ascii="Arial" w:hAnsi="Arial" w:cs="Arial"/>
          <w:sz w:val="20"/>
          <w:szCs w:val="20"/>
        </w:rPr>
        <w:br w:type="page"/>
      </w:r>
    </w:p>
    <w:p w:rsidR="0093368A" w:rsidRPr="00A167A7" w:rsidRDefault="0093368A" w:rsidP="0093368A">
      <w:pPr>
        <w:pStyle w:val="Titre1"/>
      </w:pPr>
      <w:bookmarkStart w:id="11" w:name="_Toc507679353"/>
      <w:r w:rsidRPr="00A167A7">
        <w:lastRenderedPageBreak/>
        <w:t>Plan d’affaires et réglementation prudentielle</w:t>
      </w:r>
      <w:bookmarkEnd w:id="11"/>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0"/>
          <w:numId w:val="32"/>
        </w:numPr>
        <w:ind w:left="782" w:hanging="357"/>
      </w:pPr>
      <w:bookmarkStart w:id="12" w:name="_Toc507679354"/>
      <w:r w:rsidRPr="00F14B4B">
        <w:t>Plan d’affaires</w:t>
      </w:r>
      <w:bookmarkEnd w:id="12"/>
    </w:p>
    <w:p w:rsidR="0093368A" w:rsidRDefault="0093368A" w:rsidP="0093368A">
      <w:pPr>
        <w:tabs>
          <w:tab w:val="left" w:pos="1418"/>
        </w:tabs>
        <w:rPr>
          <w:rFonts w:ascii="Arial" w:hAnsi="Arial" w:cs="Arial"/>
          <w:sz w:val="20"/>
          <w:szCs w:val="20"/>
        </w:rPr>
      </w:pPr>
    </w:p>
    <w:p w:rsidR="0093368A" w:rsidRDefault="0093368A" w:rsidP="0093368A">
      <w:pPr>
        <w:tabs>
          <w:tab w:val="left" w:pos="1418"/>
        </w:tabs>
        <w:rPr>
          <w:rFonts w:ascii="Arial" w:hAnsi="Arial" w:cs="Arial"/>
          <w:sz w:val="20"/>
          <w:szCs w:val="20"/>
        </w:rPr>
      </w:pPr>
      <w:r>
        <w:rPr>
          <w:rFonts w:ascii="Arial" w:hAnsi="Arial" w:cs="Arial"/>
          <w:sz w:val="20"/>
          <w:szCs w:val="20"/>
        </w:rPr>
        <w:t>Le plan d’affaires à fournir doit contenir :</w:t>
      </w:r>
    </w:p>
    <w:p w:rsidR="0093368A" w:rsidRDefault="0093368A" w:rsidP="0093368A">
      <w:pPr>
        <w:pStyle w:val="Paragraphedeliste"/>
        <w:tabs>
          <w:tab w:val="left" w:pos="1418"/>
        </w:tabs>
        <w:jc w:val="both"/>
        <w:rPr>
          <w:rFonts w:ascii="Arial" w:hAnsi="Arial" w:cs="Arial"/>
          <w:sz w:val="20"/>
          <w:szCs w:val="20"/>
        </w:rPr>
      </w:pPr>
    </w:p>
    <w:p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Une étude de marché qui inclura notamment une analyse du positionnement concurrentiel dans le segment du marché des paiements concernés du futur établissement, la stratégie et la méthode de commercialisation (support marketing, canaux de distribution…)</w:t>
      </w:r>
    </w:p>
    <w:p w:rsidR="0093368A" w:rsidRDefault="0093368A" w:rsidP="0021695F">
      <w:pPr>
        <w:spacing w:line="240" w:lineRule="auto"/>
        <w:ind w:left="357" w:firstLine="709"/>
        <w:jc w:val="both"/>
        <w:rPr>
          <w:rFonts w:ascii="Arial" w:eastAsia="Times New Roman" w:hAnsi="Arial" w:cs="Arial"/>
          <w:sz w:val="20"/>
          <w:szCs w:val="20"/>
          <w:lang w:eastAsia="fr-FR"/>
        </w:rPr>
      </w:pPr>
    </w:p>
    <w:p w:rsidR="0093368A" w:rsidRPr="007E33CB" w:rsidRDefault="0093368A" w:rsidP="0021695F">
      <w:pPr>
        <w:spacing w:line="240" w:lineRule="auto"/>
        <w:ind w:left="357" w:firstLine="709"/>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À titre indicatif, l’étude de marché comprend</w:t>
      </w:r>
      <w:r>
        <w:rPr>
          <w:rFonts w:ascii="Arial" w:eastAsia="Times New Roman" w:hAnsi="Arial" w:cs="Arial"/>
          <w:sz w:val="20"/>
          <w:szCs w:val="20"/>
          <w:lang w:eastAsia="fr-FR"/>
        </w:rPr>
        <w:t>ra une analyse à deux niveaux :</w:t>
      </w:r>
    </w:p>
    <w:p w:rsidR="0093368A" w:rsidRPr="007E33CB" w:rsidRDefault="0093368A" w:rsidP="0093368A">
      <w:pPr>
        <w:numPr>
          <w:ilvl w:val="2"/>
          <w:numId w:val="15"/>
        </w:numPr>
        <w:spacing w:line="240" w:lineRule="auto"/>
        <w:ind w:hanging="371"/>
        <w:contextualSpacing/>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Une analyse générale du</w:t>
      </w:r>
      <w:r>
        <w:rPr>
          <w:rFonts w:ascii="Arial" w:eastAsia="Times New Roman" w:hAnsi="Arial" w:cs="Arial"/>
          <w:sz w:val="20"/>
          <w:szCs w:val="20"/>
          <w:lang w:eastAsia="fr-FR"/>
        </w:rPr>
        <w:t xml:space="preserve"> marché sur lequel interviendrait l’établissement</w:t>
      </w:r>
      <w:r w:rsidRPr="007E33CB">
        <w:rPr>
          <w:rFonts w:ascii="Arial" w:eastAsia="Times New Roman" w:hAnsi="Arial" w:cs="Arial"/>
          <w:sz w:val="20"/>
          <w:szCs w:val="20"/>
          <w:lang w:eastAsia="fr-FR"/>
        </w:rPr>
        <w:t xml:space="preserve"> (produits, acteurs, périmètre géographique, taille, tendance, principaux risques) ;</w:t>
      </w:r>
    </w:p>
    <w:p w:rsidR="0093368A" w:rsidRPr="007E33CB" w:rsidRDefault="0093368A" w:rsidP="0093368A">
      <w:pPr>
        <w:numPr>
          <w:ilvl w:val="2"/>
          <w:numId w:val="15"/>
        </w:numPr>
        <w:spacing w:line="240" w:lineRule="auto"/>
        <w:ind w:hanging="371"/>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Son </w:t>
      </w:r>
      <w:r w:rsidRPr="007E33CB">
        <w:rPr>
          <w:rFonts w:ascii="Arial" w:eastAsia="Times New Roman" w:hAnsi="Arial" w:cs="Arial"/>
          <w:sz w:val="20"/>
          <w:szCs w:val="20"/>
          <w:lang w:eastAsia="fr-FR"/>
        </w:rPr>
        <w:t>positionnement sur ce marché (segment</w:t>
      </w:r>
      <w:r>
        <w:rPr>
          <w:rFonts w:ascii="Arial" w:eastAsia="Times New Roman" w:hAnsi="Arial" w:cs="Arial"/>
          <w:sz w:val="20"/>
          <w:szCs w:val="20"/>
          <w:lang w:eastAsia="fr-FR"/>
        </w:rPr>
        <w:t>, typologie de clientèle</w:t>
      </w:r>
      <w:r w:rsidRPr="007E33CB">
        <w:rPr>
          <w:rFonts w:ascii="Arial" w:eastAsia="Times New Roman" w:hAnsi="Arial" w:cs="Arial"/>
          <w:sz w:val="20"/>
          <w:szCs w:val="20"/>
          <w:lang w:eastAsia="fr-FR"/>
        </w:rPr>
        <w:t>, parts de marché, tendances, modèle économique, stratégie, réseaux de distribution, politique commer</w:t>
      </w:r>
      <w:r>
        <w:rPr>
          <w:rFonts w:ascii="Arial" w:eastAsia="Times New Roman" w:hAnsi="Arial" w:cs="Arial"/>
          <w:sz w:val="20"/>
          <w:szCs w:val="20"/>
          <w:lang w:eastAsia="fr-FR"/>
        </w:rPr>
        <w:t xml:space="preserve">ciale, systèmes de production, </w:t>
      </w:r>
      <w:r w:rsidRPr="007E33CB">
        <w:rPr>
          <w:rFonts w:ascii="Arial" w:eastAsia="Times New Roman" w:hAnsi="Arial" w:cs="Arial"/>
          <w:sz w:val="20"/>
          <w:szCs w:val="20"/>
          <w:lang w:eastAsia="fr-FR"/>
        </w:rPr>
        <w:t xml:space="preserve"> concurrents, fournisseurs) ;</w:t>
      </w:r>
    </w:p>
    <w:p w:rsidR="0093368A" w:rsidRPr="0058646A" w:rsidRDefault="0093368A" w:rsidP="0093368A">
      <w:pPr>
        <w:tabs>
          <w:tab w:val="left" w:pos="1418"/>
        </w:tabs>
        <w:jc w:val="both"/>
        <w:rPr>
          <w:rFonts w:ascii="Arial" w:hAnsi="Arial" w:cs="Arial"/>
          <w:sz w:val="20"/>
          <w:szCs w:val="20"/>
        </w:rPr>
      </w:pPr>
    </w:p>
    <w:p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rsidR="0093368A" w:rsidRPr="0058646A" w:rsidRDefault="0093368A" w:rsidP="0093368A">
      <w:pPr>
        <w:tabs>
          <w:tab w:val="left" w:pos="1418"/>
        </w:tabs>
        <w:jc w:val="both"/>
        <w:rPr>
          <w:rFonts w:ascii="Arial" w:hAnsi="Arial" w:cs="Arial"/>
          <w:sz w:val="20"/>
          <w:szCs w:val="20"/>
        </w:rPr>
      </w:pPr>
    </w:p>
    <w:p w:rsidR="0093368A" w:rsidRPr="00DB7697" w:rsidRDefault="0093368A" w:rsidP="0021695F">
      <w:pPr>
        <w:pStyle w:val="Paragraphedeliste"/>
        <w:numPr>
          <w:ilvl w:val="0"/>
          <w:numId w:val="4"/>
        </w:numPr>
        <w:tabs>
          <w:tab w:val="left" w:pos="1418"/>
        </w:tabs>
        <w:ind w:left="717"/>
        <w:jc w:val="both"/>
        <w:rPr>
          <w:rFonts w:ascii="Arial" w:hAnsi="Arial" w:cs="Arial"/>
          <w:sz w:val="20"/>
          <w:szCs w:val="20"/>
        </w:rPr>
      </w:pPr>
      <w:r w:rsidRPr="00DB7697">
        <w:rPr>
          <w:rFonts w:ascii="Arial" w:hAnsi="Arial" w:cs="Arial"/>
          <w:sz w:val="20"/>
          <w:szCs w:val="20"/>
        </w:rPr>
        <w:t>Un plan d’affaire</w:t>
      </w:r>
      <w:r>
        <w:rPr>
          <w:rFonts w:ascii="Arial" w:hAnsi="Arial" w:cs="Arial"/>
          <w:sz w:val="20"/>
          <w:szCs w:val="20"/>
        </w:rPr>
        <w:t>s</w:t>
      </w:r>
      <w:r w:rsidRPr="00DB7697">
        <w:rPr>
          <w:rFonts w:ascii="Arial" w:hAnsi="Arial" w:cs="Arial"/>
          <w:sz w:val="20"/>
          <w:szCs w:val="20"/>
        </w:rPr>
        <w:t xml:space="preserve"> prévisionnel portant sur les 3 premiers exercices pleins démontrant que le requérant est en mesure de mettre en œuvre les systèmes, ressources et procédures appropriés et proportionnés nécessaires à son bon fonctionnement. Ce plan d’affaire</w:t>
      </w:r>
      <w:r>
        <w:rPr>
          <w:rFonts w:ascii="Arial" w:hAnsi="Arial" w:cs="Arial"/>
          <w:sz w:val="20"/>
          <w:szCs w:val="20"/>
        </w:rPr>
        <w:t>s</w:t>
      </w:r>
      <w:r w:rsidRPr="00DB7697">
        <w:rPr>
          <w:rFonts w:ascii="Arial" w:hAnsi="Arial" w:cs="Arial"/>
          <w:sz w:val="20"/>
          <w:szCs w:val="20"/>
        </w:rPr>
        <w:t xml:space="preserve"> devra inclure :</w:t>
      </w:r>
    </w:p>
    <w:p w:rsidR="0093368A" w:rsidRPr="00DB7697" w:rsidRDefault="0093368A" w:rsidP="0093368A">
      <w:pPr>
        <w:pStyle w:val="Paragraphedeliste"/>
        <w:jc w:val="both"/>
        <w:rPr>
          <w:rFonts w:ascii="Arial" w:hAnsi="Arial" w:cs="Arial"/>
          <w:sz w:val="20"/>
          <w:szCs w:val="20"/>
        </w:rPr>
      </w:pPr>
    </w:p>
    <w:p w:rsidR="0093368A" w:rsidRPr="00DB7697" w:rsidRDefault="0093368A" w:rsidP="0093368A">
      <w:pPr>
        <w:pStyle w:val="Paragraphedeliste"/>
        <w:numPr>
          <w:ilvl w:val="1"/>
          <w:numId w:val="4"/>
        </w:numPr>
        <w:tabs>
          <w:tab w:val="left" w:pos="1418"/>
        </w:tabs>
        <w:jc w:val="both"/>
        <w:rPr>
          <w:rFonts w:ascii="Arial" w:hAnsi="Arial" w:cs="Arial"/>
          <w:sz w:val="20"/>
          <w:szCs w:val="20"/>
        </w:rPr>
      </w:pPr>
      <w:r w:rsidRPr="00DB7697">
        <w:rPr>
          <w:rFonts w:ascii="Arial" w:hAnsi="Arial" w:cs="Arial"/>
          <w:sz w:val="20"/>
          <w:szCs w:val="20"/>
        </w:rPr>
        <w:t xml:space="preserve">Un compte de résultat et un bilan prévisionnel incluant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cible</w:t>
      </w:r>
      <w:r>
        <w:rPr>
          <w:rFonts w:ascii="Arial" w:hAnsi="Arial" w:cs="Arial"/>
          <w:sz w:val="20"/>
          <w:szCs w:val="20"/>
          <w:u w:val="single"/>
        </w:rPr>
        <w:t>s</w:t>
      </w:r>
      <w:r w:rsidRPr="00DB7697">
        <w:rPr>
          <w:rFonts w:ascii="Arial" w:hAnsi="Arial" w:cs="Arial"/>
          <w:sz w:val="20"/>
          <w:szCs w:val="20"/>
        </w:rPr>
        <w:t xml:space="preserve"> et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dégradé</w:t>
      </w:r>
      <w:r>
        <w:rPr>
          <w:rFonts w:ascii="Arial" w:hAnsi="Arial" w:cs="Arial"/>
          <w:sz w:val="20"/>
          <w:szCs w:val="20"/>
          <w:u w:val="single"/>
        </w:rPr>
        <w:t>s</w:t>
      </w:r>
      <w:r w:rsidRPr="00DB7697">
        <w:rPr>
          <w:rFonts w:ascii="Arial" w:hAnsi="Arial" w:cs="Arial"/>
          <w:sz w:val="20"/>
          <w:szCs w:val="20"/>
        </w:rPr>
        <w:t xml:space="preserve"> (1), ainsi que pour chacun des scénari</w:t>
      </w:r>
      <w:r>
        <w:rPr>
          <w:rFonts w:ascii="Arial" w:hAnsi="Arial" w:cs="Arial"/>
          <w:sz w:val="20"/>
          <w:szCs w:val="20"/>
        </w:rPr>
        <w:t>i</w:t>
      </w:r>
      <w:r w:rsidRPr="00DB7697">
        <w:rPr>
          <w:rFonts w:ascii="Arial" w:hAnsi="Arial" w:cs="Arial"/>
          <w:sz w:val="20"/>
          <w:szCs w:val="20"/>
        </w:rPr>
        <w:t xml:space="preserve"> les hypothèses de base retenues tel que : le nombre de clients, la politique de prix, </w:t>
      </w:r>
      <w:r>
        <w:rPr>
          <w:rFonts w:ascii="Arial" w:hAnsi="Arial" w:cs="Arial"/>
          <w:sz w:val="20"/>
          <w:szCs w:val="20"/>
        </w:rPr>
        <w:t xml:space="preserve">le volume et la valeur des opérations, </w:t>
      </w:r>
      <w:r w:rsidRPr="00DB7697">
        <w:rPr>
          <w:rFonts w:ascii="Arial" w:hAnsi="Arial" w:cs="Arial"/>
          <w:sz w:val="20"/>
          <w:szCs w:val="20"/>
        </w:rPr>
        <w:t>une estimation du point mort d’activité</w:t>
      </w:r>
      <w:r>
        <w:rPr>
          <w:rFonts w:ascii="Arial" w:hAnsi="Arial" w:cs="Arial"/>
          <w:sz w:val="20"/>
          <w:szCs w:val="20"/>
        </w:rPr>
        <w:t>, l’évolution du seuil de rentabilité</w:t>
      </w:r>
      <w:r w:rsidRPr="00DB7697">
        <w:rPr>
          <w:rFonts w:ascii="Arial" w:hAnsi="Arial" w:cs="Arial"/>
          <w:sz w:val="20"/>
          <w:szCs w:val="20"/>
        </w:rPr>
        <w:t>…</w:t>
      </w:r>
    </w:p>
    <w:p w:rsidR="0093368A" w:rsidRDefault="0093368A" w:rsidP="0093368A">
      <w:pPr>
        <w:pStyle w:val="Paragraphedeliste"/>
        <w:numPr>
          <w:ilvl w:val="1"/>
          <w:numId w:val="4"/>
        </w:numPr>
        <w:tabs>
          <w:tab w:val="left" w:pos="1418"/>
        </w:tabs>
        <w:jc w:val="both"/>
        <w:rPr>
          <w:rFonts w:ascii="Arial" w:hAnsi="Arial" w:cs="Arial"/>
          <w:sz w:val="20"/>
          <w:szCs w:val="20"/>
        </w:rPr>
      </w:pPr>
      <w:r w:rsidRPr="00DB7697">
        <w:rPr>
          <w:rFonts w:ascii="Arial" w:hAnsi="Arial" w:cs="Arial"/>
          <w:sz w:val="20"/>
          <w:szCs w:val="20"/>
        </w:rPr>
        <w:t>Des justifications sur les principaux postes du compte de résultat, les dettes financières, les fonds propres…(</w:t>
      </w:r>
      <w:r>
        <w:rPr>
          <w:rFonts w:ascii="Arial" w:hAnsi="Arial" w:cs="Arial"/>
          <w:sz w:val="20"/>
          <w:szCs w:val="20"/>
        </w:rPr>
        <w:t>2</w:t>
      </w:r>
      <w:r w:rsidRPr="00DB7697">
        <w:rPr>
          <w:rFonts w:ascii="Arial" w:hAnsi="Arial" w:cs="Arial"/>
          <w:sz w:val="20"/>
          <w:szCs w:val="20"/>
        </w:rPr>
        <w:t>)</w:t>
      </w:r>
    </w:p>
    <w:p w:rsidR="0093368A" w:rsidRPr="00DB7697" w:rsidRDefault="0093368A" w:rsidP="0093368A">
      <w:pPr>
        <w:pStyle w:val="Paragraphedeliste"/>
        <w:numPr>
          <w:ilvl w:val="1"/>
          <w:numId w:val="4"/>
        </w:numPr>
        <w:tabs>
          <w:tab w:val="left" w:pos="1418"/>
        </w:tabs>
        <w:jc w:val="both"/>
        <w:rPr>
          <w:rFonts w:ascii="Arial" w:hAnsi="Arial" w:cs="Arial"/>
          <w:sz w:val="20"/>
          <w:szCs w:val="20"/>
        </w:rPr>
      </w:pPr>
      <w:r>
        <w:rPr>
          <w:rFonts w:ascii="Arial" w:hAnsi="Arial" w:cs="Arial"/>
          <w:sz w:val="20"/>
          <w:szCs w:val="20"/>
        </w:rPr>
        <w:t>Un schéma et une estimation des flux de trésorerie pour les trois exercices à venir</w:t>
      </w:r>
    </w:p>
    <w:p w:rsidR="0093368A" w:rsidRPr="00DB7697" w:rsidRDefault="0093368A" w:rsidP="0093368A">
      <w:pPr>
        <w:pStyle w:val="Paragraphedeliste"/>
        <w:numPr>
          <w:ilvl w:val="1"/>
          <w:numId w:val="4"/>
        </w:numPr>
        <w:tabs>
          <w:tab w:val="left" w:pos="1418"/>
        </w:tabs>
        <w:jc w:val="both"/>
        <w:rPr>
          <w:rFonts w:ascii="Arial" w:hAnsi="Arial" w:cs="Arial"/>
          <w:sz w:val="20"/>
          <w:szCs w:val="20"/>
        </w:rPr>
      </w:pPr>
      <w:r>
        <w:rPr>
          <w:rFonts w:ascii="Arial" w:hAnsi="Arial" w:cs="Arial"/>
          <w:sz w:val="20"/>
          <w:szCs w:val="20"/>
        </w:rPr>
        <w:t>Indiquer les participations actuelles ou envisagées à court terme dans d’autres entreprises ou établissements</w:t>
      </w:r>
    </w:p>
    <w:p w:rsidR="0093368A" w:rsidRDefault="0093368A" w:rsidP="0093368A">
      <w:pPr>
        <w:pStyle w:val="Paragraphedeliste"/>
        <w:numPr>
          <w:ilvl w:val="1"/>
          <w:numId w:val="4"/>
        </w:numPr>
        <w:jc w:val="both"/>
        <w:rPr>
          <w:rFonts w:ascii="Arial" w:hAnsi="Arial" w:cs="Arial"/>
          <w:sz w:val="20"/>
          <w:szCs w:val="20"/>
        </w:rPr>
      </w:pPr>
      <w:r w:rsidRPr="00DB7697">
        <w:rPr>
          <w:rFonts w:ascii="Arial" w:hAnsi="Arial" w:cs="Arial"/>
          <w:sz w:val="20"/>
          <w:szCs w:val="20"/>
        </w:rPr>
        <w:t>Une ventilation détaillée du montant des flux de paiement prévisionnels, par service de paiement sur trois années pleines.</w:t>
      </w:r>
    </w:p>
    <w:p w:rsidR="0093368A" w:rsidRDefault="0093368A" w:rsidP="0093368A">
      <w:pPr>
        <w:tabs>
          <w:tab w:val="left" w:pos="1418"/>
        </w:tabs>
        <w:jc w:val="both"/>
        <w:rPr>
          <w:rFonts w:ascii="Arial" w:hAnsi="Arial" w:cs="Arial"/>
          <w:sz w:val="20"/>
          <w:szCs w:val="20"/>
        </w:rPr>
      </w:pPr>
    </w:p>
    <w:p w:rsidR="0093368A" w:rsidRPr="0093368A" w:rsidRDefault="0093368A" w:rsidP="0093368A">
      <w:pPr>
        <w:jc w:val="both"/>
        <w:rPr>
          <w:rFonts w:ascii="Arial" w:hAnsi="Arial" w:cs="Arial"/>
          <w:i/>
          <w:sz w:val="18"/>
          <w:szCs w:val="18"/>
        </w:rPr>
      </w:pPr>
      <w:r w:rsidRPr="0093368A">
        <w:rPr>
          <w:rFonts w:ascii="Arial" w:hAnsi="Arial" w:cs="Arial"/>
          <w:i/>
          <w:sz w:val="18"/>
          <w:szCs w:val="18"/>
        </w:rPr>
        <w:t>(1) : Les comptes d’exploitation prévisionnels devront présenter nécessairement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produit net bancaire en distinguant bien ses différentes composantes et les différentes sources de rémunération de l’entreprise y compris sur les services connexes</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charges générales d’exploitation (frais de personnel, charges sociales, charges fiscales, frais administratifs, rémunération de services extérieurs, …) en distinguant clairement les charges fixes des charges variables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dotations aux amortissements et aux provisions sur immobilisations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brut d’exploitation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coût du risque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d’exploitation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gains/pertes nets sur actifs immobilisés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courant avant impôt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exceptionnel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l’impôt sur les bénéfices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les dotations/reprises nettes et provisions réglementées ;</w:t>
      </w:r>
    </w:p>
    <w:p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net.</w:t>
      </w:r>
    </w:p>
    <w:p w:rsidR="0093368A" w:rsidRPr="0093368A" w:rsidRDefault="0093368A" w:rsidP="0093368A">
      <w:pPr>
        <w:jc w:val="both"/>
        <w:rPr>
          <w:rFonts w:ascii="Arial" w:eastAsia="Times New Roman" w:hAnsi="Arial" w:cs="Arial"/>
          <w:i/>
          <w:sz w:val="18"/>
          <w:szCs w:val="18"/>
          <w:lang w:eastAsia="fr-FR"/>
        </w:rPr>
      </w:pPr>
    </w:p>
    <w:p w:rsidR="0093368A" w:rsidRPr="00CA51E6" w:rsidRDefault="0093368A" w:rsidP="0093368A">
      <w:pPr>
        <w:jc w:val="both"/>
        <w:rPr>
          <w:rFonts w:ascii="Arial" w:hAnsi="Arial" w:cs="Arial"/>
          <w:i/>
          <w:sz w:val="18"/>
          <w:szCs w:val="18"/>
        </w:rPr>
      </w:pPr>
      <w:r w:rsidRPr="0093368A">
        <w:rPr>
          <w:rFonts w:ascii="Arial" w:eastAsia="Times New Roman" w:hAnsi="Arial" w:cs="Arial"/>
          <w:i/>
          <w:sz w:val="18"/>
          <w:szCs w:val="18"/>
          <w:lang w:eastAsia="fr-FR"/>
        </w:rPr>
        <w:lastRenderedPageBreak/>
        <w:t>(2</w:t>
      </w:r>
      <w:r w:rsidRPr="0093368A">
        <w:rPr>
          <w:rFonts w:ascii="Arial" w:hAnsi="Arial" w:cs="Arial"/>
          <w:i/>
          <w:sz w:val="18"/>
          <w:szCs w:val="18"/>
        </w:rPr>
        <w:t xml:space="preserve">) Les hypothèses retenues pour constituer les deux scenarii requis doivent être présentées et établies de façon précise en cohérence avec l’étude de marché et inclure </w:t>
      </w:r>
      <w:r w:rsidRPr="00CA51E6">
        <w:rPr>
          <w:rFonts w:ascii="Arial" w:hAnsi="Arial" w:cs="Arial"/>
          <w:i/>
          <w:sz w:val="18"/>
          <w:szCs w:val="18"/>
        </w:rPr>
        <w:t>a minima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précisions sur la clientèle, sa composition (</w:t>
      </w:r>
      <w:r w:rsidRPr="00CA51E6">
        <w:rPr>
          <w:rFonts w:ascii="Arial" w:hAnsi="Arial" w:cs="Arial"/>
          <w:i/>
          <w:sz w:val="18"/>
          <w:szCs w:val="18"/>
        </w:rPr>
        <w:t>particuliers, entreprises commerciales, établissements de crédit, investisseurs, institutionnels, collectivités locales, associations, résidents, non-résidents…), ses modalités d’approche (création de guichets, recours à des intermédiaires ou démarcheurs (IOBPS, agents…),  Internet…)</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prévisions d’activité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hypothèses en matière de financement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une hypothèse d’affectation du résultat (distribution des dividendes aux actionnaires, mise en réserve ou en report à nouveau)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une hypothèse cohérente de taux d’imposition ;</w:t>
      </w:r>
    </w:p>
    <w:p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l’évolution des effectifs prévus pour les trois prochaines années</w:t>
      </w:r>
    </w:p>
    <w:p w:rsidR="0093368A" w:rsidRDefault="0093368A" w:rsidP="0093368A">
      <w:pPr>
        <w:tabs>
          <w:tab w:val="left" w:pos="1418"/>
        </w:tabs>
        <w:jc w:val="both"/>
        <w:rPr>
          <w:rFonts w:ascii="Arial" w:hAnsi="Arial" w:cs="Arial"/>
          <w:sz w:val="20"/>
          <w:szCs w:val="20"/>
        </w:rPr>
      </w:pPr>
    </w:p>
    <w:p w:rsidR="0093368A" w:rsidRDefault="0093368A" w:rsidP="0093368A">
      <w:pPr>
        <w:pStyle w:val="Titre2"/>
        <w:numPr>
          <w:ilvl w:val="0"/>
          <w:numId w:val="32"/>
        </w:numPr>
        <w:ind w:left="782" w:hanging="357"/>
      </w:pPr>
      <w:bookmarkStart w:id="13" w:name="_Toc507679355"/>
      <w:r>
        <w:t>Capital initial</w:t>
      </w:r>
      <w:bookmarkEnd w:id="13"/>
      <w:r>
        <w:t xml:space="preserve"> </w:t>
      </w:r>
    </w:p>
    <w:p w:rsidR="0093368A" w:rsidRDefault="0093368A" w:rsidP="0093368A">
      <w:pPr>
        <w:jc w:val="both"/>
        <w:rPr>
          <w:rFonts w:ascii="Arial" w:hAnsi="Arial" w:cs="Arial"/>
          <w:sz w:val="20"/>
          <w:szCs w:val="20"/>
        </w:rPr>
      </w:pPr>
      <w:r w:rsidRPr="00CA51E6">
        <w:rPr>
          <w:rFonts w:ascii="Arial" w:hAnsi="Arial" w:cs="Arial"/>
          <w:sz w:val="20"/>
          <w:szCs w:val="20"/>
        </w:rPr>
        <w:t>Le tableau ci-dessous indique le niveau minimum du capital initial</w:t>
      </w:r>
      <w:r w:rsidR="0021695F">
        <w:rPr>
          <w:rStyle w:val="Appelnotedebasdep"/>
          <w:rFonts w:cs="Arial"/>
          <w:szCs w:val="20"/>
        </w:rPr>
        <w:footnoteReference w:id="2"/>
      </w:r>
      <w:r w:rsidRPr="00CA51E6">
        <w:rPr>
          <w:rFonts w:ascii="Arial" w:hAnsi="Arial" w:cs="Arial"/>
          <w:sz w:val="20"/>
          <w:szCs w:val="20"/>
        </w:rPr>
        <w:t xml:space="preserve"> requis en fonction des services de paiement exercés.</w:t>
      </w:r>
    </w:p>
    <w:p w:rsidR="0093368A" w:rsidRDefault="0093368A" w:rsidP="0093368A">
      <w:pPr>
        <w:jc w:val="both"/>
        <w:rPr>
          <w:rFonts w:ascii="Arial" w:hAnsi="Arial" w:cs="Arial"/>
          <w:sz w:val="20"/>
          <w:szCs w:val="20"/>
        </w:rPr>
      </w:pPr>
      <w:r>
        <w:rPr>
          <w:rFonts w:ascii="Arial" w:hAnsi="Arial" w:cs="Arial"/>
          <w:sz w:val="20"/>
          <w:szCs w:val="20"/>
        </w:rPr>
        <w:t>Fournir les éléments permettant de vérifier le respect du niveau minimal requis de capital initial (ventilation au moment de l’agrément et sur les 3 exercices à venir).</w:t>
      </w:r>
    </w:p>
    <w:p w:rsidR="0093368A" w:rsidRPr="00CA51E6" w:rsidRDefault="0093368A" w:rsidP="0093368A">
      <w:pPr>
        <w:jc w:val="both"/>
        <w:rPr>
          <w:rFonts w:ascii="Arial" w:hAnsi="Arial" w:cs="Arial"/>
          <w:sz w:val="20"/>
          <w:szCs w:val="20"/>
        </w:rPr>
      </w:pPr>
      <w:r>
        <w:rPr>
          <w:rFonts w:ascii="Arial" w:hAnsi="Arial" w:cs="Arial"/>
          <w:sz w:val="20"/>
          <w:szCs w:val="20"/>
        </w:rPr>
        <w:t>Joindre les justificatifs nécessaires.</w:t>
      </w:r>
    </w:p>
    <w:p w:rsidR="0093368A" w:rsidRPr="00CA51E6" w:rsidRDefault="0093368A" w:rsidP="0093368A">
      <w:pPr>
        <w:rPr>
          <w:rFonts w:ascii="Arial" w:hAnsi="Arial" w:cs="Arial"/>
          <w:sz w:val="20"/>
          <w:szCs w:val="20"/>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6204"/>
        <w:gridCol w:w="2976"/>
      </w:tblGrid>
      <w:tr w:rsidR="0093368A" w:rsidRPr="00FF1FD6" w:rsidTr="00B93618">
        <w:trPr>
          <w:trHeight w:val="567"/>
        </w:trPr>
        <w:tc>
          <w:tcPr>
            <w:tcW w:w="6204" w:type="dxa"/>
            <w:vAlign w:val="center"/>
          </w:tcPr>
          <w:p w:rsidR="0093368A" w:rsidRPr="00FF1FD6" w:rsidRDefault="0093368A" w:rsidP="00B93618">
            <w:pPr>
              <w:rPr>
                <w:rFonts w:ascii="Arial" w:hAnsi="Arial" w:cs="Arial"/>
                <w:b/>
                <w:sz w:val="20"/>
                <w:szCs w:val="20"/>
              </w:rPr>
            </w:pPr>
            <w:r w:rsidRPr="00FF1FD6">
              <w:rPr>
                <w:rFonts w:ascii="Arial" w:hAnsi="Arial" w:cs="Arial"/>
                <w:b/>
                <w:sz w:val="20"/>
                <w:szCs w:val="20"/>
              </w:rPr>
              <w:t>Services fournis par l’entreprise</w:t>
            </w:r>
          </w:p>
        </w:tc>
        <w:tc>
          <w:tcPr>
            <w:tcW w:w="2976" w:type="dxa"/>
            <w:vAlign w:val="center"/>
          </w:tcPr>
          <w:p w:rsidR="0093368A" w:rsidRPr="00FF1FD6" w:rsidRDefault="0093368A" w:rsidP="00B93618">
            <w:pPr>
              <w:rPr>
                <w:rFonts w:ascii="Arial" w:hAnsi="Arial" w:cs="Arial"/>
                <w:b/>
                <w:sz w:val="20"/>
                <w:szCs w:val="20"/>
              </w:rPr>
            </w:pPr>
            <w:r w:rsidRPr="00FF1FD6">
              <w:rPr>
                <w:rFonts w:ascii="Arial" w:hAnsi="Arial" w:cs="Arial"/>
                <w:b/>
                <w:sz w:val="20"/>
                <w:szCs w:val="20"/>
              </w:rPr>
              <w:t xml:space="preserve">Capital </w:t>
            </w:r>
            <w:r>
              <w:rPr>
                <w:rFonts w:ascii="Arial" w:hAnsi="Arial" w:cs="Arial"/>
                <w:b/>
                <w:sz w:val="20"/>
                <w:szCs w:val="20"/>
              </w:rPr>
              <w:t>initial</w:t>
            </w:r>
            <w:r w:rsidRPr="00FF1FD6">
              <w:rPr>
                <w:rFonts w:ascii="Arial" w:hAnsi="Arial" w:cs="Arial"/>
                <w:b/>
                <w:sz w:val="20"/>
                <w:szCs w:val="20"/>
              </w:rPr>
              <w:t xml:space="preserve"> (en euros)</w:t>
            </w:r>
          </w:p>
        </w:tc>
      </w:tr>
      <w:tr w:rsidR="0093368A" w:rsidRPr="00FF1FD6" w:rsidTr="00B93618">
        <w:trPr>
          <w:trHeight w:val="567"/>
        </w:trPr>
        <w:tc>
          <w:tcPr>
            <w:tcW w:w="6204" w:type="dxa"/>
            <w:vAlign w:val="center"/>
          </w:tcPr>
          <w:p w:rsidR="0093368A" w:rsidRDefault="0093368A" w:rsidP="00B93618">
            <w:pPr>
              <w:spacing w:before="60"/>
              <w:rPr>
                <w:rFonts w:ascii="Arial" w:hAnsi="Arial" w:cs="Arial"/>
                <w:sz w:val="20"/>
                <w:szCs w:val="20"/>
              </w:rPr>
            </w:pPr>
            <w:r w:rsidRPr="00FF1FD6">
              <w:rPr>
                <w:rFonts w:ascii="Arial" w:hAnsi="Arial" w:cs="Arial"/>
                <w:sz w:val="20"/>
                <w:szCs w:val="20"/>
              </w:rPr>
              <w:t xml:space="preserve">Services de transmission de </w:t>
            </w:r>
            <w:r>
              <w:rPr>
                <w:rFonts w:ascii="Arial" w:hAnsi="Arial" w:cs="Arial"/>
                <w:sz w:val="20"/>
                <w:szCs w:val="20"/>
              </w:rPr>
              <w:t>fonds (6° du II de l’article L. </w:t>
            </w:r>
            <w:r w:rsidRPr="00FF1FD6">
              <w:rPr>
                <w:rFonts w:ascii="Arial" w:hAnsi="Arial" w:cs="Arial"/>
                <w:sz w:val="20"/>
                <w:szCs w:val="20"/>
              </w:rPr>
              <w:t>314-1) exclusivement</w:t>
            </w:r>
          </w:p>
          <w:p w:rsidR="0093368A" w:rsidRPr="00FF1FD6" w:rsidRDefault="0093368A" w:rsidP="00B93618">
            <w:pPr>
              <w:spacing w:before="60" w:after="60"/>
              <w:jc w:val="both"/>
              <w:rPr>
                <w:rFonts w:ascii="Arial" w:hAnsi="Arial" w:cs="Arial"/>
                <w:sz w:val="20"/>
                <w:szCs w:val="20"/>
              </w:rPr>
            </w:pPr>
            <w:r w:rsidRPr="00B11CCA">
              <w:rPr>
                <w:rFonts w:ascii="Arial" w:hAnsi="Arial" w:cs="Arial"/>
                <w:i/>
                <w:sz w:val="16"/>
                <w:szCs w:val="16"/>
              </w:rPr>
              <w:t>(L’établissement ne fournit que le seul service de paiement de transmission de fonds et ne fournit pas celui de change manuel au sens de l’article L</w:t>
            </w:r>
            <w:r>
              <w:rPr>
                <w:rFonts w:ascii="Arial" w:hAnsi="Arial" w:cs="Arial"/>
                <w:i/>
                <w:sz w:val="16"/>
                <w:szCs w:val="16"/>
              </w:rPr>
              <w:t>. </w:t>
            </w:r>
            <w:r w:rsidRPr="00B11CCA">
              <w:rPr>
                <w:rFonts w:ascii="Arial" w:hAnsi="Arial" w:cs="Arial"/>
                <w:i/>
                <w:sz w:val="16"/>
                <w:szCs w:val="16"/>
              </w:rPr>
              <w:t xml:space="preserve">524-1 du </w:t>
            </w:r>
            <w:r>
              <w:rPr>
                <w:rFonts w:ascii="Arial" w:hAnsi="Arial" w:cs="Arial"/>
                <w:i/>
                <w:sz w:val="16"/>
                <w:szCs w:val="16"/>
              </w:rPr>
              <w:t>C</w:t>
            </w:r>
            <w:r w:rsidRPr="00B11CCA">
              <w:rPr>
                <w:rFonts w:ascii="Arial" w:hAnsi="Arial" w:cs="Arial"/>
                <w:i/>
                <w:sz w:val="16"/>
                <w:szCs w:val="16"/>
              </w:rPr>
              <w:t>ode monétaire et financier</w:t>
            </w:r>
            <w:r>
              <w:rPr>
                <w:rFonts w:ascii="Arial" w:hAnsi="Arial" w:cs="Arial"/>
                <w:i/>
                <w:sz w:val="16"/>
                <w:szCs w:val="16"/>
              </w:rPr>
              <w:t>.</w:t>
            </w:r>
            <w:r w:rsidRPr="00B11CCA">
              <w:rPr>
                <w:rFonts w:ascii="Arial" w:hAnsi="Arial" w:cs="Arial"/>
                <w:i/>
                <w:sz w:val="16"/>
                <w:szCs w:val="16"/>
              </w:rPr>
              <w:t>)</w:t>
            </w:r>
          </w:p>
        </w:tc>
        <w:tc>
          <w:tcPr>
            <w:tcW w:w="2976" w:type="dxa"/>
          </w:tcPr>
          <w:p w:rsidR="0093368A" w:rsidRPr="00FF1FD6" w:rsidRDefault="0093368A" w:rsidP="00B93618">
            <w:pPr>
              <w:spacing w:before="120"/>
              <w:rPr>
                <w:rFonts w:ascii="Arial" w:hAnsi="Arial" w:cs="Arial"/>
                <w:sz w:val="20"/>
                <w:szCs w:val="20"/>
              </w:rPr>
            </w:pPr>
            <w:r>
              <w:rPr>
                <w:rFonts w:ascii="Arial" w:hAnsi="Arial" w:cs="Arial"/>
                <w:sz w:val="20"/>
                <w:szCs w:val="20"/>
              </w:rPr>
              <w:t>20 </w:t>
            </w:r>
            <w:r w:rsidRPr="00FF1FD6">
              <w:rPr>
                <w:rFonts w:ascii="Arial" w:hAnsi="Arial" w:cs="Arial"/>
                <w:sz w:val="20"/>
                <w:szCs w:val="20"/>
              </w:rPr>
              <w:t>000</w:t>
            </w:r>
          </w:p>
        </w:tc>
      </w:tr>
      <w:tr w:rsidR="0093368A" w:rsidRPr="00FF1FD6" w:rsidTr="00B93618">
        <w:trPr>
          <w:trHeight w:val="567"/>
        </w:trPr>
        <w:tc>
          <w:tcPr>
            <w:tcW w:w="6204" w:type="dxa"/>
            <w:vAlign w:val="center"/>
          </w:tcPr>
          <w:p w:rsidR="0093368A" w:rsidRDefault="0093368A" w:rsidP="00B93618">
            <w:pPr>
              <w:spacing w:before="60"/>
              <w:rPr>
                <w:rFonts w:ascii="Arial" w:hAnsi="Arial" w:cs="Arial"/>
                <w:sz w:val="20"/>
                <w:szCs w:val="20"/>
              </w:rPr>
            </w:pPr>
            <w:r w:rsidRPr="00FF1FD6">
              <w:rPr>
                <w:rFonts w:ascii="Arial" w:hAnsi="Arial" w:cs="Arial"/>
                <w:sz w:val="20"/>
                <w:szCs w:val="20"/>
              </w:rPr>
              <w:t>Services de transmission de fonds et de change manuel</w:t>
            </w:r>
          </w:p>
          <w:p w:rsidR="0093368A" w:rsidRPr="00FF1FD6" w:rsidRDefault="0093368A" w:rsidP="00B93618">
            <w:pPr>
              <w:spacing w:before="60" w:after="60"/>
              <w:jc w:val="both"/>
              <w:rPr>
                <w:rFonts w:ascii="Arial" w:hAnsi="Arial" w:cs="Arial"/>
                <w:sz w:val="20"/>
                <w:szCs w:val="20"/>
              </w:rPr>
            </w:pPr>
            <w:r w:rsidRPr="00B11CCA">
              <w:rPr>
                <w:rFonts w:ascii="Arial" w:hAnsi="Arial" w:cs="Arial"/>
                <w:i/>
                <w:sz w:val="16"/>
                <w:szCs w:val="16"/>
              </w:rPr>
              <w:t xml:space="preserve">(L’entreprise ne fournit que le seul service de paiement de transmission de fonds et fournit  également celui de change manuel au sens de l’article L 524-1 du </w:t>
            </w:r>
            <w:r>
              <w:rPr>
                <w:rFonts w:ascii="Arial" w:hAnsi="Arial" w:cs="Arial"/>
                <w:i/>
                <w:sz w:val="16"/>
                <w:szCs w:val="16"/>
              </w:rPr>
              <w:t>C</w:t>
            </w:r>
            <w:r w:rsidRPr="00B11CCA">
              <w:rPr>
                <w:rFonts w:ascii="Arial" w:hAnsi="Arial" w:cs="Arial"/>
                <w:i/>
                <w:sz w:val="16"/>
                <w:szCs w:val="16"/>
              </w:rPr>
              <w:t>ode monétaire et financier. Toutefois, l’entreprise peut, conformément b) du I de l’article L. 524-3, plutôt que de justifier d’un capital libéré, justifier d’une caution d’un établissement de crédit ou d’une entreprise d’assurance, article L. 522-2)</w:t>
            </w:r>
            <w:r w:rsidRPr="00FF1FD6">
              <w:rPr>
                <w:rFonts w:ascii="Arial" w:hAnsi="Arial" w:cs="Arial"/>
                <w:sz w:val="20"/>
                <w:szCs w:val="20"/>
              </w:rPr>
              <w:t xml:space="preserve"> </w:t>
            </w:r>
          </w:p>
        </w:tc>
        <w:tc>
          <w:tcPr>
            <w:tcW w:w="2976" w:type="dxa"/>
          </w:tcPr>
          <w:p w:rsidR="0093368A" w:rsidRPr="00FF1FD6" w:rsidRDefault="0093368A" w:rsidP="00B93618">
            <w:pPr>
              <w:spacing w:before="120"/>
              <w:rPr>
                <w:rFonts w:ascii="Arial" w:hAnsi="Arial" w:cs="Arial"/>
                <w:sz w:val="20"/>
                <w:szCs w:val="20"/>
              </w:rPr>
            </w:pPr>
            <w:r>
              <w:rPr>
                <w:rFonts w:ascii="Arial" w:hAnsi="Arial" w:cs="Arial"/>
                <w:sz w:val="20"/>
                <w:szCs w:val="20"/>
              </w:rPr>
              <w:t>38 </w:t>
            </w:r>
            <w:r w:rsidRPr="00FF1FD6">
              <w:rPr>
                <w:rFonts w:ascii="Arial" w:hAnsi="Arial" w:cs="Arial"/>
                <w:sz w:val="20"/>
                <w:szCs w:val="20"/>
              </w:rPr>
              <w:t>000</w:t>
            </w:r>
          </w:p>
        </w:tc>
      </w:tr>
      <w:tr w:rsidR="0093368A" w:rsidRPr="00FF1FD6" w:rsidTr="00B93618">
        <w:trPr>
          <w:trHeight w:val="567"/>
        </w:trPr>
        <w:tc>
          <w:tcPr>
            <w:tcW w:w="6204" w:type="dxa"/>
            <w:vAlign w:val="center"/>
          </w:tcPr>
          <w:p w:rsidR="0093368A" w:rsidRPr="00561591" w:rsidRDefault="0093368A" w:rsidP="00037AB7">
            <w:pPr>
              <w:spacing w:before="60"/>
              <w:rPr>
                <w:rFonts w:ascii="Arial" w:hAnsi="Arial" w:cs="Arial"/>
                <w:i/>
                <w:sz w:val="16"/>
                <w:szCs w:val="16"/>
              </w:rPr>
            </w:pPr>
            <w:r w:rsidRPr="005137D7">
              <w:rPr>
                <w:rFonts w:ascii="Arial" w:hAnsi="Arial" w:cs="Arial"/>
                <w:sz w:val="20"/>
                <w:szCs w:val="20"/>
              </w:rPr>
              <w:t>Service d’initiation de paiement</w:t>
            </w:r>
            <w:r w:rsidRPr="00FF1FD6">
              <w:rPr>
                <w:rFonts w:ascii="Arial" w:hAnsi="Arial" w:cs="Arial"/>
                <w:sz w:val="20"/>
                <w:szCs w:val="20"/>
              </w:rPr>
              <w:t xml:space="preserve"> </w:t>
            </w:r>
            <w:r>
              <w:rPr>
                <w:rFonts w:ascii="Arial" w:hAnsi="Arial" w:cs="Arial"/>
                <w:sz w:val="20"/>
                <w:szCs w:val="20"/>
              </w:rPr>
              <w:t>-</w:t>
            </w:r>
            <w:r w:rsidRPr="00FF1FD6">
              <w:rPr>
                <w:rFonts w:ascii="Arial" w:hAnsi="Arial" w:cs="Arial"/>
                <w:sz w:val="20"/>
                <w:szCs w:val="20"/>
              </w:rPr>
              <w:t xml:space="preserve"> mentio</w:t>
            </w:r>
            <w:r>
              <w:rPr>
                <w:rFonts w:ascii="Arial" w:hAnsi="Arial" w:cs="Arial"/>
                <w:sz w:val="20"/>
                <w:szCs w:val="20"/>
              </w:rPr>
              <w:t>nné au 7° du II de l’article L.</w:t>
            </w:r>
            <w:r>
              <w:t> </w:t>
            </w:r>
            <w:r w:rsidRPr="00FF1FD6">
              <w:rPr>
                <w:rFonts w:ascii="Arial" w:hAnsi="Arial" w:cs="Arial"/>
                <w:sz w:val="20"/>
                <w:szCs w:val="20"/>
              </w:rPr>
              <w:t>314-1</w:t>
            </w:r>
            <w:r>
              <w:rPr>
                <w:rFonts w:ascii="Arial" w:hAnsi="Arial" w:cs="Arial"/>
                <w:sz w:val="20"/>
                <w:szCs w:val="20"/>
              </w:rPr>
              <w:t>-</w:t>
            </w:r>
            <w:r w:rsidRPr="00FF1FD6">
              <w:rPr>
                <w:rFonts w:ascii="Arial" w:hAnsi="Arial" w:cs="Arial"/>
                <w:sz w:val="20"/>
                <w:szCs w:val="20"/>
              </w:rPr>
              <w:t xml:space="preserve"> exclusivement</w:t>
            </w:r>
          </w:p>
        </w:tc>
        <w:tc>
          <w:tcPr>
            <w:tcW w:w="2976" w:type="dxa"/>
          </w:tcPr>
          <w:p w:rsidR="0093368A" w:rsidRPr="00FF1FD6" w:rsidRDefault="0093368A" w:rsidP="00B93618">
            <w:pPr>
              <w:spacing w:before="120"/>
              <w:rPr>
                <w:rFonts w:ascii="Arial" w:hAnsi="Arial" w:cs="Arial"/>
                <w:sz w:val="20"/>
                <w:szCs w:val="20"/>
              </w:rPr>
            </w:pPr>
            <w:r>
              <w:rPr>
                <w:rFonts w:ascii="Arial" w:hAnsi="Arial" w:cs="Arial"/>
                <w:sz w:val="20"/>
                <w:szCs w:val="20"/>
              </w:rPr>
              <w:t>50 000</w:t>
            </w:r>
          </w:p>
        </w:tc>
      </w:tr>
      <w:tr w:rsidR="0093368A" w:rsidRPr="00FF1FD6" w:rsidTr="00B93618">
        <w:trPr>
          <w:trHeight w:val="567"/>
        </w:trPr>
        <w:tc>
          <w:tcPr>
            <w:tcW w:w="6204" w:type="dxa"/>
            <w:vAlign w:val="center"/>
          </w:tcPr>
          <w:p w:rsidR="0093368A" w:rsidRPr="00D14866" w:rsidRDefault="0093368A" w:rsidP="00B93618">
            <w:pPr>
              <w:spacing w:before="60"/>
              <w:rPr>
                <w:rFonts w:ascii="Arial" w:hAnsi="Arial" w:cs="Arial"/>
                <w:i/>
                <w:sz w:val="16"/>
                <w:szCs w:val="16"/>
              </w:rPr>
            </w:pPr>
            <w:r>
              <w:rPr>
                <w:rFonts w:ascii="Arial" w:hAnsi="Arial" w:cs="Arial"/>
                <w:sz w:val="20"/>
                <w:szCs w:val="20"/>
              </w:rPr>
              <w:t xml:space="preserve">Service </w:t>
            </w:r>
            <w:r w:rsidRPr="005137D7">
              <w:rPr>
                <w:rFonts w:ascii="Arial" w:hAnsi="Arial" w:cs="Arial"/>
                <w:sz w:val="20"/>
                <w:szCs w:val="20"/>
              </w:rPr>
              <w:t>d’information sur les comptes</w:t>
            </w:r>
            <w:r>
              <w:rPr>
                <w:rFonts w:ascii="Arial" w:hAnsi="Arial" w:cs="Arial"/>
                <w:sz w:val="20"/>
                <w:szCs w:val="20"/>
              </w:rPr>
              <w:t xml:space="preserve"> de paiement -mentionné au 8° de l’article L. 314-1- exclusivement</w:t>
            </w:r>
          </w:p>
        </w:tc>
        <w:tc>
          <w:tcPr>
            <w:tcW w:w="2976" w:type="dxa"/>
          </w:tcPr>
          <w:p w:rsidR="0093368A" w:rsidRPr="00FF1FD6" w:rsidRDefault="0093368A" w:rsidP="00B93618">
            <w:pPr>
              <w:spacing w:before="120"/>
              <w:rPr>
                <w:rFonts w:ascii="Arial" w:hAnsi="Arial" w:cs="Arial"/>
                <w:sz w:val="20"/>
                <w:szCs w:val="20"/>
              </w:rPr>
            </w:pPr>
            <w:r>
              <w:rPr>
                <w:rFonts w:ascii="Arial" w:hAnsi="Arial" w:cs="Arial"/>
                <w:sz w:val="20"/>
                <w:szCs w:val="20"/>
              </w:rPr>
              <w:t>pas d’exigence</w:t>
            </w:r>
          </w:p>
        </w:tc>
      </w:tr>
      <w:tr w:rsidR="0093368A" w:rsidRPr="00FF1FD6" w:rsidTr="00B93618">
        <w:trPr>
          <w:trHeight w:val="567"/>
        </w:trPr>
        <w:tc>
          <w:tcPr>
            <w:tcW w:w="6204" w:type="dxa"/>
            <w:vAlign w:val="center"/>
          </w:tcPr>
          <w:p w:rsidR="0093368A" w:rsidRPr="00FF1FD6" w:rsidRDefault="0093368A" w:rsidP="00B93618">
            <w:pPr>
              <w:spacing w:before="60"/>
              <w:rPr>
                <w:rFonts w:ascii="Arial" w:hAnsi="Arial" w:cs="Arial"/>
                <w:sz w:val="20"/>
                <w:szCs w:val="20"/>
              </w:rPr>
            </w:pPr>
            <w:r w:rsidRPr="00FF1FD6">
              <w:rPr>
                <w:rFonts w:ascii="Arial" w:hAnsi="Arial" w:cs="Arial"/>
                <w:sz w:val="20"/>
                <w:szCs w:val="20"/>
              </w:rPr>
              <w:t>Autres services de paiement</w:t>
            </w:r>
          </w:p>
        </w:tc>
        <w:tc>
          <w:tcPr>
            <w:tcW w:w="2976" w:type="dxa"/>
          </w:tcPr>
          <w:p w:rsidR="0093368A" w:rsidRPr="00FF1FD6" w:rsidRDefault="0093368A" w:rsidP="00B93618">
            <w:pPr>
              <w:spacing w:before="120"/>
              <w:rPr>
                <w:rFonts w:ascii="Arial" w:hAnsi="Arial" w:cs="Arial"/>
                <w:sz w:val="20"/>
                <w:szCs w:val="20"/>
              </w:rPr>
            </w:pPr>
            <w:r w:rsidRPr="00FF1FD6">
              <w:rPr>
                <w:rFonts w:ascii="Arial" w:hAnsi="Arial" w:cs="Arial"/>
                <w:sz w:val="20"/>
                <w:szCs w:val="20"/>
              </w:rPr>
              <w:t>125</w:t>
            </w:r>
            <w:r>
              <w:rPr>
                <w:rFonts w:ascii="Arial" w:hAnsi="Arial" w:cs="Arial"/>
                <w:sz w:val="20"/>
                <w:szCs w:val="20"/>
              </w:rPr>
              <w:t> </w:t>
            </w:r>
            <w:r w:rsidRPr="00FF1FD6">
              <w:rPr>
                <w:rFonts w:ascii="Arial" w:hAnsi="Arial" w:cs="Arial"/>
                <w:sz w:val="20"/>
                <w:szCs w:val="20"/>
              </w:rPr>
              <w:t>000</w:t>
            </w:r>
          </w:p>
        </w:tc>
      </w:tr>
    </w:tbl>
    <w:p w:rsidR="0093368A" w:rsidRPr="00AB3231" w:rsidRDefault="0093368A" w:rsidP="00AB3231">
      <w:pPr>
        <w:rPr>
          <w:rFonts w:ascii="Arial" w:hAnsi="Arial" w:cs="Arial"/>
          <w:sz w:val="20"/>
          <w:szCs w:val="20"/>
        </w:rPr>
      </w:pPr>
    </w:p>
    <w:p w:rsidR="0093368A" w:rsidRPr="003B1354" w:rsidRDefault="0093368A" w:rsidP="0093368A">
      <w:pPr>
        <w:pStyle w:val="Titre2"/>
        <w:numPr>
          <w:ilvl w:val="0"/>
          <w:numId w:val="32"/>
        </w:numPr>
        <w:ind w:left="782" w:hanging="357"/>
      </w:pPr>
      <w:bookmarkStart w:id="14" w:name="_Toc507679356"/>
      <w:r>
        <w:t>E</w:t>
      </w:r>
      <w:r w:rsidRPr="003B1354">
        <w:t>xigences en fonds propres</w:t>
      </w:r>
      <w:r>
        <w:t xml:space="preserve"> prudentiels</w:t>
      </w:r>
      <w:bookmarkEnd w:id="14"/>
      <w:r w:rsidRPr="003B1354" w:rsidDel="00CA51E6">
        <w:t xml:space="preserve"> </w:t>
      </w:r>
    </w:p>
    <w:p w:rsidR="0093368A" w:rsidRDefault="0093368A" w:rsidP="0093368A">
      <w:pPr>
        <w:tabs>
          <w:tab w:val="left" w:pos="1418"/>
        </w:tabs>
        <w:rPr>
          <w:rFonts w:ascii="Arial" w:hAnsi="Arial" w:cs="Arial"/>
          <w:sz w:val="20"/>
          <w:szCs w:val="20"/>
        </w:rPr>
      </w:pPr>
    </w:p>
    <w:p w:rsidR="0093368A" w:rsidRPr="00F76D30" w:rsidRDefault="0093368A" w:rsidP="0093368A">
      <w:pPr>
        <w:pStyle w:val="Corpsdetexte2"/>
        <w:rPr>
          <w:u w:val="single"/>
        </w:rPr>
      </w:pPr>
      <w:r w:rsidRPr="00F76D30">
        <w:rPr>
          <w:u w:val="single"/>
        </w:rPr>
        <w:t>Sont concernés les établissements qui fourniront les services de paiement 1 à 6</w:t>
      </w:r>
    </w:p>
    <w:p w:rsidR="0093368A" w:rsidRPr="001363B8" w:rsidRDefault="0093368A" w:rsidP="0093368A">
      <w:pPr>
        <w:pStyle w:val="Corpsdetexte2"/>
      </w:pPr>
      <w:r w:rsidRPr="001363B8">
        <w:t xml:space="preserve">Une attention particulière sera portée </w:t>
      </w:r>
      <w:r>
        <w:t>sur</w:t>
      </w:r>
      <w:r w:rsidRPr="001363B8">
        <w:t xml:space="preserve"> l’estimation prévisionnelle du respect des normes de gestion applicables au demandeur en matière de solvabilité et d</w:t>
      </w:r>
      <w:r>
        <w:t>e</w:t>
      </w:r>
      <w:r w:rsidRPr="001363B8">
        <w:t xml:space="preserve"> calcul des exigences en fonds propres en </w:t>
      </w:r>
      <w:r w:rsidRPr="00890EF0">
        <w:t xml:space="preserve">application de </w:t>
      </w:r>
      <w:r w:rsidRPr="00F11A47">
        <w:t>l’arrêté du 29 octobre 2009 (article 29 et suivants</w:t>
      </w:r>
      <w:r w:rsidRPr="00890EF0">
        <w:t>). L’établissement doit choisir la</w:t>
      </w:r>
      <w:r>
        <w:t xml:space="preserve"> méthode qu’il souhaite utiliser, justifier son choix au regard des risques liés aux activités visées et enfin démontrer qu’il pourra appliquer la méthode :</w:t>
      </w:r>
    </w:p>
    <w:p w:rsidR="0093368A" w:rsidRDefault="0093368A" w:rsidP="00AB3231">
      <w:pPr>
        <w:pStyle w:val="Paragraphedeliste"/>
        <w:numPr>
          <w:ilvl w:val="1"/>
          <w:numId w:val="5"/>
        </w:numPr>
        <w:tabs>
          <w:tab w:val="left" w:pos="3402"/>
        </w:tabs>
        <w:ind w:left="1434" w:hanging="357"/>
        <w:jc w:val="both"/>
        <w:rPr>
          <w:rFonts w:ascii="Arial" w:hAnsi="Arial" w:cs="Arial"/>
          <w:sz w:val="20"/>
          <w:szCs w:val="20"/>
        </w:rPr>
      </w:pPr>
      <w:r>
        <w:rPr>
          <w:rFonts w:ascii="Arial" w:hAnsi="Arial" w:cs="Arial"/>
          <w:sz w:val="20"/>
          <w:szCs w:val="20"/>
        </w:rPr>
        <w:lastRenderedPageBreak/>
        <w:t>Méthode A</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00C68">
        <w:rPr>
          <w:rFonts w:ascii="Arial" w:hAnsi="Arial" w:cs="Arial"/>
          <w:sz w:val="20"/>
          <w:szCs w:val="20"/>
        </w:rPr>
      </w:r>
      <w:r w:rsidR="00800C68">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AB3231">
      <w:pPr>
        <w:pStyle w:val="Paragraphedeliste"/>
        <w:numPr>
          <w:ilvl w:val="1"/>
          <w:numId w:val="5"/>
        </w:numPr>
        <w:tabs>
          <w:tab w:val="left" w:pos="3402"/>
        </w:tabs>
        <w:ind w:left="1434" w:hanging="357"/>
        <w:jc w:val="both"/>
        <w:rPr>
          <w:rFonts w:ascii="Arial" w:hAnsi="Arial" w:cs="Arial"/>
          <w:sz w:val="20"/>
          <w:szCs w:val="20"/>
        </w:rPr>
      </w:pPr>
      <w:r>
        <w:rPr>
          <w:rFonts w:ascii="Arial" w:hAnsi="Arial" w:cs="Arial"/>
          <w:sz w:val="20"/>
          <w:szCs w:val="20"/>
        </w:rPr>
        <w:t>Méthode B</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00C68">
        <w:rPr>
          <w:rFonts w:ascii="Arial" w:hAnsi="Arial" w:cs="Arial"/>
          <w:sz w:val="20"/>
          <w:szCs w:val="20"/>
        </w:rPr>
      </w:r>
      <w:r w:rsidR="00800C68">
        <w:rPr>
          <w:rFonts w:ascii="Arial" w:hAnsi="Arial" w:cs="Arial"/>
          <w:sz w:val="20"/>
          <w:szCs w:val="20"/>
        </w:rPr>
        <w:fldChar w:fldCharType="separate"/>
      </w:r>
      <w:r w:rsidRPr="002F65F1">
        <w:rPr>
          <w:rFonts w:ascii="Arial" w:hAnsi="Arial" w:cs="Arial"/>
          <w:sz w:val="20"/>
          <w:szCs w:val="20"/>
        </w:rPr>
        <w:fldChar w:fldCharType="end"/>
      </w:r>
    </w:p>
    <w:p w:rsidR="0093368A" w:rsidRPr="00970E4B" w:rsidRDefault="0093368A" w:rsidP="00AB3231">
      <w:pPr>
        <w:pStyle w:val="Paragraphedeliste"/>
        <w:numPr>
          <w:ilvl w:val="1"/>
          <w:numId w:val="5"/>
        </w:numPr>
        <w:tabs>
          <w:tab w:val="left" w:pos="3402"/>
        </w:tabs>
        <w:ind w:left="1434" w:hanging="357"/>
        <w:jc w:val="both"/>
        <w:rPr>
          <w:rFonts w:ascii="Arial" w:hAnsi="Arial" w:cs="Arial"/>
          <w:sz w:val="20"/>
          <w:szCs w:val="20"/>
        </w:rPr>
      </w:pPr>
      <w:r>
        <w:rPr>
          <w:rFonts w:ascii="Arial" w:hAnsi="Arial" w:cs="Arial"/>
          <w:sz w:val="20"/>
          <w:szCs w:val="20"/>
        </w:rPr>
        <w:t>Méthode C</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00C68">
        <w:rPr>
          <w:rFonts w:ascii="Arial" w:hAnsi="Arial" w:cs="Arial"/>
          <w:sz w:val="20"/>
          <w:szCs w:val="20"/>
        </w:rPr>
      </w:r>
      <w:r w:rsidR="00800C68">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93368A">
      <w:pPr>
        <w:tabs>
          <w:tab w:val="left" w:pos="1418"/>
        </w:tabs>
        <w:jc w:val="both"/>
        <w:rPr>
          <w:rFonts w:ascii="Arial" w:hAnsi="Arial" w:cs="Arial"/>
          <w:sz w:val="20"/>
          <w:szCs w:val="20"/>
        </w:rPr>
      </w:pPr>
    </w:p>
    <w:p w:rsidR="0093368A" w:rsidRPr="00D723B8" w:rsidRDefault="0093368A" w:rsidP="0093368A">
      <w:pPr>
        <w:pStyle w:val="Paragraphedeliste"/>
        <w:numPr>
          <w:ilvl w:val="0"/>
          <w:numId w:val="8"/>
        </w:numPr>
        <w:tabs>
          <w:tab w:val="left" w:pos="1418"/>
        </w:tabs>
        <w:jc w:val="both"/>
        <w:rPr>
          <w:rFonts w:ascii="Arial" w:hAnsi="Arial" w:cs="Arial"/>
          <w:sz w:val="20"/>
          <w:szCs w:val="20"/>
        </w:rPr>
      </w:pPr>
      <w:r w:rsidRPr="00D723B8">
        <w:rPr>
          <w:rFonts w:ascii="Arial" w:hAnsi="Arial" w:cs="Arial"/>
          <w:sz w:val="20"/>
          <w:szCs w:val="20"/>
        </w:rPr>
        <w:t>Préciser la nature et la composition des fonds propres</w:t>
      </w:r>
      <w:r>
        <w:rPr>
          <w:rFonts w:ascii="Arial" w:hAnsi="Arial" w:cs="Arial"/>
          <w:sz w:val="20"/>
          <w:szCs w:val="20"/>
        </w:rPr>
        <w:t xml:space="preserve"> prudentiels</w:t>
      </w:r>
      <w:r>
        <w:rPr>
          <w:rStyle w:val="Appelnotedebasdep"/>
          <w:rFonts w:cs="Arial"/>
          <w:szCs w:val="20"/>
        </w:rPr>
        <w:footnoteReference w:id="3"/>
      </w:r>
      <w:r>
        <w:rPr>
          <w:rFonts w:ascii="Arial" w:hAnsi="Arial" w:cs="Arial"/>
          <w:sz w:val="20"/>
          <w:szCs w:val="20"/>
        </w:rPr>
        <w:t xml:space="preserve"> sur les trois exercices à venir.</w:t>
      </w:r>
    </w:p>
    <w:p w:rsidR="0093368A" w:rsidRPr="0022176C" w:rsidRDefault="0093368A" w:rsidP="0093368A">
      <w:pPr>
        <w:pStyle w:val="Paragraphedeliste"/>
        <w:numPr>
          <w:ilvl w:val="0"/>
          <w:numId w:val="8"/>
        </w:numPr>
        <w:tabs>
          <w:tab w:val="left" w:pos="1418"/>
        </w:tabs>
        <w:jc w:val="both"/>
        <w:rPr>
          <w:rFonts w:ascii="Arial" w:hAnsi="Arial" w:cs="Arial"/>
          <w:sz w:val="20"/>
          <w:szCs w:val="20"/>
        </w:rPr>
      </w:pPr>
      <w:r>
        <w:rPr>
          <w:rFonts w:ascii="Arial" w:hAnsi="Arial" w:cs="Arial"/>
          <w:sz w:val="20"/>
          <w:szCs w:val="20"/>
        </w:rPr>
        <w:t>Fournir une projection de l’évolution des exigences en fonds propres prudentiels sur trois ans au regard des trois méthodes de calcul pour calculer les exigences en fonds propres prudentiels en précisant, le cas échéant, les montants des fonds propres nécessaires relatifs aux opérations de crédit.</w:t>
      </w:r>
    </w:p>
    <w:p w:rsidR="0093368A" w:rsidRDefault="0093368A" w:rsidP="0093368A">
      <w:pPr>
        <w:tabs>
          <w:tab w:val="left" w:pos="1418"/>
        </w:tabs>
        <w:jc w:val="both"/>
        <w:rPr>
          <w:rFonts w:ascii="Arial" w:hAnsi="Arial" w:cs="Arial"/>
          <w:sz w:val="20"/>
          <w:szCs w:val="20"/>
        </w:rPr>
      </w:pPr>
    </w:p>
    <w:p w:rsidR="0093368A" w:rsidRPr="003B1354" w:rsidRDefault="0093368A" w:rsidP="0093368A">
      <w:pPr>
        <w:pStyle w:val="Titre2"/>
        <w:numPr>
          <w:ilvl w:val="0"/>
          <w:numId w:val="32"/>
        </w:numPr>
        <w:ind w:left="782" w:hanging="357"/>
      </w:pPr>
      <w:bookmarkStart w:id="15" w:name="_Toc507679357"/>
      <w:r w:rsidRPr="003B1354">
        <w:t>Protection des fonds collectés</w:t>
      </w:r>
      <w:bookmarkEnd w:id="15"/>
    </w:p>
    <w:p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890EF0">
        <w:rPr>
          <w:rFonts w:ascii="Arial" w:hAnsi="Arial" w:cs="Arial"/>
          <w:i/>
          <w:sz w:val="20"/>
          <w:szCs w:val="20"/>
        </w:rPr>
        <w:t xml:space="preserve">(Article </w:t>
      </w:r>
      <w:r w:rsidRPr="00F11A47">
        <w:rPr>
          <w:rFonts w:ascii="Arial" w:hAnsi="Arial" w:cs="Arial"/>
          <w:i/>
          <w:sz w:val="20"/>
          <w:szCs w:val="20"/>
        </w:rPr>
        <w:t>L. 522-17</w:t>
      </w:r>
      <w:r w:rsidRPr="00890EF0">
        <w:rPr>
          <w:rFonts w:ascii="Arial" w:hAnsi="Arial" w:cs="Arial"/>
          <w:i/>
          <w:sz w:val="20"/>
          <w:szCs w:val="20"/>
        </w:rPr>
        <w:t xml:space="preserve"> du Code monétaire et financier)</w:t>
      </w:r>
    </w:p>
    <w:p w:rsidR="0093368A" w:rsidRDefault="0093368A" w:rsidP="0093368A">
      <w:pPr>
        <w:pStyle w:val="Corpsdetexte2"/>
      </w:pPr>
    </w:p>
    <w:p w:rsidR="0093368A" w:rsidRPr="00F76D30" w:rsidRDefault="0093368A" w:rsidP="0093368A">
      <w:pPr>
        <w:pStyle w:val="Corpsdetexte2"/>
        <w:rPr>
          <w:u w:val="single"/>
        </w:rPr>
      </w:pPr>
      <w:r w:rsidRPr="00F76D30">
        <w:rPr>
          <w:u w:val="single"/>
        </w:rPr>
        <w:t>Sont concernés les établissements qui fourniront les services de paiement 1 à 6.</w:t>
      </w:r>
    </w:p>
    <w:p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de services de paiement directement ou par le biais d’un autre prestataire de services de paiement pour le compte des utilisateurs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rsidR="0093368A" w:rsidRDefault="0093368A" w:rsidP="0093368A">
      <w:pPr>
        <w:tabs>
          <w:tab w:val="left" w:pos="1418"/>
        </w:tabs>
        <w:rPr>
          <w:rFonts w:ascii="Arial" w:hAnsi="Arial" w:cs="Arial"/>
          <w:sz w:val="20"/>
          <w:szCs w:val="20"/>
        </w:rPr>
      </w:pPr>
    </w:p>
    <w:p w:rsidR="0093368A" w:rsidRPr="001363B8" w:rsidRDefault="0093368A" w:rsidP="00E73F49">
      <w:pPr>
        <w:pStyle w:val="Paragraphedeliste"/>
        <w:numPr>
          <w:ilvl w:val="0"/>
          <w:numId w:val="6"/>
        </w:numPr>
        <w:tabs>
          <w:tab w:val="left" w:pos="1418"/>
          <w:tab w:val="left" w:pos="6237"/>
        </w:tabs>
        <w:ind w:left="714" w:hanging="357"/>
        <w:rPr>
          <w:rFonts w:ascii="Arial" w:hAnsi="Arial" w:cs="Arial"/>
          <w:b/>
          <w:sz w:val="20"/>
          <w:szCs w:val="20"/>
        </w:rPr>
      </w:pPr>
      <w:r w:rsidRPr="001363B8">
        <w:rPr>
          <w:rFonts w:ascii="Arial" w:hAnsi="Arial" w:cs="Arial"/>
          <w:b/>
          <w:sz w:val="20"/>
          <w:szCs w:val="20"/>
        </w:rPr>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00C68">
        <w:rPr>
          <w:rFonts w:ascii="Arial" w:hAnsi="Arial" w:cs="Arial"/>
          <w:sz w:val="20"/>
          <w:szCs w:val="20"/>
        </w:rPr>
      </w:r>
      <w:r w:rsidR="00800C68">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E73F49">
      <w:pPr>
        <w:tabs>
          <w:tab w:val="left" w:pos="709"/>
        </w:tabs>
        <w:jc w:val="both"/>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 34 de l’arrêté du 29 octobre 2009)</w:t>
      </w:r>
    </w:p>
    <w:p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rsidR="0093368A" w:rsidRDefault="0093368A" w:rsidP="0093368A">
      <w:pPr>
        <w:tabs>
          <w:tab w:val="left" w:pos="1418"/>
        </w:tabs>
        <w:jc w:val="both"/>
        <w:rPr>
          <w:rFonts w:ascii="Arial" w:hAnsi="Arial" w:cs="Arial"/>
          <w:sz w:val="20"/>
          <w:szCs w:val="20"/>
        </w:rPr>
      </w:pPr>
      <w:r>
        <w:rPr>
          <w:rFonts w:ascii="Arial" w:hAnsi="Arial" w:cs="Arial"/>
          <w:sz w:val="20"/>
          <w:szCs w:val="20"/>
        </w:rPr>
        <w:t>Il devra préciser le nombre de personnes ayant accès au compte de cantonnement ainsi qu’une description du processus d’administration et de rapprochement du compte de cantonnement permettant de garantir que, dans l’intérêt des utilisateurs des services de paiement, les fonds sont soustraits aux recours d’autres créanciers de l’établissement de paiement, notamment en cas d’insolvabilité.</w:t>
      </w:r>
    </w:p>
    <w:p w:rsidR="0093368A" w:rsidRDefault="0093368A" w:rsidP="0093368A">
      <w:pPr>
        <w:tabs>
          <w:tab w:val="left" w:pos="1418"/>
        </w:tabs>
        <w:jc w:val="both"/>
        <w:rPr>
          <w:rFonts w:ascii="Arial" w:hAnsi="Arial" w:cs="Arial"/>
          <w:sz w:val="20"/>
          <w:szCs w:val="20"/>
        </w:rPr>
      </w:pPr>
    </w:p>
    <w:p w:rsidR="0093368A" w:rsidRPr="00D56F36" w:rsidRDefault="0093368A" w:rsidP="00546E4D">
      <w:pPr>
        <w:pStyle w:val="Paragraphedeliste"/>
        <w:numPr>
          <w:ilvl w:val="0"/>
          <w:numId w:val="6"/>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00C68">
        <w:rPr>
          <w:rFonts w:ascii="Arial" w:hAnsi="Arial" w:cs="Arial"/>
          <w:sz w:val="20"/>
          <w:szCs w:val="20"/>
        </w:rPr>
      </w:r>
      <w:r w:rsidR="00800C68">
        <w:rPr>
          <w:rFonts w:ascii="Arial" w:hAnsi="Arial" w:cs="Arial"/>
          <w:sz w:val="20"/>
          <w:szCs w:val="20"/>
        </w:rPr>
        <w:fldChar w:fldCharType="separate"/>
      </w:r>
      <w:r w:rsidRPr="002F65F1">
        <w:rPr>
          <w:rFonts w:ascii="Arial" w:hAnsi="Arial" w:cs="Arial"/>
          <w:sz w:val="20"/>
          <w:szCs w:val="20"/>
        </w:rPr>
        <w:fldChar w:fldCharType="end"/>
      </w:r>
    </w:p>
    <w:p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 35 de l’arrêté du 29 octobre 2009</w:t>
      </w:r>
      <w:r>
        <w:rPr>
          <w:rFonts w:ascii="Arial" w:hAnsi="Arial" w:cs="Arial"/>
          <w:i/>
          <w:sz w:val="20"/>
          <w:szCs w:val="20"/>
        </w:rPr>
        <w:t>/modèle en annexe de l’arrêté</w:t>
      </w:r>
      <w:r w:rsidRPr="00D56F36">
        <w:rPr>
          <w:rFonts w:ascii="Arial" w:hAnsi="Arial" w:cs="Arial"/>
          <w:i/>
          <w:sz w:val="20"/>
          <w:szCs w:val="20"/>
        </w:rPr>
        <w:t>)</w:t>
      </w:r>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 xml:space="preserve">soit d’un engagement écrit d’un établissement de crédit habilité n’appartenant pas au même groupe que l’établissement, </w:t>
      </w:r>
    </w:p>
    <w:p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soit d’un engagement écrit d’une entreprise d’assurance habilitée à cet effet n’appartenant pas au même groupe que l’établissement.</w:t>
      </w:r>
      <w:r w:rsidRPr="006A5378">
        <w:rPr>
          <w:rFonts w:ascii="Arial" w:hAnsi="Arial" w:cs="Arial"/>
          <w:sz w:val="20"/>
          <w:szCs w:val="20"/>
        </w:rPr>
        <w:t xml:space="preserve"> </w:t>
      </w:r>
    </w:p>
    <w:p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rsidR="0093368A" w:rsidRDefault="0093368A" w:rsidP="0093368A">
      <w:pPr>
        <w:spacing w:after="200"/>
        <w:rPr>
          <w:rFonts w:ascii="Arial" w:hAnsi="Arial" w:cs="Arial"/>
          <w:sz w:val="20"/>
          <w:szCs w:val="20"/>
        </w:rPr>
      </w:pPr>
    </w:p>
    <w:p w:rsidR="0093368A" w:rsidRDefault="0093368A" w:rsidP="0093368A">
      <w:pPr>
        <w:pStyle w:val="Titre2"/>
        <w:numPr>
          <w:ilvl w:val="0"/>
          <w:numId w:val="32"/>
        </w:numPr>
        <w:ind w:left="782" w:hanging="357"/>
      </w:pPr>
      <w:bookmarkStart w:id="16" w:name="_Toc507679358"/>
      <w:r>
        <w:t>Assurance responsabilité civile professionnelle</w:t>
      </w:r>
      <w:bookmarkEnd w:id="16"/>
    </w:p>
    <w:p w:rsidR="0060241A" w:rsidRPr="001F5225" w:rsidRDefault="0060241A" w:rsidP="001F5225">
      <w:pPr>
        <w:tabs>
          <w:tab w:val="left" w:pos="709"/>
          <w:tab w:val="left" w:pos="1418"/>
        </w:tabs>
        <w:rPr>
          <w:rFonts w:ascii="Arial" w:hAnsi="Arial" w:cs="Arial"/>
          <w:i/>
          <w:sz w:val="20"/>
          <w:szCs w:val="20"/>
        </w:rPr>
      </w:pPr>
      <w:r w:rsidRPr="001F5225">
        <w:rPr>
          <w:rFonts w:ascii="Arial" w:hAnsi="Arial" w:cs="Arial"/>
          <w:i/>
          <w:sz w:val="20"/>
          <w:szCs w:val="20"/>
        </w:rPr>
        <w:t xml:space="preserve">(Article </w:t>
      </w:r>
      <w:r>
        <w:rPr>
          <w:rFonts w:ascii="Arial" w:hAnsi="Arial" w:cs="Arial"/>
          <w:i/>
          <w:sz w:val="20"/>
          <w:szCs w:val="20"/>
        </w:rPr>
        <w:t>5.1</w:t>
      </w:r>
      <w:r w:rsidRPr="001F5225">
        <w:rPr>
          <w:rFonts w:ascii="Arial" w:hAnsi="Arial" w:cs="Arial"/>
          <w:i/>
          <w:sz w:val="20"/>
          <w:szCs w:val="20"/>
        </w:rPr>
        <w:t xml:space="preserve"> </w:t>
      </w:r>
      <w:r w:rsidR="003E3541">
        <w:rPr>
          <w:rFonts w:ascii="Arial" w:hAnsi="Arial" w:cs="Arial"/>
          <w:i/>
          <w:sz w:val="20"/>
          <w:szCs w:val="20"/>
        </w:rPr>
        <w:t xml:space="preserve">et 5.2 </w:t>
      </w:r>
      <w:r>
        <w:rPr>
          <w:rFonts w:ascii="Arial" w:hAnsi="Arial" w:cs="Arial"/>
          <w:i/>
          <w:sz w:val="20"/>
          <w:szCs w:val="20"/>
        </w:rPr>
        <w:t>de l’arrêté du 29 octobre 2009)</w:t>
      </w:r>
    </w:p>
    <w:p w:rsidR="0060241A" w:rsidRDefault="0060241A" w:rsidP="0093368A">
      <w:pPr>
        <w:pStyle w:val="Corpsdetexte2"/>
      </w:pPr>
    </w:p>
    <w:p w:rsidR="0093368A" w:rsidRPr="00F76D30" w:rsidRDefault="0093368A" w:rsidP="0093368A">
      <w:pPr>
        <w:pStyle w:val="Corpsdetexte2"/>
        <w:rPr>
          <w:u w:val="single"/>
        </w:rPr>
      </w:pPr>
      <w:r w:rsidRPr="00F76D30">
        <w:rPr>
          <w:u w:val="single"/>
        </w:rPr>
        <w:t>Sont concernés les établissements qui fourniront les services de paiement 7 et/ou 8</w:t>
      </w:r>
      <w:r>
        <w:rPr>
          <w:u w:val="single"/>
        </w:rPr>
        <w:t xml:space="preserve"> (</w:t>
      </w:r>
      <w:r w:rsidR="00DC1D6A">
        <w:rPr>
          <w:u w:val="single"/>
        </w:rPr>
        <w:t>article L. 314-1 du Code monétaire et financier</w:t>
      </w:r>
      <w:r>
        <w:rPr>
          <w:u w:val="single"/>
        </w:rPr>
        <w:t>)</w:t>
      </w:r>
      <w:r w:rsidRPr="00F76D30">
        <w:rPr>
          <w:u w:val="single"/>
        </w:rPr>
        <w:t>.</w:t>
      </w:r>
    </w:p>
    <w:p w:rsidR="00D97723" w:rsidRDefault="0093368A" w:rsidP="0093368A">
      <w:pPr>
        <w:pStyle w:val="Corpsdetexte2"/>
      </w:pPr>
      <w:r w:rsidRPr="001363B8">
        <w:t xml:space="preserve">Une attention particulière sera portée </w:t>
      </w:r>
      <w:r>
        <w:t>sur</w:t>
      </w:r>
      <w:r w:rsidRPr="001363B8">
        <w:t xml:space="preserve"> l’estimation </w:t>
      </w:r>
      <w:r>
        <w:t>des éléments à prendre en compte dans les formules de calcul.</w:t>
      </w:r>
      <w:r w:rsidR="00890EF0">
        <w:t xml:space="preserve"> </w:t>
      </w:r>
      <w:r>
        <w:t>Le projet de contrat devra être joint au dossier.</w:t>
      </w:r>
    </w:p>
    <w:p w:rsidR="00D97723" w:rsidRDefault="00D97723">
      <w:pPr>
        <w:spacing w:after="200"/>
        <w:rPr>
          <w:rFonts w:ascii="Arial" w:hAnsi="Arial" w:cs="Arial"/>
          <w:sz w:val="20"/>
          <w:szCs w:val="20"/>
        </w:rPr>
      </w:pPr>
      <w:r>
        <w:br w:type="page"/>
      </w:r>
    </w:p>
    <w:p w:rsidR="0093368A" w:rsidRPr="00F14B4B" w:rsidRDefault="0093368A" w:rsidP="0093368A">
      <w:pPr>
        <w:pStyle w:val="Titre1"/>
      </w:pPr>
      <w:bookmarkStart w:id="17" w:name="_Toc507679359"/>
      <w:r w:rsidRPr="00F14B4B">
        <w:lastRenderedPageBreak/>
        <w:t>Structure organisationnelle et mécanisme de contrôle interne</w:t>
      </w:r>
      <w:bookmarkEnd w:id="17"/>
    </w:p>
    <w:p w:rsidR="0093368A" w:rsidRDefault="0093368A" w:rsidP="0093368A">
      <w:pPr>
        <w:tabs>
          <w:tab w:val="left" w:pos="1418"/>
        </w:tabs>
        <w:rPr>
          <w:rFonts w:ascii="Arial" w:hAnsi="Arial" w:cs="Arial"/>
          <w:sz w:val="20"/>
          <w:szCs w:val="20"/>
        </w:rPr>
      </w:pPr>
    </w:p>
    <w:p w:rsidR="0093368A" w:rsidRPr="00F14B4B" w:rsidRDefault="0093368A" w:rsidP="0093368A">
      <w:pPr>
        <w:pStyle w:val="Titre2"/>
        <w:numPr>
          <w:ilvl w:val="2"/>
          <w:numId w:val="13"/>
        </w:numPr>
        <w:ind w:left="782" w:hanging="357"/>
      </w:pPr>
      <w:bookmarkStart w:id="18" w:name="_Toc507679360"/>
      <w:r w:rsidRPr="00F14B4B">
        <w:t>Structure organisationnelle</w:t>
      </w:r>
      <w:bookmarkEnd w:id="18"/>
    </w:p>
    <w:p w:rsidR="0093368A" w:rsidRDefault="0093368A" w:rsidP="0093368A">
      <w:pPr>
        <w:tabs>
          <w:tab w:val="left" w:pos="1418"/>
        </w:tabs>
        <w:jc w:val="both"/>
        <w:rPr>
          <w:rFonts w:ascii="Arial" w:hAnsi="Arial" w:cs="Arial"/>
          <w:sz w:val="20"/>
          <w:szCs w:val="20"/>
        </w:rPr>
      </w:pPr>
    </w:p>
    <w:p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rsidR="0093368A" w:rsidRDefault="0093368A" w:rsidP="0093368A">
      <w:pPr>
        <w:tabs>
          <w:tab w:val="left" w:pos="1418"/>
        </w:tabs>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rsidR="0093368A" w:rsidRPr="00A63F42" w:rsidRDefault="0093368A" w:rsidP="0093368A">
      <w:pPr>
        <w:pStyle w:val="Paragraphedeliste"/>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de services de paiement,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 et le recours aux agents de services de paiement.</w:t>
      </w:r>
    </w:p>
    <w:p w:rsidR="0093368A" w:rsidRPr="0048236B" w:rsidRDefault="0093368A" w:rsidP="0093368A">
      <w:pPr>
        <w:pStyle w:val="Paragraphedeliste"/>
        <w:rPr>
          <w:rFonts w:ascii="Arial" w:hAnsi="Arial" w:cs="Arial"/>
          <w:sz w:val="20"/>
          <w:szCs w:val="20"/>
        </w:rPr>
      </w:pP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 ; et (ii) les autres opérations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4"/>
      </w:r>
      <w:r>
        <w:rPr>
          <w:rFonts w:ascii="Arial" w:hAnsi="Arial" w:cs="Arial"/>
          <w:sz w:val="20"/>
          <w:szCs w:val="20"/>
        </w:rPr>
        <w:t>.</w:t>
      </w:r>
    </w:p>
    <w:p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rsidR="0093368A" w:rsidRDefault="0093368A" w:rsidP="0093368A">
      <w:pPr>
        <w:tabs>
          <w:tab w:val="left" w:pos="1418"/>
        </w:tabs>
        <w:jc w:val="both"/>
        <w:rPr>
          <w:rFonts w:ascii="Arial" w:hAnsi="Arial" w:cs="Arial"/>
          <w:sz w:val="20"/>
          <w:szCs w:val="20"/>
        </w:rPr>
      </w:pPr>
    </w:p>
    <w:p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Une indication du système de paiement national / international, si applicable, auquel le requérant participera directement ou pas.</w:t>
      </w:r>
    </w:p>
    <w:p w:rsidR="0093368A" w:rsidRDefault="0093368A" w:rsidP="0093368A">
      <w:pPr>
        <w:pStyle w:val="Paragraphedeliste"/>
        <w:tabs>
          <w:tab w:val="left" w:pos="1418"/>
        </w:tabs>
        <w:jc w:val="both"/>
        <w:rPr>
          <w:rFonts w:ascii="Arial" w:hAnsi="Arial" w:cs="Arial"/>
          <w:sz w:val="20"/>
          <w:szCs w:val="20"/>
        </w:rPr>
      </w:pPr>
    </w:p>
    <w:p w:rsidR="0093368A" w:rsidRDefault="0093368A" w:rsidP="00A86235">
      <w:pPr>
        <w:pStyle w:val="Paragraphedeliste"/>
        <w:numPr>
          <w:ilvl w:val="0"/>
          <w:numId w:val="9"/>
        </w:numPr>
        <w:tabs>
          <w:tab w:val="left" w:pos="1418"/>
        </w:tabs>
        <w:jc w:val="both"/>
        <w:rPr>
          <w:rFonts w:ascii="Arial" w:hAnsi="Arial" w:cs="Arial"/>
          <w:sz w:val="20"/>
          <w:szCs w:val="20"/>
        </w:rPr>
      </w:pPr>
      <w:r w:rsidRPr="00C24395">
        <w:rPr>
          <w:rFonts w:ascii="Arial" w:hAnsi="Arial" w:cs="Arial"/>
          <w:sz w:val="20"/>
          <w:szCs w:val="20"/>
        </w:rPr>
        <w:t>L’identité du ou des commissaires aux comptes (CAC) (nom et adresse).</w:t>
      </w:r>
    </w:p>
    <w:p w:rsidR="00A86235" w:rsidRPr="00A86235" w:rsidRDefault="00A86235" w:rsidP="00A86235">
      <w:pPr>
        <w:pStyle w:val="Paragraphedeliste"/>
        <w:rPr>
          <w:rFonts w:ascii="Arial" w:hAnsi="Arial" w:cs="Arial"/>
          <w:sz w:val="20"/>
          <w:szCs w:val="20"/>
        </w:rPr>
      </w:pPr>
    </w:p>
    <w:p w:rsidR="0093368A" w:rsidRPr="00601E1C" w:rsidRDefault="0093368A" w:rsidP="0093368A">
      <w:pPr>
        <w:pStyle w:val="Titre2"/>
        <w:numPr>
          <w:ilvl w:val="2"/>
          <w:numId w:val="13"/>
        </w:numPr>
        <w:ind w:left="782" w:hanging="357"/>
      </w:pPr>
      <w:bookmarkStart w:id="19" w:name="_Toc507679361"/>
      <w:r w:rsidRPr="00601E1C">
        <w:t>Mécanismes de contrôle interne</w:t>
      </w:r>
      <w:bookmarkEnd w:id="19"/>
    </w:p>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B93618">
            <w:pPr>
              <w:rPr>
                <w:rFonts w:ascii="Arial" w:hAnsi="Arial" w:cs="Arial"/>
                <w:sz w:val="20"/>
              </w:rPr>
            </w:pPr>
            <w:r w:rsidRPr="00F44311">
              <w:rPr>
                <w:rFonts w:ascii="Arial" w:hAnsi="Arial" w:cs="Arial"/>
                <w:b/>
                <w:sz w:val="20"/>
              </w:rPr>
              <w:t>Nom du responsable du contrôle permanent</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16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Nom du responsable du contrôle de la conformité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28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 xml:space="preserve">Nom du responsable du </w:t>
            </w:r>
            <w:r>
              <w:rPr>
                <w:rFonts w:ascii="Arial" w:hAnsi="Arial" w:cs="Arial"/>
                <w:b/>
                <w:sz w:val="20"/>
              </w:rPr>
              <w:t>contrôle périodique</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w:t>
      </w:r>
      <w:r w:rsidRPr="00F44311">
        <w:rPr>
          <w:rFonts w:ascii="Arial" w:hAnsi="Arial" w:cs="Arial"/>
          <w:i/>
          <w:sz w:val="20"/>
          <w:szCs w:val="20"/>
        </w:rPr>
        <w:t xml:space="preserve"> de l’arrêté du 03 novembre 2014</w:t>
      </w:r>
      <w:r>
        <w:rPr>
          <w:rFonts w:ascii="Arial" w:hAnsi="Arial" w:cs="Arial"/>
          <w:sz w:val="20"/>
          <w:szCs w:val="20"/>
        </w:rPr>
        <w:t>)</w:t>
      </w:r>
    </w:p>
    <w:p w:rsidR="0093368A" w:rsidRDefault="0093368A" w:rsidP="0093368A">
      <w:pPr>
        <w:pStyle w:val="Pieddepage"/>
        <w:rPr>
          <w:rFonts w:ascii="Arial" w:hAnsi="Arial" w:cs="Arial"/>
          <w:b/>
          <w:sz w:val="20"/>
          <w:szCs w:val="20"/>
        </w:rPr>
      </w:pPr>
    </w:p>
    <w:p w:rsidR="0093368A" w:rsidRPr="00214E60" w:rsidRDefault="0093368A" w:rsidP="0093368A">
      <w:pPr>
        <w:pStyle w:val="Pieddepage"/>
        <w:rPr>
          <w:rFonts w:ascii="Arial" w:hAnsi="Arial" w:cs="Arial"/>
          <w:b/>
          <w:sz w:val="20"/>
          <w:szCs w:val="20"/>
        </w:rPr>
      </w:pPr>
      <w:r w:rsidRPr="00214E60">
        <w:rPr>
          <w:rFonts w:ascii="Arial" w:hAnsi="Arial" w:cs="Arial"/>
          <w:b/>
          <w:sz w:val="20"/>
          <w:szCs w:val="20"/>
        </w:rPr>
        <w:t>(1) Joindre un CV actualisé</w:t>
      </w:r>
    </w:p>
    <w:p w:rsidR="0093368A" w:rsidRDefault="0093368A" w:rsidP="0093368A">
      <w:pPr>
        <w:tabs>
          <w:tab w:val="left" w:pos="1418"/>
        </w:tabs>
        <w:jc w:val="both"/>
        <w:rPr>
          <w:rFonts w:ascii="Arial" w:hAnsi="Arial" w:cs="Arial"/>
          <w:b/>
          <w:sz w:val="20"/>
          <w:szCs w:val="20"/>
        </w:rPr>
      </w:pPr>
    </w:p>
    <w:p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des risques</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00C68">
        <w:rPr>
          <w:rFonts w:ascii="Arial" w:hAnsi="Arial" w:cs="Arial"/>
          <w:sz w:val="20"/>
          <w:szCs w:val="20"/>
        </w:rPr>
      </w:r>
      <w:r w:rsidR="00800C68">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00C68">
        <w:rPr>
          <w:rFonts w:ascii="Arial" w:hAnsi="Arial" w:cs="Arial"/>
          <w:sz w:val="20"/>
          <w:szCs w:val="20"/>
        </w:rPr>
      </w:r>
      <w:r w:rsidR="00800C68">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rsidR="0093368A" w:rsidRDefault="0093368A" w:rsidP="0093368A">
      <w:pPr>
        <w:tabs>
          <w:tab w:val="left" w:pos="1418"/>
        </w:tabs>
        <w:jc w:val="both"/>
        <w:rPr>
          <w:rFonts w:ascii="Arial" w:hAnsi="Arial" w:cs="Arial"/>
          <w:sz w:val="20"/>
          <w:szCs w:val="20"/>
        </w:rPr>
      </w:pPr>
    </w:p>
    <w:p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lastRenderedPageBreak/>
        <w:t>Comité d’audit</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00C68">
        <w:rPr>
          <w:rFonts w:ascii="Arial" w:hAnsi="Arial" w:cs="Arial"/>
          <w:sz w:val="20"/>
          <w:szCs w:val="20"/>
        </w:rPr>
      </w:r>
      <w:r w:rsidR="00800C68">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800C68">
        <w:rPr>
          <w:rFonts w:ascii="Arial" w:hAnsi="Arial" w:cs="Arial"/>
          <w:sz w:val="20"/>
          <w:szCs w:val="20"/>
        </w:rPr>
      </w:r>
      <w:r w:rsidR="00800C68">
        <w:rPr>
          <w:rFonts w:ascii="Arial" w:hAnsi="Arial" w:cs="Arial"/>
          <w:sz w:val="20"/>
          <w:szCs w:val="20"/>
        </w:rPr>
        <w:fldChar w:fldCharType="separate"/>
      </w:r>
      <w:r w:rsidRPr="002F65F1">
        <w:rPr>
          <w:rFonts w:ascii="Arial" w:hAnsi="Arial" w:cs="Arial"/>
          <w:sz w:val="20"/>
          <w:szCs w:val="20"/>
        </w:rPr>
        <w:fldChar w:fldCharType="end"/>
      </w:r>
    </w:p>
    <w:p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rsidR="0093368A" w:rsidRDefault="0093368A"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complète qui précise l’ensemble des risques potentiels identifiés et les mesures que l’établissement mettra en œuvre pour surveiller et prévenir ces risques</w:t>
      </w:r>
      <w:r>
        <w:rPr>
          <w:rFonts w:ascii="Arial" w:hAnsi="Arial" w:cs="Arial"/>
          <w:sz w:val="20"/>
          <w:szCs w:val="20"/>
        </w:rPr>
        <w:t xml:space="preserve">. Si l’établissement envisage d’octroyer des crédits dans le cadre de la fourniture des services de paiement, la politique de crédit et le dispositif spécifique de suivi du risque de crédit devra être présenté. </w:t>
      </w:r>
    </w:p>
    <w:p w:rsidR="0093368A" w:rsidRDefault="0093368A" w:rsidP="0093368A">
      <w:pPr>
        <w:tabs>
          <w:tab w:val="left" w:pos="1418"/>
        </w:tabs>
        <w:spacing w:line="240" w:lineRule="auto"/>
        <w:jc w:val="both"/>
        <w:rPr>
          <w:rFonts w:ascii="Arial" w:hAnsi="Arial" w:cs="Arial"/>
          <w:sz w:val="20"/>
          <w:szCs w:val="20"/>
        </w:rPr>
      </w:pPr>
    </w:p>
    <w:p w:rsidR="0093368A" w:rsidRPr="00834126" w:rsidRDefault="0093368A" w:rsidP="0093368A">
      <w:pPr>
        <w:tabs>
          <w:tab w:val="left" w:pos="1418"/>
        </w:tabs>
        <w:spacing w:line="240" w:lineRule="auto"/>
        <w:jc w:val="both"/>
        <w:rPr>
          <w:rFonts w:ascii="Arial" w:hAnsi="Arial" w:cs="Arial"/>
          <w:sz w:val="20"/>
          <w:szCs w:val="20"/>
        </w:rPr>
      </w:pPr>
      <w:r w:rsidRPr="00834126">
        <w:rPr>
          <w:rFonts w:ascii="Arial" w:hAnsi="Arial" w:cs="Arial"/>
          <w:sz w:val="20"/>
          <w:szCs w:val="20"/>
        </w:rPr>
        <w:t>-</w:t>
      </w:r>
      <w:r>
        <w:rPr>
          <w:rFonts w:ascii="Arial" w:hAnsi="Arial" w:cs="Arial"/>
          <w:sz w:val="20"/>
          <w:szCs w:val="20"/>
        </w:rPr>
        <w:t xml:space="preserve"> </w:t>
      </w:r>
      <w:r w:rsidRPr="00834126">
        <w:rPr>
          <w:rFonts w:ascii="Arial" w:hAnsi="Arial" w:cs="Arial"/>
          <w:sz w:val="20"/>
          <w:szCs w:val="20"/>
        </w:rPr>
        <w:t>Fournir l’évolution prévisionnelle de l’effectif dédié au contrôle interne de l’entreprise sur les 3 premières années et de la masse salariale correspondante, en montrant son adaptation à la nature, au volume et aux risques des opérations projetées.</w:t>
      </w:r>
    </w:p>
    <w:p w:rsidR="0093368A"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Préciser notamment les procédures de contrôle de 1</w:t>
      </w:r>
      <w:r w:rsidRPr="00011F7B">
        <w:rPr>
          <w:rFonts w:ascii="Arial" w:hAnsi="Arial" w:cs="Arial"/>
          <w:sz w:val="20"/>
          <w:szCs w:val="20"/>
          <w:vertAlign w:val="superscript"/>
        </w:rPr>
        <w:t>er</w:t>
      </w:r>
      <w:r w:rsidRPr="00011F7B">
        <w:rPr>
          <w:rFonts w:ascii="Arial" w:hAnsi="Arial" w:cs="Arial"/>
          <w:sz w:val="20"/>
          <w:szCs w:val="20"/>
        </w:rPr>
        <w:t> et 2</w:t>
      </w:r>
      <w:r w:rsidRPr="00011F7B">
        <w:rPr>
          <w:rFonts w:ascii="Arial" w:hAnsi="Arial" w:cs="Arial"/>
          <w:sz w:val="20"/>
          <w:szCs w:val="20"/>
          <w:vertAlign w:val="superscript"/>
        </w:rPr>
        <w:t>e</w:t>
      </w:r>
      <w:r w:rsidRPr="00011F7B">
        <w:rPr>
          <w:rFonts w:ascii="Arial" w:hAnsi="Arial" w:cs="Arial"/>
          <w:sz w:val="20"/>
          <w:szCs w:val="20"/>
        </w:rPr>
        <w:t xml:space="preserve"> niveau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intégrant la fréquence des contrôles et les systèmes de reporting</w:t>
      </w:r>
      <w:r w:rsidRPr="00011F7B">
        <w:rPr>
          <w:rFonts w:ascii="Arial" w:hAnsi="Arial" w:cs="Arial"/>
          <w:sz w:val="20"/>
          <w:szCs w:val="20"/>
        </w:rPr>
        <w:t>.</w:t>
      </w:r>
    </w:p>
    <w:p w:rsidR="0093368A" w:rsidRDefault="0093368A" w:rsidP="0093368A">
      <w:pPr>
        <w:spacing w:line="240" w:lineRule="auto"/>
        <w:jc w:val="both"/>
        <w:rPr>
          <w:rFonts w:ascii="Arial" w:hAnsi="Arial" w:cs="Arial"/>
          <w:sz w:val="20"/>
          <w:szCs w:val="20"/>
        </w:rPr>
      </w:pPr>
    </w:p>
    <w:p w:rsidR="0093368A" w:rsidRPr="00771E47" w:rsidRDefault="0093368A" w:rsidP="0093368A">
      <w:pPr>
        <w:tabs>
          <w:tab w:val="left" w:pos="1418"/>
        </w:tabs>
        <w:spacing w:line="240" w:lineRule="auto"/>
        <w:jc w:val="both"/>
        <w:rPr>
          <w:rFonts w:ascii="Arial" w:hAnsi="Arial" w:cs="Arial"/>
          <w:sz w:val="20"/>
          <w:szCs w:val="20"/>
        </w:rPr>
      </w:pPr>
      <w:r>
        <w:rPr>
          <w:rFonts w:ascii="Arial" w:hAnsi="Arial" w:cs="Arial"/>
          <w:sz w:val="20"/>
          <w:szCs w:val="20"/>
        </w:rPr>
        <w:t>- Préciser les procédures comptables au moyen desquelles l’entreprise enregistrera et publiera ses informations financières.</w:t>
      </w:r>
    </w:p>
    <w:p w:rsidR="0093368A" w:rsidRPr="00011F7B" w:rsidRDefault="0093368A" w:rsidP="0093368A">
      <w:pPr>
        <w:spacing w:line="240" w:lineRule="auto"/>
        <w:jc w:val="both"/>
        <w:rPr>
          <w:rFonts w:ascii="Arial" w:hAnsi="Arial" w:cs="Arial"/>
          <w:sz w:val="20"/>
          <w:szCs w:val="20"/>
        </w:rPr>
      </w:pPr>
    </w:p>
    <w:p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 auxquels l’établissement a recours</w:t>
      </w:r>
      <w:r>
        <w:rPr>
          <w:rFonts w:ascii="Arial" w:hAnsi="Arial" w:cs="Arial"/>
          <w:sz w:val="20"/>
          <w:szCs w:val="20"/>
        </w:rPr>
        <w:t> : plan de contrôle sur pièces et systèmes informatiques, processus et infrastructures utilisés par les agents en vue d’exercer les activités pour le compte de l’établissement. Ces informations devront également être fournies en cas d’utilisation de succursales.</w:t>
      </w:r>
    </w:p>
    <w:p w:rsidR="0093368A" w:rsidRPr="00B5257A" w:rsidRDefault="0093368A" w:rsidP="0093368A">
      <w:pPr>
        <w:spacing w:line="240" w:lineRule="auto"/>
        <w:jc w:val="both"/>
        <w:rPr>
          <w:rFonts w:ascii="Arial" w:hAnsi="Arial" w:cs="Arial"/>
          <w:sz w:val="20"/>
          <w:szCs w:val="20"/>
        </w:rPr>
      </w:pPr>
    </w:p>
    <w:p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rsidR="0093368A" w:rsidRDefault="0093368A" w:rsidP="0093368A">
      <w:pPr>
        <w:tabs>
          <w:tab w:val="left" w:pos="1418"/>
        </w:tabs>
        <w:spacing w:line="240" w:lineRule="auto"/>
        <w:jc w:val="both"/>
        <w:rPr>
          <w:rFonts w:ascii="Arial" w:hAnsi="Arial" w:cs="Arial"/>
          <w:sz w:val="20"/>
          <w:szCs w:val="20"/>
        </w:rPr>
      </w:pPr>
    </w:p>
    <w:p w:rsidR="0093368A" w:rsidRDefault="0093368A" w:rsidP="0093368A">
      <w:pPr>
        <w:tabs>
          <w:tab w:val="left" w:pos="1418"/>
        </w:tabs>
        <w:spacing w:line="240" w:lineRule="auto"/>
        <w:jc w:val="both"/>
        <w:rPr>
          <w:rFonts w:ascii="Arial" w:hAnsi="Arial" w:cs="Arial"/>
          <w:sz w:val="20"/>
          <w:szCs w:val="20"/>
        </w:rPr>
      </w:pPr>
      <w:r w:rsidRPr="00771E47">
        <w:rPr>
          <w:rFonts w:ascii="Arial" w:hAnsi="Arial" w:cs="Arial"/>
          <w:sz w:val="20"/>
          <w:szCs w:val="20"/>
        </w:rPr>
        <w:t>-</w:t>
      </w:r>
      <w:r>
        <w:rPr>
          <w:rFonts w:ascii="Arial" w:hAnsi="Arial" w:cs="Arial"/>
          <w:sz w:val="20"/>
          <w:szCs w:val="20"/>
        </w:rPr>
        <w:t xml:space="preserve"> Préciser </w:t>
      </w:r>
      <w:r w:rsidRPr="00771E47">
        <w:rPr>
          <w:rFonts w:ascii="Arial" w:hAnsi="Arial" w:cs="Arial"/>
          <w:sz w:val="20"/>
          <w:szCs w:val="20"/>
        </w:rPr>
        <w:t>le programme de contrôle périodique, les ressources internes et</w:t>
      </w:r>
      <w:r>
        <w:rPr>
          <w:rFonts w:ascii="Arial" w:hAnsi="Arial" w:cs="Arial"/>
          <w:sz w:val="20"/>
          <w:szCs w:val="20"/>
        </w:rPr>
        <w:t>/ou</w:t>
      </w:r>
      <w:r w:rsidRPr="00771E47">
        <w:rPr>
          <w:rFonts w:ascii="Arial" w:hAnsi="Arial" w:cs="Arial"/>
          <w:sz w:val="20"/>
          <w:szCs w:val="20"/>
        </w:rPr>
        <w:t xml:space="preserve"> externes prévues pour réaliser les tâches de contrôle périodique.</w:t>
      </w:r>
      <w:r>
        <w:rPr>
          <w:rFonts w:ascii="Arial" w:hAnsi="Arial" w:cs="Arial"/>
          <w:sz w:val="20"/>
          <w:szCs w:val="20"/>
        </w:rPr>
        <w:t xml:space="preserve"> En cas d’externalisation, fournir le contrat ou le projet de contrat ou à défaut le cahier des charges.</w:t>
      </w:r>
    </w:p>
    <w:p w:rsidR="0093368A" w:rsidRDefault="0093368A" w:rsidP="0093368A">
      <w:pPr>
        <w:tabs>
          <w:tab w:val="left" w:pos="1418"/>
        </w:tabs>
        <w:spacing w:line="240" w:lineRule="auto"/>
        <w:jc w:val="both"/>
        <w:rPr>
          <w:rFonts w:ascii="Arial" w:hAnsi="Arial" w:cs="Arial"/>
          <w:sz w:val="20"/>
          <w:szCs w:val="20"/>
        </w:rPr>
      </w:pPr>
    </w:p>
    <w:p w:rsidR="0093368A" w:rsidRPr="003B1354" w:rsidRDefault="00F72E89" w:rsidP="0093368A">
      <w:pPr>
        <w:pStyle w:val="Titre2"/>
        <w:numPr>
          <w:ilvl w:val="2"/>
          <w:numId w:val="13"/>
        </w:numPr>
        <w:ind w:left="782" w:hanging="357"/>
      </w:pPr>
      <w:bookmarkStart w:id="20" w:name="_Toc507679362"/>
      <w:r>
        <w:t>Lutte contre le blanchiment de capitaux et le financement du terrorisme</w:t>
      </w:r>
      <w:bookmarkEnd w:id="20"/>
    </w:p>
    <w:p w:rsidR="0093368A" w:rsidRDefault="0093368A" w:rsidP="0093368A">
      <w:pPr>
        <w:tabs>
          <w:tab w:val="left" w:pos="709"/>
          <w:tab w:val="left" w:pos="1418"/>
        </w:tabs>
        <w:jc w:val="both"/>
        <w:rPr>
          <w:rFonts w:ascii="Arial" w:hAnsi="Arial" w:cs="Arial"/>
          <w:sz w:val="20"/>
          <w:szCs w:val="20"/>
        </w:rPr>
      </w:pPr>
      <w:r>
        <w:rPr>
          <w:rFonts w:ascii="Arial" w:hAnsi="Arial" w:cs="Arial"/>
          <w:sz w:val="20"/>
          <w:szCs w:val="20"/>
        </w:rPr>
        <w:tab/>
        <w:t>(</w:t>
      </w:r>
      <w:r w:rsidRPr="0098109D">
        <w:rPr>
          <w:rFonts w:ascii="Arial" w:hAnsi="Arial" w:cs="Arial"/>
          <w:i/>
          <w:sz w:val="20"/>
          <w:szCs w:val="20"/>
        </w:rPr>
        <w:t>Chapitre III de l’arrêté du 03 novembre 2014</w:t>
      </w:r>
      <w:r>
        <w:rPr>
          <w:rFonts w:ascii="Arial" w:hAnsi="Arial" w:cs="Arial"/>
          <w:sz w:val="20"/>
          <w:szCs w:val="20"/>
        </w:rPr>
        <w:t>)</w:t>
      </w:r>
    </w:p>
    <w:p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2F65F1" w:rsidRDefault="0093368A" w:rsidP="00B93618">
            <w:pPr>
              <w:rPr>
                <w:rFonts w:ascii="Arial" w:hAnsi="Arial" w:cs="Arial"/>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86"/>
        <w:gridCol w:w="4394"/>
      </w:tblGrid>
      <w:tr w:rsidR="0093368A" w:rsidRPr="002F65F1" w:rsidTr="00B93618">
        <w:tc>
          <w:tcPr>
            <w:tcW w:w="4786" w:type="dxa"/>
            <w:shd w:val="clear" w:color="auto" w:fill="auto"/>
          </w:tcPr>
          <w:p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rsidR="0093368A" w:rsidRPr="008C5DE4" w:rsidRDefault="0093368A" w:rsidP="0093368A">
      <w:pPr>
        <w:pStyle w:val="Paragraphedeliste"/>
        <w:numPr>
          <w:ilvl w:val="0"/>
          <w:numId w:val="28"/>
        </w:numPr>
        <w:jc w:val="both"/>
        <w:rPr>
          <w:rFonts w:ascii="Arial" w:hAnsi="Arial" w:cs="Arial"/>
          <w:sz w:val="20"/>
          <w:szCs w:val="20"/>
        </w:rPr>
      </w:pPr>
      <w:r w:rsidRPr="00214E60">
        <w:rPr>
          <w:rFonts w:ascii="Arial" w:hAnsi="Arial" w:cs="Arial"/>
          <w:b/>
          <w:sz w:val="20"/>
          <w:szCs w:val="20"/>
        </w:rPr>
        <w:t>Joindre un CV actualisé</w:t>
      </w:r>
    </w:p>
    <w:p w:rsidR="0093368A" w:rsidRDefault="0093368A" w:rsidP="0093368A">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classification des risques de blanchiment de capitaux et de financement du terrorisme, </w:t>
      </w:r>
      <w:r w:rsidR="0093368A" w:rsidRPr="00AB3231">
        <w:rPr>
          <w:rFonts w:ascii="Arial" w:hAnsi="Arial" w:cs="Arial"/>
          <w:bCs/>
          <w:sz w:val="20"/>
          <w:szCs w:val="20"/>
        </w:rPr>
        <w:t>conformément</w:t>
      </w:r>
      <w:r w:rsidR="0093368A" w:rsidRPr="00AB3231">
        <w:rPr>
          <w:rFonts w:ascii="Arial" w:hAnsi="Arial" w:cs="Arial"/>
          <w:sz w:val="20"/>
          <w:szCs w:val="20"/>
        </w:rPr>
        <w:t xml:space="preserve"> aux articles 43 et suivants de l’arrêté du 03 novembre 2014 risques associés à la clientèle, à la nature des produits et services fournis, aux canaux de distribution envisagés et aux zones géographiques d’activité).</w:t>
      </w:r>
    </w:p>
    <w:p w:rsidR="0093368A" w:rsidRDefault="0093368A" w:rsidP="00172DD1">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r>
        <w:rPr>
          <w:rFonts w:ascii="Arial" w:hAnsi="Arial" w:cs="Arial"/>
          <w:sz w:val="20"/>
          <w:szCs w:val="20"/>
        </w:rPr>
        <w:t xml:space="preserve">- </w:t>
      </w:r>
      <w:r w:rsidR="0093368A" w:rsidRPr="00AB3231">
        <w:rPr>
          <w:rFonts w:ascii="Arial" w:hAnsi="Arial" w:cs="Arial"/>
          <w:sz w:val="20"/>
          <w:szCs w:val="20"/>
        </w:rPr>
        <w:t>les modalités d’identification</w:t>
      </w:r>
      <w:r w:rsidR="0093368A" w:rsidRPr="00AB3231">
        <w:rPr>
          <w:rFonts w:ascii="Arial" w:hAnsi="Arial" w:cs="Arial"/>
          <w:color w:val="C0504D"/>
          <w:sz w:val="20"/>
          <w:szCs w:val="20"/>
        </w:rPr>
        <w:t xml:space="preserve"> </w:t>
      </w:r>
      <w:r w:rsidR="0093368A" w:rsidRPr="00AB3231">
        <w:rPr>
          <w:rFonts w:ascii="Arial" w:hAnsi="Arial" w:cs="Arial"/>
          <w:bCs/>
          <w:sz w:val="20"/>
          <w:szCs w:val="20"/>
        </w:rPr>
        <w:t>et de vérification de l’identité</w:t>
      </w:r>
      <w:r w:rsidR="0093368A" w:rsidRPr="00AB3231">
        <w:rPr>
          <w:rFonts w:ascii="Arial" w:hAnsi="Arial" w:cs="Arial"/>
          <w:sz w:val="20"/>
          <w:szCs w:val="20"/>
        </w:rPr>
        <w:t xml:space="preserve"> des clients et, le cas échéant, des bénéficiaires effectifs ;</w:t>
      </w:r>
      <w:r>
        <w:rPr>
          <w:rFonts w:ascii="Arial" w:hAnsi="Arial" w:cs="Arial"/>
          <w:bCs/>
          <w:sz w:val="20"/>
          <w:szCs w:val="20"/>
        </w:rPr>
        <w:t xml:space="preserve">- </w:t>
      </w:r>
      <w:r w:rsidR="0093368A" w:rsidRPr="00AB3231">
        <w:rPr>
          <w:rFonts w:ascii="Arial" w:hAnsi="Arial" w:cs="Arial"/>
          <w:bCs/>
          <w:sz w:val="20"/>
          <w:szCs w:val="20"/>
        </w:rPr>
        <w:t>les éléments d’information recueillis et analysés, parmi ceux figurant dans l’arrêté du 2 septembre 2009 pris en application de l’article R. 561-12 du Code monétaire et financier, aux fins de connaissance de leur clientèle selon une approche par les risques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modalités de suivi de la clientèle au regard de l’obligation de vigilance constante de l’article L. 561-6 du Code monétaire et financier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les procédures mettant en œuvre les vigilances complémentaires, notamment pour les personnes politiquement exposées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les modalités de mise en </w:t>
      </w:r>
      <w:r w:rsidR="0093368A" w:rsidRPr="00AB3231">
        <w:rPr>
          <w:rFonts w:ascii="Arial" w:hAnsi="Arial" w:cs="Arial"/>
          <w:bCs/>
          <w:sz w:val="20"/>
          <w:szCs w:val="20"/>
        </w:rPr>
        <w:t>œuvre des obligations déclaratives auprès de TRACFIN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t xml:space="preserve">- </w:t>
      </w:r>
      <w:r w:rsidR="0093368A" w:rsidRPr="00AB3231">
        <w:rPr>
          <w:rFonts w:ascii="Arial" w:hAnsi="Arial" w:cs="Arial"/>
          <w:sz w:val="20"/>
          <w:szCs w:val="20"/>
        </w:rPr>
        <w:t xml:space="preserve">le dispositif adopté </w:t>
      </w:r>
      <w:r w:rsidR="0093368A" w:rsidRPr="00AB3231">
        <w:rPr>
          <w:rFonts w:ascii="Arial" w:hAnsi="Arial" w:cs="Arial"/>
          <w:bCs/>
          <w:sz w:val="20"/>
          <w:szCs w:val="20"/>
        </w:rPr>
        <w:t>pour le respect des mesures restrictives, en particulier les obligations relatives au gel des</w:t>
      </w:r>
      <w:r w:rsidR="0093368A" w:rsidRPr="00AB3231">
        <w:rPr>
          <w:rFonts w:ascii="Arial" w:hAnsi="Arial" w:cs="Arial"/>
          <w:sz w:val="20"/>
          <w:szCs w:val="20"/>
        </w:rPr>
        <w:t xml:space="preserve"> avoirs ;</w:t>
      </w:r>
    </w:p>
    <w:p w:rsidR="0093368A" w:rsidRPr="00AB3231" w:rsidRDefault="00AB3231" w:rsidP="00172DD1">
      <w:pPr>
        <w:spacing w:line="240" w:lineRule="auto"/>
        <w:jc w:val="both"/>
        <w:rPr>
          <w:rFonts w:ascii="Arial" w:hAnsi="Arial" w:cs="Arial"/>
          <w:sz w:val="20"/>
          <w:szCs w:val="20"/>
        </w:rPr>
      </w:pPr>
      <w:r>
        <w:rPr>
          <w:rFonts w:ascii="Arial" w:hAnsi="Arial" w:cs="Arial"/>
          <w:sz w:val="20"/>
          <w:szCs w:val="20"/>
        </w:rPr>
        <w:lastRenderedPageBreak/>
        <w:t xml:space="preserve">- </w:t>
      </w:r>
      <w:r w:rsidR="0093368A" w:rsidRPr="00AB3231">
        <w:rPr>
          <w:rFonts w:ascii="Arial" w:hAnsi="Arial" w:cs="Arial"/>
          <w:sz w:val="20"/>
          <w:szCs w:val="20"/>
        </w:rPr>
        <w:t>les modalités de mesure de l’efficacité et de la pertinence des procédures et de leur actualisation ;</w:t>
      </w:r>
    </w:p>
    <w:p w:rsidR="0093368A" w:rsidRPr="00AB3231" w:rsidRDefault="0093368A" w:rsidP="00172DD1">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Lorsque l’établissement envisage de recourir aux services d’agents</w:t>
      </w:r>
      <w:r w:rsidR="0093368A" w:rsidRPr="003D2C56">
        <w:t xml:space="preserve"> </w:t>
      </w:r>
      <w:r w:rsidR="0093368A" w:rsidRPr="00AB3231">
        <w:rPr>
          <w:rFonts w:ascii="Arial" w:hAnsi="Arial" w:cs="Arial"/>
          <w:bCs/>
          <w:sz w:val="20"/>
          <w:szCs w:val="20"/>
        </w:rPr>
        <w:t>tels que définis aux articles L. 523-1 et suivants du Code monétaire et financier, décrire les procédures spécifiques de mise en œuvre des obligations de vigilance de lutte contre le blanchiment et le financement du terrorisme</w:t>
      </w:r>
      <w:r w:rsidR="0093368A" w:rsidRPr="00AB3231" w:rsidDel="009251CE">
        <w:rPr>
          <w:rFonts w:ascii="Arial" w:hAnsi="Arial" w:cs="Arial"/>
          <w:bCs/>
          <w:sz w:val="20"/>
          <w:szCs w:val="20"/>
        </w:rPr>
        <w:t xml:space="preserve"> </w:t>
      </w:r>
      <w:r w:rsidR="0093368A" w:rsidRPr="00AB3231">
        <w:rPr>
          <w:rFonts w:ascii="Arial" w:hAnsi="Arial" w:cs="Arial"/>
          <w:bCs/>
          <w:sz w:val="20"/>
          <w:szCs w:val="20"/>
        </w:rPr>
        <w:t xml:space="preserve">chez ces agents et les conditions dans lesquelles ces derniers transmettent à l’établissement toute information utile à cette lutte. </w:t>
      </w:r>
    </w:p>
    <w:p w:rsidR="0093368A" w:rsidRDefault="00AB3231" w:rsidP="00172DD1">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Décrire les procédures en cas de recours à des agents ou à une/des succursales dans un autre État membre.</w:t>
      </w:r>
    </w:p>
    <w:p w:rsidR="0093368A" w:rsidRPr="003D2C56" w:rsidRDefault="0093368A" w:rsidP="00172DD1">
      <w:pPr>
        <w:spacing w:line="240" w:lineRule="auto"/>
        <w:jc w:val="both"/>
        <w:rPr>
          <w:rFonts w:ascii="Arial" w:hAnsi="Arial" w:cs="Arial"/>
          <w:bCs/>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rsidR="0093368A" w:rsidRPr="00F74159" w:rsidRDefault="0093368A" w:rsidP="00172DD1">
      <w:pPr>
        <w:spacing w:line="240" w:lineRule="auto"/>
        <w:jc w:val="both"/>
        <w:rPr>
          <w:rFonts w:ascii="Arial" w:hAnsi="Arial" w:cs="Arial"/>
          <w:bCs/>
          <w:sz w:val="20"/>
          <w:szCs w:val="20"/>
        </w:rPr>
      </w:pPr>
    </w:p>
    <w:p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rsidR="0093368A" w:rsidRPr="00F74159" w:rsidRDefault="0093368A" w:rsidP="00172DD1">
      <w:pPr>
        <w:pStyle w:val="Paragraphedeliste"/>
        <w:ind w:left="0"/>
        <w:contextualSpacing w:val="0"/>
        <w:rPr>
          <w:rFonts w:ascii="Arial" w:hAnsi="Arial" w:cs="Arial"/>
          <w:bCs/>
          <w:sz w:val="20"/>
          <w:szCs w:val="20"/>
        </w:rPr>
      </w:pPr>
    </w:p>
    <w:p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Indiquer les modalités de formation et d’information du personnel (y compris celles des agents) en matière de lutte contre le blanchiment des capitaux et le financement du terrorisme. </w:t>
      </w:r>
    </w:p>
    <w:p w:rsidR="0093368A" w:rsidRDefault="0093368A" w:rsidP="00172DD1">
      <w:pPr>
        <w:spacing w:line="240" w:lineRule="auto"/>
        <w:jc w:val="both"/>
        <w:rPr>
          <w:rFonts w:ascii="Arial" w:hAnsi="Arial" w:cs="Arial"/>
          <w:sz w:val="20"/>
          <w:szCs w:val="20"/>
        </w:rPr>
      </w:pPr>
    </w:p>
    <w:p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rsidR="0093368A" w:rsidRPr="00F74159" w:rsidRDefault="0093368A" w:rsidP="00172DD1">
      <w:pPr>
        <w:pStyle w:val="Paragraphedeliste"/>
        <w:ind w:left="0"/>
        <w:contextualSpacing w:val="0"/>
        <w:jc w:val="both"/>
        <w:rPr>
          <w:rFonts w:ascii="Arial" w:hAnsi="Arial" w:cs="Arial"/>
          <w:sz w:val="20"/>
          <w:szCs w:val="20"/>
        </w:rPr>
      </w:pP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21" w:name="_Toc507679363"/>
      <w:r>
        <w:lastRenderedPageBreak/>
        <w:t>Procédures des systèmes de sécurité</w:t>
      </w:r>
      <w:r w:rsidR="0093368A" w:rsidRPr="00A167A7">
        <w:t xml:space="preserve"> </w:t>
      </w:r>
      <w:r>
        <w:t>et accès aux données sensibles</w:t>
      </w:r>
      <w:bookmarkEnd w:id="21"/>
    </w:p>
    <w:p w:rsidR="0093368A" w:rsidRDefault="0093368A" w:rsidP="0093368A">
      <w:pPr>
        <w:spacing w:line="240" w:lineRule="auto"/>
        <w:jc w:val="both"/>
        <w:rPr>
          <w:rFonts w:ascii="Arial" w:hAnsi="Arial" w:cs="Arial"/>
          <w:bCs/>
          <w:sz w:val="20"/>
          <w:szCs w:val="20"/>
        </w:rPr>
      </w:pPr>
    </w:p>
    <w:p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 </w:t>
      </w:r>
      <w:r w:rsidRPr="008C7BC8">
        <w:rPr>
          <w:rFonts w:ascii="Arial" w:hAnsi="Arial" w:cs="Arial"/>
          <w:bCs/>
          <w:sz w:val="20"/>
          <w:szCs w:val="20"/>
        </w:rPr>
        <w:t xml:space="preserve">522-6 I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rsidR="001778C5" w:rsidRDefault="001778C5" w:rsidP="0093368A">
      <w:pPr>
        <w:spacing w:line="240" w:lineRule="auto"/>
        <w:jc w:val="both"/>
        <w:rPr>
          <w:rFonts w:ascii="Arial" w:hAnsi="Arial" w:cs="Arial"/>
          <w:bCs/>
          <w:sz w:val="20"/>
          <w:szCs w:val="20"/>
        </w:rPr>
      </w:pPr>
    </w:p>
    <w:p w:rsidR="00D963A6" w:rsidRPr="00D620B7" w:rsidRDefault="00D963A6" w:rsidP="00D963A6">
      <w:pPr>
        <w:jc w:val="both"/>
        <w:rPr>
          <w:rFonts w:ascii="Arial" w:hAnsi="Arial" w:cs="Arial"/>
          <w:sz w:val="20"/>
          <w:szCs w:val="20"/>
        </w:rPr>
      </w:pPr>
      <w:r w:rsidRPr="00D620B7">
        <w:rPr>
          <w:rFonts w:ascii="Arial" w:hAnsi="Arial" w:cs="Arial"/>
          <w:sz w:val="20"/>
          <w:szCs w:val="20"/>
        </w:rPr>
        <w:t>Le requérant devra fournir une description des principes et définitions applicables à la collecte de données statistiques relatives aux performances, aux opérations et à la fraude comportant les informations suivantes :</w:t>
      </w:r>
    </w:p>
    <w:p w:rsidR="00D963A6" w:rsidRPr="00D620B7" w:rsidRDefault="00D963A6" w:rsidP="00D963A6">
      <w:pPr>
        <w:jc w:val="both"/>
        <w:rPr>
          <w:rFonts w:ascii="Arial" w:hAnsi="Arial" w:cs="Arial"/>
          <w:sz w:val="20"/>
          <w:szCs w:val="20"/>
        </w:rPr>
      </w:pPr>
    </w:p>
    <w:p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Le type de données collectées en rapport avec les clients, le type de service de paiement, le canal, l’instrument, les juridictions et les devises ;</w:t>
      </w:r>
    </w:p>
    <w:p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La portée de la collecte sur les activités et entités concernées, y compris les succursales et les agents ;</w:t>
      </w:r>
    </w:p>
    <w:p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Les moyens de collecte</w:t>
      </w:r>
    </w:p>
    <w:p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Le but de la collecte</w:t>
      </w:r>
    </w:p>
    <w:p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La fréquence de la collecte</w:t>
      </w:r>
    </w:p>
    <w:p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La documentation, tel qu’un manuel, décrivant le fonctionnement du système</w:t>
      </w:r>
    </w:p>
    <w:p w:rsidR="00D963A6" w:rsidRDefault="00D963A6" w:rsidP="0093368A">
      <w:pPr>
        <w:spacing w:line="240" w:lineRule="auto"/>
        <w:jc w:val="both"/>
        <w:rPr>
          <w:rFonts w:ascii="Arial" w:hAnsi="Arial" w:cs="Arial"/>
          <w:bCs/>
          <w:sz w:val="20"/>
          <w:szCs w:val="20"/>
        </w:rPr>
      </w:pPr>
    </w:p>
    <w:p w:rsidR="0093368A" w:rsidRPr="00503B91" w:rsidRDefault="00F72E89" w:rsidP="007D371F">
      <w:pPr>
        <w:pStyle w:val="Titre2"/>
        <w:numPr>
          <w:ilvl w:val="0"/>
          <w:numId w:val="56"/>
        </w:numPr>
      </w:pPr>
      <w:bookmarkStart w:id="22" w:name="_Toc507679364"/>
      <w:r>
        <w:t>Procédure de surveillance</w:t>
      </w:r>
      <w:r w:rsidR="00F77291">
        <w:t>, de traitement</w:t>
      </w:r>
      <w:r w:rsidR="0093368A" w:rsidRPr="00503B91">
        <w:t xml:space="preserve"> </w:t>
      </w:r>
      <w:r>
        <w:t xml:space="preserve">et </w:t>
      </w:r>
      <w:r w:rsidR="00F77291">
        <w:t xml:space="preserve">de </w:t>
      </w:r>
      <w:r>
        <w:t>suivi des incidents de</w:t>
      </w:r>
      <w:r w:rsidR="0093368A" w:rsidRPr="00503B91">
        <w:t xml:space="preserve"> </w:t>
      </w:r>
      <w:r>
        <w:t>sécurité et des réclamations clients</w:t>
      </w:r>
      <w:bookmarkEnd w:id="22"/>
    </w:p>
    <w:p w:rsidR="0093368A" w:rsidRPr="00D620B7" w:rsidRDefault="0093368A" w:rsidP="0093368A">
      <w:pPr>
        <w:spacing w:line="240" w:lineRule="auto"/>
        <w:jc w:val="both"/>
        <w:rPr>
          <w:rFonts w:ascii="Arial" w:hAnsi="Arial" w:cs="Arial"/>
          <w:bCs/>
          <w:sz w:val="20"/>
          <w:szCs w:val="20"/>
        </w:rPr>
      </w:pPr>
    </w:p>
    <w:p w:rsidR="0093368A" w:rsidRPr="008E4D4F" w:rsidRDefault="0093368A" w:rsidP="0093368A">
      <w:pPr>
        <w:jc w:val="both"/>
        <w:rPr>
          <w:rFonts w:ascii="Arial" w:hAnsi="Arial" w:cs="Arial"/>
          <w:bCs/>
          <w:sz w:val="20"/>
          <w:szCs w:val="20"/>
        </w:rPr>
      </w:pPr>
      <w:r w:rsidRPr="008E4D4F">
        <w:rPr>
          <w:rFonts w:ascii="Arial" w:hAnsi="Arial" w:cs="Arial"/>
          <w:bCs/>
          <w:sz w:val="20"/>
          <w:szCs w:val="20"/>
        </w:rPr>
        <w:t xml:space="preserve">Le requérant devra fournir une description de la procédure en place pour surveiller, maîtriser et suivre les incidents de sécurité et </w:t>
      </w:r>
      <w:r w:rsidR="00EB2A08">
        <w:rPr>
          <w:rFonts w:ascii="Arial" w:hAnsi="Arial" w:cs="Arial"/>
          <w:bCs/>
          <w:sz w:val="20"/>
          <w:szCs w:val="20"/>
        </w:rPr>
        <w:t xml:space="preserve">des </w:t>
      </w:r>
      <w:r w:rsidR="00AA6247">
        <w:rPr>
          <w:rFonts w:ascii="Arial" w:hAnsi="Arial" w:cs="Arial"/>
          <w:bCs/>
          <w:sz w:val="20"/>
          <w:szCs w:val="20"/>
        </w:rPr>
        <w:t>réclamations</w:t>
      </w:r>
      <w:r w:rsidR="00AA6247" w:rsidRPr="008E4D4F">
        <w:rPr>
          <w:rFonts w:ascii="Arial" w:hAnsi="Arial" w:cs="Arial"/>
          <w:bCs/>
          <w:sz w:val="20"/>
          <w:szCs w:val="20"/>
        </w:rPr>
        <w:t xml:space="preserve"> clients</w:t>
      </w:r>
      <w:r w:rsidRPr="008E4D4F">
        <w:rPr>
          <w:rFonts w:ascii="Arial" w:hAnsi="Arial" w:cs="Arial"/>
          <w:bCs/>
          <w:sz w:val="20"/>
          <w:szCs w:val="20"/>
        </w:rPr>
        <w:t xml:space="preserve"> relatif à la sécurité. Cette procédure devra contenir :</w:t>
      </w:r>
    </w:p>
    <w:p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L’identité de la (ou des) personne(s) ou des organes en charge de l’accompagnement des clients en cas de fraude, incidents techniques ou gestion des plaintes</w:t>
      </w:r>
      <w:r w:rsidR="00406922">
        <w:rPr>
          <w:rFonts w:ascii="Arial" w:hAnsi="Arial" w:cs="Arial"/>
          <w:bCs/>
          <w:sz w:val="20"/>
          <w:szCs w:val="20"/>
        </w:rPr>
        <w:t> ;</w:t>
      </w:r>
    </w:p>
    <w:p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Le point de contact pour les clients (nom et adresse mail)</w:t>
      </w:r>
      <w:r w:rsidR="00406922">
        <w:rPr>
          <w:rFonts w:ascii="Arial" w:hAnsi="Arial" w:cs="Arial"/>
          <w:bCs/>
          <w:sz w:val="20"/>
          <w:szCs w:val="20"/>
        </w:rPr>
        <w:t xml:space="preserve"> et les </w:t>
      </w:r>
      <w:r w:rsidR="00F77291">
        <w:rPr>
          <w:rFonts w:ascii="Arial" w:hAnsi="Arial" w:cs="Arial"/>
          <w:bCs/>
          <w:sz w:val="20"/>
          <w:szCs w:val="20"/>
        </w:rPr>
        <w:t>modalités</w:t>
      </w:r>
      <w:r w:rsidR="00406922">
        <w:rPr>
          <w:rFonts w:ascii="Arial" w:hAnsi="Arial" w:cs="Arial"/>
          <w:bCs/>
          <w:sz w:val="20"/>
          <w:szCs w:val="20"/>
        </w:rPr>
        <w:t xml:space="preserve"> de remontée des fraudes au sein de l’organisation du demandeur ;</w:t>
      </w:r>
    </w:p>
    <w:p w:rsidR="00406922" w:rsidRDefault="00406922"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 xml:space="preserve">Les mesures </w:t>
      </w:r>
      <w:r w:rsidR="004C62D4">
        <w:rPr>
          <w:rFonts w:ascii="Arial" w:hAnsi="Arial" w:cs="Arial"/>
          <w:bCs/>
          <w:sz w:val="20"/>
          <w:szCs w:val="20"/>
        </w:rPr>
        <w:t>organisationnelles et les outil</w:t>
      </w:r>
      <w:r>
        <w:rPr>
          <w:rFonts w:ascii="Arial" w:hAnsi="Arial" w:cs="Arial"/>
          <w:bCs/>
          <w:sz w:val="20"/>
          <w:szCs w:val="20"/>
        </w:rPr>
        <w:t>s de prévention de la fraude ;</w:t>
      </w:r>
    </w:p>
    <w:p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Les procédures de reporting des incidents, incluant la communication des reportings aux organes internes et externes (notification des incidents majeurs aux autorités nationales compétentes en application de l’article 96 de la DSP2</w:t>
      </w:r>
      <w:r w:rsidR="00406922">
        <w:rPr>
          <w:rFonts w:ascii="Arial" w:hAnsi="Arial" w:cs="Arial"/>
          <w:bCs/>
          <w:sz w:val="20"/>
          <w:szCs w:val="20"/>
        </w:rPr>
        <w:t>, conformément aux orientation</w:t>
      </w:r>
      <w:r w:rsidR="008753CE">
        <w:rPr>
          <w:rFonts w:ascii="Arial" w:hAnsi="Arial" w:cs="Arial"/>
          <w:bCs/>
          <w:sz w:val="20"/>
          <w:szCs w:val="20"/>
        </w:rPr>
        <w:t>s</w:t>
      </w:r>
      <w:r w:rsidR="00406922">
        <w:rPr>
          <w:rFonts w:ascii="Arial" w:hAnsi="Arial" w:cs="Arial"/>
          <w:bCs/>
          <w:sz w:val="20"/>
          <w:szCs w:val="20"/>
        </w:rPr>
        <w:t xml:space="preserve"> de</w:t>
      </w:r>
      <w:r>
        <w:rPr>
          <w:rFonts w:ascii="Arial" w:hAnsi="Arial" w:cs="Arial"/>
          <w:bCs/>
          <w:sz w:val="20"/>
          <w:szCs w:val="20"/>
        </w:rPr>
        <w:t xml:space="preserve"> </w:t>
      </w:r>
      <w:r w:rsidR="00406922">
        <w:rPr>
          <w:rFonts w:ascii="Arial" w:hAnsi="Arial" w:cs="Arial"/>
          <w:bCs/>
          <w:sz w:val="20"/>
          <w:szCs w:val="20"/>
        </w:rPr>
        <w:t>l’ABE</w:t>
      </w:r>
      <w:r>
        <w:rPr>
          <w:rFonts w:ascii="Arial" w:hAnsi="Arial" w:cs="Arial"/>
          <w:bCs/>
          <w:sz w:val="20"/>
          <w:szCs w:val="20"/>
        </w:rPr>
        <w:t xml:space="preserve"> sur  </w:t>
      </w:r>
      <w:r w:rsidR="00406922">
        <w:rPr>
          <w:rFonts w:ascii="Arial" w:hAnsi="Arial" w:cs="Arial"/>
          <w:bCs/>
          <w:sz w:val="20"/>
          <w:szCs w:val="20"/>
        </w:rPr>
        <w:t xml:space="preserve"> la notification des incidents au titre de l’article susvisé.</w:t>
      </w:r>
    </w:p>
    <w:p w:rsidR="00406922" w:rsidRPr="00E53112" w:rsidRDefault="00406922"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 xml:space="preserve">Les outils de surveillance utilisés </w:t>
      </w:r>
      <w:r w:rsidR="00F77291">
        <w:rPr>
          <w:rFonts w:ascii="Arial" w:hAnsi="Arial" w:cs="Arial"/>
          <w:bCs/>
          <w:sz w:val="20"/>
          <w:szCs w:val="20"/>
        </w:rPr>
        <w:t xml:space="preserve">ainsi que </w:t>
      </w:r>
      <w:r>
        <w:rPr>
          <w:rFonts w:ascii="Arial" w:hAnsi="Arial" w:cs="Arial"/>
          <w:bCs/>
          <w:sz w:val="20"/>
          <w:szCs w:val="20"/>
        </w:rPr>
        <w:t>les mesures et procédures de suivi en place afin d’atténuer les risques de sécurité</w:t>
      </w:r>
    </w:p>
    <w:p w:rsidR="0093368A" w:rsidRDefault="0093368A" w:rsidP="00D620B7">
      <w:pPr>
        <w:spacing w:line="240" w:lineRule="auto"/>
        <w:ind w:left="357"/>
        <w:jc w:val="both"/>
        <w:rPr>
          <w:rFonts w:ascii="Arial" w:hAnsi="Arial" w:cs="Arial"/>
          <w:bCs/>
          <w:sz w:val="20"/>
          <w:szCs w:val="20"/>
        </w:rPr>
      </w:pPr>
    </w:p>
    <w:p w:rsidR="0093368A" w:rsidRPr="00F557C5" w:rsidRDefault="0093368A" w:rsidP="007D371F">
      <w:pPr>
        <w:pStyle w:val="Titre2"/>
      </w:pPr>
      <w:bookmarkStart w:id="23" w:name="_Toc507679365"/>
      <w:r w:rsidRPr="00F557C5">
        <w:t>P</w:t>
      </w:r>
      <w:r w:rsidR="00F72E89">
        <w:t xml:space="preserve">rocédures pour </w:t>
      </w:r>
      <w:r w:rsidR="00D620B7">
        <w:t xml:space="preserve">restreindre, </w:t>
      </w:r>
      <w:r w:rsidR="00F72E89">
        <w:t>enregistrer</w:t>
      </w:r>
      <w:r w:rsidRPr="00F557C5">
        <w:t xml:space="preserve">, </w:t>
      </w:r>
      <w:r w:rsidR="00F72E89">
        <w:t>surveiller</w:t>
      </w:r>
      <w:r w:rsidR="00B93618">
        <w:t xml:space="preserve">, </w:t>
      </w:r>
      <w:r w:rsidR="00F72E89">
        <w:t xml:space="preserve">et </w:t>
      </w:r>
      <w:r w:rsidR="00D620B7">
        <w:t>tracer</w:t>
      </w:r>
      <w:r w:rsidR="00F72E89">
        <w:t xml:space="preserve"> l’accès</w:t>
      </w:r>
      <w:r w:rsidRPr="00F557C5">
        <w:t xml:space="preserve"> </w:t>
      </w:r>
      <w:r w:rsidR="00F72E89">
        <w:t>aux</w:t>
      </w:r>
      <w:r w:rsidR="00F72E89" w:rsidRPr="00F557C5">
        <w:t xml:space="preserve"> </w:t>
      </w:r>
      <w:r w:rsidR="00F72E89">
        <w:t>données de paiement sensibles</w:t>
      </w:r>
      <w:r w:rsidR="00D620B7">
        <w:t xml:space="preserve"> et garder la trace de ces accès</w:t>
      </w:r>
      <w:bookmarkEnd w:id="23"/>
    </w:p>
    <w:p w:rsidR="0093368A" w:rsidRDefault="0093368A" w:rsidP="0093368A">
      <w:pPr>
        <w:spacing w:line="240" w:lineRule="auto"/>
        <w:jc w:val="both"/>
        <w:rPr>
          <w:rFonts w:ascii="Arial" w:hAnsi="Arial" w:cs="Arial"/>
          <w:bCs/>
          <w:sz w:val="20"/>
          <w:szCs w:val="20"/>
        </w:rPr>
      </w:pPr>
    </w:p>
    <w:p w:rsidR="0093368A" w:rsidRPr="008E4D4F" w:rsidRDefault="0093368A" w:rsidP="00172DD1">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D620B7">
        <w:rPr>
          <w:rFonts w:ascii="Arial" w:hAnsi="Arial" w:cs="Arial"/>
          <w:bCs/>
          <w:sz w:val="20"/>
          <w:szCs w:val="20"/>
        </w:rPr>
        <w:t xml:space="preserve">restreindre, </w:t>
      </w:r>
      <w:r w:rsidRPr="008E4D4F">
        <w:rPr>
          <w:rFonts w:ascii="Arial" w:hAnsi="Arial" w:cs="Arial"/>
          <w:bCs/>
          <w:sz w:val="20"/>
          <w:szCs w:val="20"/>
        </w:rPr>
        <w:t xml:space="preserve">enregistrer, surveiller </w:t>
      </w:r>
      <w:r w:rsidR="00D620B7">
        <w:rPr>
          <w:rFonts w:ascii="Arial" w:hAnsi="Arial" w:cs="Arial"/>
          <w:bCs/>
          <w:sz w:val="20"/>
          <w:szCs w:val="20"/>
        </w:rPr>
        <w:t xml:space="preserve">et tracer </w:t>
      </w:r>
      <w:r w:rsidRPr="008E4D4F">
        <w:rPr>
          <w:rFonts w:ascii="Arial" w:hAnsi="Arial" w:cs="Arial"/>
          <w:bCs/>
          <w:sz w:val="20"/>
          <w:szCs w:val="20"/>
        </w:rPr>
        <w:t xml:space="preserve">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rsidR="0093368A" w:rsidRPr="004C62D4"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description des flux de données de paiement classées comme sensibles dans le cadre du fonctionnement opérationnel de l’établissement de paiement ;</w:t>
      </w:r>
    </w:p>
    <w:p w:rsidR="00FA6DFC" w:rsidRPr="00FA6DFC"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D620B7">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xml:space="preserve">, incluant les bases de données et les </w:t>
      </w:r>
      <w:r w:rsidR="0093368A" w:rsidRPr="004C62D4">
        <w:rPr>
          <w:rFonts w:ascii="Arial" w:hAnsi="Arial" w:cs="Arial"/>
          <w:bCs/>
          <w:sz w:val="20"/>
          <w:szCs w:val="20"/>
        </w:rPr>
        <w:lastRenderedPageBreak/>
        <w:t>infrastructures de secours</w:t>
      </w:r>
      <w:r w:rsidR="00FA6DFC">
        <w:rPr>
          <w:rFonts w:ascii="Arial" w:hAnsi="Arial" w:cs="Arial"/>
          <w:bCs/>
          <w:sz w:val="20"/>
          <w:szCs w:val="20"/>
        </w:rPr>
        <w:t xml:space="preserve">. </w:t>
      </w:r>
      <w:r w:rsidR="00C07FF2">
        <w:rPr>
          <w:rFonts w:ascii="Arial" w:hAnsi="Arial" w:cs="Arial"/>
          <w:bCs/>
          <w:sz w:val="20"/>
          <w:szCs w:val="20"/>
        </w:rPr>
        <w:t>À</w:t>
      </w:r>
      <w:r w:rsidR="00D620B7">
        <w:rPr>
          <w:rFonts w:ascii="Arial" w:hAnsi="Arial" w:cs="Arial"/>
          <w:bCs/>
          <w:sz w:val="20"/>
          <w:szCs w:val="20"/>
        </w:rPr>
        <w:t xml:space="preserve"> moins que le requérant n’ait l’intention de ne fournir que des services d’information sur les comptes</w:t>
      </w:r>
      <w:r w:rsidR="00545D30">
        <w:rPr>
          <w:rFonts w:ascii="Arial" w:hAnsi="Arial" w:cs="Arial"/>
          <w:bCs/>
          <w:sz w:val="20"/>
          <w:szCs w:val="20"/>
        </w:rPr>
        <w:t>,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545D30">
        <w:rPr>
          <w:rFonts w:ascii="Arial" w:hAnsi="Arial" w:cs="Arial"/>
          <w:bCs/>
          <w:sz w:val="20"/>
          <w:szCs w:val="20"/>
        </w:rPr>
        <w:t xml:space="preserve"> (périodicité, forme, lieu, durée)</w:t>
      </w:r>
      <w:r w:rsidR="00FA6DFC">
        <w:rPr>
          <w:rFonts w:ascii="Arial" w:hAnsi="Arial" w:cs="Arial"/>
          <w:bCs/>
          <w:sz w:val="20"/>
          <w:szCs w:val="20"/>
        </w:rPr>
        <w:t> ;</w:t>
      </w:r>
    </w:p>
    <w:p w:rsidR="0093368A" w:rsidRPr="00FA6DFC" w:rsidRDefault="00FA6DFC" w:rsidP="00172DD1">
      <w:pPr>
        <w:spacing w:line="240" w:lineRule="auto"/>
        <w:ind w:left="357"/>
        <w:jc w:val="both"/>
        <w:rPr>
          <w:rFonts w:ascii="Arial" w:hAnsi="Arial" w:cs="Arial"/>
          <w:bCs/>
          <w:sz w:val="20"/>
          <w:szCs w:val="20"/>
        </w:rPr>
      </w:pPr>
      <w:r>
        <w:rPr>
          <w:rFonts w:ascii="Arial" w:hAnsi="Arial" w:cs="Arial"/>
          <w:bCs/>
          <w:sz w:val="20"/>
          <w:szCs w:val="20"/>
        </w:rPr>
        <w:t xml:space="preserve">f. </w:t>
      </w:r>
      <w:r w:rsidR="00C07FF2">
        <w:rPr>
          <w:rFonts w:ascii="Arial" w:hAnsi="Arial" w:cs="Arial"/>
          <w:bCs/>
          <w:sz w:val="20"/>
          <w:szCs w:val="20"/>
        </w:rPr>
        <w:t>À</w:t>
      </w:r>
      <w:r w:rsidR="00545D30">
        <w:rPr>
          <w:rFonts w:ascii="Arial" w:hAnsi="Arial" w:cs="Arial"/>
          <w:bCs/>
          <w:sz w:val="20"/>
          <w:szCs w:val="20"/>
        </w:rPr>
        <w:t xml:space="preserve"> moins que le requérant n’ait l’intention de ne fournir que des services d’information sur les comptes. </w:t>
      </w:r>
      <w:r w:rsidR="0093368A" w:rsidRPr="00FA6DFC">
        <w:rPr>
          <w:rFonts w:ascii="Arial" w:hAnsi="Arial" w:cs="Arial"/>
          <w:bCs/>
          <w:sz w:val="20"/>
          <w:szCs w:val="20"/>
        </w:rPr>
        <w:t xml:space="preserve">Une description des droits d’utilisation interne et/ou externe des données de paiement sensibles collectées, y compris par d’autres </w:t>
      </w:r>
      <w:r w:rsidRPr="00FA6DFC">
        <w:rPr>
          <w:rFonts w:ascii="Arial" w:hAnsi="Arial" w:cs="Arial"/>
          <w:bCs/>
          <w:sz w:val="20"/>
          <w:szCs w:val="20"/>
        </w:rPr>
        <w:t>co</w:t>
      </w:r>
      <w:r w:rsidR="00C07FF2">
        <w:rPr>
          <w:rFonts w:ascii="Arial" w:hAnsi="Arial" w:cs="Arial"/>
          <w:bCs/>
          <w:sz w:val="20"/>
          <w:szCs w:val="20"/>
        </w:rPr>
        <w:t>-</w:t>
      </w:r>
      <w:r w:rsidRPr="00FA6DFC">
        <w:rPr>
          <w:rFonts w:ascii="Arial" w:hAnsi="Arial" w:cs="Arial"/>
          <w:bCs/>
          <w:sz w:val="20"/>
          <w:szCs w:val="20"/>
        </w:rPr>
        <w:t>contractants</w:t>
      </w:r>
    </w:p>
    <w:p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 xml:space="preserve">Une description du système d’information dédié aux activités de services de paiement et des mesures de sécurité techniques mises en place (données cryptées, </w:t>
      </w:r>
      <w:proofErr w:type="spellStart"/>
      <w:r w:rsidR="0093368A" w:rsidRPr="00074738">
        <w:rPr>
          <w:rFonts w:ascii="Arial" w:hAnsi="Arial" w:cs="Arial"/>
          <w:bCs/>
          <w:sz w:val="20"/>
          <w:szCs w:val="20"/>
        </w:rPr>
        <w:t>token</w:t>
      </w:r>
      <w:proofErr w:type="spellEnd"/>
      <w:r w:rsidR="0093368A" w:rsidRPr="00074738">
        <w:rPr>
          <w:rFonts w:ascii="Arial" w:hAnsi="Arial" w:cs="Arial"/>
          <w:bCs/>
          <w:sz w:val="20"/>
          <w:szCs w:val="20"/>
        </w:rPr>
        <w:t>…)</w:t>
      </w:r>
    </w:p>
    <w:p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rsidR="0093368A"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rsidR="00074738"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rsidR="0093368A" w:rsidRDefault="0093368A" w:rsidP="0093368A">
      <w:pPr>
        <w:jc w:val="both"/>
        <w:rPr>
          <w:rFonts w:ascii="Arial" w:hAnsi="Arial" w:cs="Arial"/>
          <w:bCs/>
          <w:sz w:val="20"/>
          <w:szCs w:val="20"/>
        </w:rPr>
      </w:pPr>
    </w:p>
    <w:p w:rsidR="0093368A" w:rsidRDefault="0093368A" w:rsidP="0093368A">
      <w:pPr>
        <w:spacing w:after="200"/>
        <w:rPr>
          <w:rFonts w:ascii="Arial" w:hAnsi="Arial" w:cs="Arial"/>
          <w:bCs/>
          <w:sz w:val="20"/>
          <w:szCs w:val="20"/>
        </w:rPr>
      </w:pPr>
      <w:r>
        <w:rPr>
          <w:rFonts w:ascii="Arial" w:hAnsi="Arial" w:cs="Arial"/>
          <w:bCs/>
          <w:sz w:val="20"/>
          <w:szCs w:val="20"/>
        </w:rPr>
        <w:br w:type="page"/>
      </w:r>
    </w:p>
    <w:p w:rsidR="0093368A" w:rsidRPr="00A167A7" w:rsidRDefault="00F72E89" w:rsidP="0093368A">
      <w:pPr>
        <w:pStyle w:val="Titre1"/>
      </w:pPr>
      <w:bookmarkStart w:id="24" w:name="_Toc507679366"/>
      <w:r>
        <w:lastRenderedPageBreak/>
        <w:t>Dispositif de continuité d’activité</w:t>
      </w:r>
      <w:r w:rsidR="0093368A" w:rsidRPr="00A167A7">
        <w:t xml:space="preserve"> </w:t>
      </w:r>
      <w:r>
        <w:t>et politique de sécurité</w:t>
      </w:r>
      <w:bookmarkEnd w:id="24"/>
    </w:p>
    <w:p w:rsidR="00305D0E" w:rsidRDefault="00305D0E" w:rsidP="0093368A">
      <w:pPr>
        <w:spacing w:line="240" w:lineRule="auto"/>
        <w:jc w:val="both"/>
        <w:rPr>
          <w:rFonts w:ascii="Arial" w:hAnsi="Arial" w:cs="Arial"/>
          <w:bCs/>
          <w:sz w:val="20"/>
          <w:szCs w:val="20"/>
        </w:rPr>
      </w:pPr>
    </w:p>
    <w:p w:rsidR="00F72E89" w:rsidRPr="00F72E89" w:rsidRDefault="00F72E89" w:rsidP="007D371F">
      <w:pPr>
        <w:pStyle w:val="Titre2"/>
        <w:numPr>
          <w:ilvl w:val="0"/>
          <w:numId w:val="57"/>
        </w:numPr>
      </w:pPr>
      <w:bookmarkStart w:id="25" w:name="_Toc507679367"/>
      <w:r>
        <w:t>Continuité d’activité</w:t>
      </w:r>
      <w:bookmarkEnd w:id="25"/>
    </w:p>
    <w:p w:rsidR="00F72E89" w:rsidRDefault="00F72E89" w:rsidP="0093368A">
      <w:pPr>
        <w:spacing w:line="240" w:lineRule="auto"/>
        <w:jc w:val="both"/>
        <w:rPr>
          <w:rFonts w:ascii="Arial" w:hAnsi="Arial" w:cs="Arial"/>
          <w:bCs/>
          <w:sz w:val="20"/>
          <w:szCs w:val="20"/>
        </w:rPr>
      </w:pPr>
    </w:p>
    <w:p w:rsidR="0093368A" w:rsidRPr="008E4D4F" w:rsidRDefault="0093368A" w:rsidP="0093368A">
      <w:pPr>
        <w:jc w:val="both"/>
        <w:rPr>
          <w:rFonts w:ascii="Arial" w:hAnsi="Arial" w:cs="Arial"/>
          <w:bCs/>
          <w:sz w:val="20"/>
          <w:szCs w:val="20"/>
        </w:rPr>
      </w:pPr>
      <w:r w:rsidRPr="008E4D4F">
        <w:rPr>
          <w:rFonts w:ascii="Arial" w:hAnsi="Arial" w:cs="Arial"/>
          <w:bCs/>
          <w:sz w:val="20"/>
          <w:szCs w:val="20"/>
        </w:rPr>
        <w:t>Le requérant devra fournir une description de son plan de continuité d’activité, contenant les informations suivantes :</w:t>
      </w:r>
    </w:p>
    <w:p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 xml:space="preserve">Une étude d’impact sur l’activité, incluant </w:t>
      </w:r>
      <w:r w:rsidR="00E61A2E">
        <w:rPr>
          <w:rFonts w:ascii="Arial" w:hAnsi="Arial" w:cs="Arial"/>
          <w:bCs/>
          <w:sz w:val="20"/>
          <w:szCs w:val="20"/>
        </w:rPr>
        <w:t>les processus opérationnels</w:t>
      </w:r>
      <w:r>
        <w:rPr>
          <w:rFonts w:ascii="Arial" w:hAnsi="Arial" w:cs="Arial"/>
          <w:bCs/>
          <w:sz w:val="20"/>
          <w:szCs w:val="20"/>
        </w:rPr>
        <w:t xml:space="preserve"> et </w:t>
      </w:r>
      <w:r w:rsidR="00E61A2E">
        <w:rPr>
          <w:rFonts w:ascii="Arial" w:hAnsi="Arial" w:cs="Arial"/>
          <w:bCs/>
          <w:sz w:val="20"/>
          <w:szCs w:val="20"/>
        </w:rPr>
        <w:t>l</w:t>
      </w:r>
      <w:r>
        <w:rPr>
          <w:rFonts w:ascii="Arial" w:hAnsi="Arial" w:cs="Arial"/>
          <w:bCs/>
          <w:sz w:val="20"/>
          <w:szCs w:val="20"/>
        </w:rPr>
        <w:t xml:space="preserve">es objectifs de </w:t>
      </w:r>
      <w:r w:rsidR="00E61A2E">
        <w:rPr>
          <w:rFonts w:ascii="Arial" w:hAnsi="Arial" w:cs="Arial"/>
          <w:bCs/>
          <w:sz w:val="20"/>
          <w:szCs w:val="20"/>
        </w:rPr>
        <w:t>reprise</w:t>
      </w:r>
      <w:r>
        <w:rPr>
          <w:rFonts w:ascii="Arial" w:hAnsi="Arial" w:cs="Arial"/>
          <w:bCs/>
          <w:sz w:val="20"/>
          <w:szCs w:val="20"/>
        </w:rPr>
        <w:t xml:space="preserve"> comprenant entre autres un calendrier prévisionnel</w:t>
      </w:r>
      <w:r w:rsidR="00E61A2E">
        <w:rPr>
          <w:rFonts w:ascii="Arial" w:hAnsi="Arial" w:cs="Arial"/>
          <w:bCs/>
          <w:sz w:val="20"/>
          <w:szCs w:val="20"/>
        </w:rPr>
        <w:t xml:space="preserve"> de reprise</w:t>
      </w:r>
      <w:r>
        <w:rPr>
          <w:rFonts w:ascii="Arial" w:hAnsi="Arial" w:cs="Arial"/>
          <w:bCs/>
          <w:sz w:val="20"/>
          <w:szCs w:val="20"/>
        </w:rPr>
        <w:t xml:space="preserve"> avec les étapes clefs</w:t>
      </w:r>
      <w:r w:rsidR="00E61A2E">
        <w:rPr>
          <w:rFonts w:ascii="Arial" w:hAnsi="Arial" w:cs="Arial"/>
          <w:bCs/>
          <w:sz w:val="20"/>
          <w:szCs w:val="20"/>
        </w:rPr>
        <w:t xml:space="preserve">, </w:t>
      </w:r>
      <w:r>
        <w:rPr>
          <w:rFonts w:ascii="Arial" w:hAnsi="Arial" w:cs="Arial"/>
          <w:bCs/>
          <w:sz w:val="20"/>
          <w:szCs w:val="20"/>
        </w:rPr>
        <w:t>les actifs prioritaires à sauvegarder</w:t>
      </w:r>
      <w:r w:rsidR="00E61A2E">
        <w:rPr>
          <w:rFonts w:ascii="Arial" w:hAnsi="Arial" w:cs="Arial"/>
          <w:bCs/>
          <w:sz w:val="20"/>
          <w:szCs w:val="20"/>
        </w:rPr>
        <w:t>, les délais maximaux admissibles d’indisponibilité</w:t>
      </w:r>
      <w:r w:rsidR="002C6A84">
        <w:rPr>
          <w:rFonts w:ascii="Arial" w:hAnsi="Arial" w:cs="Arial"/>
          <w:bCs/>
          <w:sz w:val="20"/>
          <w:szCs w:val="20"/>
        </w:rPr>
        <w:t xml:space="preserve"> ainsi que les pertes de données maximales admissibles</w:t>
      </w:r>
    </w:p>
    <w:p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 xml:space="preserve">La localisation </w:t>
      </w:r>
      <w:r w:rsidR="00E61A2E">
        <w:rPr>
          <w:rFonts w:ascii="Arial" w:hAnsi="Arial" w:cs="Arial"/>
          <w:bCs/>
          <w:sz w:val="20"/>
          <w:szCs w:val="20"/>
        </w:rPr>
        <w:t>du</w:t>
      </w:r>
      <w:r>
        <w:rPr>
          <w:rFonts w:ascii="Arial" w:hAnsi="Arial" w:cs="Arial"/>
          <w:bCs/>
          <w:sz w:val="20"/>
          <w:szCs w:val="20"/>
        </w:rPr>
        <w:t xml:space="preserve"> site de secours, </w:t>
      </w:r>
      <w:r w:rsidR="00E61A2E">
        <w:rPr>
          <w:rFonts w:ascii="Arial" w:hAnsi="Arial" w:cs="Arial"/>
          <w:bCs/>
          <w:sz w:val="20"/>
          <w:szCs w:val="20"/>
        </w:rPr>
        <w:t xml:space="preserve">des </w:t>
      </w:r>
      <w:r>
        <w:rPr>
          <w:rFonts w:ascii="Arial" w:hAnsi="Arial" w:cs="Arial"/>
          <w:bCs/>
          <w:sz w:val="20"/>
          <w:szCs w:val="20"/>
        </w:rPr>
        <w:t xml:space="preserve">accès à </w:t>
      </w:r>
      <w:r w:rsidR="00E61A2E">
        <w:rPr>
          <w:rFonts w:ascii="Arial" w:hAnsi="Arial" w:cs="Arial"/>
          <w:bCs/>
          <w:sz w:val="20"/>
          <w:szCs w:val="20"/>
        </w:rPr>
        <w:t>l’</w:t>
      </w:r>
      <w:r>
        <w:rPr>
          <w:rFonts w:ascii="Arial" w:hAnsi="Arial" w:cs="Arial"/>
          <w:bCs/>
          <w:sz w:val="20"/>
          <w:szCs w:val="20"/>
        </w:rPr>
        <w:t xml:space="preserve">infrastructure informatique, </w:t>
      </w:r>
      <w:r w:rsidR="00E61A2E">
        <w:rPr>
          <w:rFonts w:ascii="Arial" w:hAnsi="Arial" w:cs="Arial"/>
          <w:bCs/>
          <w:sz w:val="20"/>
          <w:szCs w:val="20"/>
        </w:rPr>
        <w:t>et des logiciels clefs et des données à récupérer en cas de sinistre ou de défaillance</w:t>
      </w:r>
      <w:r>
        <w:rPr>
          <w:rFonts w:ascii="Arial" w:hAnsi="Arial" w:cs="Arial"/>
          <w:bCs/>
          <w:sz w:val="20"/>
          <w:szCs w:val="20"/>
        </w:rPr>
        <w:t>.</w:t>
      </w:r>
    </w:p>
    <w:p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Une explication sur les moyens qui seront en œuvre pour continuer l’activité dans le cas d’interruption de service tel que des failles dans les systèmes clefs, la perte de données clefs, l’inaccessibilité des locaux, la perte d’hommes clefs</w:t>
      </w:r>
    </w:p>
    <w:p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La fréquence à laquelle le requérant testera son plan de continuité d’activité</w:t>
      </w:r>
      <w:r w:rsidR="002208D0">
        <w:rPr>
          <w:rFonts w:ascii="Arial" w:hAnsi="Arial" w:cs="Arial"/>
          <w:bCs/>
          <w:sz w:val="20"/>
          <w:szCs w:val="20"/>
        </w:rPr>
        <w:t xml:space="preserve"> et de récupération en cas de sinistre</w:t>
      </w:r>
      <w:r>
        <w:rPr>
          <w:rFonts w:ascii="Arial" w:hAnsi="Arial" w:cs="Arial"/>
          <w:bCs/>
          <w:sz w:val="20"/>
          <w:szCs w:val="20"/>
        </w:rPr>
        <w:t>, en communicant également le résultat de ces tests</w:t>
      </w:r>
      <w:r w:rsidR="002208D0">
        <w:rPr>
          <w:rFonts w:ascii="Arial" w:hAnsi="Arial" w:cs="Arial"/>
          <w:bCs/>
          <w:sz w:val="20"/>
          <w:szCs w:val="20"/>
        </w:rPr>
        <w:t xml:space="preserve"> et indiquant la manière dont les résultats des tests seront pris en compte ;</w:t>
      </w:r>
    </w:p>
    <w:p w:rsidR="002208D0" w:rsidRDefault="002208D0"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Une description des mesures d’atténuation à adopter par le demandeur, en cas de résiliation du contrat de prestation de ses services de paiement, garantissant l’exécution des opérations de paiement en attente et la résiliation des contrats existants.</w:t>
      </w:r>
    </w:p>
    <w:p w:rsidR="00DD1B85" w:rsidRDefault="00DD1B85" w:rsidP="0093368A">
      <w:pPr>
        <w:rPr>
          <w:rFonts w:ascii="Arial" w:hAnsi="Arial" w:cs="Arial"/>
          <w:b/>
          <w:sz w:val="20"/>
          <w:szCs w:val="20"/>
        </w:rPr>
      </w:pPr>
    </w:p>
    <w:p w:rsidR="00D963A6" w:rsidRDefault="00F72E89" w:rsidP="007D371F">
      <w:pPr>
        <w:pStyle w:val="Titre2"/>
      </w:pPr>
      <w:bookmarkStart w:id="26" w:name="_Toc507679368"/>
      <w:r>
        <w:t>Politique de sécurité des services de paiement</w:t>
      </w:r>
      <w:bookmarkEnd w:id="26"/>
    </w:p>
    <w:p w:rsidR="00897657" w:rsidRPr="008C7BC8" w:rsidRDefault="00897657" w:rsidP="00897657">
      <w:pPr>
        <w:jc w:val="both"/>
        <w:rPr>
          <w:rFonts w:ascii="Arial" w:hAnsi="Arial" w:cs="Arial"/>
          <w:bCs/>
          <w:sz w:val="20"/>
          <w:szCs w:val="20"/>
        </w:rPr>
      </w:pPr>
    </w:p>
    <w:p w:rsidR="00D963A6" w:rsidRPr="00A1709B" w:rsidRDefault="008C3C87" w:rsidP="00E52199">
      <w:pPr>
        <w:jc w:val="both"/>
        <w:rPr>
          <w:rFonts w:ascii="Arial" w:hAnsi="Arial" w:cs="Arial"/>
          <w:sz w:val="20"/>
          <w:szCs w:val="20"/>
        </w:rPr>
      </w:pPr>
      <w:r w:rsidRPr="00A1709B">
        <w:rPr>
          <w:rFonts w:ascii="Arial" w:hAnsi="Arial" w:cs="Arial"/>
          <w:sz w:val="20"/>
          <w:szCs w:val="20"/>
        </w:rPr>
        <w:t>Le requérant devrait fournir les informations suivantes :</w:t>
      </w:r>
    </w:p>
    <w:p w:rsidR="008C3C87" w:rsidRPr="00A1709B" w:rsidRDefault="008C3C87" w:rsidP="00E52199">
      <w:pPr>
        <w:jc w:val="both"/>
        <w:rPr>
          <w:rFonts w:ascii="Arial" w:hAnsi="Arial" w:cs="Arial"/>
          <w:sz w:val="20"/>
          <w:szCs w:val="20"/>
        </w:rPr>
      </w:pPr>
    </w:p>
    <w:p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évaluation détaillée des risques du (des) service(s) de paiement que le demandeur à l’intention de fournir, laquelle devrait inclure les risques de fraude et les mesures de contrôle, de sécurité et d’atténuation adoptées afin de protéger de façon adéquate les utilisateurs de services de paiement contre les risques identifiés ;</w:t>
      </w:r>
    </w:p>
    <w:p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description des systèmes informatiques, laquelle devrait inclure :</w:t>
      </w:r>
    </w:p>
    <w:p w:rsidR="008C3C87" w:rsidRPr="00A1709B" w:rsidRDefault="00A1709B" w:rsidP="00F67A9A">
      <w:pPr>
        <w:pStyle w:val="Paragraphedeliste"/>
        <w:numPr>
          <w:ilvl w:val="3"/>
          <w:numId w:val="14"/>
        </w:numPr>
        <w:ind w:left="1854"/>
        <w:jc w:val="both"/>
        <w:rPr>
          <w:rFonts w:ascii="Arial" w:hAnsi="Arial" w:cs="Arial"/>
          <w:sz w:val="20"/>
          <w:szCs w:val="20"/>
        </w:rPr>
      </w:pPr>
      <w:r>
        <w:rPr>
          <w:rFonts w:ascii="Arial" w:hAnsi="Arial" w:cs="Arial"/>
          <w:sz w:val="20"/>
          <w:szCs w:val="20"/>
        </w:rPr>
        <w:t>Le schéma d</w:t>
      </w:r>
      <w:r w:rsidRPr="00A1709B">
        <w:rPr>
          <w:rFonts w:ascii="Arial" w:hAnsi="Arial" w:cs="Arial"/>
          <w:sz w:val="20"/>
          <w:szCs w:val="20"/>
        </w:rPr>
        <w:t xml:space="preserve">’architecture </w:t>
      </w:r>
      <w:r>
        <w:rPr>
          <w:rFonts w:ascii="Arial" w:hAnsi="Arial" w:cs="Arial"/>
          <w:sz w:val="20"/>
          <w:szCs w:val="20"/>
        </w:rPr>
        <w:t xml:space="preserve">technique </w:t>
      </w:r>
      <w:r w:rsidR="008C3C87" w:rsidRPr="00A1709B">
        <w:rPr>
          <w:rFonts w:ascii="Arial" w:hAnsi="Arial" w:cs="Arial"/>
          <w:sz w:val="20"/>
          <w:szCs w:val="20"/>
        </w:rPr>
        <w:t>des systèmes et des réseaux ;</w:t>
      </w:r>
    </w:p>
    <w:p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Les systèmes informatiques de support pour l’organisation et l’administration du demandeur, tels que </w:t>
      </w:r>
      <w:r w:rsidR="00762DE8" w:rsidRPr="00A1709B">
        <w:rPr>
          <w:rFonts w:ascii="Arial" w:hAnsi="Arial" w:cs="Arial"/>
          <w:sz w:val="20"/>
          <w:szCs w:val="20"/>
        </w:rPr>
        <w:t>la comptabilité</w:t>
      </w:r>
      <w:r w:rsidR="00A1709B">
        <w:rPr>
          <w:rFonts w:ascii="Arial" w:hAnsi="Arial" w:cs="Arial"/>
          <w:sz w:val="20"/>
          <w:szCs w:val="20"/>
        </w:rPr>
        <w:t xml:space="preserve"> générale</w:t>
      </w:r>
      <w:r w:rsidR="00762DE8" w:rsidRPr="00A1709B">
        <w:rPr>
          <w:rFonts w:ascii="Arial" w:hAnsi="Arial" w:cs="Arial"/>
          <w:sz w:val="20"/>
          <w:szCs w:val="20"/>
        </w:rPr>
        <w:t>, les systèmes de déclaration légale, la gestion du personnel, la gestion des relations avec la clientèle, les serveurs de courrier électronique et les serveurs de fichiers internes</w:t>
      </w:r>
    </w:p>
    <w:p w:rsidR="00D963A6" w:rsidRPr="00A1709B" w:rsidRDefault="00762DE8"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Des informations précisant si </w:t>
      </w:r>
      <w:r w:rsidR="00A1709B">
        <w:rPr>
          <w:rFonts w:ascii="Arial" w:hAnsi="Arial" w:cs="Arial"/>
          <w:sz w:val="20"/>
          <w:szCs w:val="20"/>
        </w:rPr>
        <w:t>l’établissement de paiement</w:t>
      </w:r>
      <w:r w:rsidRPr="00A1709B">
        <w:rPr>
          <w:rFonts w:ascii="Arial" w:hAnsi="Arial" w:cs="Arial"/>
          <w:sz w:val="20"/>
          <w:szCs w:val="20"/>
        </w:rPr>
        <w:t xml:space="preserve"> ou son groupe utilisent déjà ces systèmes et l’estimation de leur date de mise en œuvre, le cas échéant ;</w:t>
      </w:r>
    </w:p>
    <w:p w:rsidR="00D963A6"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 type de connexions autorisées de l’extérieur, par exemple par des </w:t>
      </w:r>
      <w:r w:rsidR="00A1709B">
        <w:rPr>
          <w:rFonts w:ascii="Arial" w:hAnsi="Arial" w:cs="Arial"/>
          <w:sz w:val="20"/>
          <w:szCs w:val="20"/>
        </w:rPr>
        <w:t>clients</w:t>
      </w:r>
      <w:r w:rsidRPr="00A1709B">
        <w:rPr>
          <w:rFonts w:ascii="Arial" w:hAnsi="Arial" w:cs="Arial"/>
          <w:sz w:val="20"/>
          <w:szCs w:val="20"/>
        </w:rPr>
        <w:t>, des prestataires de services, des entités du groupe et des employés travaillant à distance, en expliquant la raison de ces connexions ;</w:t>
      </w:r>
    </w:p>
    <w:p w:rsidR="00762DE8"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w:t>
      </w:r>
      <w:proofErr w:type="spellStart"/>
      <w:r w:rsidRPr="00A1709B">
        <w:rPr>
          <w:rFonts w:ascii="Arial" w:hAnsi="Arial" w:cs="Arial"/>
          <w:sz w:val="20"/>
          <w:szCs w:val="20"/>
        </w:rPr>
        <w:t>détectif</w:t>
      </w:r>
      <w:proofErr w:type="spellEnd"/>
      <w:r w:rsidRPr="00A1709B">
        <w:rPr>
          <w:rFonts w:ascii="Arial" w:hAnsi="Arial" w:cs="Arial"/>
          <w:sz w:val="20"/>
          <w:szCs w:val="20"/>
        </w:rPr>
        <w:t xml:space="preserve"> ; et suivi en temps réel / examens réguliers, tels que l’utilisation </w:t>
      </w:r>
      <w:r w:rsidR="00897657" w:rsidRPr="00A1709B">
        <w:rPr>
          <w:rFonts w:ascii="Arial" w:hAnsi="Arial" w:cs="Arial"/>
          <w:sz w:val="20"/>
          <w:szCs w:val="20"/>
        </w:rPr>
        <w:t xml:space="preserve">d’un </w:t>
      </w:r>
      <w:r w:rsidR="00A1709B" w:rsidRPr="00A1709B">
        <w:rPr>
          <w:rFonts w:ascii="Arial" w:hAnsi="Arial" w:cs="Arial"/>
          <w:sz w:val="20"/>
          <w:szCs w:val="20"/>
        </w:rPr>
        <w:t>répertoire</w:t>
      </w:r>
      <w:r w:rsidR="00897657" w:rsidRPr="00A1709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intru</w:t>
      </w:r>
      <w:r w:rsidR="00A1709B">
        <w:rPr>
          <w:rFonts w:ascii="Arial" w:hAnsi="Arial" w:cs="Arial"/>
          <w:sz w:val="20"/>
          <w:szCs w:val="20"/>
        </w:rPr>
        <w:t>s</w:t>
      </w:r>
      <w:r w:rsidR="00897657" w:rsidRPr="00A1709B">
        <w:rPr>
          <w:rFonts w:ascii="Arial" w:hAnsi="Arial" w:cs="Arial"/>
          <w:sz w:val="20"/>
          <w:szCs w:val="20"/>
        </w:rPr>
        <w:t>ions, les systèmes antivirus et l’enregistrement des connexions</w:t>
      </w:r>
    </w:p>
    <w:p w:rsidR="00897657" w:rsidRPr="00A1709B" w:rsidRDefault="00957083"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Les mesures et mécanismes de sécurité logiques régissant </w:t>
      </w:r>
      <w:r w:rsidR="00337A6A" w:rsidRPr="00A1709B">
        <w:rPr>
          <w:rFonts w:ascii="Arial" w:hAnsi="Arial" w:cs="Arial"/>
          <w:sz w:val="20"/>
          <w:szCs w:val="20"/>
        </w:rPr>
        <w:t>l’accès interne aux systèmes informatiques, lesquels devraient inclure :</w:t>
      </w:r>
    </w:p>
    <w:p w:rsidR="00337A6A" w:rsidRPr="00A1709B" w:rsidRDefault="00337A6A"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lastRenderedPageBreak/>
        <w:t xml:space="preserve">La nature technique et organisationnelle et la fréquence de chaque mesure, par exemple s’il agit d’une mesure préventive ou détective si elle est mise en œuvre en temps </w:t>
      </w:r>
      <w:proofErr w:type="spellStart"/>
      <w:r w:rsidRPr="00A1709B">
        <w:rPr>
          <w:rFonts w:ascii="Arial" w:hAnsi="Arial" w:cs="Arial"/>
          <w:sz w:val="20"/>
          <w:szCs w:val="20"/>
        </w:rPr>
        <w:t>réél</w:t>
      </w:r>
      <w:proofErr w:type="spellEnd"/>
      <w:r w:rsidRPr="00A1709B">
        <w:rPr>
          <w:rFonts w:ascii="Arial" w:hAnsi="Arial" w:cs="Arial"/>
          <w:sz w:val="20"/>
          <w:szCs w:val="20"/>
        </w:rPr>
        <w:t> ;</w:t>
      </w:r>
    </w:p>
    <w:p w:rsidR="00A0642F" w:rsidRPr="00A1709B" w:rsidRDefault="00A0642F"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La manière dont est traitée la question du cantonnement de l’environnement client dans les cas où les ressources informatiques du demandeur sont partagées ;</w:t>
      </w:r>
    </w:p>
    <w:p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Les mesures et mécanismes de sécurité physique des locaux</w:t>
      </w:r>
      <w:r w:rsidR="00A1709B">
        <w:rPr>
          <w:rFonts w:ascii="Arial" w:hAnsi="Arial" w:cs="Arial"/>
          <w:sz w:val="20"/>
          <w:szCs w:val="20"/>
        </w:rPr>
        <w:t>, des matériels et des systèmes informatiques</w:t>
      </w:r>
      <w:r w:rsidRPr="00A1709B">
        <w:rPr>
          <w:rFonts w:ascii="Arial" w:hAnsi="Arial" w:cs="Arial"/>
          <w:sz w:val="20"/>
          <w:szCs w:val="20"/>
        </w:rPr>
        <w:t> ;</w:t>
      </w:r>
    </w:p>
    <w:p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La sécurité des processus de paiement, qui devrait inclure :</w:t>
      </w:r>
    </w:p>
    <w:p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 la cinématique (création de profil utilisateur, recueil et contrôle des données client, création et mise à disposition d’un instrument de paiement à la clientèle, utilisation de l’instrument de paiement, exécution des opérations de paiement, recueil des transactions, présentation du règlement, contestation d’opérations…)</w:t>
      </w:r>
    </w:p>
    <w:p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des caractéristiques de l’instrument de paiement (caractéristiques du mandat de prélèvement, présence d’une puce sur la carte de paiement…) mis à disposition de la clientèle ou géré par le requérant ;</w:t>
      </w:r>
    </w:p>
    <w:p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La procédure d’authentification du client utilisée pour l’accès tant à la consultation </w:t>
      </w:r>
      <w:r w:rsidR="00285722" w:rsidRPr="00A1709B">
        <w:rPr>
          <w:rFonts w:ascii="Arial" w:hAnsi="Arial" w:cs="Arial"/>
          <w:sz w:val="20"/>
          <w:szCs w:val="20"/>
        </w:rPr>
        <w:t>qu’</w:t>
      </w:r>
      <w:r w:rsidR="00285722">
        <w:rPr>
          <w:rFonts w:ascii="Arial" w:hAnsi="Arial" w:cs="Arial"/>
          <w:sz w:val="20"/>
          <w:szCs w:val="20"/>
        </w:rPr>
        <w:t>à l’autorisation des</w:t>
      </w:r>
      <w:r w:rsidR="00285722" w:rsidRPr="00A1709B">
        <w:rPr>
          <w:rFonts w:ascii="Arial" w:hAnsi="Arial" w:cs="Arial"/>
          <w:sz w:val="20"/>
          <w:szCs w:val="20"/>
        </w:rPr>
        <w:t xml:space="preserve"> </w:t>
      </w:r>
      <w:r w:rsidRPr="00A1709B">
        <w:rPr>
          <w:rFonts w:ascii="Arial" w:hAnsi="Arial" w:cs="Arial"/>
          <w:sz w:val="20"/>
          <w:szCs w:val="20"/>
        </w:rPr>
        <w:t>opérations</w:t>
      </w:r>
      <w:r w:rsidR="00285722">
        <w:rPr>
          <w:rFonts w:ascii="Arial" w:hAnsi="Arial" w:cs="Arial"/>
          <w:sz w:val="20"/>
          <w:szCs w:val="20"/>
        </w:rPr>
        <w:t xml:space="preserve"> de paiement</w:t>
      </w:r>
      <w:r w:rsidRPr="00A1709B">
        <w:rPr>
          <w:rFonts w:ascii="Arial" w:hAnsi="Arial" w:cs="Arial"/>
          <w:sz w:val="20"/>
          <w:szCs w:val="20"/>
        </w:rPr>
        <w:t xml:space="preserve"> et pour tous les instruments de paiement sous</w:t>
      </w:r>
      <w:r w:rsidR="00285722">
        <w:rPr>
          <w:rFonts w:ascii="Arial" w:hAnsi="Arial" w:cs="Arial"/>
          <w:sz w:val="20"/>
          <w:szCs w:val="20"/>
        </w:rPr>
        <w:t>-</w:t>
      </w:r>
      <w:r w:rsidRPr="00A1709B">
        <w:rPr>
          <w:rFonts w:ascii="Arial" w:hAnsi="Arial" w:cs="Arial"/>
          <w:sz w:val="20"/>
          <w:szCs w:val="20"/>
        </w:rPr>
        <w:t>jacents ;</w:t>
      </w:r>
    </w:p>
    <w:p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Une explication de la manière dont le </w:t>
      </w:r>
      <w:r w:rsidR="00285722">
        <w:rPr>
          <w:rFonts w:ascii="Arial" w:hAnsi="Arial" w:cs="Arial"/>
          <w:sz w:val="20"/>
          <w:szCs w:val="20"/>
        </w:rPr>
        <w:t>requérant</w:t>
      </w:r>
      <w:r w:rsidR="00285722" w:rsidRPr="00A1709B">
        <w:rPr>
          <w:rFonts w:ascii="Arial" w:hAnsi="Arial" w:cs="Arial"/>
          <w:sz w:val="20"/>
          <w:szCs w:val="20"/>
        </w:rPr>
        <w:t xml:space="preserve"> </w:t>
      </w:r>
      <w:r w:rsidRPr="00A1709B">
        <w:rPr>
          <w:rFonts w:ascii="Arial" w:hAnsi="Arial" w:cs="Arial"/>
          <w:sz w:val="20"/>
          <w:szCs w:val="20"/>
        </w:rPr>
        <w:t xml:space="preserve">garantit à l’utilisateur légitime </w:t>
      </w:r>
      <w:r w:rsidR="00285722" w:rsidRPr="00A1709B">
        <w:rPr>
          <w:rFonts w:ascii="Arial" w:hAnsi="Arial" w:cs="Arial"/>
          <w:sz w:val="20"/>
          <w:szCs w:val="20"/>
        </w:rPr>
        <w:t>d</w:t>
      </w:r>
      <w:r w:rsidR="00285722">
        <w:rPr>
          <w:rFonts w:ascii="Arial" w:hAnsi="Arial" w:cs="Arial"/>
          <w:sz w:val="20"/>
          <w:szCs w:val="20"/>
        </w:rPr>
        <w:t>es</w:t>
      </w:r>
      <w:r w:rsidR="00285722" w:rsidRPr="00A1709B">
        <w:rPr>
          <w:rFonts w:ascii="Arial" w:hAnsi="Arial" w:cs="Arial"/>
          <w:sz w:val="20"/>
          <w:szCs w:val="20"/>
        </w:rPr>
        <w:t xml:space="preserve"> </w:t>
      </w:r>
      <w:r w:rsidRPr="00A1709B">
        <w:rPr>
          <w:rFonts w:ascii="Arial" w:hAnsi="Arial" w:cs="Arial"/>
          <w:sz w:val="20"/>
          <w:szCs w:val="20"/>
        </w:rPr>
        <w:t>service</w:t>
      </w:r>
      <w:r w:rsidR="00285722">
        <w:rPr>
          <w:rFonts w:ascii="Arial" w:hAnsi="Arial" w:cs="Arial"/>
          <w:sz w:val="20"/>
          <w:szCs w:val="20"/>
        </w:rPr>
        <w:t>s</w:t>
      </w:r>
      <w:r w:rsidRPr="00A1709B">
        <w:rPr>
          <w:rFonts w:ascii="Arial" w:hAnsi="Arial" w:cs="Arial"/>
          <w:sz w:val="20"/>
          <w:szCs w:val="20"/>
        </w:rPr>
        <w:t xml:space="preserve"> de paiement la mise à disposition et l’intégrité des facteurs d’authentification, tels que les jetons matériels, et les applications mobiles, au moment tant de l’enrôlement initial que du renouvellement</w:t>
      </w:r>
      <w:r w:rsidR="00DD56A6">
        <w:rPr>
          <w:rFonts w:ascii="Arial" w:hAnsi="Arial" w:cs="Arial"/>
          <w:sz w:val="20"/>
          <w:szCs w:val="20"/>
        </w:rPr>
        <w:t> ;</w:t>
      </w:r>
    </w:p>
    <w:p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Une description de</w:t>
      </w:r>
      <w:r w:rsidR="00DD56A6">
        <w:rPr>
          <w:rFonts w:ascii="Arial" w:hAnsi="Arial" w:cs="Arial"/>
          <w:sz w:val="20"/>
          <w:szCs w:val="20"/>
        </w:rPr>
        <w:t>s moyens techniques</w:t>
      </w:r>
      <w:r w:rsidRPr="00A1709B">
        <w:rPr>
          <w:rFonts w:ascii="Arial" w:hAnsi="Arial" w:cs="Arial"/>
          <w:sz w:val="20"/>
          <w:szCs w:val="20"/>
        </w:rPr>
        <w:t xml:space="preserve"> et des procédures mis en place par l</w:t>
      </w:r>
      <w:r w:rsidR="00DD56A6">
        <w:rPr>
          <w:rFonts w:ascii="Arial" w:hAnsi="Arial" w:cs="Arial"/>
          <w:sz w:val="20"/>
          <w:szCs w:val="20"/>
        </w:rPr>
        <w:t>’établissement de paiement pour</w:t>
      </w:r>
      <w:r w:rsidRPr="00A1709B">
        <w:rPr>
          <w:rFonts w:ascii="Arial" w:hAnsi="Arial" w:cs="Arial"/>
          <w:sz w:val="20"/>
          <w:szCs w:val="20"/>
        </w:rPr>
        <w:t xml:space="preserve"> </w:t>
      </w:r>
      <w:r w:rsidR="00DD56A6">
        <w:rPr>
          <w:rFonts w:ascii="Arial" w:hAnsi="Arial" w:cs="Arial"/>
          <w:sz w:val="20"/>
          <w:szCs w:val="20"/>
        </w:rPr>
        <w:t>réaliser</w:t>
      </w:r>
      <w:r w:rsidR="00DD56A6" w:rsidRPr="00A1709B">
        <w:rPr>
          <w:rFonts w:ascii="Arial" w:hAnsi="Arial" w:cs="Arial"/>
          <w:sz w:val="20"/>
          <w:szCs w:val="20"/>
        </w:rPr>
        <w:t xml:space="preserve"> </w:t>
      </w:r>
      <w:r w:rsidRPr="00A1709B">
        <w:rPr>
          <w:rFonts w:ascii="Arial" w:hAnsi="Arial" w:cs="Arial"/>
          <w:sz w:val="20"/>
          <w:szCs w:val="20"/>
        </w:rPr>
        <w:t xml:space="preserve">les opérations </w:t>
      </w:r>
      <w:r w:rsidR="00DD56A6">
        <w:rPr>
          <w:rFonts w:ascii="Arial" w:hAnsi="Arial" w:cs="Arial"/>
          <w:sz w:val="20"/>
          <w:szCs w:val="20"/>
        </w:rPr>
        <w:t xml:space="preserve">de paiement </w:t>
      </w:r>
      <w:r w:rsidRPr="00A1709B">
        <w:rPr>
          <w:rFonts w:ascii="Arial" w:hAnsi="Arial" w:cs="Arial"/>
          <w:sz w:val="20"/>
          <w:szCs w:val="20"/>
        </w:rPr>
        <w:t>et détecter les opérations suspectes ou inhabituelles ;</w:t>
      </w:r>
    </w:p>
    <w:p w:rsidR="00305D0E" w:rsidRPr="00A1709B" w:rsidRDefault="00305D0E" w:rsidP="00F67A9A">
      <w:pPr>
        <w:ind w:left="357"/>
        <w:jc w:val="both"/>
        <w:rPr>
          <w:rFonts w:ascii="Arial" w:hAnsi="Arial" w:cs="Arial"/>
          <w:sz w:val="20"/>
          <w:szCs w:val="20"/>
        </w:rPr>
      </w:pPr>
      <w:r w:rsidRPr="00A1709B">
        <w:rPr>
          <w:rFonts w:ascii="Arial" w:hAnsi="Arial" w:cs="Arial"/>
          <w:sz w:val="20"/>
          <w:szCs w:val="20"/>
        </w:rPr>
        <w:t>h)</w:t>
      </w:r>
      <w:r w:rsidRPr="00A1709B">
        <w:rPr>
          <w:rFonts w:ascii="Arial" w:hAnsi="Arial" w:cs="Arial"/>
          <w:sz w:val="20"/>
          <w:szCs w:val="20"/>
        </w:rPr>
        <w:tab/>
        <w:t>une évaluation détaillée des risques en rapport avec les services de paiement proposés, y compris le risque de fraude en lien avec les mesures de contrôle et d’atténuation présenté</w:t>
      </w:r>
      <w:r w:rsidR="00DD56A6">
        <w:rPr>
          <w:rFonts w:ascii="Arial" w:hAnsi="Arial" w:cs="Arial"/>
          <w:sz w:val="20"/>
          <w:szCs w:val="20"/>
        </w:rPr>
        <w:t>e</w:t>
      </w:r>
      <w:r w:rsidRPr="00A1709B">
        <w:rPr>
          <w:rFonts w:ascii="Arial" w:hAnsi="Arial" w:cs="Arial"/>
          <w:sz w:val="20"/>
          <w:szCs w:val="20"/>
        </w:rPr>
        <w:t>s dans le dossier de la demande, démontrant qu’il est remédié aux risques ;</w:t>
      </w:r>
    </w:p>
    <w:p w:rsidR="00305D0E" w:rsidRPr="00A1709B" w:rsidRDefault="00305D0E" w:rsidP="00F67A9A">
      <w:pPr>
        <w:ind w:left="357"/>
        <w:jc w:val="both"/>
        <w:rPr>
          <w:rFonts w:ascii="Arial" w:hAnsi="Arial" w:cs="Arial"/>
          <w:sz w:val="20"/>
          <w:szCs w:val="20"/>
        </w:rPr>
      </w:pPr>
      <w:r w:rsidRPr="00A1709B">
        <w:rPr>
          <w:rFonts w:ascii="Arial" w:hAnsi="Arial" w:cs="Arial"/>
          <w:sz w:val="20"/>
          <w:szCs w:val="20"/>
        </w:rPr>
        <w:t>i)</w:t>
      </w:r>
      <w:r w:rsidRPr="00A1709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DD56A6">
        <w:rPr>
          <w:rFonts w:ascii="Arial" w:hAnsi="Arial" w:cs="Arial"/>
          <w:sz w:val="20"/>
          <w:szCs w:val="20"/>
        </w:rPr>
        <w:t xml:space="preserve">de </w:t>
      </w:r>
      <w:r w:rsidRPr="00A1709B">
        <w:rPr>
          <w:rFonts w:ascii="Arial" w:hAnsi="Arial" w:cs="Arial"/>
          <w:sz w:val="20"/>
          <w:szCs w:val="20"/>
        </w:rPr>
        <w:t>la date de leur finalisation</w:t>
      </w:r>
    </w:p>
    <w:p w:rsidR="00D3524E" w:rsidRDefault="00D3524E" w:rsidP="00F06BBE"/>
    <w:sectPr w:rsidR="00D3524E" w:rsidSect="00B9361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933" w:rsidRDefault="008B4933" w:rsidP="0093368A">
      <w:pPr>
        <w:spacing w:line="240" w:lineRule="auto"/>
      </w:pPr>
      <w:r>
        <w:separator/>
      </w:r>
    </w:p>
  </w:endnote>
  <w:endnote w:type="continuationSeparator" w:id="0">
    <w:p w:rsidR="008B4933" w:rsidRDefault="008B4933"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A1709B" w:rsidRDefault="00A1709B">
        <w:pPr>
          <w:pStyle w:val="Pieddepage"/>
          <w:jc w:val="right"/>
        </w:pPr>
        <w:r>
          <w:fldChar w:fldCharType="begin"/>
        </w:r>
        <w:r>
          <w:instrText>PAGE   \* MERGEFORMAT</w:instrText>
        </w:r>
        <w:r>
          <w:fldChar w:fldCharType="separate"/>
        </w:r>
        <w:r w:rsidR="00800C68">
          <w:rPr>
            <w:noProof/>
          </w:rPr>
          <w:t>2</w:t>
        </w:r>
        <w:r>
          <w:fldChar w:fldCharType="end"/>
        </w:r>
      </w:p>
    </w:sdtContent>
  </w:sdt>
  <w:p w:rsidR="00A1709B" w:rsidRDefault="00A1709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933" w:rsidRDefault="008B4933" w:rsidP="0093368A">
      <w:pPr>
        <w:spacing w:line="240" w:lineRule="auto"/>
      </w:pPr>
      <w:r>
        <w:separator/>
      </w:r>
    </w:p>
  </w:footnote>
  <w:footnote w:type="continuationSeparator" w:id="0">
    <w:p w:rsidR="008B4933" w:rsidRDefault="008B4933" w:rsidP="0093368A">
      <w:pPr>
        <w:spacing w:line="240" w:lineRule="auto"/>
      </w:pPr>
      <w:r>
        <w:continuationSeparator/>
      </w:r>
    </w:p>
  </w:footnote>
  <w:footnote w:id="1">
    <w:p w:rsidR="00A1709B" w:rsidRDefault="00A1709B" w:rsidP="0093368A">
      <w:pPr>
        <w:pStyle w:val="Notedebasdepage"/>
      </w:pPr>
      <w:r>
        <w:rPr>
          <w:rStyle w:val="Appelnotedebasdep"/>
        </w:rPr>
        <w:footnoteRef/>
      </w:r>
      <w:r>
        <w:t xml:space="preserve"> Inscrire en cours de constitution si la société n’est pas encore créée/en cours de création</w:t>
      </w:r>
    </w:p>
  </w:footnote>
  <w:footnote w:id="2">
    <w:p w:rsidR="00A1709B" w:rsidRDefault="00A1709B" w:rsidP="004C6859">
      <w:pPr>
        <w:pStyle w:val="Notedebasdepage"/>
        <w:jc w:val="both"/>
      </w:pPr>
      <w:r>
        <w:rPr>
          <w:rStyle w:val="Appelnotedebasdep"/>
        </w:rPr>
        <w:footnoteRef/>
      </w:r>
      <w:r>
        <w:t xml:space="preserve"> Capital initial tel que visé par le 3° de l’article 2 ainsi que l’article 4 de l’arrêté du 29 octobre 2009. On entend par capital initial le montant des fonds propres tel que visé  par l’article 28 du même arrêté et l’article 26 du Règlement (UE) N°575/2013 du Parlement européen et du Conseil du 26 juin 2013 (« CRR »), qui précise que les fonds propres sont composés des instruments de capital (en respects des conditions fixées à l’article 28 et 29 du CRR, des comptes des primes d’émission liés à ces instruments, des résultats non distribués, des autres éléments du résultat global accumulés, des autres réserves, des fonds pour risques bancaires généraux.</w:t>
      </w:r>
    </w:p>
  </w:footnote>
  <w:footnote w:id="3">
    <w:p w:rsidR="00A1709B" w:rsidRDefault="00A1709B" w:rsidP="0093368A">
      <w:pPr>
        <w:pStyle w:val="Notedebasdepage"/>
        <w:ind w:right="283"/>
      </w:pPr>
      <w:r>
        <w:rPr>
          <w:rStyle w:val="Appelnotedebasdep"/>
        </w:rPr>
        <w:footnoteRef/>
      </w:r>
      <w:r>
        <w:t xml:space="preserve"> Fonds propres prudentiels  tels que définis par l’article 26 du Règlement (UE) N°575/2013 du Parlement Européen  et du Conseil du 26 juin 2013</w:t>
      </w:r>
    </w:p>
  </w:footnote>
  <w:footnote w:id="4">
    <w:p w:rsidR="00A1709B" w:rsidRDefault="00A1709B" w:rsidP="0093368A">
      <w:pPr>
        <w:pStyle w:val="Notedebasdepage"/>
        <w:ind w:right="0"/>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1D408B"/>
    <w:multiLevelType w:val="hybridMultilevel"/>
    <w:tmpl w:val="A63251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6A5DAE"/>
    <w:multiLevelType w:val="hybridMultilevel"/>
    <w:tmpl w:val="3D4CFE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B04AFA"/>
    <w:multiLevelType w:val="hybridMultilevel"/>
    <w:tmpl w:val="E9CE171C"/>
    <w:lvl w:ilvl="0" w:tplc="13C608DE">
      <w:start w:val="1"/>
      <w:numFmt w:val="upperLetter"/>
      <w:pStyle w:val="Titre2"/>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4A60C32"/>
    <w:multiLevelType w:val="hybridMultilevel"/>
    <w:tmpl w:val="02804664"/>
    <w:lvl w:ilvl="0" w:tplc="038669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47683124"/>
    <w:multiLevelType w:val="hybridMultilevel"/>
    <w:tmpl w:val="2F7298FE"/>
    <w:lvl w:ilvl="0" w:tplc="C14AA6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D4F1FBA"/>
    <w:multiLevelType w:val="hybridMultilevel"/>
    <w:tmpl w:val="15664380"/>
    <w:lvl w:ilvl="0" w:tplc="0CE05B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520B67"/>
    <w:multiLevelType w:val="hybridMultilevel"/>
    <w:tmpl w:val="52BC7C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4">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1">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8EB322C"/>
    <w:multiLevelType w:val="hybridMultilevel"/>
    <w:tmpl w:val="DAC69724"/>
    <w:lvl w:ilvl="0" w:tplc="BDBC84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37"/>
  </w:num>
  <w:num w:numId="4">
    <w:abstractNumId w:val="11"/>
  </w:num>
  <w:num w:numId="5">
    <w:abstractNumId w:val="20"/>
  </w:num>
  <w:num w:numId="6">
    <w:abstractNumId w:val="24"/>
  </w:num>
  <w:num w:numId="7">
    <w:abstractNumId w:val="17"/>
  </w:num>
  <w:num w:numId="8">
    <w:abstractNumId w:val="2"/>
  </w:num>
  <w:num w:numId="9">
    <w:abstractNumId w:val="31"/>
  </w:num>
  <w:num w:numId="10">
    <w:abstractNumId w:val="8"/>
  </w:num>
  <w:num w:numId="11">
    <w:abstractNumId w:val="15"/>
  </w:num>
  <w:num w:numId="12">
    <w:abstractNumId w:val="28"/>
  </w:num>
  <w:num w:numId="13">
    <w:abstractNumId w:val="35"/>
  </w:num>
  <w:num w:numId="14">
    <w:abstractNumId w:val="25"/>
  </w:num>
  <w:num w:numId="15">
    <w:abstractNumId w:val="9"/>
  </w:num>
  <w:num w:numId="16">
    <w:abstractNumId w:val="34"/>
  </w:num>
  <w:num w:numId="17">
    <w:abstractNumId w:val="0"/>
  </w:num>
  <w:num w:numId="18">
    <w:abstractNumId w:val="30"/>
  </w:num>
  <w:num w:numId="19">
    <w:abstractNumId w:val="10"/>
  </w:num>
  <w:num w:numId="20">
    <w:abstractNumId w:val="36"/>
  </w:num>
  <w:num w:numId="21">
    <w:abstractNumId w:val="1"/>
  </w:num>
  <w:num w:numId="22">
    <w:abstractNumId w:val="38"/>
  </w:num>
  <w:num w:numId="23">
    <w:abstractNumId w:val="27"/>
  </w:num>
  <w:num w:numId="24">
    <w:abstractNumId w:val="18"/>
  </w:num>
  <w:num w:numId="25">
    <w:abstractNumId w:val="3"/>
  </w:num>
  <w:num w:numId="26">
    <w:abstractNumId w:val="26"/>
  </w:num>
  <w:num w:numId="27">
    <w:abstractNumId w:val="32"/>
  </w:num>
  <w:num w:numId="28">
    <w:abstractNumId w:val="39"/>
  </w:num>
  <w:num w:numId="29">
    <w:abstractNumId w:val="14"/>
  </w:num>
  <w:num w:numId="30">
    <w:abstractNumId w:val="6"/>
  </w:num>
  <w:num w:numId="31">
    <w:abstractNumId w:val="13"/>
  </w:num>
  <w:num w:numId="32">
    <w:abstractNumId w:val="23"/>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13"/>
  </w:num>
  <w:num w:numId="46">
    <w:abstractNumId w:val="29"/>
  </w:num>
  <w:num w:numId="47">
    <w:abstractNumId w:val="40"/>
  </w:num>
  <w:num w:numId="48">
    <w:abstractNumId w:val="33"/>
  </w:num>
  <w:num w:numId="49">
    <w:abstractNumId w:val="19"/>
  </w:num>
  <w:num w:numId="50">
    <w:abstractNumId w:val="41"/>
  </w:num>
  <w:num w:numId="51">
    <w:abstractNumId w:val="12"/>
  </w:num>
  <w:num w:numId="52">
    <w:abstractNumId w:val="21"/>
  </w:num>
  <w:num w:numId="53">
    <w:abstractNumId w:val="22"/>
  </w:num>
  <w:num w:numId="54">
    <w:abstractNumId w:val="5"/>
  </w:num>
  <w:num w:numId="55">
    <w:abstractNumId w:val="4"/>
  </w:num>
  <w:num w:numId="56">
    <w:abstractNumId w:val="6"/>
    <w:lvlOverride w:ilvl="0">
      <w:startOverride w:val="1"/>
    </w:lvlOverride>
  </w:num>
  <w:num w:numId="57">
    <w:abstractNumId w:val="6"/>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8A"/>
    <w:rsid w:val="00037AB7"/>
    <w:rsid w:val="0005395C"/>
    <w:rsid w:val="00074738"/>
    <w:rsid w:val="000905BA"/>
    <w:rsid w:val="000B03F3"/>
    <w:rsid w:val="00116E70"/>
    <w:rsid w:val="001562DD"/>
    <w:rsid w:val="00172DD1"/>
    <w:rsid w:val="001778C5"/>
    <w:rsid w:val="001B29B0"/>
    <w:rsid w:val="001B4A91"/>
    <w:rsid w:val="001F5225"/>
    <w:rsid w:val="0021695F"/>
    <w:rsid w:val="002208D0"/>
    <w:rsid w:val="002351DB"/>
    <w:rsid w:val="00252184"/>
    <w:rsid w:val="00285722"/>
    <w:rsid w:val="002B2196"/>
    <w:rsid w:val="002C6A84"/>
    <w:rsid w:val="002E30CF"/>
    <w:rsid w:val="00305D0E"/>
    <w:rsid w:val="003168A0"/>
    <w:rsid w:val="00321119"/>
    <w:rsid w:val="00333050"/>
    <w:rsid w:val="00337A6A"/>
    <w:rsid w:val="00343F7A"/>
    <w:rsid w:val="003565B9"/>
    <w:rsid w:val="00360915"/>
    <w:rsid w:val="00381B07"/>
    <w:rsid w:val="003B4B91"/>
    <w:rsid w:val="003C412B"/>
    <w:rsid w:val="003E3541"/>
    <w:rsid w:val="004057BC"/>
    <w:rsid w:val="00406922"/>
    <w:rsid w:val="004473DE"/>
    <w:rsid w:val="00451907"/>
    <w:rsid w:val="004C5E6F"/>
    <w:rsid w:val="004C62D4"/>
    <w:rsid w:val="004C6859"/>
    <w:rsid w:val="004F2391"/>
    <w:rsid w:val="004F5429"/>
    <w:rsid w:val="00543CAF"/>
    <w:rsid w:val="00545D30"/>
    <w:rsid w:val="00546E4D"/>
    <w:rsid w:val="005636B0"/>
    <w:rsid w:val="00597863"/>
    <w:rsid w:val="0060241A"/>
    <w:rsid w:val="006C2A33"/>
    <w:rsid w:val="00762DE8"/>
    <w:rsid w:val="007C225D"/>
    <w:rsid w:val="007D1761"/>
    <w:rsid w:val="007D371F"/>
    <w:rsid w:val="00800C68"/>
    <w:rsid w:val="00821632"/>
    <w:rsid w:val="00855690"/>
    <w:rsid w:val="00872530"/>
    <w:rsid w:val="008753CE"/>
    <w:rsid w:val="008852BF"/>
    <w:rsid w:val="00890EF0"/>
    <w:rsid w:val="00897657"/>
    <w:rsid w:val="008B4933"/>
    <w:rsid w:val="008B61F9"/>
    <w:rsid w:val="008B7264"/>
    <w:rsid w:val="008C3C87"/>
    <w:rsid w:val="00921842"/>
    <w:rsid w:val="0093368A"/>
    <w:rsid w:val="00957083"/>
    <w:rsid w:val="00966C83"/>
    <w:rsid w:val="00971FAF"/>
    <w:rsid w:val="00987F2E"/>
    <w:rsid w:val="009B2B08"/>
    <w:rsid w:val="009B4F6F"/>
    <w:rsid w:val="009C5CC7"/>
    <w:rsid w:val="00A0642F"/>
    <w:rsid w:val="00A1709B"/>
    <w:rsid w:val="00A26C73"/>
    <w:rsid w:val="00A74F8A"/>
    <w:rsid w:val="00A86235"/>
    <w:rsid w:val="00A96CBC"/>
    <w:rsid w:val="00AA6247"/>
    <w:rsid w:val="00AB3231"/>
    <w:rsid w:val="00AB48E1"/>
    <w:rsid w:val="00AC4856"/>
    <w:rsid w:val="00AF1784"/>
    <w:rsid w:val="00B2439C"/>
    <w:rsid w:val="00B81F49"/>
    <w:rsid w:val="00B93618"/>
    <w:rsid w:val="00BA5F6B"/>
    <w:rsid w:val="00BA65A2"/>
    <w:rsid w:val="00BB4987"/>
    <w:rsid w:val="00BD234F"/>
    <w:rsid w:val="00BF73E1"/>
    <w:rsid w:val="00C07FF2"/>
    <w:rsid w:val="00C55479"/>
    <w:rsid w:val="00C66DAE"/>
    <w:rsid w:val="00D24076"/>
    <w:rsid w:val="00D3524E"/>
    <w:rsid w:val="00D620B7"/>
    <w:rsid w:val="00D963A6"/>
    <w:rsid w:val="00D97723"/>
    <w:rsid w:val="00DB1C15"/>
    <w:rsid w:val="00DC1D6A"/>
    <w:rsid w:val="00DD1B85"/>
    <w:rsid w:val="00DD56A6"/>
    <w:rsid w:val="00E228CD"/>
    <w:rsid w:val="00E52199"/>
    <w:rsid w:val="00E61A2E"/>
    <w:rsid w:val="00E73F49"/>
    <w:rsid w:val="00E84365"/>
    <w:rsid w:val="00EA77E9"/>
    <w:rsid w:val="00EB2A08"/>
    <w:rsid w:val="00EC6407"/>
    <w:rsid w:val="00F06BBE"/>
    <w:rsid w:val="00F11A47"/>
    <w:rsid w:val="00F33366"/>
    <w:rsid w:val="00F3407B"/>
    <w:rsid w:val="00F3741D"/>
    <w:rsid w:val="00F67A9A"/>
    <w:rsid w:val="00F72E89"/>
    <w:rsid w:val="00F77291"/>
    <w:rsid w:val="00F832D3"/>
    <w:rsid w:val="00F86F6A"/>
    <w:rsid w:val="00FA6D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pr.banque-france.fr/agrements-et-autorisations/procedures-secteur-banque/dirigeants-effectifs-et-membres-des-organes-sociaux.html" TargetMode="External"/><Relationship Id="rId5" Type="http://schemas.openxmlformats.org/officeDocument/2006/relationships/settings" Target="settings.xml"/><Relationship Id="rId10" Type="http://schemas.openxmlformats.org/officeDocument/2006/relationships/hyperlink" Target="mailto:2785-SECRETARIAT-SERVICE-UT@acpr.banque-franc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C42F-3952-4BA0-BDB6-0833A420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4EDB8216.dotm</Template>
  <TotalTime>2</TotalTime>
  <Pages>19</Pages>
  <Words>6496</Words>
  <Characters>35730</Characters>
  <Application>Microsoft Office Word</Application>
  <DocSecurity>4</DocSecurity>
  <Lines>297</Lines>
  <Paragraphs>84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Mariam LEITE</cp:lastModifiedBy>
  <cp:revision>2</cp:revision>
  <dcterms:created xsi:type="dcterms:W3CDTF">2018-12-06T16:09:00Z</dcterms:created>
  <dcterms:modified xsi:type="dcterms:W3CDTF">2018-12-06T16:09:00Z</dcterms:modified>
</cp:coreProperties>
</file>