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FEBE6" w14:textId="77777777" w:rsidR="00607CEB" w:rsidRPr="00640178" w:rsidRDefault="00607CEB" w:rsidP="00640178">
      <w:pPr>
        <w:spacing w:after="0"/>
        <w:jc w:val="both"/>
        <w:rPr>
          <w:rFonts w:ascii="Times New Roman" w:hAnsi="Times New Roman" w:cs="Times New Roman"/>
          <w:sz w:val="24"/>
          <w:szCs w:val="24"/>
        </w:rPr>
      </w:pPr>
      <w:bookmarkStart w:id="0" w:name="_GoBack"/>
      <w:bookmarkEnd w:id="0"/>
    </w:p>
    <w:p w14:paraId="63E9BF01" w14:textId="77777777" w:rsidR="00640178" w:rsidRPr="00640178" w:rsidRDefault="00640178" w:rsidP="00640178">
      <w:pPr>
        <w:spacing w:after="0"/>
        <w:jc w:val="both"/>
        <w:rPr>
          <w:rFonts w:ascii="Times New Roman" w:hAnsi="Times New Roman" w:cs="Times New Roman"/>
          <w:sz w:val="24"/>
          <w:szCs w:val="24"/>
        </w:rPr>
      </w:pPr>
    </w:p>
    <w:p w14:paraId="19516B4C" w14:textId="77777777" w:rsidR="00640178" w:rsidRPr="00640178" w:rsidRDefault="00640178" w:rsidP="00640178">
      <w:pPr>
        <w:spacing w:after="0"/>
        <w:jc w:val="both"/>
        <w:rPr>
          <w:rFonts w:ascii="Times New Roman" w:hAnsi="Times New Roman" w:cs="Times New Roman"/>
          <w:sz w:val="24"/>
          <w:szCs w:val="24"/>
        </w:rPr>
      </w:pPr>
    </w:p>
    <w:p w14:paraId="638E0598" w14:textId="77777777" w:rsidR="00640178" w:rsidRPr="00640178" w:rsidRDefault="00640178" w:rsidP="00640178">
      <w:pPr>
        <w:spacing w:after="0"/>
        <w:jc w:val="both"/>
        <w:rPr>
          <w:rFonts w:ascii="Times New Roman" w:hAnsi="Times New Roman" w:cs="Times New Roman"/>
          <w:sz w:val="24"/>
          <w:szCs w:val="24"/>
        </w:rPr>
      </w:pPr>
    </w:p>
    <w:p w14:paraId="5A7980E4" w14:textId="77777777" w:rsidR="00640178" w:rsidRPr="00640178" w:rsidRDefault="00640178" w:rsidP="00640178">
      <w:pPr>
        <w:spacing w:after="0"/>
        <w:jc w:val="both"/>
        <w:rPr>
          <w:rFonts w:ascii="Times New Roman" w:hAnsi="Times New Roman" w:cs="Times New Roman"/>
          <w:sz w:val="24"/>
          <w:szCs w:val="24"/>
        </w:rPr>
      </w:pPr>
    </w:p>
    <w:p w14:paraId="0252A185" w14:textId="77777777" w:rsidR="00640178" w:rsidRPr="00640178" w:rsidRDefault="00640178" w:rsidP="00640178">
      <w:pPr>
        <w:spacing w:after="0"/>
        <w:jc w:val="both"/>
        <w:rPr>
          <w:rFonts w:ascii="Times New Roman" w:hAnsi="Times New Roman" w:cs="Times New Roman"/>
          <w:sz w:val="24"/>
          <w:szCs w:val="24"/>
        </w:rPr>
      </w:pPr>
    </w:p>
    <w:p w14:paraId="370B1401" w14:textId="77777777" w:rsidR="00640178" w:rsidRPr="00640178" w:rsidRDefault="00640178" w:rsidP="00640178">
      <w:pPr>
        <w:spacing w:after="0"/>
        <w:jc w:val="both"/>
        <w:rPr>
          <w:rFonts w:ascii="Times New Roman" w:hAnsi="Times New Roman" w:cs="Times New Roman"/>
          <w:sz w:val="24"/>
          <w:szCs w:val="24"/>
        </w:rPr>
      </w:pPr>
    </w:p>
    <w:p w14:paraId="3F0B360B" w14:textId="77777777" w:rsidR="00640178" w:rsidRPr="00640178" w:rsidRDefault="00640178" w:rsidP="00640178">
      <w:pPr>
        <w:spacing w:after="0"/>
        <w:jc w:val="both"/>
        <w:rPr>
          <w:rFonts w:ascii="Times New Roman" w:hAnsi="Times New Roman" w:cs="Times New Roman"/>
          <w:sz w:val="24"/>
          <w:szCs w:val="24"/>
        </w:rPr>
      </w:pPr>
    </w:p>
    <w:p w14:paraId="2C252002" w14:textId="77777777" w:rsidR="00640178" w:rsidRPr="00640178" w:rsidRDefault="00640178" w:rsidP="00640178">
      <w:pPr>
        <w:spacing w:after="0"/>
        <w:jc w:val="both"/>
        <w:rPr>
          <w:rFonts w:ascii="Times New Roman" w:hAnsi="Times New Roman" w:cs="Times New Roman"/>
          <w:sz w:val="24"/>
          <w:szCs w:val="24"/>
        </w:rPr>
      </w:pPr>
    </w:p>
    <w:p w14:paraId="2749C8AA" w14:textId="77777777" w:rsidR="00640178" w:rsidRPr="00640178" w:rsidRDefault="00640178" w:rsidP="00640178">
      <w:pPr>
        <w:spacing w:after="0"/>
        <w:jc w:val="both"/>
        <w:rPr>
          <w:rFonts w:ascii="Times New Roman" w:hAnsi="Times New Roman" w:cs="Times New Roman"/>
          <w:sz w:val="24"/>
          <w:szCs w:val="24"/>
        </w:rPr>
      </w:pPr>
    </w:p>
    <w:p w14:paraId="54A3F6BA" w14:textId="77777777" w:rsidR="00640178" w:rsidRPr="00640178" w:rsidRDefault="00640178" w:rsidP="00640178">
      <w:pPr>
        <w:spacing w:after="0"/>
        <w:jc w:val="both"/>
        <w:rPr>
          <w:rFonts w:ascii="Times New Roman" w:hAnsi="Times New Roman" w:cs="Times New Roman"/>
          <w:sz w:val="24"/>
          <w:szCs w:val="24"/>
        </w:rPr>
      </w:pPr>
    </w:p>
    <w:p w14:paraId="313D16A9" w14:textId="77777777" w:rsidR="00640178" w:rsidRPr="00640178" w:rsidRDefault="00640178" w:rsidP="00640178">
      <w:pPr>
        <w:spacing w:after="0"/>
        <w:jc w:val="both"/>
        <w:rPr>
          <w:rFonts w:ascii="Times New Roman" w:hAnsi="Times New Roman" w:cs="Times New Roman"/>
          <w:sz w:val="24"/>
          <w:szCs w:val="24"/>
        </w:rPr>
      </w:pPr>
    </w:p>
    <w:p w14:paraId="0F9B2A1D" w14:textId="29C8BCCA" w:rsidR="00607CEB" w:rsidRPr="00640178" w:rsidRDefault="00AC7B1A" w:rsidP="00640178">
      <w:pPr>
        <w:spacing w:after="0"/>
        <w:jc w:val="right"/>
        <w:rPr>
          <w:rFonts w:ascii="Arial" w:hAnsi="Arial" w:cs="Arial"/>
          <w:sz w:val="24"/>
          <w:szCs w:val="24"/>
        </w:rPr>
      </w:pPr>
      <w:r>
        <w:rPr>
          <w:rFonts w:ascii="Arial" w:hAnsi="Arial" w:cs="Arial"/>
          <w:sz w:val="24"/>
          <w:szCs w:val="24"/>
        </w:rPr>
        <w:t>Octobre</w:t>
      </w:r>
      <w:r w:rsidR="001A1149">
        <w:rPr>
          <w:rFonts w:ascii="Arial" w:hAnsi="Arial" w:cs="Arial"/>
          <w:sz w:val="24"/>
          <w:szCs w:val="24"/>
        </w:rPr>
        <w:t xml:space="preserve"> </w:t>
      </w:r>
      <w:r w:rsidR="00586826">
        <w:rPr>
          <w:rFonts w:ascii="Arial" w:hAnsi="Arial" w:cs="Arial"/>
          <w:sz w:val="24"/>
          <w:szCs w:val="24"/>
        </w:rPr>
        <w:t>2023</w:t>
      </w:r>
    </w:p>
    <w:p w14:paraId="4EAB5068" w14:textId="77777777" w:rsidR="00607CEB" w:rsidRPr="00640178" w:rsidRDefault="00607CEB" w:rsidP="00640178">
      <w:pPr>
        <w:spacing w:after="0"/>
        <w:jc w:val="center"/>
        <w:rPr>
          <w:rFonts w:ascii="Arial" w:hAnsi="Arial" w:cs="Arial"/>
          <w:b/>
          <w:bCs/>
          <w:sz w:val="48"/>
          <w:szCs w:val="48"/>
        </w:rPr>
      </w:pPr>
    </w:p>
    <w:p w14:paraId="1D3896A0" w14:textId="105961C7" w:rsidR="00607CEB" w:rsidRDefault="00607CEB" w:rsidP="00640178">
      <w:pPr>
        <w:spacing w:after="0"/>
        <w:jc w:val="center"/>
        <w:rPr>
          <w:rFonts w:ascii="Arial" w:hAnsi="Arial" w:cs="Arial"/>
          <w:b/>
          <w:bCs/>
          <w:sz w:val="48"/>
          <w:szCs w:val="48"/>
        </w:rPr>
      </w:pPr>
      <w:r w:rsidRPr="00640178">
        <w:rPr>
          <w:rFonts w:ascii="Arial" w:hAnsi="Arial" w:cs="Arial"/>
          <w:b/>
          <w:bCs/>
          <w:sz w:val="48"/>
          <w:szCs w:val="48"/>
        </w:rPr>
        <w:t xml:space="preserve">Rapport sur le processus </w:t>
      </w:r>
      <w:r w:rsidR="00D73F61">
        <w:rPr>
          <w:rFonts w:ascii="Arial" w:hAnsi="Arial" w:cs="Arial"/>
          <w:b/>
          <w:bCs/>
          <w:sz w:val="48"/>
          <w:szCs w:val="48"/>
        </w:rPr>
        <w:t xml:space="preserve">interne </w:t>
      </w:r>
      <w:r w:rsidRPr="00640178">
        <w:rPr>
          <w:rFonts w:ascii="Arial" w:hAnsi="Arial" w:cs="Arial"/>
          <w:b/>
          <w:bCs/>
          <w:sz w:val="48"/>
          <w:szCs w:val="48"/>
        </w:rPr>
        <w:t>d’évaluation d</w:t>
      </w:r>
      <w:r w:rsidR="00D73F61">
        <w:rPr>
          <w:rFonts w:ascii="Arial" w:hAnsi="Arial" w:cs="Arial"/>
          <w:b/>
          <w:bCs/>
          <w:sz w:val="48"/>
          <w:szCs w:val="48"/>
        </w:rPr>
        <w:t>e l</w:t>
      </w:r>
      <w:r w:rsidRPr="00640178">
        <w:rPr>
          <w:rFonts w:ascii="Arial" w:hAnsi="Arial" w:cs="Arial"/>
          <w:b/>
          <w:bCs/>
          <w:sz w:val="48"/>
          <w:szCs w:val="48"/>
        </w:rPr>
        <w:t xml:space="preserve">’adéquation du capital </w:t>
      </w:r>
      <w:r w:rsidR="00D73F61">
        <w:rPr>
          <w:rFonts w:ascii="Arial" w:hAnsi="Arial" w:cs="Arial"/>
          <w:b/>
          <w:bCs/>
          <w:sz w:val="48"/>
          <w:szCs w:val="48"/>
        </w:rPr>
        <w:t xml:space="preserve">et processus </w:t>
      </w:r>
      <w:r w:rsidRPr="00640178">
        <w:rPr>
          <w:rFonts w:ascii="Arial" w:hAnsi="Arial" w:cs="Arial"/>
          <w:b/>
          <w:bCs/>
          <w:sz w:val="48"/>
          <w:szCs w:val="48"/>
        </w:rPr>
        <w:t xml:space="preserve">interne </w:t>
      </w:r>
      <w:r w:rsidR="00D73F61">
        <w:rPr>
          <w:rFonts w:ascii="Arial" w:hAnsi="Arial" w:cs="Arial"/>
          <w:b/>
          <w:bCs/>
          <w:sz w:val="48"/>
          <w:szCs w:val="48"/>
        </w:rPr>
        <w:t>d’évaluation des risques</w:t>
      </w:r>
      <w:r w:rsidRPr="00640178">
        <w:rPr>
          <w:rFonts w:ascii="Arial" w:hAnsi="Arial" w:cs="Arial"/>
          <w:b/>
          <w:bCs/>
          <w:sz w:val="48"/>
          <w:szCs w:val="48"/>
        </w:rPr>
        <w:t xml:space="preserve"> des entreprises d’investissement</w:t>
      </w:r>
    </w:p>
    <w:p w14:paraId="5008D7F9" w14:textId="0B83DFDB" w:rsidR="00AC7B1A" w:rsidRDefault="00AC7B1A" w:rsidP="00640178">
      <w:pPr>
        <w:spacing w:after="0"/>
        <w:jc w:val="center"/>
        <w:rPr>
          <w:rFonts w:ascii="Arial" w:hAnsi="Arial" w:cs="Arial"/>
          <w:b/>
          <w:bCs/>
          <w:sz w:val="48"/>
          <w:szCs w:val="48"/>
        </w:rPr>
      </w:pPr>
      <w:r>
        <w:rPr>
          <w:rFonts w:ascii="Arial" w:hAnsi="Arial" w:cs="Arial"/>
          <w:b/>
          <w:bCs/>
          <w:sz w:val="48"/>
          <w:szCs w:val="48"/>
        </w:rPr>
        <w:t>-</w:t>
      </w:r>
    </w:p>
    <w:p w14:paraId="5D2F8ACE" w14:textId="1A39AD50" w:rsidR="00AC7B1A" w:rsidRPr="00640178" w:rsidRDefault="00AC7B1A" w:rsidP="00640178">
      <w:pPr>
        <w:spacing w:after="0"/>
        <w:jc w:val="center"/>
        <w:rPr>
          <w:rFonts w:ascii="Arial" w:hAnsi="Arial" w:cs="Arial"/>
          <w:b/>
          <w:bCs/>
          <w:sz w:val="48"/>
          <w:szCs w:val="48"/>
        </w:rPr>
      </w:pPr>
      <w:r>
        <w:rPr>
          <w:rFonts w:ascii="Arial" w:hAnsi="Arial" w:cs="Arial"/>
          <w:b/>
          <w:bCs/>
          <w:sz w:val="48"/>
          <w:szCs w:val="48"/>
        </w:rPr>
        <w:t>Canevas</w:t>
      </w:r>
    </w:p>
    <w:p w14:paraId="1EF740BC" w14:textId="77777777" w:rsidR="00607CEB" w:rsidRPr="00640178" w:rsidRDefault="00607CEB" w:rsidP="00640178">
      <w:pPr>
        <w:spacing w:after="0"/>
        <w:jc w:val="center"/>
        <w:rPr>
          <w:rFonts w:ascii="Arial" w:hAnsi="Arial" w:cs="Arial"/>
          <w:b/>
          <w:bCs/>
          <w:sz w:val="48"/>
          <w:szCs w:val="48"/>
        </w:rPr>
      </w:pPr>
    </w:p>
    <w:p w14:paraId="0E7B2027" w14:textId="77777777" w:rsidR="00607CEB" w:rsidRPr="00640178" w:rsidRDefault="00607CEB" w:rsidP="008D48E5">
      <w:pPr>
        <w:spacing w:after="0"/>
        <w:jc w:val="center"/>
        <w:rPr>
          <w:rFonts w:ascii="Arial" w:hAnsi="Arial" w:cs="Arial"/>
          <w:sz w:val="28"/>
          <w:szCs w:val="28"/>
        </w:rPr>
      </w:pPr>
      <w:r w:rsidRPr="00640178">
        <w:rPr>
          <w:rFonts w:ascii="Arial" w:hAnsi="Arial" w:cs="Arial"/>
          <w:sz w:val="28"/>
          <w:szCs w:val="28"/>
        </w:rPr>
        <w:t xml:space="preserve">(Rapport établi en application </w:t>
      </w:r>
      <w:r w:rsidR="00CC2AF5">
        <w:rPr>
          <w:rFonts w:ascii="Arial" w:hAnsi="Arial" w:cs="Arial"/>
          <w:sz w:val="28"/>
          <w:szCs w:val="28"/>
        </w:rPr>
        <w:t xml:space="preserve">de l’article </w:t>
      </w:r>
      <w:r w:rsidR="000134EE">
        <w:rPr>
          <w:rFonts w:ascii="Arial" w:hAnsi="Arial" w:cs="Arial"/>
          <w:sz w:val="28"/>
          <w:szCs w:val="28"/>
        </w:rPr>
        <w:t>L</w:t>
      </w:r>
      <w:r w:rsidR="00133C76">
        <w:rPr>
          <w:rFonts w:ascii="Arial" w:hAnsi="Arial" w:cs="Arial"/>
          <w:sz w:val="28"/>
          <w:szCs w:val="28"/>
        </w:rPr>
        <w:t>.</w:t>
      </w:r>
      <w:r w:rsidR="000134EE">
        <w:rPr>
          <w:rFonts w:ascii="Arial" w:hAnsi="Arial" w:cs="Arial"/>
          <w:sz w:val="28"/>
          <w:szCs w:val="28"/>
        </w:rPr>
        <w:t>533-2</w:t>
      </w:r>
      <w:r w:rsidR="00DF4E74">
        <w:rPr>
          <w:rFonts w:ascii="Arial" w:hAnsi="Arial" w:cs="Arial"/>
          <w:sz w:val="28"/>
          <w:szCs w:val="28"/>
        </w:rPr>
        <w:t>-2</w:t>
      </w:r>
      <w:r w:rsidR="000134EE">
        <w:rPr>
          <w:rFonts w:ascii="Arial" w:hAnsi="Arial" w:cs="Arial"/>
          <w:sz w:val="28"/>
          <w:szCs w:val="28"/>
        </w:rPr>
        <w:t xml:space="preserve"> </w:t>
      </w:r>
      <w:r w:rsidR="00CC2AF5">
        <w:rPr>
          <w:rFonts w:ascii="Arial" w:hAnsi="Arial" w:cs="Arial"/>
          <w:sz w:val="28"/>
          <w:szCs w:val="28"/>
        </w:rPr>
        <w:t xml:space="preserve">du </w:t>
      </w:r>
      <w:r w:rsidR="009B00C0">
        <w:rPr>
          <w:rFonts w:ascii="Arial" w:hAnsi="Arial" w:cs="Arial"/>
          <w:sz w:val="28"/>
          <w:szCs w:val="28"/>
        </w:rPr>
        <w:t>c</w:t>
      </w:r>
      <w:r w:rsidR="001E52D4">
        <w:rPr>
          <w:rFonts w:ascii="Arial" w:hAnsi="Arial" w:cs="Arial"/>
          <w:sz w:val="28"/>
          <w:szCs w:val="28"/>
        </w:rPr>
        <w:t xml:space="preserve">ode monétaire et financier </w:t>
      </w:r>
      <w:r w:rsidR="00CC2AF5">
        <w:rPr>
          <w:rFonts w:ascii="Arial" w:hAnsi="Arial" w:cs="Arial"/>
          <w:sz w:val="28"/>
          <w:szCs w:val="28"/>
        </w:rPr>
        <w:t xml:space="preserve">et </w:t>
      </w:r>
      <w:r w:rsidRPr="00640178">
        <w:rPr>
          <w:rFonts w:ascii="Arial" w:hAnsi="Arial" w:cs="Arial"/>
          <w:sz w:val="28"/>
          <w:szCs w:val="28"/>
        </w:rPr>
        <w:t xml:space="preserve">des paragraphes 121 à 132 des </w:t>
      </w:r>
      <w:r w:rsidR="00D600C6">
        <w:rPr>
          <w:rFonts w:ascii="Arial" w:hAnsi="Arial" w:cs="Arial"/>
          <w:sz w:val="28"/>
          <w:szCs w:val="28"/>
        </w:rPr>
        <w:t>Orientations</w:t>
      </w:r>
      <w:r w:rsidRPr="00640178">
        <w:rPr>
          <w:rFonts w:ascii="Arial" w:hAnsi="Arial" w:cs="Arial"/>
          <w:sz w:val="28"/>
          <w:szCs w:val="28"/>
        </w:rPr>
        <w:t xml:space="preserve"> SREP</w:t>
      </w:r>
      <w:r w:rsidR="003D2EC4">
        <w:rPr>
          <w:rFonts w:ascii="Arial" w:hAnsi="Arial" w:cs="Arial"/>
          <w:sz w:val="28"/>
          <w:szCs w:val="28"/>
        </w:rPr>
        <w:t xml:space="preserve"> </w:t>
      </w:r>
      <w:r w:rsidR="00D73F61">
        <w:rPr>
          <w:rFonts w:ascii="Arial" w:hAnsi="Arial" w:cs="Arial"/>
          <w:sz w:val="28"/>
          <w:szCs w:val="28"/>
        </w:rPr>
        <w:t xml:space="preserve">communes </w:t>
      </w:r>
      <w:r w:rsidR="003D2EC4">
        <w:rPr>
          <w:rFonts w:ascii="Arial" w:hAnsi="Arial" w:cs="Arial"/>
          <w:sz w:val="28"/>
          <w:szCs w:val="28"/>
        </w:rPr>
        <w:t>de l’</w:t>
      </w:r>
      <w:r w:rsidR="00D600C6">
        <w:rPr>
          <w:rFonts w:ascii="Arial" w:hAnsi="Arial" w:cs="Arial"/>
          <w:sz w:val="28"/>
          <w:szCs w:val="28"/>
        </w:rPr>
        <w:t>ABE</w:t>
      </w:r>
      <w:r w:rsidR="00D600C6" w:rsidRPr="00640178">
        <w:rPr>
          <w:rFonts w:ascii="Arial" w:hAnsi="Arial" w:cs="Arial"/>
          <w:sz w:val="28"/>
          <w:szCs w:val="28"/>
        </w:rPr>
        <w:t xml:space="preserve"> </w:t>
      </w:r>
      <w:r w:rsidR="00D73F61">
        <w:rPr>
          <w:rFonts w:ascii="Arial" w:hAnsi="Arial" w:cs="Arial"/>
          <w:sz w:val="28"/>
          <w:szCs w:val="28"/>
        </w:rPr>
        <w:t xml:space="preserve">et de l’AEMF </w:t>
      </w:r>
      <w:r w:rsidRPr="00640178">
        <w:rPr>
          <w:rFonts w:ascii="Arial" w:hAnsi="Arial" w:cs="Arial"/>
          <w:sz w:val="28"/>
          <w:szCs w:val="28"/>
        </w:rPr>
        <w:t xml:space="preserve">applicables aux entreprises d’investissement : « </w:t>
      </w:r>
      <w:r w:rsidR="008D48E5">
        <w:rPr>
          <w:rFonts w:ascii="Arial" w:hAnsi="Arial" w:cs="Arial"/>
          <w:i/>
          <w:sz w:val="28"/>
          <w:szCs w:val="28"/>
        </w:rPr>
        <w:t>Orientations</w:t>
      </w:r>
      <w:r w:rsidRPr="00C80B81">
        <w:rPr>
          <w:rFonts w:ascii="Arial" w:hAnsi="Arial" w:cs="Arial"/>
          <w:i/>
          <w:sz w:val="28"/>
          <w:szCs w:val="28"/>
        </w:rPr>
        <w:t xml:space="preserve"> </w:t>
      </w:r>
      <w:r w:rsidR="008D48E5" w:rsidRPr="008D48E5">
        <w:rPr>
          <w:rFonts w:ascii="Arial" w:hAnsi="Arial" w:cs="Arial"/>
          <w:i/>
          <w:sz w:val="28"/>
          <w:szCs w:val="28"/>
        </w:rPr>
        <w:t xml:space="preserve">sur les procédures et les méthodologies communes à appliquer dans le cadre du processus de contrôle et d’évaluation prudentiels (SREP) au titre de la directive (UE) 2019/2034 </w:t>
      </w:r>
      <w:r w:rsidR="00615FB2">
        <w:rPr>
          <w:rStyle w:val="Appelnotedebasdep"/>
          <w:rFonts w:ascii="Arial" w:hAnsi="Arial" w:cs="Arial"/>
          <w:sz w:val="28"/>
          <w:szCs w:val="28"/>
        </w:rPr>
        <w:footnoteReference w:id="1"/>
      </w:r>
      <w:r w:rsidRPr="00640178">
        <w:rPr>
          <w:rFonts w:ascii="Arial" w:hAnsi="Arial" w:cs="Arial"/>
          <w:sz w:val="28"/>
          <w:szCs w:val="28"/>
        </w:rPr>
        <w:t xml:space="preserve"> )</w:t>
      </w:r>
    </w:p>
    <w:p w14:paraId="248D1FF5" w14:textId="77777777" w:rsidR="000A352A" w:rsidRPr="00640178" w:rsidRDefault="000A352A" w:rsidP="00640178">
      <w:pPr>
        <w:spacing w:after="0"/>
        <w:jc w:val="both"/>
        <w:rPr>
          <w:rFonts w:ascii="Arial" w:hAnsi="Arial" w:cs="Arial"/>
          <w:sz w:val="28"/>
          <w:szCs w:val="28"/>
        </w:rPr>
      </w:pPr>
    </w:p>
    <w:p w14:paraId="550FBECA" w14:textId="77777777" w:rsidR="00640178" w:rsidRPr="00640178" w:rsidRDefault="00640178">
      <w:pPr>
        <w:rPr>
          <w:rFonts w:ascii="Times New Roman" w:hAnsi="Times New Roman" w:cs="Times New Roman"/>
          <w:sz w:val="24"/>
          <w:szCs w:val="24"/>
        </w:rPr>
      </w:pPr>
      <w:r w:rsidRPr="00640178">
        <w:rPr>
          <w:rFonts w:ascii="Times New Roman" w:hAnsi="Times New Roman" w:cs="Times New Roman"/>
          <w:sz w:val="24"/>
          <w:szCs w:val="24"/>
        </w:rPr>
        <w:br w:type="page"/>
      </w:r>
    </w:p>
    <w:p w14:paraId="58171B7B" w14:textId="77777777" w:rsidR="005869A9" w:rsidRDefault="005869A9" w:rsidP="005869A9">
      <w:pPr>
        <w:jc w:val="both"/>
        <w:rPr>
          <w:rFonts w:ascii="Times New Roman" w:hAnsi="Times New Roman" w:cs="Times New Roman"/>
          <w:sz w:val="24"/>
          <w:szCs w:val="24"/>
        </w:rPr>
      </w:pPr>
    </w:p>
    <w:sdt>
      <w:sdtPr>
        <w:rPr>
          <w:rFonts w:asciiTheme="minorHAnsi" w:eastAsiaTheme="minorHAnsi" w:hAnsiTheme="minorHAnsi" w:cstheme="minorBidi"/>
          <w:color w:val="auto"/>
          <w:sz w:val="22"/>
          <w:szCs w:val="22"/>
          <w:lang w:eastAsia="en-US"/>
        </w:rPr>
        <w:id w:val="2063975039"/>
        <w:docPartObj>
          <w:docPartGallery w:val="Table of Contents"/>
          <w:docPartUnique/>
        </w:docPartObj>
      </w:sdtPr>
      <w:sdtEndPr>
        <w:rPr>
          <w:b/>
          <w:bCs/>
        </w:rPr>
      </w:sdtEndPr>
      <w:sdtContent>
        <w:p w14:paraId="09861E32" w14:textId="77777777" w:rsidR="005869A9" w:rsidRPr="005869A9" w:rsidRDefault="005869A9" w:rsidP="005869A9">
          <w:pPr>
            <w:pStyle w:val="En-ttedetabledesmatires"/>
            <w:jc w:val="center"/>
            <w:rPr>
              <w:b/>
              <w:bCs/>
            </w:rPr>
          </w:pPr>
          <w:r>
            <w:rPr>
              <w:b/>
              <w:bCs/>
            </w:rPr>
            <w:t>Sommaire</w:t>
          </w:r>
        </w:p>
        <w:p w14:paraId="794115D7" w14:textId="77777777" w:rsidR="00A9160F" w:rsidRDefault="005869A9">
          <w:pPr>
            <w:pStyle w:val="TM1"/>
            <w:tabs>
              <w:tab w:val="left" w:pos="440"/>
              <w:tab w:val="right" w:leader="dot" w:pos="9628"/>
            </w:tabs>
            <w:rPr>
              <w:rFonts w:eastAsiaTheme="minorEastAsia"/>
              <w:noProof/>
              <w:lang w:eastAsia="fr-FR"/>
            </w:rPr>
          </w:pPr>
          <w:r>
            <w:fldChar w:fldCharType="begin"/>
          </w:r>
          <w:r>
            <w:instrText xml:space="preserve"> TOC \o "1-3" \h \z \u </w:instrText>
          </w:r>
          <w:r>
            <w:fldChar w:fldCharType="separate"/>
          </w:r>
          <w:hyperlink w:anchor="_Toc145687407" w:history="1">
            <w:r w:rsidR="00A9160F" w:rsidRPr="00F9056E">
              <w:rPr>
                <w:rStyle w:val="Lienhypertexte"/>
                <w:rFonts w:cs="Arial"/>
                <w:bCs/>
                <w:noProof/>
              </w:rPr>
              <w:t>1.</w:t>
            </w:r>
            <w:r w:rsidR="00A9160F">
              <w:rPr>
                <w:rFonts w:eastAsiaTheme="minorEastAsia"/>
                <w:noProof/>
                <w:lang w:eastAsia="fr-FR"/>
              </w:rPr>
              <w:tab/>
            </w:r>
            <w:r w:rsidR="00A9160F" w:rsidRPr="00F9056E">
              <w:rPr>
                <w:rStyle w:val="Lienhypertexte"/>
                <w:rFonts w:cs="Arial"/>
                <w:bCs/>
                <w:noProof/>
              </w:rPr>
              <w:t>Préambule</w:t>
            </w:r>
            <w:r w:rsidR="00A9160F">
              <w:rPr>
                <w:noProof/>
                <w:webHidden/>
              </w:rPr>
              <w:tab/>
            </w:r>
            <w:r w:rsidR="00A9160F">
              <w:rPr>
                <w:noProof/>
                <w:webHidden/>
              </w:rPr>
              <w:fldChar w:fldCharType="begin"/>
            </w:r>
            <w:r w:rsidR="00A9160F">
              <w:rPr>
                <w:noProof/>
                <w:webHidden/>
              </w:rPr>
              <w:instrText xml:space="preserve"> PAGEREF _Toc145687407 \h </w:instrText>
            </w:r>
            <w:r w:rsidR="00A9160F">
              <w:rPr>
                <w:noProof/>
                <w:webHidden/>
              </w:rPr>
            </w:r>
            <w:r w:rsidR="00A9160F">
              <w:rPr>
                <w:noProof/>
                <w:webHidden/>
              </w:rPr>
              <w:fldChar w:fldCharType="separate"/>
            </w:r>
            <w:r w:rsidR="00A9160F">
              <w:rPr>
                <w:noProof/>
                <w:webHidden/>
              </w:rPr>
              <w:t>3</w:t>
            </w:r>
            <w:r w:rsidR="00A9160F">
              <w:rPr>
                <w:noProof/>
                <w:webHidden/>
              </w:rPr>
              <w:fldChar w:fldCharType="end"/>
            </w:r>
          </w:hyperlink>
        </w:p>
        <w:p w14:paraId="50EFC35A" w14:textId="77777777" w:rsidR="00A9160F" w:rsidRDefault="0074104B">
          <w:pPr>
            <w:pStyle w:val="TM1"/>
            <w:tabs>
              <w:tab w:val="left" w:pos="440"/>
              <w:tab w:val="right" w:leader="dot" w:pos="9628"/>
            </w:tabs>
            <w:rPr>
              <w:rFonts w:eastAsiaTheme="minorEastAsia"/>
              <w:noProof/>
              <w:lang w:eastAsia="fr-FR"/>
            </w:rPr>
          </w:pPr>
          <w:hyperlink w:anchor="_Toc145687408" w:history="1">
            <w:r w:rsidR="00A9160F" w:rsidRPr="00F9056E">
              <w:rPr>
                <w:rStyle w:val="Lienhypertexte"/>
                <w:noProof/>
              </w:rPr>
              <w:t>2.</w:t>
            </w:r>
            <w:r w:rsidR="00A9160F">
              <w:rPr>
                <w:rFonts w:eastAsiaTheme="minorEastAsia"/>
                <w:noProof/>
                <w:lang w:eastAsia="fr-FR"/>
              </w:rPr>
              <w:tab/>
            </w:r>
            <w:r w:rsidR="00A9160F" w:rsidRPr="00F9056E">
              <w:rPr>
                <w:rStyle w:val="Lienhypertexte"/>
                <w:noProof/>
              </w:rPr>
              <w:t>Canevas du rapport ICARAP et orientations à destination des entreprises d’investissement</w:t>
            </w:r>
            <w:r w:rsidR="00A9160F">
              <w:rPr>
                <w:noProof/>
                <w:webHidden/>
              </w:rPr>
              <w:tab/>
            </w:r>
            <w:r w:rsidR="00A9160F">
              <w:rPr>
                <w:noProof/>
                <w:webHidden/>
              </w:rPr>
              <w:fldChar w:fldCharType="begin"/>
            </w:r>
            <w:r w:rsidR="00A9160F">
              <w:rPr>
                <w:noProof/>
                <w:webHidden/>
              </w:rPr>
              <w:instrText xml:space="preserve"> PAGEREF _Toc145687408 \h </w:instrText>
            </w:r>
            <w:r w:rsidR="00A9160F">
              <w:rPr>
                <w:noProof/>
                <w:webHidden/>
              </w:rPr>
            </w:r>
            <w:r w:rsidR="00A9160F">
              <w:rPr>
                <w:noProof/>
                <w:webHidden/>
              </w:rPr>
              <w:fldChar w:fldCharType="separate"/>
            </w:r>
            <w:r w:rsidR="00A9160F">
              <w:rPr>
                <w:noProof/>
                <w:webHidden/>
              </w:rPr>
              <w:t>4</w:t>
            </w:r>
            <w:r w:rsidR="00A9160F">
              <w:rPr>
                <w:noProof/>
                <w:webHidden/>
              </w:rPr>
              <w:fldChar w:fldCharType="end"/>
            </w:r>
          </w:hyperlink>
        </w:p>
        <w:p w14:paraId="1926436B" w14:textId="77777777" w:rsidR="00A9160F" w:rsidRDefault="0074104B">
          <w:pPr>
            <w:pStyle w:val="TM2"/>
            <w:tabs>
              <w:tab w:val="left" w:pos="880"/>
              <w:tab w:val="right" w:leader="dot" w:pos="9628"/>
            </w:tabs>
            <w:rPr>
              <w:rFonts w:eastAsiaTheme="minorEastAsia"/>
              <w:noProof/>
              <w:lang w:eastAsia="fr-FR"/>
            </w:rPr>
          </w:pPr>
          <w:hyperlink w:anchor="_Toc145687409" w:history="1">
            <w:r w:rsidR="00A9160F" w:rsidRPr="00F9056E">
              <w:rPr>
                <w:rStyle w:val="Lienhypertexte"/>
                <w:noProof/>
              </w:rPr>
              <w:t>2.1.</w:t>
            </w:r>
            <w:r w:rsidR="00A9160F">
              <w:rPr>
                <w:rFonts w:eastAsiaTheme="minorEastAsia"/>
                <w:noProof/>
                <w:lang w:eastAsia="fr-FR"/>
              </w:rPr>
              <w:tab/>
            </w:r>
            <w:r w:rsidR="00A9160F" w:rsidRPr="00F9056E">
              <w:rPr>
                <w:rStyle w:val="Lienhypertexte"/>
                <w:noProof/>
              </w:rPr>
              <w:t>Résumé</w:t>
            </w:r>
            <w:r w:rsidR="00A9160F">
              <w:rPr>
                <w:noProof/>
                <w:webHidden/>
              </w:rPr>
              <w:tab/>
            </w:r>
            <w:r w:rsidR="00A9160F">
              <w:rPr>
                <w:noProof/>
                <w:webHidden/>
              </w:rPr>
              <w:fldChar w:fldCharType="begin"/>
            </w:r>
            <w:r w:rsidR="00A9160F">
              <w:rPr>
                <w:noProof/>
                <w:webHidden/>
              </w:rPr>
              <w:instrText xml:space="preserve"> PAGEREF _Toc145687409 \h </w:instrText>
            </w:r>
            <w:r w:rsidR="00A9160F">
              <w:rPr>
                <w:noProof/>
                <w:webHidden/>
              </w:rPr>
            </w:r>
            <w:r w:rsidR="00A9160F">
              <w:rPr>
                <w:noProof/>
                <w:webHidden/>
              </w:rPr>
              <w:fldChar w:fldCharType="separate"/>
            </w:r>
            <w:r w:rsidR="00A9160F">
              <w:rPr>
                <w:noProof/>
                <w:webHidden/>
              </w:rPr>
              <w:t>4</w:t>
            </w:r>
            <w:r w:rsidR="00A9160F">
              <w:rPr>
                <w:noProof/>
                <w:webHidden/>
              </w:rPr>
              <w:fldChar w:fldCharType="end"/>
            </w:r>
          </w:hyperlink>
        </w:p>
        <w:p w14:paraId="6BF50CAD" w14:textId="77777777" w:rsidR="00A9160F" w:rsidRDefault="0074104B">
          <w:pPr>
            <w:pStyle w:val="TM2"/>
            <w:tabs>
              <w:tab w:val="left" w:pos="880"/>
              <w:tab w:val="right" w:leader="dot" w:pos="9628"/>
            </w:tabs>
            <w:rPr>
              <w:rFonts w:eastAsiaTheme="minorEastAsia"/>
              <w:noProof/>
              <w:lang w:eastAsia="fr-FR"/>
            </w:rPr>
          </w:pPr>
          <w:hyperlink w:anchor="_Toc145687410" w:history="1">
            <w:r w:rsidR="00A9160F" w:rsidRPr="00F9056E">
              <w:rPr>
                <w:rStyle w:val="Lienhypertexte"/>
                <w:noProof/>
              </w:rPr>
              <w:t>2.2.</w:t>
            </w:r>
            <w:r w:rsidR="00A9160F">
              <w:rPr>
                <w:rFonts w:eastAsiaTheme="minorEastAsia"/>
                <w:noProof/>
                <w:lang w:eastAsia="fr-FR"/>
              </w:rPr>
              <w:tab/>
            </w:r>
            <w:r w:rsidR="00A9160F" w:rsidRPr="00F9056E">
              <w:rPr>
                <w:rStyle w:val="Lienhypertexte"/>
                <w:noProof/>
              </w:rPr>
              <w:t>Modèle économique, activités et stratégie</w:t>
            </w:r>
            <w:r w:rsidR="00A9160F">
              <w:rPr>
                <w:noProof/>
                <w:webHidden/>
              </w:rPr>
              <w:tab/>
            </w:r>
            <w:r w:rsidR="00A9160F">
              <w:rPr>
                <w:noProof/>
                <w:webHidden/>
              </w:rPr>
              <w:fldChar w:fldCharType="begin"/>
            </w:r>
            <w:r w:rsidR="00A9160F">
              <w:rPr>
                <w:noProof/>
                <w:webHidden/>
              </w:rPr>
              <w:instrText xml:space="preserve"> PAGEREF _Toc145687410 \h </w:instrText>
            </w:r>
            <w:r w:rsidR="00A9160F">
              <w:rPr>
                <w:noProof/>
                <w:webHidden/>
              </w:rPr>
            </w:r>
            <w:r w:rsidR="00A9160F">
              <w:rPr>
                <w:noProof/>
                <w:webHidden/>
              </w:rPr>
              <w:fldChar w:fldCharType="separate"/>
            </w:r>
            <w:r w:rsidR="00A9160F">
              <w:rPr>
                <w:noProof/>
                <w:webHidden/>
              </w:rPr>
              <w:t>4</w:t>
            </w:r>
            <w:r w:rsidR="00A9160F">
              <w:rPr>
                <w:noProof/>
                <w:webHidden/>
              </w:rPr>
              <w:fldChar w:fldCharType="end"/>
            </w:r>
          </w:hyperlink>
        </w:p>
        <w:p w14:paraId="32F43A84" w14:textId="77777777" w:rsidR="00A9160F" w:rsidRDefault="0074104B">
          <w:pPr>
            <w:pStyle w:val="TM2"/>
            <w:tabs>
              <w:tab w:val="left" w:pos="880"/>
              <w:tab w:val="right" w:leader="dot" w:pos="9628"/>
            </w:tabs>
            <w:rPr>
              <w:rFonts w:eastAsiaTheme="minorEastAsia"/>
              <w:noProof/>
              <w:lang w:eastAsia="fr-FR"/>
            </w:rPr>
          </w:pPr>
          <w:hyperlink w:anchor="_Toc145687411" w:history="1">
            <w:r w:rsidR="00A9160F" w:rsidRPr="00F9056E">
              <w:rPr>
                <w:rStyle w:val="Lienhypertexte"/>
                <w:noProof/>
              </w:rPr>
              <w:t>2.3.</w:t>
            </w:r>
            <w:r w:rsidR="00A9160F">
              <w:rPr>
                <w:rFonts w:eastAsiaTheme="minorEastAsia"/>
                <w:noProof/>
                <w:lang w:eastAsia="fr-FR"/>
              </w:rPr>
              <w:tab/>
            </w:r>
            <w:r w:rsidR="00A9160F" w:rsidRPr="00F9056E">
              <w:rPr>
                <w:rStyle w:val="Lienhypertexte"/>
                <w:noProof/>
              </w:rPr>
              <w:t>Gouvernance de l'ICARAP</w:t>
            </w:r>
            <w:r w:rsidR="00A9160F">
              <w:rPr>
                <w:noProof/>
                <w:webHidden/>
              </w:rPr>
              <w:tab/>
            </w:r>
            <w:r w:rsidR="00A9160F">
              <w:rPr>
                <w:noProof/>
                <w:webHidden/>
              </w:rPr>
              <w:fldChar w:fldCharType="begin"/>
            </w:r>
            <w:r w:rsidR="00A9160F">
              <w:rPr>
                <w:noProof/>
                <w:webHidden/>
              </w:rPr>
              <w:instrText xml:space="preserve"> PAGEREF _Toc145687411 \h </w:instrText>
            </w:r>
            <w:r w:rsidR="00A9160F">
              <w:rPr>
                <w:noProof/>
                <w:webHidden/>
              </w:rPr>
            </w:r>
            <w:r w:rsidR="00A9160F">
              <w:rPr>
                <w:noProof/>
                <w:webHidden/>
              </w:rPr>
              <w:fldChar w:fldCharType="separate"/>
            </w:r>
            <w:r w:rsidR="00A9160F">
              <w:rPr>
                <w:noProof/>
                <w:webHidden/>
              </w:rPr>
              <w:t>5</w:t>
            </w:r>
            <w:r w:rsidR="00A9160F">
              <w:rPr>
                <w:noProof/>
                <w:webHidden/>
              </w:rPr>
              <w:fldChar w:fldCharType="end"/>
            </w:r>
          </w:hyperlink>
        </w:p>
        <w:p w14:paraId="5E75A28F" w14:textId="77777777" w:rsidR="00A9160F" w:rsidRDefault="0074104B">
          <w:pPr>
            <w:pStyle w:val="TM2"/>
            <w:tabs>
              <w:tab w:val="left" w:pos="880"/>
              <w:tab w:val="right" w:leader="dot" w:pos="9628"/>
            </w:tabs>
            <w:rPr>
              <w:rFonts w:eastAsiaTheme="minorEastAsia"/>
              <w:noProof/>
              <w:lang w:eastAsia="fr-FR"/>
            </w:rPr>
          </w:pPr>
          <w:hyperlink w:anchor="_Toc145687412" w:history="1">
            <w:r w:rsidR="00A9160F" w:rsidRPr="00F9056E">
              <w:rPr>
                <w:rStyle w:val="Lienhypertexte"/>
                <w:noProof/>
              </w:rPr>
              <w:t>2.4.</w:t>
            </w:r>
            <w:r w:rsidR="00A9160F">
              <w:rPr>
                <w:rFonts w:eastAsiaTheme="minorEastAsia"/>
                <w:noProof/>
                <w:lang w:eastAsia="fr-FR"/>
              </w:rPr>
              <w:tab/>
            </w:r>
            <w:r w:rsidR="00A9160F" w:rsidRPr="00F9056E">
              <w:rPr>
                <w:rStyle w:val="Lienhypertexte"/>
                <w:noProof/>
              </w:rPr>
              <w:t>Contrôle interne</w:t>
            </w:r>
            <w:r w:rsidR="00A9160F">
              <w:rPr>
                <w:noProof/>
                <w:webHidden/>
              </w:rPr>
              <w:tab/>
            </w:r>
            <w:r w:rsidR="00A9160F">
              <w:rPr>
                <w:noProof/>
                <w:webHidden/>
              </w:rPr>
              <w:fldChar w:fldCharType="begin"/>
            </w:r>
            <w:r w:rsidR="00A9160F">
              <w:rPr>
                <w:noProof/>
                <w:webHidden/>
              </w:rPr>
              <w:instrText xml:space="preserve"> PAGEREF _Toc145687412 \h </w:instrText>
            </w:r>
            <w:r w:rsidR="00A9160F">
              <w:rPr>
                <w:noProof/>
                <w:webHidden/>
              </w:rPr>
            </w:r>
            <w:r w:rsidR="00A9160F">
              <w:rPr>
                <w:noProof/>
                <w:webHidden/>
              </w:rPr>
              <w:fldChar w:fldCharType="separate"/>
            </w:r>
            <w:r w:rsidR="00A9160F">
              <w:rPr>
                <w:noProof/>
                <w:webHidden/>
              </w:rPr>
              <w:t>5</w:t>
            </w:r>
            <w:r w:rsidR="00A9160F">
              <w:rPr>
                <w:noProof/>
                <w:webHidden/>
              </w:rPr>
              <w:fldChar w:fldCharType="end"/>
            </w:r>
          </w:hyperlink>
        </w:p>
        <w:p w14:paraId="61EA2229" w14:textId="77777777" w:rsidR="00A9160F" w:rsidRDefault="0074104B">
          <w:pPr>
            <w:pStyle w:val="TM1"/>
            <w:tabs>
              <w:tab w:val="left" w:pos="440"/>
              <w:tab w:val="right" w:leader="dot" w:pos="9628"/>
            </w:tabs>
            <w:rPr>
              <w:rFonts w:eastAsiaTheme="minorEastAsia"/>
              <w:noProof/>
              <w:lang w:eastAsia="fr-FR"/>
            </w:rPr>
          </w:pPr>
          <w:hyperlink w:anchor="_Toc145687413" w:history="1">
            <w:r w:rsidR="00A9160F" w:rsidRPr="00F9056E">
              <w:rPr>
                <w:rStyle w:val="Lienhypertexte"/>
                <w:noProof/>
              </w:rPr>
              <w:t>3.</w:t>
            </w:r>
            <w:r w:rsidR="00A9160F">
              <w:rPr>
                <w:rFonts w:eastAsiaTheme="minorEastAsia"/>
                <w:noProof/>
                <w:lang w:eastAsia="fr-FR"/>
              </w:rPr>
              <w:tab/>
            </w:r>
            <w:r w:rsidR="00A9160F" w:rsidRPr="00F9056E">
              <w:rPr>
                <w:rStyle w:val="Lienhypertexte"/>
                <w:noProof/>
              </w:rPr>
              <w:t>Évaluation de l’adéquation du niveau des fonds propres (ICAAP)</w:t>
            </w:r>
            <w:r w:rsidR="00A9160F">
              <w:rPr>
                <w:noProof/>
                <w:webHidden/>
              </w:rPr>
              <w:tab/>
            </w:r>
            <w:r w:rsidR="00A9160F">
              <w:rPr>
                <w:noProof/>
                <w:webHidden/>
              </w:rPr>
              <w:fldChar w:fldCharType="begin"/>
            </w:r>
            <w:r w:rsidR="00A9160F">
              <w:rPr>
                <w:noProof/>
                <w:webHidden/>
              </w:rPr>
              <w:instrText xml:space="preserve"> PAGEREF _Toc145687413 \h </w:instrText>
            </w:r>
            <w:r w:rsidR="00A9160F">
              <w:rPr>
                <w:noProof/>
                <w:webHidden/>
              </w:rPr>
            </w:r>
            <w:r w:rsidR="00A9160F">
              <w:rPr>
                <w:noProof/>
                <w:webHidden/>
              </w:rPr>
              <w:fldChar w:fldCharType="separate"/>
            </w:r>
            <w:r w:rsidR="00A9160F">
              <w:rPr>
                <w:noProof/>
                <w:webHidden/>
              </w:rPr>
              <w:t>7</w:t>
            </w:r>
            <w:r w:rsidR="00A9160F">
              <w:rPr>
                <w:noProof/>
                <w:webHidden/>
              </w:rPr>
              <w:fldChar w:fldCharType="end"/>
            </w:r>
          </w:hyperlink>
        </w:p>
        <w:p w14:paraId="6E2D7368" w14:textId="77777777" w:rsidR="00A9160F" w:rsidRDefault="0074104B">
          <w:pPr>
            <w:pStyle w:val="TM2"/>
            <w:tabs>
              <w:tab w:val="left" w:pos="880"/>
              <w:tab w:val="right" w:leader="dot" w:pos="9628"/>
            </w:tabs>
            <w:rPr>
              <w:rFonts w:eastAsiaTheme="minorEastAsia"/>
              <w:noProof/>
              <w:lang w:eastAsia="fr-FR"/>
            </w:rPr>
          </w:pPr>
          <w:hyperlink w:anchor="_Toc145687414" w:history="1">
            <w:r w:rsidR="00A9160F" w:rsidRPr="00F9056E">
              <w:rPr>
                <w:rStyle w:val="Lienhypertexte"/>
                <w:noProof/>
              </w:rPr>
              <w:t>3.1.</w:t>
            </w:r>
            <w:r w:rsidR="00A9160F">
              <w:rPr>
                <w:rFonts w:eastAsiaTheme="minorEastAsia"/>
                <w:noProof/>
                <w:lang w:eastAsia="fr-FR"/>
              </w:rPr>
              <w:tab/>
            </w:r>
            <w:r w:rsidR="00A9160F" w:rsidRPr="00F9056E">
              <w:rPr>
                <w:rStyle w:val="Lienhypertexte"/>
                <w:noProof/>
              </w:rPr>
              <w:t>Identification des risques</w:t>
            </w:r>
            <w:r w:rsidR="00A9160F">
              <w:rPr>
                <w:noProof/>
                <w:webHidden/>
              </w:rPr>
              <w:tab/>
            </w:r>
            <w:r w:rsidR="00A9160F">
              <w:rPr>
                <w:noProof/>
                <w:webHidden/>
              </w:rPr>
              <w:fldChar w:fldCharType="begin"/>
            </w:r>
            <w:r w:rsidR="00A9160F">
              <w:rPr>
                <w:noProof/>
                <w:webHidden/>
              </w:rPr>
              <w:instrText xml:space="preserve"> PAGEREF _Toc145687414 \h </w:instrText>
            </w:r>
            <w:r w:rsidR="00A9160F">
              <w:rPr>
                <w:noProof/>
                <w:webHidden/>
              </w:rPr>
            </w:r>
            <w:r w:rsidR="00A9160F">
              <w:rPr>
                <w:noProof/>
                <w:webHidden/>
              </w:rPr>
              <w:fldChar w:fldCharType="separate"/>
            </w:r>
            <w:r w:rsidR="00A9160F">
              <w:rPr>
                <w:noProof/>
                <w:webHidden/>
              </w:rPr>
              <w:t>7</w:t>
            </w:r>
            <w:r w:rsidR="00A9160F">
              <w:rPr>
                <w:noProof/>
                <w:webHidden/>
              </w:rPr>
              <w:fldChar w:fldCharType="end"/>
            </w:r>
          </w:hyperlink>
        </w:p>
        <w:p w14:paraId="60B147ED" w14:textId="77777777" w:rsidR="00A9160F" w:rsidRDefault="0074104B">
          <w:pPr>
            <w:pStyle w:val="TM2"/>
            <w:tabs>
              <w:tab w:val="left" w:pos="880"/>
              <w:tab w:val="right" w:leader="dot" w:pos="9628"/>
            </w:tabs>
            <w:rPr>
              <w:rFonts w:eastAsiaTheme="minorEastAsia"/>
              <w:noProof/>
              <w:lang w:eastAsia="fr-FR"/>
            </w:rPr>
          </w:pPr>
          <w:hyperlink w:anchor="_Toc145687415" w:history="1">
            <w:r w:rsidR="00A9160F" w:rsidRPr="00F9056E">
              <w:rPr>
                <w:rStyle w:val="Lienhypertexte"/>
                <w:noProof/>
              </w:rPr>
              <w:t>3.2.</w:t>
            </w:r>
            <w:r w:rsidR="00A9160F">
              <w:rPr>
                <w:rFonts w:eastAsiaTheme="minorEastAsia"/>
                <w:noProof/>
                <w:lang w:eastAsia="fr-FR"/>
              </w:rPr>
              <w:tab/>
            </w:r>
            <w:r w:rsidR="00A9160F" w:rsidRPr="00F9056E">
              <w:rPr>
                <w:rStyle w:val="Lienhypertexte"/>
                <w:noProof/>
              </w:rPr>
              <w:t>Quantification des risques</w:t>
            </w:r>
            <w:r w:rsidR="00A9160F">
              <w:rPr>
                <w:noProof/>
                <w:webHidden/>
              </w:rPr>
              <w:tab/>
            </w:r>
            <w:r w:rsidR="00A9160F">
              <w:rPr>
                <w:noProof/>
                <w:webHidden/>
              </w:rPr>
              <w:fldChar w:fldCharType="begin"/>
            </w:r>
            <w:r w:rsidR="00A9160F">
              <w:rPr>
                <w:noProof/>
                <w:webHidden/>
              </w:rPr>
              <w:instrText xml:space="preserve"> PAGEREF _Toc145687415 \h </w:instrText>
            </w:r>
            <w:r w:rsidR="00A9160F">
              <w:rPr>
                <w:noProof/>
                <w:webHidden/>
              </w:rPr>
            </w:r>
            <w:r w:rsidR="00A9160F">
              <w:rPr>
                <w:noProof/>
                <w:webHidden/>
              </w:rPr>
              <w:fldChar w:fldCharType="separate"/>
            </w:r>
            <w:r w:rsidR="00A9160F">
              <w:rPr>
                <w:noProof/>
                <w:webHidden/>
              </w:rPr>
              <w:t>7</w:t>
            </w:r>
            <w:r w:rsidR="00A9160F">
              <w:rPr>
                <w:noProof/>
                <w:webHidden/>
              </w:rPr>
              <w:fldChar w:fldCharType="end"/>
            </w:r>
          </w:hyperlink>
        </w:p>
        <w:p w14:paraId="0C2145B6" w14:textId="77777777" w:rsidR="00A9160F" w:rsidRDefault="0074104B">
          <w:pPr>
            <w:pStyle w:val="TM2"/>
            <w:tabs>
              <w:tab w:val="left" w:pos="880"/>
              <w:tab w:val="right" w:leader="dot" w:pos="9628"/>
            </w:tabs>
            <w:rPr>
              <w:rFonts w:eastAsiaTheme="minorEastAsia"/>
              <w:noProof/>
              <w:lang w:eastAsia="fr-FR"/>
            </w:rPr>
          </w:pPr>
          <w:hyperlink w:anchor="_Toc145687416" w:history="1">
            <w:r w:rsidR="00A9160F" w:rsidRPr="00F9056E">
              <w:rPr>
                <w:rStyle w:val="Lienhypertexte"/>
                <w:noProof/>
              </w:rPr>
              <w:t>3.3.</w:t>
            </w:r>
            <w:r w:rsidR="00A9160F">
              <w:rPr>
                <w:rFonts w:eastAsiaTheme="minorEastAsia"/>
                <w:noProof/>
                <w:lang w:eastAsia="fr-FR"/>
              </w:rPr>
              <w:tab/>
            </w:r>
            <w:r w:rsidR="00A9160F" w:rsidRPr="00F9056E">
              <w:rPr>
                <w:rStyle w:val="Lienhypertexte"/>
                <w:noProof/>
              </w:rPr>
              <w:t>Agrégation des risques</w:t>
            </w:r>
            <w:r w:rsidR="00A9160F">
              <w:rPr>
                <w:noProof/>
                <w:webHidden/>
              </w:rPr>
              <w:tab/>
            </w:r>
            <w:r w:rsidR="00A9160F">
              <w:rPr>
                <w:noProof/>
                <w:webHidden/>
              </w:rPr>
              <w:fldChar w:fldCharType="begin"/>
            </w:r>
            <w:r w:rsidR="00A9160F">
              <w:rPr>
                <w:noProof/>
                <w:webHidden/>
              </w:rPr>
              <w:instrText xml:space="preserve"> PAGEREF _Toc145687416 \h </w:instrText>
            </w:r>
            <w:r w:rsidR="00A9160F">
              <w:rPr>
                <w:noProof/>
                <w:webHidden/>
              </w:rPr>
            </w:r>
            <w:r w:rsidR="00A9160F">
              <w:rPr>
                <w:noProof/>
                <w:webHidden/>
              </w:rPr>
              <w:fldChar w:fldCharType="separate"/>
            </w:r>
            <w:r w:rsidR="00A9160F">
              <w:rPr>
                <w:noProof/>
                <w:webHidden/>
              </w:rPr>
              <w:t>8</w:t>
            </w:r>
            <w:r w:rsidR="00A9160F">
              <w:rPr>
                <w:noProof/>
                <w:webHidden/>
              </w:rPr>
              <w:fldChar w:fldCharType="end"/>
            </w:r>
          </w:hyperlink>
        </w:p>
        <w:p w14:paraId="737C1F32" w14:textId="77777777" w:rsidR="00A9160F" w:rsidRDefault="0074104B">
          <w:pPr>
            <w:pStyle w:val="TM2"/>
            <w:tabs>
              <w:tab w:val="left" w:pos="880"/>
              <w:tab w:val="right" w:leader="dot" w:pos="9628"/>
            </w:tabs>
            <w:rPr>
              <w:rFonts w:eastAsiaTheme="minorEastAsia"/>
              <w:noProof/>
              <w:lang w:eastAsia="fr-FR"/>
            </w:rPr>
          </w:pPr>
          <w:hyperlink w:anchor="_Toc145687417" w:history="1">
            <w:r w:rsidR="00A9160F" w:rsidRPr="00F9056E">
              <w:rPr>
                <w:rStyle w:val="Lienhypertexte"/>
                <w:noProof/>
              </w:rPr>
              <w:t>3.4.</w:t>
            </w:r>
            <w:r w:rsidR="00A9160F">
              <w:rPr>
                <w:rFonts w:eastAsiaTheme="minorEastAsia"/>
                <w:noProof/>
                <w:lang w:eastAsia="fr-FR"/>
              </w:rPr>
              <w:tab/>
            </w:r>
            <w:r w:rsidR="00A9160F" w:rsidRPr="00F9056E">
              <w:rPr>
                <w:rStyle w:val="Lienhypertexte"/>
                <w:noProof/>
              </w:rPr>
              <w:t>Évaluation du capital interne et de son adéquation aux risques identifiés selon l’approche économique interne</w:t>
            </w:r>
            <w:r w:rsidR="00A9160F">
              <w:rPr>
                <w:noProof/>
                <w:webHidden/>
              </w:rPr>
              <w:tab/>
            </w:r>
            <w:r w:rsidR="00A9160F">
              <w:rPr>
                <w:noProof/>
                <w:webHidden/>
              </w:rPr>
              <w:fldChar w:fldCharType="begin"/>
            </w:r>
            <w:r w:rsidR="00A9160F">
              <w:rPr>
                <w:noProof/>
                <w:webHidden/>
              </w:rPr>
              <w:instrText xml:space="preserve"> PAGEREF _Toc145687417 \h </w:instrText>
            </w:r>
            <w:r w:rsidR="00A9160F">
              <w:rPr>
                <w:noProof/>
                <w:webHidden/>
              </w:rPr>
            </w:r>
            <w:r w:rsidR="00A9160F">
              <w:rPr>
                <w:noProof/>
                <w:webHidden/>
              </w:rPr>
              <w:fldChar w:fldCharType="separate"/>
            </w:r>
            <w:r w:rsidR="00A9160F">
              <w:rPr>
                <w:noProof/>
                <w:webHidden/>
              </w:rPr>
              <w:t>9</w:t>
            </w:r>
            <w:r w:rsidR="00A9160F">
              <w:rPr>
                <w:noProof/>
                <w:webHidden/>
              </w:rPr>
              <w:fldChar w:fldCharType="end"/>
            </w:r>
          </w:hyperlink>
        </w:p>
        <w:p w14:paraId="7BC5B753" w14:textId="77777777" w:rsidR="00A9160F" w:rsidRDefault="0074104B">
          <w:pPr>
            <w:pStyle w:val="TM2"/>
            <w:tabs>
              <w:tab w:val="left" w:pos="880"/>
              <w:tab w:val="right" w:leader="dot" w:pos="9628"/>
            </w:tabs>
            <w:rPr>
              <w:rFonts w:eastAsiaTheme="minorEastAsia"/>
              <w:noProof/>
              <w:lang w:eastAsia="fr-FR"/>
            </w:rPr>
          </w:pPr>
          <w:hyperlink w:anchor="_Toc145687418" w:history="1">
            <w:r w:rsidR="00A9160F" w:rsidRPr="00F9056E">
              <w:rPr>
                <w:rStyle w:val="Lienhypertexte"/>
                <w:noProof/>
              </w:rPr>
              <w:t>3.5.</w:t>
            </w:r>
            <w:r w:rsidR="00A9160F">
              <w:rPr>
                <w:rFonts w:eastAsiaTheme="minorEastAsia"/>
                <w:noProof/>
                <w:lang w:eastAsia="fr-FR"/>
              </w:rPr>
              <w:tab/>
            </w:r>
            <w:r w:rsidR="00A9160F" w:rsidRPr="00F9056E">
              <w:rPr>
                <w:rStyle w:val="Lienhypertexte"/>
                <w:noProof/>
              </w:rPr>
              <w:t>Exercice de tests de résistance / analyse de sensibilité sur les fonds propres</w:t>
            </w:r>
            <w:r w:rsidR="00A9160F">
              <w:rPr>
                <w:noProof/>
                <w:webHidden/>
              </w:rPr>
              <w:tab/>
            </w:r>
            <w:r w:rsidR="00A9160F">
              <w:rPr>
                <w:noProof/>
                <w:webHidden/>
              </w:rPr>
              <w:fldChar w:fldCharType="begin"/>
            </w:r>
            <w:r w:rsidR="00A9160F">
              <w:rPr>
                <w:noProof/>
                <w:webHidden/>
              </w:rPr>
              <w:instrText xml:space="preserve"> PAGEREF _Toc145687418 \h </w:instrText>
            </w:r>
            <w:r w:rsidR="00A9160F">
              <w:rPr>
                <w:noProof/>
                <w:webHidden/>
              </w:rPr>
            </w:r>
            <w:r w:rsidR="00A9160F">
              <w:rPr>
                <w:noProof/>
                <w:webHidden/>
              </w:rPr>
              <w:fldChar w:fldCharType="separate"/>
            </w:r>
            <w:r w:rsidR="00A9160F">
              <w:rPr>
                <w:noProof/>
                <w:webHidden/>
              </w:rPr>
              <w:t>9</w:t>
            </w:r>
            <w:r w:rsidR="00A9160F">
              <w:rPr>
                <w:noProof/>
                <w:webHidden/>
              </w:rPr>
              <w:fldChar w:fldCharType="end"/>
            </w:r>
          </w:hyperlink>
        </w:p>
        <w:p w14:paraId="6B16D639" w14:textId="77777777" w:rsidR="00A9160F" w:rsidRDefault="0074104B">
          <w:pPr>
            <w:pStyle w:val="TM2"/>
            <w:tabs>
              <w:tab w:val="left" w:pos="880"/>
              <w:tab w:val="right" w:leader="dot" w:pos="9628"/>
            </w:tabs>
            <w:rPr>
              <w:rFonts w:eastAsiaTheme="minorEastAsia"/>
              <w:noProof/>
              <w:lang w:eastAsia="fr-FR"/>
            </w:rPr>
          </w:pPr>
          <w:hyperlink w:anchor="_Toc145687419" w:history="1">
            <w:r w:rsidR="00A9160F" w:rsidRPr="00F9056E">
              <w:rPr>
                <w:rStyle w:val="Lienhypertexte"/>
                <w:noProof/>
              </w:rPr>
              <w:t>3.6.</w:t>
            </w:r>
            <w:r w:rsidR="00A9160F">
              <w:rPr>
                <w:rFonts w:eastAsiaTheme="minorEastAsia"/>
                <w:noProof/>
                <w:lang w:eastAsia="fr-FR"/>
              </w:rPr>
              <w:tab/>
            </w:r>
            <w:r w:rsidR="00A9160F" w:rsidRPr="00F9056E">
              <w:rPr>
                <w:rStyle w:val="Lienhypertexte"/>
                <w:noProof/>
              </w:rPr>
              <w:t>Planification des fonds propres garantissant un niveau suffisant pour couvrir les risques</w:t>
            </w:r>
            <w:r w:rsidR="00A9160F">
              <w:rPr>
                <w:noProof/>
                <w:webHidden/>
              </w:rPr>
              <w:tab/>
            </w:r>
            <w:r w:rsidR="00A9160F">
              <w:rPr>
                <w:noProof/>
                <w:webHidden/>
              </w:rPr>
              <w:fldChar w:fldCharType="begin"/>
            </w:r>
            <w:r w:rsidR="00A9160F">
              <w:rPr>
                <w:noProof/>
                <w:webHidden/>
              </w:rPr>
              <w:instrText xml:space="preserve"> PAGEREF _Toc145687419 \h </w:instrText>
            </w:r>
            <w:r w:rsidR="00A9160F">
              <w:rPr>
                <w:noProof/>
                <w:webHidden/>
              </w:rPr>
            </w:r>
            <w:r w:rsidR="00A9160F">
              <w:rPr>
                <w:noProof/>
                <w:webHidden/>
              </w:rPr>
              <w:fldChar w:fldCharType="separate"/>
            </w:r>
            <w:r w:rsidR="00A9160F">
              <w:rPr>
                <w:noProof/>
                <w:webHidden/>
              </w:rPr>
              <w:t>10</w:t>
            </w:r>
            <w:r w:rsidR="00A9160F">
              <w:rPr>
                <w:noProof/>
                <w:webHidden/>
              </w:rPr>
              <w:fldChar w:fldCharType="end"/>
            </w:r>
          </w:hyperlink>
        </w:p>
        <w:p w14:paraId="66253846" w14:textId="77777777" w:rsidR="00A9160F" w:rsidRDefault="0074104B">
          <w:pPr>
            <w:pStyle w:val="TM1"/>
            <w:tabs>
              <w:tab w:val="left" w:pos="440"/>
              <w:tab w:val="right" w:leader="dot" w:pos="9628"/>
            </w:tabs>
            <w:rPr>
              <w:rFonts w:eastAsiaTheme="minorEastAsia"/>
              <w:noProof/>
              <w:lang w:eastAsia="fr-FR"/>
            </w:rPr>
          </w:pPr>
          <w:hyperlink w:anchor="_Toc145687420" w:history="1">
            <w:r w:rsidR="00A9160F" w:rsidRPr="00F9056E">
              <w:rPr>
                <w:rStyle w:val="Lienhypertexte"/>
                <w:noProof/>
              </w:rPr>
              <w:t>4.</w:t>
            </w:r>
            <w:r w:rsidR="00A9160F">
              <w:rPr>
                <w:rFonts w:eastAsiaTheme="minorEastAsia"/>
                <w:noProof/>
                <w:lang w:eastAsia="fr-FR"/>
              </w:rPr>
              <w:tab/>
            </w:r>
            <w:r w:rsidR="00A9160F" w:rsidRPr="00F9056E">
              <w:rPr>
                <w:rStyle w:val="Lienhypertexte"/>
                <w:noProof/>
              </w:rPr>
              <w:t>Évaluation de l’adéquation du niveau de liquidités (ILAAP)</w:t>
            </w:r>
            <w:r w:rsidR="00A9160F">
              <w:rPr>
                <w:noProof/>
                <w:webHidden/>
              </w:rPr>
              <w:tab/>
            </w:r>
            <w:r w:rsidR="00A9160F">
              <w:rPr>
                <w:noProof/>
                <w:webHidden/>
              </w:rPr>
              <w:fldChar w:fldCharType="begin"/>
            </w:r>
            <w:r w:rsidR="00A9160F">
              <w:rPr>
                <w:noProof/>
                <w:webHidden/>
              </w:rPr>
              <w:instrText xml:space="preserve"> PAGEREF _Toc145687420 \h </w:instrText>
            </w:r>
            <w:r w:rsidR="00A9160F">
              <w:rPr>
                <w:noProof/>
                <w:webHidden/>
              </w:rPr>
            </w:r>
            <w:r w:rsidR="00A9160F">
              <w:rPr>
                <w:noProof/>
                <w:webHidden/>
              </w:rPr>
              <w:fldChar w:fldCharType="separate"/>
            </w:r>
            <w:r w:rsidR="00A9160F">
              <w:rPr>
                <w:noProof/>
                <w:webHidden/>
              </w:rPr>
              <w:t>12</w:t>
            </w:r>
            <w:r w:rsidR="00A9160F">
              <w:rPr>
                <w:noProof/>
                <w:webHidden/>
              </w:rPr>
              <w:fldChar w:fldCharType="end"/>
            </w:r>
          </w:hyperlink>
        </w:p>
        <w:p w14:paraId="3CECC11A" w14:textId="77777777" w:rsidR="00A9160F" w:rsidRDefault="0074104B">
          <w:pPr>
            <w:pStyle w:val="TM2"/>
            <w:tabs>
              <w:tab w:val="left" w:pos="880"/>
              <w:tab w:val="right" w:leader="dot" w:pos="9628"/>
            </w:tabs>
            <w:rPr>
              <w:rFonts w:eastAsiaTheme="minorEastAsia"/>
              <w:noProof/>
              <w:lang w:eastAsia="fr-FR"/>
            </w:rPr>
          </w:pPr>
          <w:hyperlink w:anchor="_Toc145687421" w:history="1">
            <w:r w:rsidR="00A9160F" w:rsidRPr="00F9056E">
              <w:rPr>
                <w:rStyle w:val="Lienhypertexte"/>
                <w:noProof/>
              </w:rPr>
              <w:t>4.1.</w:t>
            </w:r>
            <w:r w:rsidR="00A9160F">
              <w:rPr>
                <w:rFonts w:eastAsiaTheme="minorEastAsia"/>
                <w:noProof/>
                <w:lang w:eastAsia="fr-FR"/>
              </w:rPr>
              <w:tab/>
            </w:r>
            <w:r w:rsidR="00A9160F" w:rsidRPr="00F9056E">
              <w:rPr>
                <w:rStyle w:val="Lienhypertexte"/>
                <w:noProof/>
              </w:rPr>
              <w:t>Identification des sources du risque de liquidité</w:t>
            </w:r>
            <w:r w:rsidR="00A9160F">
              <w:rPr>
                <w:noProof/>
                <w:webHidden/>
              </w:rPr>
              <w:tab/>
            </w:r>
            <w:r w:rsidR="00A9160F">
              <w:rPr>
                <w:noProof/>
                <w:webHidden/>
              </w:rPr>
              <w:fldChar w:fldCharType="begin"/>
            </w:r>
            <w:r w:rsidR="00A9160F">
              <w:rPr>
                <w:noProof/>
                <w:webHidden/>
              </w:rPr>
              <w:instrText xml:space="preserve"> PAGEREF _Toc145687421 \h </w:instrText>
            </w:r>
            <w:r w:rsidR="00A9160F">
              <w:rPr>
                <w:noProof/>
                <w:webHidden/>
              </w:rPr>
            </w:r>
            <w:r w:rsidR="00A9160F">
              <w:rPr>
                <w:noProof/>
                <w:webHidden/>
              </w:rPr>
              <w:fldChar w:fldCharType="separate"/>
            </w:r>
            <w:r w:rsidR="00A9160F">
              <w:rPr>
                <w:noProof/>
                <w:webHidden/>
              </w:rPr>
              <w:t>12</w:t>
            </w:r>
            <w:r w:rsidR="00A9160F">
              <w:rPr>
                <w:noProof/>
                <w:webHidden/>
              </w:rPr>
              <w:fldChar w:fldCharType="end"/>
            </w:r>
          </w:hyperlink>
        </w:p>
        <w:p w14:paraId="61B8DCF5" w14:textId="77777777" w:rsidR="00A9160F" w:rsidRDefault="0074104B">
          <w:pPr>
            <w:pStyle w:val="TM2"/>
            <w:tabs>
              <w:tab w:val="left" w:pos="880"/>
              <w:tab w:val="right" w:leader="dot" w:pos="9628"/>
            </w:tabs>
            <w:rPr>
              <w:rFonts w:eastAsiaTheme="minorEastAsia"/>
              <w:noProof/>
              <w:lang w:eastAsia="fr-FR"/>
            </w:rPr>
          </w:pPr>
          <w:hyperlink w:anchor="_Toc145687422" w:history="1">
            <w:r w:rsidR="00A9160F" w:rsidRPr="00F9056E">
              <w:rPr>
                <w:rStyle w:val="Lienhypertexte"/>
                <w:noProof/>
              </w:rPr>
              <w:t>4.2.</w:t>
            </w:r>
            <w:r w:rsidR="00A9160F">
              <w:rPr>
                <w:rFonts w:eastAsiaTheme="minorEastAsia"/>
                <w:noProof/>
                <w:lang w:eastAsia="fr-FR"/>
              </w:rPr>
              <w:tab/>
            </w:r>
            <w:r w:rsidR="00A9160F" w:rsidRPr="00F9056E">
              <w:rPr>
                <w:rStyle w:val="Lienhypertexte"/>
                <w:noProof/>
              </w:rPr>
              <w:t>Mesure du risque de liquidité</w:t>
            </w:r>
            <w:r w:rsidR="00A9160F">
              <w:rPr>
                <w:noProof/>
                <w:webHidden/>
              </w:rPr>
              <w:tab/>
            </w:r>
            <w:r w:rsidR="00A9160F">
              <w:rPr>
                <w:noProof/>
                <w:webHidden/>
              </w:rPr>
              <w:fldChar w:fldCharType="begin"/>
            </w:r>
            <w:r w:rsidR="00A9160F">
              <w:rPr>
                <w:noProof/>
                <w:webHidden/>
              </w:rPr>
              <w:instrText xml:space="preserve"> PAGEREF _Toc145687422 \h </w:instrText>
            </w:r>
            <w:r w:rsidR="00A9160F">
              <w:rPr>
                <w:noProof/>
                <w:webHidden/>
              </w:rPr>
            </w:r>
            <w:r w:rsidR="00A9160F">
              <w:rPr>
                <w:noProof/>
                <w:webHidden/>
              </w:rPr>
              <w:fldChar w:fldCharType="separate"/>
            </w:r>
            <w:r w:rsidR="00A9160F">
              <w:rPr>
                <w:noProof/>
                <w:webHidden/>
              </w:rPr>
              <w:t>12</w:t>
            </w:r>
            <w:r w:rsidR="00A9160F">
              <w:rPr>
                <w:noProof/>
                <w:webHidden/>
              </w:rPr>
              <w:fldChar w:fldCharType="end"/>
            </w:r>
          </w:hyperlink>
        </w:p>
        <w:p w14:paraId="0C018D08" w14:textId="77777777" w:rsidR="00A9160F" w:rsidRDefault="0074104B">
          <w:pPr>
            <w:pStyle w:val="TM2"/>
            <w:tabs>
              <w:tab w:val="left" w:pos="880"/>
              <w:tab w:val="right" w:leader="dot" w:pos="9628"/>
            </w:tabs>
            <w:rPr>
              <w:rFonts w:eastAsiaTheme="minorEastAsia"/>
              <w:noProof/>
              <w:lang w:eastAsia="fr-FR"/>
            </w:rPr>
          </w:pPr>
          <w:hyperlink w:anchor="_Toc145687423" w:history="1">
            <w:r w:rsidR="00A9160F" w:rsidRPr="00F9056E">
              <w:rPr>
                <w:rStyle w:val="Lienhypertexte"/>
                <w:noProof/>
              </w:rPr>
              <w:t>4.3.</w:t>
            </w:r>
            <w:r w:rsidR="00A9160F">
              <w:rPr>
                <w:rFonts w:eastAsiaTheme="minorEastAsia"/>
                <w:noProof/>
                <w:lang w:eastAsia="fr-FR"/>
              </w:rPr>
              <w:tab/>
            </w:r>
            <w:r w:rsidR="00A9160F" w:rsidRPr="00F9056E">
              <w:rPr>
                <w:rStyle w:val="Lienhypertexte"/>
                <w:noProof/>
              </w:rPr>
              <w:t xml:space="preserve">Présentation des aspects spécifiques identifiés dans le Règlement Délégué  sur le risque de liquidité   </w:t>
            </w:r>
            <w:r w:rsidR="00A9160F">
              <w:rPr>
                <w:noProof/>
                <w:webHidden/>
              </w:rPr>
              <w:tab/>
            </w:r>
            <w:r w:rsidR="00A9160F">
              <w:rPr>
                <w:noProof/>
                <w:webHidden/>
              </w:rPr>
              <w:fldChar w:fldCharType="begin"/>
            </w:r>
            <w:r w:rsidR="00A9160F">
              <w:rPr>
                <w:noProof/>
                <w:webHidden/>
              </w:rPr>
              <w:instrText xml:space="preserve"> PAGEREF _Toc145687423 \h </w:instrText>
            </w:r>
            <w:r w:rsidR="00A9160F">
              <w:rPr>
                <w:noProof/>
                <w:webHidden/>
              </w:rPr>
            </w:r>
            <w:r w:rsidR="00A9160F">
              <w:rPr>
                <w:noProof/>
                <w:webHidden/>
              </w:rPr>
              <w:fldChar w:fldCharType="separate"/>
            </w:r>
            <w:r w:rsidR="00A9160F">
              <w:rPr>
                <w:noProof/>
                <w:webHidden/>
              </w:rPr>
              <w:t>13</w:t>
            </w:r>
            <w:r w:rsidR="00A9160F">
              <w:rPr>
                <w:noProof/>
                <w:webHidden/>
              </w:rPr>
              <w:fldChar w:fldCharType="end"/>
            </w:r>
          </w:hyperlink>
        </w:p>
        <w:p w14:paraId="328C2035" w14:textId="77777777" w:rsidR="00A9160F" w:rsidRDefault="0074104B">
          <w:pPr>
            <w:pStyle w:val="TM3"/>
            <w:tabs>
              <w:tab w:val="left" w:pos="1320"/>
              <w:tab w:val="right" w:leader="dot" w:pos="9628"/>
            </w:tabs>
            <w:rPr>
              <w:rFonts w:eastAsiaTheme="minorEastAsia"/>
              <w:noProof/>
              <w:lang w:eastAsia="fr-FR"/>
            </w:rPr>
          </w:pPr>
          <w:hyperlink w:anchor="_Toc145687424" w:history="1">
            <w:r w:rsidR="00A9160F" w:rsidRPr="00F9056E">
              <w:rPr>
                <w:rStyle w:val="Lienhypertexte"/>
                <w:noProof/>
              </w:rPr>
              <w:t>4.3.1.</w:t>
            </w:r>
            <w:r w:rsidR="00A9160F">
              <w:rPr>
                <w:rFonts w:eastAsiaTheme="minorEastAsia"/>
                <w:noProof/>
                <w:lang w:eastAsia="fr-FR"/>
              </w:rPr>
              <w:tab/>
            </w:r>
            <w:r w:rsidR="00A9160F" w:rsidRPr="00F9056E">
              <w:rPr>
                <w:rStyle w:val="Lienhypertexte"/>
                <w:noProof/>
              </w:rPr>
              <w:t>Gestion de risques intra journaliers et gestion des sûretés</w:t>
            </w:r>
            <w:r w:rsidR="00A9160F">
              <w:rPr>
                <w:noProof/>
                <w:webHidden/>
              </w:rPr>
              <w:tab/>
            </w:r>
            <w:r w:rsidR="00A9160F">
              <w:rPr>
                <w:noProof/>
                <w:webHidden/>
              </w:rPr>
              <w:fldChar w:fldCharType="begin"/>
            </w:r>
            <w:r w:rsidR="00A9160F">
              <w:rPr>
                <w:noProof/>
                <w:webHidden/>
              </w:rPr>
              <w:instrText xml:space="preserve"> PAGEREF _Toc145687424 \h </w:instrText>
            </w:r>
            <w:r w:rsidR="00A9160F">
              <w:rPr>
                <w:noProof/>
                <w:webHidden/>
              </w:rPr>
            </w:r>
            <w:r w:rsidR="00A9160F">
              <w:rPr>
                <w:noProof/>
                <w:webHidden/>
              </w:rPr>
              <w:fldChar w:fldCharType="separate"/>
            </w:r>
            <w:r w:rsidR="00A9160F">
              <w:rPr>
                <w:noProof/>
                <w:webHidden/>
              </w:rPr>
              <w:t>13</w:t>
            </w:r>
            <w:r w:rsidR="00A9160F">
              <w:rPr>
                <w:noProof/>
                <w:webHidden/>
              </w:rPr>
              <w:fldChar w:fldCharType="end"/>
            </w:r>
          </w:hyperlink>
        </w:p>
        <w:p w14:paraId="44BC62DA" w14:textId="77777777" w:rsidR="00A9160F" w:rsidRDefault="0074104B">
          <w:pPr>
            <w:pStyle w:val="TM3"/>
            <w:tabs>
              <w:tab w:val="left" w:pos="1320"/>
              <w:tab w:val="right" w:leader="dot" w:pos="9628"/>
            </w:tabs>
            <w:rPr>
              <w:rFonts w:eastAsiaTheme="minorEastAsia"/>
              <w:noProof/>
              <w:lang w:eastAsia="fr-FR"/>
            </w:rPr>
          </w:pPr>
          <w:hyperlink w:anchor="_Toc145687425" w:history="1">
            <w:r w:rsidR="00A9160F" w:rsidRPr="00F9056E">
              <w:rPr>
                <w:rStyle w:val="Lienhypertexte"/>
                <w:noProof/>
              </w:rPr>
              <w:t>4.3.2.</w:t>
            </w:r>
            <w:r w:rsidR="00A9160F">
              <w:rPr>
                <w:rFonts w:eastAsiaTheme="minorEastAsia"/>
                <w:noProof/>
                <w:lang w:eastAsia="fr-FR"/>
              </w:rPr>
              <w:tab/>
            </w:r>
            <w:r w:rsidR="00A9160F" w:rsidRPr="00F9056E">
              <w:rPr>
                <w:rStyle w:val="Lienhypertexte"/>
                <w:noProof/>
              </w:rPr>
              <w:t>Gestion du risque de liquidité par la gestion actif-passif</w:t>
            </w:r>
            <w:r w:rsidR="00A9160F">
              <w:rPr>
                <w:noProof/>
                <w:webHidden/>
              </w:rPr>
              <w:tab/>
            </w:r>
            <w:r w:rsidR="00A9160F">
              <w:rPr>
                <w:noProof/>
                <w:webHidden/>
              </w:rPr>
              <w:fldChar w:fldCharType="begin"/>
            </w:r>
            <w:r w:rsidR="00A9160F">
              <w:rPr>
                <w:noProof/>
                <w:webHidden/>
              </w:rPr>
              <w:instrText xml:space="preserve"> PAGEREF _Toc145687425 \h </w:instrText>
            </w:r>
            <w:r w:rsidR="00A9160F">
              <w:rPr>
                <w:noProof/>
                <w:webHidden/>
              </w:rPr>
            </w:r>
            <w:r w:rsidR="00A9160F">
              <w:rPr>
                <w:noProof/>
                <w:webHidden/>
              </w:rPr>
              <w:fldChar w:fldCharType="separate"/>
            </w:r>
            <w:r w:rsidR="00A9160F">
              <w:rPr>
                <w:noProof/>
                <w:webHidden/>
              </w:rPr>
              <w:t>13</w:t>
            </w:r>
            <w:r w:rsidR="00A9160F">
              <w:rPr>
                <w:noProof/>
                <w:webHidden/>
              </w:rPr>
              <w:fldChar w:fldCharType="end"/>
            </w:r>
          </w:hyperlink>
        </w:p>
        <w:p w14:paraId="0A29179F" w14:textId="77777777" w:rsidR="00A9160F" w:rsidRDefault="0074104B">
          <w:pPr>
            <w:pStyle w:val="TM3"/>
            <w:tabs>
              <w:tab w:val="left" w:pos="1320"/>
              <w:tab w:val="right" w:leader="dot" w:pos="9628"/>
            </w:tabs>
            <w:rPr>
              <w:rFonts w:eastAsiaTheme="minorEastAsia"/>
              <w:noProof/>
              <w:lang w:eastAsia="fr-FR"/>
            </w:rPr>
          </w:pPr>
          <w:hyperlink w:anchor="_Toc145687426" w:history="1">
            <w:r w:rsidR="00A9160F" w:rsidRPr="00F9056E">
              <w:rPr>
                <w:rStyle w:val="Lienhypertexte"/>
                <w:noProof/>
              </w:rPr>
              <w:t>4.3.3.</w:t>
            </w:r>
            <w:r w:rsidR="00A9160F">
              <w:rPr>
                <w:rFonts w:eastAsiaTheme="minorEastAsia"/>
                <w:noProof/>
                <w:lang w:eastAsia="fr-FR"/>
              </w:rPr>
              <w:tab/>
            </w:r>
            <w:r w:rsidR="00A9160F" w:rsidRPr="00F9056E">
              <w:rPr>
                <w:rStyle w:val="Lienhypertexte"/>
                <w:noProof/>
              </w:rPr>
              <w:t>Gestion intragroupe</w:t>
            </w:r>
            <w:r w:rsidR="00A9160F">
              <w:rPr>
                <w:noProof/>
                <w:webHidden/>
              </w:rPr>
              <w:tab/>
            </w:r>
            <w:r w:rsidR="00A9160F">
              <w:rPr>
                <w:noProof/>
                <w:webHidden/>
              </w:rPr>
              <w:fldChar w:fldCharType="begin"/>
            </w:r>
            <w:r w:rsidR="00A9160F">
              <w:rPr>
                <w:noProof/>
                <w:webHidden/>
              </w:rPr>
              <w:instrText xml:space="preserve"> PAGEREF _Toc145687426 \h </w:instrText>
            </w:r>
            <w:r w:rsidR="00A9160F">
              <w:rPr>
                <w:noProof/>
                <w:webHidden/>
              </w:rPr>
            </w:r>
            <w:r w:rsidR="00A9160F">
              <w:rPr>
                <w:noProof/>
                <w:webHidden/>
              </w:rPr>
              <w:fldChar w:fldCharType="separate"/>
            </w:r>
            <w:r w:rsidR="00A9160F">
              <w:rPr>
                <w:noProof/>
                <w:webHidden/>
              </w:rPr>
              <w:t>13</w:t>
            </w:r>
            <w:r w:rsidR="00A9160F">
              <w:rPr>
                <w:noProof/>
                <w:webHidden/>
              </w:rPr>
              <w:fldChar w:fldCharType="end"/>
            </w:r>
          </w:hyperlink>
        </w:p>
        <w:p w14:paraId="657BDABE" w14:textId="77777777" w:rsidR="00A9160F" w:rsidRDefault="0074104B">
          <w:pPr>
            <w:pStyle w:val="TM2"/>
            <w:tabs>
              <w:tab w:val="left" w:pos="880"/>
              <w:tab w:val="right" w:leader="dot" w:pos="9628"/>
            </w:tabs>
            <w:rPr>
              <w:rFonts w:eastAsiaTheme="minorEastAsia"/>
              <w:noProof/>
              <w:lang w:eastAsia="fr-FR"/>
            </w:rPr>
          </w:pPr>
          <w:hyperlink w:anchor="_Toc145687427" w:history="1">
            <w:r w:rsidR="00A9160F" w:rsidRPr="00F9056E">
              <w:rPr>
                <w:rStyle w:val="Lienhypertexte"/>
                <w:noProof/>
              </w:rPr>
              <w:t>4.4.</w:t>
            </w:r>
            <w:r w:rsidR="00A9160F">
              <w:rPr>
                <w:rFonts w:eastAsiaTheme="minorEastAsia"/>
                <w:noProof/>
                <w:lang w:eastAsia="fr-FR"/>
              </w:rPr>
              <w:tab/>
            </w:r>
            <w:r w:rsidR="00A9160F" w:rsidRPr="00F9056E">
              <w:rPr>
                <w:rStyle w:val="Lienhypertexte"/>
                <w:noProof/>
              </w:rPr>
              <w:t>Évaluation des actifs liquides disponibles et de leur adéquation aux risques identifiés selon l’approche économique interne</w:t>
            </w:r>
            <w:r w:rsidR="00A9160F">
              <w:rPr>
                <w:noProof/>
                <w:webHidden/>
              </w:rPr>
              <w:tab/>
            </w:r>
            <w:r w:rsidR="00A9160F">
              <w:rPr>
                <w:noProof/>
                <w:webHidden/>
              </w:rPr>
              <w:fldChar w:fldCharType="begin"/>
            </w:r>
            <w:r w:rsidR="00A9160F">
              <w:rPr>
                <w:noProof/>
                <w:webHidden/>
              </w:rPr>
              <w:instrText xml:space="preserve"> PAGEREF _Toc145687427 \h </w:instrText>
            </w:r>
            <w:r w:rsidR="00A9160F">
              <w:rPr>
                <w:noProof/>
                <w:webHidden/>
              </w:rPr>
            </w:r>
            <w:r w:rsidR="00A9160F">
              <w:rPr>
                <w:noProof/>
                <w:webHidden/>
              </w:rPr>
              <w:fldChar w:fldCharType="separate"/>
            </w:r>
            <w:r w:rsidR="00A9160F">
              <w:rPr>
                <w:noProof/>
                <w:webHidden/>
              </w:rPr>
              <w:t>14</w:t>
            </w:r>
            <w:r w:rsidR="00A9160F">
              <w:rPr>
                <w:noProof/>
                <w:webHidden/>
              </w:rPr>
              <w:fldChar w:fldCharType="end"/>
            </w:r>
          </w:hyperlink>
        </w:p>
        <w:p w14:paraId="5B839CC3" w14:textId="77777777" w:rsidR="00A9160F" w:rsidRDefault="0074104B">
          <w:pPr>
            <w:pStyle w:val="TM2"/>
            <w:tabs>
              <w:tab w:val="left" w:pos="880"/>
              <w:tab w:val="right" w:leader="dot" w:pos="9628"/>
            </w:tabs>
            <w:rPr>
              <w:rFonts w:eastAsiaTheme="minorEastAsia"/>
              <w:noProof/>
              <w:lang w:eastAsia="fr-FR"/>
            </w:rPr>
          </w:pPr>
          <w:hyperlink w:anchor="_Toc145687428" w:history="1">
            <w:r w:rsidR="00A9160F" w:rsidRPr="00F9056E">
              <w:rPr>
                <w:rStyle w:val="Lienhypertexte"/>
                <w:noProof/>
              </w:rPr>
              <w:t>4.5.</w:t>
            </w:r>
            <w:r w:rsidR="00A9160F">
              <w:rPr>
                <w:rFonts w:eastAsiaTheme="minorEastAsia"/>
                <w:noProof/>
                <w:lang w:eastAsia="fr-FR"/>
              </w:rPr>
              <w:tab/>
            </w:r>
            <w:r w:rsidR="00A9160F" w:rsidRPr="00F9056E">
              <w:rPr>
                <w:rStyle w:val="Lienhypertexte"/>
                <w:noProof/>
              </w:rPr>
              <w:t>Exercice de test de résistance sur la liquidité</w:t>
            </w:r>
            <w:r w:rsidR="00A9160F">
              <w:rPr>
                <w:noProof/>
                <w:webHidden/>
              </w:rPr>
              <w:tab/>
            </w:r>
            <w:r w:rsidR="00A9160F">
              <w:rPr>
                <w:noProof/>
                <w:webHidden/>
              </w:rPr>
              <w:fldChar w:fldCharType="begin"/>
            </w:r>
            <w:r w:rsidR="00A9160F">
              <w:rPr>
                <w:noProof/>
                <w:webHidden/>
              </w:rPr>
              <w:instrText xml:space="preserve"> PAGEREF _Toc145687428 \h </w:instrText>
            </w:r>
            <w:r w:rsidR="00A9160F">
              <w:rPr>
                <w:noProof/>
                <w:webHidden/>
              </w:rPr>
            </w:r>
            <w:r w:rsidR="00A9160F">
              <w:rPr>
                <w:noProof/>
                <w:webHidden/>
              </w:rPr>
              <w:fldChar w:fldCharType="separate"/>
            </w:r>
            <w:r w:rsidR="00A9160F">
              <w:rPr>
                <w:noProof/>
                <w:webHidden/>
              </w:rPr>
              <w:t>14</w:t>
            </w:r>
            <w:r w:rsidR="00A9160F">
              <w:rPr>
                <w:noProof/>
                <w:webHidden/>
              </w:rPr>
              <w:fldChar w:fldCharType="end"/>
            </w:r>
          </w:hyperlink>
        </w:p>
        <w:p w14:paraId="6321DAB3" w14:textId="77777777" w:rsidR="00A9160F" w:rsidRDefault="0074104B">
          <w:pPr>
            <w:pStyle w:val="TM2"/>
            <w:tabs>
              <w:tab w:val="left" w:pos="880"/>
              <w:tab w:val="right" w:leader="dot" w:pos="9628"/>
            </w:tabs>
            <w:rPr>
              <w:rFonts w:eastAsiaTheme="minorEastAsia"/>
              <w:noProof/>
              <w:lang w:eastAsia="fr-FR"/>
            </w:rPr>
          </w:pPr>
          <w:hyperlink w:anchor="_Toc145687429" w:history="1">
            <w:r w:rsidR="00A9160F" w:rsidRPr="00F9056E">
              <w:rPr>
                <w:rStyle w:val="Lienhypertexte"/>
                <w:noProof/>
              </w:rPr>
              <w:t>4.6.</w:t>
            </w:r>
            <w:r w:rsidR="00A9160F">
              <w:rPr>
                <w:rFonts w:eastAsiaTheme="minorEastAsia"/>
                <w:noProof/>
                <w:lang w:eastAsia="fr-FR"/>
              </w:rPr>
              <w:tab/>
            </w:r>
            <w:r w:rsidR="00A9160F" w:rsidRPr="00F9056E">
              <w:rPr>
                <w:rStyle w:val="Lienhypertexte"/>
                <w:noProof/>
              </w:rPr>
              <w:t>Planification des liquidités garantissant un niveau d’actifs liquides suffisant pour couvrir les risques en toutes circonstances</w:t>
            </w:r>
            <w:r w:rsidR="00A9160F">
              <w:rPr>
                <w:noProof/>
                <w:webHidden/>
              </w:rPr>
              <w:tab/>
            </w:r>
            <w:r w:rsidR="00A9160F">
              <w:rPr>
                <w:noProof/>
                <w:webHidden/>
              </w:rPr>
              <w:fldChar w:fldCharType="begin"/>
            </w:r>
            <w:r w:rsidR="00A9160F">
              <w:rPr>
                <w:noProof/>
                <w:webHidden/>
              </w:rPr>
              <w:instrText xml:space="preserve"> PAGEREF _Toc145687429 \h </w:instrText>
            </w:r>
            <w:r w:rsidR="00A9160F">
              <w:rPr>
                <w:noProof/>
                <w:webHidden/>
              </w:rPr>
            </w:r>
            <w:r w:rsidR="00A9160F">
              <w:rPr>
                <w:noProof/>
                <w:webHidden/>
              </w:rPr>
              <w:fldChar w:fldCharType="separate"/>
            </w:r>
            <w:r w:rsidR="00A9160F">
              <w:rPr>
                <w:noProof/>
                <w:webHidden/>
              </w:rPr>
              <w:t>15</w:t>
            </w:r>
            <w:r w:rsidR="00A9160F">
              <w:rPr>
                <w:noProof/>
                <w:webHidden/>
              </w:rPr>
              <w:fldChar w:fldCharType="end"/>
            </w:r>
          </w:hyperlink>
        </w:p>
        <w:p w14:paraId="24CFFA84" w14:textId="77777777" w:rsidR="00A9160F" w:rsidRDefault="0074104B">
          <w:pPr>
            <w:pStyle w:val="TM1"/>
            <w:tabs>
              <w:tab w:val="left" w:pos="440"/>
              <w:tab w:val="right" w:leader="dot" w:pos="9628"/>
            </w:tabs>
            <w:rPr>
              <w:rFonts w:eastAsiaTheme="minorEastAsia"/>
              <w:noProof/>
              <w:lang w:eastAsia="fr-FR"/>
            </w:rPr>
          </w:pPr>
          <w:hyperlink w:anchor="_Toc145687430" w:history="1">
            <w:r w:rsidR="00A9160F" w:rsidRPr="00F9056E">
              <w:rPr>
                <w:rStyle w:val="Lienhypertexte"/>
                <w:noProof/>
              </w:rPr>
              <w:t>5.</w:t>
            </w:r>
            <w:r w:rsidR="00A9160F">
              <w:rPr>
                <w:rFonts w:eastAsiaTheme="minorEastAsia"/>
                <w:noProof/>
                <w:lang w:eastAsia="fr-FR"/>
              </w:rPr>
              <w:tab/>
            </w:r>
            <w:r w:rsidR="00A9160F" w:rsidRPr="00F9056E">
              <w:rPr>
                <w:rStyle w:val="Lienhypertexte"/>
                <w:noProof/>
              </w:rPr>
              <w:t xml:space="preserve">Description du Processus de liquidation ordonnée </w:t>
            </w:r>
            <w:r w:rsidR="00A9160F">
              <w:rPr>
                <w:noProof/>
                <w:webHidden/>
              </w:rPr>
              <w:tab/>
            </w:r>
            <w:r w:rsidR="00A9160F">
              <w:rPr>
                <w:noProof/>
                <w:webHidden/>
              </w:rPr>
              <w:fldChar w:fldCharType="begin"/>
            </w:r>
            <w:r w:rsidR="00A9160F">
              <w:rPr>
                <w:noProof/>
                <w:webHidden/>
              </w:rPr>
              <w:instrText xml:space="preserve"> PAGEREF _Toc145687430 \h </w:instrText>
            </w:r>
            <w:r w:rsidR="00A9160F">
              <w:rPr>
                <w:noProof/>
                <w:webHidden/>
              </w:rPr>
            </w:r>
            <w:r w:rsidR="00A9160F">
              <w:rPr>
                <w:noProof/>
                <w:webHidden/>
              </w:rPr>
              <w:fldChar w:fldCharType="separate"/>
            </w:r>
            <w:r w:rsidR="00A9160F">
              <w:rPr>
                <w:noProof/>
                <w:webHidden/>
              </w:rPr>
              <w:t>16</w:t>
            </w:r>
            <w:r w:rsidR="00A9160F">
              <w:rPr>
                <w:noProof/>
                <w:webHidden/>
              </w:rPr>
              <w:fldChar w:fldCharType="end"/>
            </w:r>
          </w:hyperlink>
        </w:p>
        <w:p w14:paraId="59CA6C99" w14:textId="77777777" w:rsidR="00A9160F" w:rsidRDefault="0074104B">
          <w:pPr>
            <w:pStyle w:val="TM1"/>
            <w:tabs>
              <w:tab w:val="left" w:pos="440"/>
              <w:tab w:val="right" w:leader="dot" w:pos="9628"/>
            </w:tabs>
            <w:rPr>
              <w:rFonts w:eastAsiaTheme="minorEastAsia"/>
              <w:noProof/>
              <w:lang w:eastAsia="fr-FR"/>
            </w:rPr>
          </w:pPr>
          <w:hyperlink w:anchor="_Toc145687431" w:history="1">
            <w:r w:rsidR="00A9160F" w:rsidRPr="00F9056E">
              <w:rPr>
                <w:rStyle w:val="Lienhypertexte"/>
                <w:noProof/>
              </w:rPr>
              <w:t>6.</w:t>
            </w:r>
            <w:r w:rsidR="00A9160F">
              <w:rPr>
                <w:rFonts w:eastAsiaTheme="minorEastAsia"/>
                <w:noProof/>
                <w:lang w:eastAsia="fr-FR"/>
              </w:rPr>
              <w:tab/>
            </w:r>
            <w:r w:rsidR="00A9160F" w:rsidRPr="00F9056E">
              <w:rPr>
                <w:rStyle w:val="Lienhypertexte"/>
                <w:noProof/>
              </w:rPr>
              <w:t>Annexe 1</w:t>
            </w:r>
            <w:r w:rsidR="00A9160F">
              <w:rPr>
                <w:noProof/>
                <w:webHidden/>
              </w:rPr>
              <w:tab/>
            </w:r>
            <w:r w:rsidR="00A9160F">
              <w:rPr>
                <w:noProof/>
                <w:webHidden/>
              </w:rPr>
              <w:fldChar w:fldCharType="begin"/>
            </w:r>
            <w:r w:rsidR="00A9160F">
              <w:rPr>
                <w:noProof/>
                <w:webHidden/>
              </w:rPr>
              <w:instrText xml:space="preserve"> PAGEREF _Toc145687431 \h </w:instrText>
            </w:r>
            <w:r w:rsidR="00A9160F">
              <w:rPr>
                <w:noProof/>
                <w:webHidden/>
              </w:rPr>
            </w:r>
            <w:r w:rsidR="00A9160F">
              <w:rPr>
                <w:noProof/>
                <w:webHidden/>
              </w:rPr>
              <w:fldChar w:fldCharType="separate"/>
            </w:r>
            <w:r w:rsidR="00A9160F">
              <w:rPr>
                <w:noProof/>
                <w:webHidden/>
              </w:rPr>
              <w:t>17</w:t>
            </w:r>
            <w:r w:rsidR="00A9160F">
              <w:rPr>
                <w:noProof/>
                <w:webHidden/>
              </w:rPr>
              <w:fldChar w:fldCharType="end"/>
            </w:r>
          </w:hyperlink>
        </w:p>
        <w:p w14:paraId="45B510D5" w14:textId="77777777" w:rsidR="00A9160F" w:rsidRDefault="0074104B">
          <w:pPr>
            <w:pStyle w:val="TM1"/>
            <w:tabs>
              <w:tab w:val="left" w:pos="440"/>
              <w:tab w:val="right" w:leader="dot" w:pos="9628"/>
            </w:tabs>
            <w:rPr>
              <w:rFonts w:eastAsiaTheme="minorEastAsia"/>
              <w:noProof/>
              <w:lang w:eastAsia="fr-FR"/>
            </w:rPr>
          </w:pPr>
          <w:hyperlink w:anchor="_Toc145687432" w:history="1">
            <w:r w:rsidR="00A9160F" w:rsidRPr="00F9056E">
              <w:rPr>
                <w:rStyle w:val="Lienhypertexte"/>
                <w:noProof/>
              </w:rPr>
              <w:t>7.</w:t>
            </w:r>
            <w:r w:rsidR="00A9160F">
              <w:rPr>
                <w:rFonts w:eastAsiaTheme="minorEastAsia"/>
                <w:noProof/>
                <w:lang w:eastAsia="fr-FR"/>
              </w:rPr>
              <w:tab/>
            </w:r>
            <w:r w:rsidR="00A9160F" w:rsidRPr="00F9056E">
              <w:rPr>
                <w:rStyle w:val="Lienhypertexte"/>
                <w:noProof/>
              </w:rPr>
              <w:t>Annexe 2</w:t>
            </w:r>
            <w:r w:rsidR="00A9160F">
              <w:rPr>
                <w:noProof/>
                <w:webHidden/>
              </w:rPr>
              <w:tab/>
            </w:r>
            <w:r w:rsidR="00A9160F">
              <w:rPr>
                <w:noProof/>
                <w:webHidden/>
              </w:rPr>
              <w:fldChar w:fldCharType="begin"/>
            </w:r>
            <w:r w:rsidR="00A9160F">
              <w:rPr>
                <w:noProof/>
                <w:webHidden/>
              </w:rPr>
              <w:instrText xml:space="preserve"> PAGEREF _Toc145687432 \h </w:instrText>
            </w:r>
            <w:r w:rsidR="00A9160F">
              <w:rPr>
                <w:noProof/>
                <w:webHidden/>
              </w:rPr>
            </w:r>
            <w:r w:rsidR="00A9160F">
              <w:rPr>
                <w:noProof/>
                <w:webHidden/>
              </w:rPr>
              <w:fldChar w:fldCharType="separate"/>
            </w:r>
            <w:r w:rsidR="00A9160F">
              <w:rPr>
                <w:noProof/>
                <w:webHidden/>
              </w:rPr>
              <w:t>18</w:t>
            </w:r>
            <w:r w:rsidR="00A9160F">
              <w:rPr>
                <w:noProof/>
                <w:webHidden/>
              </w:rPr>
              <w:fldChar w:fldCharType="end"/>
            </w:r>
          </w:hyperlink>
        </w:p>
        <w:p w14:paraId="4E53A0C2" w14:textId="77777777" w:rsidR="00A9160F" w:rsidRDefault="0074104B">
          <w:pPr>
            <w:pStyle w:val="TM1"/>
            <w:tabs>
              <w:tab w:val="left" w:pos="440"/>
              <w:tab w:val="right" w:leader="dot" w:pos="9628"/>
            </w:tabs>
            <w:rPr>
              <w:rFonts w:eastAsiaTheme="minorEastAsia"/>
              <w:noProof/>
              <w:lang w:eastAsia="fr-FR"/>
            </w:rPr>
          </w:pPr>
          <w:hyperlink w:anchor="_Toc145687433" w:history="1">
            <w:r w:rsidR="00A9160F" w:rsidRPr="00F9056E">
              <w:rPr>
                <w:rStyle w:val="Lienhypertexte"/>
                <w:noProof/>
              </w:rPr>
              <w:t>8.</w:t>
            </w:r>
            <w:r w:rsidR="00A9160F">
              <w:rPr>
                <w:rFonts w:eastAsiaTheme="minorEastAsia"/>
                <w:noProof/>
                <w:lang w:eastAsia="fr-FR"/>
              </w:rPr>
              <w:tab/>
            </w:r>
            <w:r w:rsidR="00A9160F" w:rsidRPr="00F9056E">
              <w:rPr>
                <w:rStyle w:val="Lienhypertexte"/>
                <w:noProof/>
              </w:rPr>
              <w:t>Annexe 3</w:t>
            </w:r>
            <w:r w:rsidR="00A9160F">
              <w:rPr>
                <w:noProof/>
                <w:webHidden/>
              </w:rPr>
              <w:tab/>
            </w:r>
            <w:r w:rsidR="00A9160F">
              <w:rPr>
                <w:noProof/>
                <w:webHidden/>
              </w:rPr>
              <w:fldChar w:fldCharType="begin"/>
            </w:r>
            <w:r w:rsidR="00A9160F">
              <w:rPr>
                <w:noProof/>
                <w:webHidden/>
              </w:rPr>
              <w:instrText xml:space="preserve"> PAGEREF _Toc145687433 \h </w:instrText>
            </w:r>
            <w:r w:rsidR="00A9160F">
              <w:rPr>
                <w:noProof/>
                <w:webHidden/>
              </w:rPr>
            </w:r>
            <w:r w:rsidR="00A9160F">
              <w:rPr>
                <w:noProof/>
                <w:webHidden/>
              </w:rPr>
              <w:fldChar w:fldCharType="separate"/>
            </w:r>
            <w:r w:rsidR="00A9160F">
              <w:rPr>
                <w:noProof/>
                <w:webHidden/>
              </w:rPr>
              <w:t>22</w:t>
            </w:r>
            <w:r w:rsidR="00A9160F">
              <w:rPr>
                <w:noProof/>
                <w:webHidden/>
              </w:rPr>
              <w:fldChar w:fldCharType="end"/>
            </w:r>
          </w:hyperlink>
        </w:p>
        <w:p w14:paraId="794B0319" w14:textId="77777777" w:rsidR="005869A9" w:rsidRDefault="005869A9">
          <w:r>
            <w:rPr>
              <w:b/>
              <w:bCs/>
            </w:rPr>
            <w:fldChar w:fldCharType="end"/>
          </w:r>
        </w:p>
      </w:sdtContent>
    </w:sdt>
    <w:p w14:paraId="4DC2C101" w14:textId="77777777" w:rsidR="00615FB2" w:rsidRDefault="00615FB2" w:rsidP="005869A9">
      <w:pPr>
        <w:jc w:val="both"/>
        <w:rPr>
          <w:rFonts w:ascii="Times New Roman" w:hAnsi="Times New Roman" w:cs="Times New Roman"/>
          <w:sz w:val="24"/>
          <w:szCs w:val="24"/>
        </w:rPr>
      </w:pPr>
      <w:r>
        <w:rPr>
          <w:rFonts w:ascii="Times New Roman" w:hAnsi="Times New Roman" w:cs="Times New Roman"/>
          <w:sz w:val="24"/>
          <w:szCs w:val="24"/>
        </w:rPr>
        <w:br w:type="page"/>
      </w:r>
    </w:p>
    <w:p w14:paraId="437324FF" w14:textId="77777777" w:rsidR="00607CEB" w:rsidRPr="00615FB2" w:rsidRDefault="00607CEB" w:rsidP="00C80B81">
      <w:pPr>
        <w:pStyle w:val="Titre1"/>
        <w:rPr>
          <w:rFonts w:cs="Arial"/>
          <w:bCs/>
        </w:rPr>
      </w:pPr>
      <w:bookmarkStart w:id="1" w:name="_Toc145687407"/>
      <w:r w:rsidRPr="00615FB2">
        <w:rPr>
          <w:rFonts w:cs="Arial"/>
          <w:b w:val="0"/>
          <w:bCs/>
        </w:rPr>
        <w:lastRenderedPageBreak/>
        <w:t>Préambule</w:t>
      </w:r>
      <w:bookmarkEnd w:id="1"/>
    </w:p>
    <w:p w14:paraId="335F181D" w14:textId="77777777" w:rsidR="00607CEB" w:rsidRPr="00640178" w:rsidRDefault="00607CEB" w:rsidP="00640178">
      <w:pPr>
        <w:spacing w:after="0"/>
        <w:jc w:val="both"/>
        <w:rPr>
          <w:rFonts w:ascii="Times New Roman" w:hAnsi="Times New Roman" w:cs="Times New Roman"/>
          <w:sz w:val="24"/>
          <w:szCs w:val="24"/>
        </w:rPr>
      </w:pPr>
    </w:p>
    <w:p w14:paraId="622CE354" w14:textId="77777777" w:rsidR="006041F8" w:rsidRDefault="00607CEB" w:rsidP="00640178">
      <w:pPr>
        <w:spacing w:after="0"/>
        <w:jc w:val="both"/>
        <w:rPr>
          <w:rFonts w:ascii="Times New Roman" w:hAnsi="Times New Roman" w:cs="Times New Roman"/>
          <w:sz w:val="24"/>
          <w:szCs w:val="24"/>
        </w:rPr>
      </w:pPr>
      <w:r w:rsidRPr="00640178">
        <w:rPr>
          <w:rFonts w:ascii="Times New Roman" w:hAnsi="Times New Roman" w:cs="Times New Roman"/>
          <w:sz w:val="24"/>
          <w:szCs w:val="24"/>
        </w:rPr>
        <w:t xml:space="preserve">Ce canevas a vocation à orienter les entreprises d’investissement dans la rédaction de leur propre rapport </w:t>
      </w:r>
      <w:r w:rsidR="00D73F61">
        <w:rPr>
          <w:rFonts w:ascii="Times New Roman" w:hAnsi="Times New Roman" w:cs="Times New Roman"/>
          <w:sz w:val="24"/>
          <w:szCs w:val="24"/>
        </w:rPr>
        <w:t xml:space="preserve">sur le </w:t>
      </w:r>
      <w:r w:rsidR="00D73F61" w:rsidRPr="00D73F61">
        <w:rPr>
          <w:rFonts w:ascii="Times New Roman" w:hAnsi="Times New Roman" w:cs="Times New Roman"/>
          <w:sz w:val="24"/>
          <w:szCs w:val="24"/>
        </w:rPr>
        <w:t>processus interne d’évaluation de l’adéquation du capital et processus interne d’évaluation des risques</w:t>
      </w:r>
      <w:r w:rsidR="00D73F61">
        <w:rPr>
          <w:rFonts w:ascii="Times New Roman" w:hAnsi="Times New Roman" w:cs="Times New Roman"/>
          <w:sz w:val="24"/>
          <w:szCs w:val="24"/>
        </w:rPr>
        <w:t xml:space="preserve"> (</w:t>
      </w:r>
      <w:r w:rsidRPr="00640178">
        <w:rPr>
          <w:rFonts w:ascii="Times New Roman" w:hAnsi="Times New Roman" w:cs="Times New Roman"/>
          <w:sz w:val="24"/>
          <w:szCs w:val="24"/>
        </w:rPr>
        <w:t>ICARAP</w:t>
      </w:r>
      <w:r w:rsidR="00D73F61">
        <w:rPr>
          <w:rFonts w:ascii="Times New Roman" w:hAnsi="Times New Roman" w:cs="Times New Roman"/>
          <w:sz w:val="24"/>
          <w:szCs w:val="24"/>
        </w:rPr>
        <w:t>)</w:t>
      </w:r>
      <w:r w:rsidRPr="00640178">
        <w:rPr>
          <w:rFonts w:ascii="Times New Roman" w:hAnsi="Times New Roman" w:cs="Times New Roman"/>
          <w:sz w:val="24"/>
          <w:szCs w:val="24"/>
        </w:rPr>
        <w:t xml:space="preserve">. Il présente la liste des informations essentielles à fournir par l’entreprise d’investissement et </w:t>
      </w:r>
      <w:r w:rsidRPr="00C5135E">
        <w:rPr>
          <w:rFonts w:ascii="Times New Roman" w:hAnsi="Times New Roman" w:cs="Times New Roman"/>
          <w:b/>
          <w:sz w:val="24"/>
          <w:szCs w:val="24"/>
        </w:rPr>
        <w:t xml:space="preserve">n’est en aucun cas exhaustif </w:t>
      </w:r>
      <w:r w:rsidRPr="00640178">
        <w:rPr>
          <w:rFonts w:ascii="Times New Roman" w:hAnsi="Times New Roman" w:cs="Times New Roman"/>
          <w:sz w:val="24"/>
          <w:szCs w:val="24"/>
        </w:rPr>
        <w:t xml:space="preserve">quant aux informations qui doivent y être intégrées. </w:t>
      </w:r>
    </w:p>
    <w:p w14:paraId="6F1A02B3" w14:textId="77777777" w:rsidR="006041F8" w:rsidRDefault="006041F8" w:rsidP="00640178">
      <w:pPr>
        <w:spacing w:after="0"/>
        <w:jc w:val="both"/>
        <w:rPr>
          <w:rFonts w:ascii="Times New Roman" w:hAnsi="Times New Roman" w:cs="Times New Roman"/>
          <w:sz w:val="24"/>
          <w:szCs w:val="24"/>
        </w:rPr>
      </w:pPr>
    </w:p>
    <w:p w14:paraId="53E69087" w14:textId="77777777" w:rsidR="00607CEB" w:rsidRPr="00640178" w:rsidRDefault="00607CEB" w:rsidP="00640178">
      <w:pPr>
        <w:spacing w:after="0"/>
        <w:jc w:val="both"/>
        <w:rPr>
          <w:rFonts w:ascii="Times New Roman" w:hAnsi="Times New Roman" w:cs="Times New Roman"/>
          <w:sz w:val="24"/>
          <w:szCs w:val="24"/>
        </w:rPr>
      </w:pPr>
      <w:r w:rsidRPr="00640178">
        <w:rPr>
          <w:rFonts w:ascii="Times New Roman" w:hAnsi="Times New Roman" w:cs="Times New Roman"/>
          <w:sz w:val="24"/>
          <w:szCs w:val="24"/>
        </w:rPr>
        <w:t>Le rapport ICARAP doit principalement rendre compte du dispositif ICARAP mis en place par l’entreprise d’investissement et justifier de l’effectivité de l’adéquation entre ses fonds propres disponibles, ses liquidités et les risques auxquels elle est exposée, de manière dynamique et dans le temps, dans des conditions</w:t>
      </w:r>
      <w:r w:rsidR="005E1272">
        <w:rPr>
          <w:rFonts w:ascii="Times New Roman" w:hAnsi="Times New Roman" w:cs="Times New Roman"/>
          <w:sz w:val="24"/>
          <w:szCs w:val="24"/>
        </w:rPr>
        <w:t xml:space="preserve"> de marché</w:t>
      </w:r>
      <w:r w:rsidRPr="00640178">
        <w:rPr>
          <w:rFonts w:ascii="Times New Roman" w:hAnsi="Times New Roman" w:cs="Times New Roman"/>
          <w:sz w:val="24"/>
          <w:szCs w:val="24"/>
        </w:rPr>
        <w:t xml:space="preserve"> normales et tendues. </w:t>
      </w:r>
    </w:p>
    <w:p w14:paraId="4F435C7D" w14:textId="77777777" w:rsidR="00607CEB" w:rsidRDefault="00607CEB" w:rsidP="00640178">
      <w:pPr>
        <w:spacing w:after="0"/>
        <w:jc w:val="both"/>
        <w:rPr>
          <w:rFonts w:ascii="Times New Roman" w:hAnsi="Times New Roman" w:cs="Times New Roman"/>
        </w:rPr>
      </w:pPr>
    </w:p>
    <w:p w14:paraId="66401242" w14:textId="77777777" w:rsidR="00C42440" w:rsidRPr="00BC4B68" w:rsidRDefault="00C42440" w:rsidP="00640178">
      <w:pPr>
        <w:spacing w:after="0"/>
        <w:jc w:val="both"/>
        <w:rPr>
          <w:rFonts w:ascii="Times New Roman" w:hAnsi="Times New Roman" w:cs="Times New Roman"/>
        </w:rPr>
      </w:pPr>
    </w:p>
    <w:p w14:paraId="43094891" w14:textId="77777777" w:rsidR="00CC1CA0" w:rsidRPr="00C80B81" w:rsidRDefault="00CC1CA0" w:rsidP="00640178">
      <w:pPr>
        <w:spacing w:after="0"/>
        <w:jc w:val="both"/>
        <w:rPr>
          <w:rFonts w:ascii="Times New Roman" w:hAnsi="Times New Roman" w:cs="Times New Roman"/>
          <w:b/>
          <w:sz w:val="24"/>
          <w:szCs w:val="24"/>
          <w:u w:val="single"/>
        </w:rPr>
      </w:pPr>
      <w:r w:rsidRPr="00C80B81">
        <w:rPr>
          <w:rFonts w:ascii="Times New Roman" w:hAnsi="Times New Roman" w:cs="Times New Roman"/>
          <w:b/>
          <w:sz w:val="24"/>
          <w:szCs w:val="24"/>
          <w:u w:val="single"/>
        </w:rPr>
        <w:t>Principe de proportionnalité</w:t>
      </w:r>
    </w:p>
    <w:p w14:paraId="5631AD4E" w14:textId="77777777" w:rsidR="00CC1CA0" w:rsidRDefault="00CC1CA0" w:rsidP="00640178">
      <w:pPr>
        <w:spacing w:after="0"/>
        <w:jc w:val="both"/>
        <w:rPr>
          <w:rFonts w:ascii="Times New Roman" w:hAnsi="Times New Roman" w:cs="Times New Roman"/>
          <w:sz w:val="24"/>
          <w:szCs w:val="24"/>
        </w:rPr>
      </w:pPr>
    </w:p>
    <w:p w14:paraId="4AD25FE1" w14:textId="77777777" w:rsidR="00607CEB" w:rsidRPr="00640178" w:rsidRDefault="002057D2" w:rsidP="00640178">
      <w:pPr>
        <w:spacing w:after="0"/>
        <w:jc w:val="both"/>
        <w:rPr>
          <w:rFonts w:ascii="Times New Roman" w:hAnsi="Times New Roman" w:cs="Times New Roman"/>
          <w:sz w:val="24"/>
          <w:szCs w:val="24"/>
        </w:rPr>
      </w:pPr>
      <w:r>
        <w:rPr>
          <w:rFonts w:ascii="Times New Roman" w:hAnsi="Times New Roman" w:cs="Times New Roman"/>
          <w:sz w:val="24"/>
          <w:szCs w:val="24"/>
        </w:rPr>
        <w:t>Il est attendu que l</w:t>
      </w:r>
      <w:r w:rsidR="00607CEB" w:rsidRPr="00640178">
        <w:rPr>
          <w:rFonts w:ascii="Times New Roman" w:hAnsi="Times New Roman" w:cs="Times New Roman"/>
          <w:sz w:val="24"/>
          <w:szCs w:val="24"/>
        </w:rPr>
        <w:t>’entreprise d’investissement veille à ce que le rapport ICARAP soit adapté à la taille, au profil de risque ainsi qu'à la nature et à la complexité de ses activités.</w:t>
      </w:r>
    </w:p>
    <w:p w14:paraId="03B50CB7" w14:textId="77777777" w:rsidR="00607CEB" w:rsidRPr="00BC4B68" w:rsidRDefault="00607CEB" w:rsidP="00640178">
      <w:pPr>
        <w:spacing w:after="0"/>
        <w:jc w:val="both"/>
        <w:rPr>
          <w:rFonts w:ascii="Times New Roman" w:hAnsi="Times New Roman" w:cs="Times New Roman"/>
        </w:rPr>
      </w:pPr>
    </w:p>
    <w:p w14:paraId="53B57104" w14:textId="77777777" w:rsidR="00607CEB" w:rsidRPr="00640178" w:rsidRDefault="00607CEB" w:rsidP="00640178">
      <w:pPr>
        <w:spacing w:after="0"/>
        <w:jc w:val="both"/>
        <w:rPr>
          <w:rFonts w:ascii="Times New Roman" w:hAnsi="Times New Roman" w:cs="Times New Roman"/>
          <w:sz w:val="24"/>
          <w:szCs w:val="24"/>
        </w:rPr>
      </w:pPr>
      <w:r w:rsidRPr="00C80B81">
        <w:rPr>
          <w:rFonts w:ascii="Times New Roman" w:hAnsi="Times New Roman" w:cs="Times New Roman"/>
          <w:bCs/>
          <w:sz w:val="24"/>
          <w:szCs w:val="24"/>
        </w:rPr>
        <w:t xml:space="preserve">Les éléments ci-après mentionnés </w:t>
      </w:r>
      <w:r w:rsidRPr="00C5135E">
        <w:rPr>
          <w:rFonts w:ascii="Times New Roman" w:hAnsi="Times New Roman" w:cs="Times New Roman"/>
          <w:b/>
          <w:bCs/>
          <w:sz w:val="24"/>
          <w:szCs w:val="24"/>
        </w:rPr>
        <w:t>le sont à titre indicatif</w:t>
      </w:r>
      <w:r w:rsidRPr="00C80B81">
        <w:rPr>
          <w:rFonts w:ascii="Times New Roman" w:hAnsi="Times New Roman" w:cs="Times New Roman"/>
          <w:bCs/>
          <w:sz w:val="24"/>
          <w:szCs w:val="24"/>
        </w:rPr>
        <w:t xml:space="preserve"> dans la mesure où ils s’avèrent pertinents au vu de l’activité et de l’organisation de l’entreprise</w:t>
      </w:r>
      <w:r w:rsidRPr="00CC1CA0">
        <w:rPr>
          <w:rFonts w:ascii="Times New Roman" w:hAnsi="Times New Roman" w:cs="Times New Roman"/>
          <w:sz w:val="24"/>
          <w:szCs w:val="24"/>
        </w:rPr>
        <w:t>.</w:t>
      </w:r>
      <w:r w:rsidRPr="00640178">
        <w:rPr>
          <w:rFonts w:ascii="Times New Roman" w:hAnsi="Times New Roman" w:cs="Times New Roman"/>
          <w:sz w:val="24"/>
          <w:szCs w:val="24"/>
        </w:rPr>
        <w:t xml:space="preserve"> Ils sont complétés par toute autre information de nature à permettre une appréciation de l’évaluation de l’adéquation du capital interne et des actifs liquides avec les risques effectifs de l’entreprise d’investissement. </w:t>
      </w:r>
    </w:p>
    <w:p w14:paraId="72BD8A8E" w14:textId="77777777" w:rsidR="00607CEB" w:rsidRPr="00BC4B68" w:rsidRDefault="00607CEB" w:rsidP="00640178">
      <w:pPr>
        <w:spacing w:after="0"/>
        <w:jc w:val="both"/>
        <w:rPr>
          <w:rFonts w:ascii="Times New Roman" w:hAnsi="Times New Roman" w:cs="Times New Roman"/>
        </w:rPr>
      </w:pPr>
    </w:p>
    <w:p w14:paraId="6C795D33" w14:textId="77777777" w:rsidR="00607CEB" w:rsidRPr="00BC4B68" w:rsidRDefault="00607CEB" w:rsidP="00640178">
      <w:pPr>
        <w:spacing w:after="0"/>
        <w:jc w:val="both"/>
        <w:rPr>
          <w:rFonts w:ascii="Times New Roman" w:hAnsi="Times New Roman" w:cs="Times New Roman"/>
        </w:rPr>
      </w:pPr>
    </w:p>
    <w:p w14:paraId="06F951DC" w14:textId="77777777" w:rsidR="00CC1CA0" w:rsidRPr="00C80B81" w:rsidRDefault="00CC1CA0" w:rsidP="00640178">
      <w:pPr>
        <w:spacing w:after="0"/>
        <w:jc w:val="both"/>
        <w:rPr>
          <w:rFonts w:ascii="Times New Roman" w:hAnsi="Times New Roman" w:cs="Times New Roman"/>
          <w:b/>
          <w:sz w:val="24"/>
          <w:szCs w:val="24"/>
          <w:u w:val="single"/>
        </w:rPr>
      </w:pPr>
      <w:r w:rsidRPr="00C80B81">
        <w:rPr>
          <w:rFonts w:ascii="Times New Roman" w:hAnsi="Times New Roman" w:cs="Times New Roman"/>
          <w:b/>
          <w:sz w:val="24"/>
          <w:szCs w:val="24"/>
          <w:u w:val="single"/>
        </w:rPr>
        <w:t>Modalités de transmission</w:t>
      </w:r>
    </w:p>
    <w:p w14:paraId="25C620CB" w14:textId="77777777" w:rsidR="00CC1CA0" w:rsidRDefault="00CC1CA0" w:rsidP="00640178">
      <w:pPr>
        <w:spacing w:after="0"/>
        <w:jc w:val="both"/>
        <w:rPr>
          <w:rFonts w:ascii="Times New Roman" w:hAnsi="Times New Roman" w:cs="Times New Roman"/>
          <w:sz w:val="24"/>
          <w:szCs w:val="24"/>
        </w:rPr>
      </w:pPr>
    </w:p>
    <w:p w14:paraId="3CE4C43E" w14:textId="77777777" w:rsidR="00607CEB" w:rsidRPr="00640178" w:rsidRDefault="009D2CFF" w:rsidP="00640178">
      <w:pPr>
        <w:spacing w:after="0"/>
        <w:jc w:val="both"/>
        <w:rPr>
          <w:rFonts w:ascii="Times New Roman" w:hAnsi="Times New Roman" w:cs="Times New Roman"/>
          <w:sz w:val="24"/>
          <w:szCs w:val="24"/>
        </w:rPr>
      </w:pPr>
      <w:r>
        <w:rPr>
          <w:rFonts w:ascii="Times New Roman" w:hAnsi="Times New Roman" w:cs="Times New Roman"/>
          <w:sz w:val="24"/>
          <w:szCs w:val="24"/>
        </w:rPr>
        <w:t>Le</w:t>
      </w:r>
      <w:r w:rsidR="00607CEB" w:rsidRPr="00640178">
        <w:rPr>
          <w:rFonts w:ascii="Times New Roman" w:hAnsi="Times New Roman" w:cs="Times New Roman"/>
          <w:sz w:val="24"/>
          <w:szCs w:val="24"/>
        </w:rPr>
        <w:t xml:space="preserve"> rapport ICARAP doit être communiqué au SGACPR </w:t>
      </w:r>
      <w:r w:rsidR="00607CEB" w:rsidRPr="00615FB2">
        <w:rPr>
          <w:rFonts w:ascii="Times New Roman" w:hAnsi="Times New Roman" w:cs="Times New Roman"/>
          <w:b/>
          <w:bCs/>
          <w:sz w:val="24"/>
          <w:szCs w:val="24"/>
        </w:rPr>
        <w:t>par télétransmission sous format bureautique</w:t>
      </w:r>
      <w:r w:rsidR="00607CEB" w:rsidRPr="00640178">
        <w:rPr>
          <w:rFonts w:ascii="Times New Roman" w:hAnsi="Times New Roman" w:cs="Times New Roman"/>
          <w:sz w:val="24"/>
          <w:szCs w:val="24"/>
        </w:rPr>
        <w:t xml:space="preserve">, selon des modalités techniques définies par l’ACPR et </w:t>
      </w:r>
      <w:r w:rsidR="00607CEB" w:rsidRPr="00615FB2">
        <w:rPr>
          <w:rFonts w:ascii="Times New Roman" w:hAnsi="Times New Roman" w:cs="Times New Roman"/>
          <w:b/>
          <w:bCs/>
          <w:sz w:val="24"/>
          <w:szCs w:val="24"/>
        </w:rPr>
        <w:t>signés électroniquement</w:t>
      </w:r>
      <w:r w:rsidR="00607CEB" w:rsidRPr="00640178">
        <w:rPr>
          <w:rFonts w:ascii="Times New Roman" w:hAnsi="Times New Roman" w:cs="Times New Roman"/>
          <w:sz w:val="24"/>
          <w:szCs w:val="24"/>
        </w:rPr>
        <w:t xml:space="preserve"> selon les modalités définies par </w:t>
      </w:r>
      <w:hyperlink r:id="rId8" w:history="1">
        <w:r w:rsidR="003D2EC4" w:rsidRPr="003D2EC4">
          <w:rPr>
            <w:rFonts w:ascii="Times New Roman" w:hAnsi="Times New Roman"/>
            <w:color w:val="0000FF"/>
            <w:sz w:val="24"/>
            <w:szCs w:val="24"/>
            <w:u w:val="single"/>
          </w:rPr>
          <w:t>l’instruction n° 2015-I-19</w:t>
        </w:r>
      </w:hyperlink>
      <w:r w:rsidR="0011398B">
        <w:rPr>
          <w:rFonts w:ascii="Times New Roman" w:hAnsi="Times New Roman"/>
          <w:color w:val="0000FF"/>
          <w:sz w:val="24"/>
          <w:szCs w:val="24"/>
          <w:u w:val="single"/>
        </w:rPr>
        <w:t xml:space="preserve"> </w:t>
      </w:r>
      <w:r w:rsidR="00607CEB" w:rsidRPr="00640178">
        <w:rPr>
          <w:rFonts w:ascii="Times New Roman" w:hAnsi="Times New Roman" w:cs="Times New Roman"/>
          <w:sz w:val="24"/>
          <w:szCs w:val="24"/>
        </w:rPr>
        <w:t>modifiée et par l’annexe I de l’</w:t>
      </w:r>
      <w:hyperlink r:id="rId9" w:history="1">
        <w:r w:rsidR="003D2EC4" w:rsidRPr="003D2EC4">
          <w:rPr>
            <w:rFonts w:ascii="Times New Roman" w:hAnsi="Times New Roman"/>
            <w:color w:val="0000FF"/>
            <w:sz w:val="24"/>
            <w:szCs w:val="24"/>
            <w:u w:val="single"/>
          </w:rPr>
          <w:t>instruction n°2017-I-24</w:t>
        </w:r>
      </w:hyperlink>
      <w:r w:rsidR="0011398B">
        <w:rPr>
          <w:rFonts w:ascii="Times New Roman" w:hAnsi="Times New Roman"/>
          <w:color w:val="0000FF"/>
          <w:sz w:val="24"/>
          <w:szCs w:val="24"/>
          <w:u w:val="single"/>
        </w:rPr>
        <w:t xml:space="preserve"> </w:t>
      </w:r>
      <w:r w:rsidR="00607CEB" w:rsidRPr="00640178">
        <w:rPr>
          <w:rFonts w:ascii="Times New Roman" w:hAnsi="Times New Roman" w:cs="Times New Roman"/>
          <w:sz w:val="24"/>
          <w:szCs w:val="24"/>
        </w:rPr>
        <w:t>modifiée</w:t>
      </w:r>
      <w:r w:rsidR="0011398B">
        <w:rPr>
          <w:rFonts w:ascii="Times New Roman" w:hAnsi="Times New Roman" w:cs="Times New Roman"/>
          <w:sz w:val="24"/>
          <w:szCs w:val="24"/>
        </w:rPr>
        <w:t xml:space="preserve"> (par l’instruction modificative n°2023-1-06)</w:t>
      </w:r>
      <w:r w:rsidR="00607CEB" w:rsidRPr="00640178">
        <w:rPr>
          <w:rFonts w:ascii="Times New Roman" w:hAnsi="Times New Roman" w:cs="Times New Roman"/>
          <w:sz w:val="24"/>
          <w:szCs w:val="24"/>
        </w:rPr>
        <w:t>.</w:t>
      </w:r>
    </w:p>
    <w:p w14:paraId="2F4956B7" w14:textId="77777777" w:rsidR="00607CEB" w:rsidRPr="00BC4B68" w:rsidRDefault="00607CEB" w:rsidP="00640178">
      <w:pPr>
        <w:spacing w:after="0"/>
        <w:jc w:val="both"/>
        <w:rPr>
          <w:rFonts w:ascii="Times New Roman" w:hAnsi="Times New Roman" w:cs="Times New Roman"/>
        </w:rPr>
      </w:pPr>
    </w:p>
    <w:p w14:paraId="2B907C4E" w14:textId="77777777" w:rsidR="00607CEB" w:rsidRPr="00BC4B68" w:rsidRDefault="008A0DB8" w:rsidP="00640178">
      <w:pPr>
        <w:spacing w:after="0"/>
        <w:jc w:val="both"/>
        <w:rPr>
          <w:rFonts w:ascii="Times New Roman" w:hAnsi="Times New Roman" w:cs="Times New Roman"/>
        </w:rPr>
      </w:pPr>
      <w:r w:rsidRPr="00640178">
        <w:rPr>
          <w:rFonts w:ascii="Times New Roman" w:hAnsi="Times New Roman" w:cs="Times New Roman"/>
          <w:sz w:val="24"/>
          <w:szCs w:val="24"/>
        </w:rPr>
        <w:t>Le rapport ICARAP doit êtr</w:t>
      </w:r>
      <w:r>
        <w:rPr>
          <w:rFonts w:ascii="Times New Roman" w:hAnsi="Times New Roman" w:cs="Times New Roman"/>
          <w:sz w:val="24"/>
          <w:szCs w:val="24"/>
        </w:rPr>
        <w:t>e remis au SGACPR au plus tard l</w:t>
      </w:r>
      <w:r w:rsidRPr="00640178">
        <w:rPr>
          <w:rFonts w:ascii="Times New Roman" w:hAnsi="Times New Roman" w:cs="Times New Roman"/>
          <w:sz w:val="24"/>
          <w:szCs w:val="24"/>
        </w:rPr>
        <w:t>e 30 avril suivant la fin de chaque exercice</w:t>
      </w:r>
      <w:r>
        <w:rPr>
          <w:rFonts w:ascii="Times New Roman" w:hAnsi="Times New Roman" w:cs="Times New Roman"/>
          <w:sz w:val="24"/>
          <w:szCs w:val="24"/>
        </w:rPr>
        <w:t xml:space="preserve">. </w:t>
      </w:r>
      <w:r w:rsidR="00BD43D5">
        <w:rPr>
          <w:rFonts w:ascii="Times New Roman" w:hAnsi="Times New Roman" w:cs="Times New Roman"/>
          <w:sz w:val="24"/>
          <w:szCs w:val="24"/>
        </w:rPr>
        <w:t>La première remise est attendue au plu</w:t>
      </w:r>
      <w:r w:rsidR="009174BB">
        <w:rPr>
          <w:rFonts w:ascii="Times New Roman" w:hAnsi="Times New Roman" w:cs="Times New Roman"/>
          <w:sz w:val="24"/>
          <w:szCs w:val="24"/>
        </w:rPr>
        <w:t>s</w:t>
      </w:r>
      <w:r w:rsidR="00BD43D5">
        <w:rPr>
          <w:rFonts w:ascii="Times New Roman" w:hAnsi="Times New Roman" w:cs="Times New Roman"/>
          <w:sz w:val="24"/>
          <w:szCs w:val="24"/>
        </w:rPr>
        <w:t xml:space="preserve"> </w:t>
      </w:r>
      <w:r w:rsidR="009174BB">
        <w:rPr>
          <w:rFonts w:ascii="Times New Roman" w:hAnsi="Times New Roman" w:cs="Times New Roman"/>
          <w:sz w:val="24"/>
          <w:szCs w:val="24"/>
        </w:rPr>
        <w:t>tard</w:t>
      </w:r>
      <w:r w:rsidR="00BD43D5">
        <w:rPr>
          <w:rFonts w:ascii="Times New Roman" w:hAnsi="Times New Roman" w:cs="Times New Roman"/>
          <w:sz w:val="24"/>
          <w:szCs w:val="24"/>
        </w:rPr>
        <w:t xml:space="preserve"> pour le 30 avril 2024.</w:t>
      </w:r>
    </w:p>
    <w:p w14:paraId="60FD7D4C" w14:textId="77777777" w:rsidR="00607CEB" w:rsidRPr="00640178" w:rsidDel="001E1FD0" w:rsidRDefault="00607CEB" w:rsidP="00640178">
      <w:pPr>
        <w:spacing w:after="0"/>
        <w:jc w:val="both"/>
        <w:rPr>
          <w:rFonts w:ascii="Times New Roman" w:hAnsi="Times New Roman" w:cs="Times New Roman"/>
          <w:sz w:val="24"/>
          <w:szCs w:val="24"/>
        </w:rPr>
      </w:pPr>
      <w:r w:rsidRPr="00640178" w:rsidDel="001E1FD0">
        <w:rPr>
          <w:rFonts w:ascii="Times New Roman" w:hAnsi="Times New Roman" w:cs="Times New Roman"/>
          <w:sz w:val="24"/>
          <w:szCs w:val="24"/>
        </w:rPr>
        <w:t xml:space="preserve">La rédaction est en français. </w:t>
      </w:r>
    </w:p>
    <w:p w14:paraId="77BCB8F4" w14:textId="77777777" w:rsidR="00607CEB" w:rsidRPr="00BC4B68" w:rsidRDefault="00607CEB" w:rsidP="00640178">
      <w:pPr>
        <w:spacing w:after="0"/>
        <w:jc w:val="both"/>
        <w:rPr>
          <w:rFonts w:ascii="Times New Roman" w:hAnsi="Times New Roman" w:cs="Times New Roman"/>
        </w:rPr>
      </w:pPr>
    </w:p>
    <w:p w14:paraId="1E105B82" w14:textId="77777777" w:rsidR="00CC1CA0" w:rsidRPr="00C80B81" w:rsidRDefault="00CC1CA0" w:rsidP="001E1FD0">
      <w:pPr>
        <w:spacing w:after="0"/>
        <w:jc w:val="both"/>
        <w:rPr>
          <w:rFonts w:ascii="Times New Roman" w:hAnsi="Times New Roman" w:cs="Times New Roman"/>
          <w:b/>
          <w:sz w:val="24"/>
          <w:szCs w:val="24"/>
          <w:u w:val="single"/>
        </w:rPr>
      </w:pPr>
      <w:r w:rsidRPr="00C80B81">
        <w:rPr>
          <w:rFonts w:ascii="Times New Roman" w:hAnsi="Times New Roman" w:cs="Times New Roman"/>
          <w:b/>
          <w:sz w:val="24"/>
          <w:szCs w:val="24"/>
          <w:u w:val="single"/>
        </w:rPr>
        <w:t>Périmètre du rapport ICARAP</w:t>
      </w:r>
    </w:p>
    <w:p w14:paraId="74934F3C" w14:textId="77777777" w:rsidR="00CC1CA0" w:rsidRDefault="00CC1CA0" w:rsidP="001E1FD0">
      <w:pPr>
        <w:spacing w:after="0"/>
        <w:jc w:val="both"/>
        <w:rPr>
          <w:rFonts w:ascii="Times New Roman" w:hAnsi="Times New Roman" w:cs="Times New Roman"/>
          <w:i/>
          <w:iCs/>
          <w:color w:val="002060"/>
        </w:rPr>
      </w:pPr>
    </w:p>
    <w:p w14:paraId="525395CD" w14:textId="77777777" w:rsidR="00E23385" w:rsidRDefault="00607CEB" w:rsidP="001E1FD0">
      <w:pPr>
        <w:spacing w:after="0"/>
        <w:jc w:val="both"/>
        <w:rPr>
          <w:rFonts w:ascii="Times New Roman" w:hAnsi="Times New Roman" w:cs="Times New Roman"/>
          <w:sz w:val="24"/>
          <w:szCs w:val="24"/>
        </w:rPr>
      </w:pPr>
      <w:r w:rsidRPr="00C80B81">
        <w:rPr>
          <w:rFonts w:ascii="Times New Roman" w:hAnsi="Times New Roman" w:cs="Times New Roman"/>
          <w:sz w:val="24"/>
          <w:szCs w:val="24"/>
        </w:rPr>
        <w:t xml:space="preserve">Comme défini dans les </w:t>
      </w:r>
      <w:r w:rsidR="00D600C6">
        <w:rPr>
          <w:rFonts w:ascii="Times New Roman" w:hAnsi="Times New Roman" w:cs="Times New Roman"/>
          <w:sz w:val="24"/>
          <w:szCs w:val="24"/>
        </w:rPr>
        <w:t>Orientations</w:t>
      </w:r>
      <w:r w:rsidRPr="00C80B81">
        <w:rPr>
          <w:rFonts w:ascii="Times New Roman" w:hAnsi="Times New Roman" w:cs="Times New Roman"/>
          <w:sz w:val="24"/>
          <w:szCs w:val="24"/>
        </w:rPr>
        <w:t xml:space="preserve"> SREP de l’</w:t>
      </w:r>
      <w:r w:rsidR="00D600C6">
        <w:rPr>
          <w:rFonts w:ascii="Times New Roman" w:hAnsi="Times New Roman" w:cs="Times New Roman"/>
          <w:sz w:val="24"/>
          <w:szCs w:val="24"/>
        </w:rPr>
        <w:t>ABE</w:t>
      </w:r>
      <w:r w:rsidRPr="00C80B81">
        <w:rPr>
          <w:rFonts w:ascii="Times New Roman" w:hAnsi="Times New Roman" w:cs="Times New Roman"/>
          <w:sz w:val="24"/>
          <w:szCs w:val="24"/>
        </w:rPr>
        <w:t xml:space="preserve"> </w:t>
      </w:r>
      <w:r w:rsidR="00E250C3">
        <w:rPr>
          <w:rFonts w:ascii="Times New Roman" w:hAnsi="Times New Roman" w:cs="Times New Roman"/>
          <w:sz w:val="24"/>
          <w:szCs w:val="24"/>
        </w:rPr>
        <w:t xml:space="preserve">et de l’AEMF </w:t>
      </w:r>
      <w:r w:rsidR="00B61D0B">
        <w:rPr>
          <w:rFonts w:ascii="Times New Roman" w:hAnsi="Times New Roman" w:cs="Times New Roman"/>
          <w:sz w:val="24"/>
          <w:szCs w:val="24"/>
        </w:rPr>
        <w:t>(EBA/GL/2022/09</w:t>
      </w:r>
      <w:r w:rsidR="00E250C3" w:rsidRPr="00E250C3">
        <w:rPr>
          <w:rFonts w:ascii="Times New Roman" w:hAnsi="Times New Roman" w:cs="Times New Roman"/>
          <w:sz w:val="24"/>
          <w:szCs w:val="24"/>
        </w:rPr>
        <w:t>–ESMA35-42-1470</w:t>
      </w:r>
      <w:r w:rsidR="00B61D0B">
        <w:rPr>
          <w:rFonts w:ascii="Times New Roman" w:hAnsi="Times New Roman" w:cs="Times New Roman"/>
          <w:sz w:val="24"/>
          <w:szCs w:val="24"/>
        </w:rPr>
        <w:t>)</w:t>
      </w:r>
      <w:r w:rsidR="00B61D0B" w:rsidRPr="00B61D0B">
        <w:rPr>
          <w:rFonts w:ascii="Times New Roman" w:hAnsi="Times New Roman" w:cs="Times New Roman"/>
          <w:sz w:val="24"/>
          <w:szCs w:val="24"/>
        </w:rPr>
        <w:t xml:space="preserve"> </w:t>
      </w:r>
      <w:r w:rsidRPr="00C80B81">
        <w:rPr>
          <w:rFonts w:ascii="Times New Roman" w:hAnsi="Times New Roman" w:cs="Times New Roman"/>
          <w:sz w:val="24"/>
          <w:szCs w:val="24"/>
        </w:rPr>
        <w:t>applicables aux entreprises d’investissement, le champ d’application défini aux paragraphes 6 à 9 de la partie 1.2 ainsi qu’aux paragraphes 417 et 418 de la partie 11, précise que l’évaluation est conduite au plus haut niveau de consolidation du groupe d’</w:t>
      </w:r>
      <w:r w:rsidR="00BD33C8">
        <w:rPr>
          <w:rFonts w:ascii="Times New Roman" w:hAnsi="Times New Roman" w:cs="Times New Roman"/>
          <w:sz w:val="24"/>
          <w:szCs w:val="24"/>
        </w:rPr>
        <w:t>entreprises d’investissement</w:t>
      </w:r>
      <w:r w:rsidRPr="00C80B81">
        <w:rPr>
          <w:rFonts w:ascii="Times New Roman" w:hAnsi="Times New Roman" w:cs="Times New Roman"/>
          <w:sz w:val="24"/>
          <w:szCs w:val="24"/>
        </w:rPr>
        <w:t xml:space="preserve"> et </w:t>
      </w:r>
      <w:r w:rsidRPr="00C5135E">
        <w:rPr>
          <w:rFonts w:ascii="Times New Roman" w:hAnsi="Times New Roman" w:cs="Times New Roman"/>
          <w:b/>
          <w:sz w:val="24"/>
          <w:szCs w:val="24"/>
        </w:rPr>
        <w:t xml:space="preserve">au niveau de chaque </w:t>
      </w:r>
      <w:r w:rsidR="00BD33C8" w:rsidRPr="00C5135E">
        <w:rPr>
          <w:rFonts w:ascii="Times New Roman" w:hAnsi="Times New Roman" w:cs="Times New Roman"/>
          <w:b/>
          <w:sz w:val="24"/>
          <w:szCs w:val="24"/>
        </w:rPr>
        <w:t xml:space="preserve">entreprise d’investissement </w:t>
      </w:r>
      <w:r w:rsidRPr="00C5135E">
        <w:rPr>
          <w:rFonts w:ascii="Times New Roman" w:hAnsi="Times New Roman" w:cs="Times New Roman"/>
          <w:b/>
          <w:sz w:val="24"/>
          <w:szCs w:val="24"/>
        </w:rPr>
        <w:t>de manière proportionnée et cohérente</w:t>
      </w:r>
      <w:r w:rsidRPr="00C80B81">
        <w:rPr>
          <w:rFonts w:ascii="Times New Roman" w:hAnsi="Times New Roman" w:cs="Times New Roman"/>
          <w:sz w:val="24"/>
          <w:szCs w:val="24"/>
        </w:rPr>
        <w:t xml:space="preserve"> avec ce qui est fait à l’échelle du groupe, que ce soit un groupe sous IFR/IFD ou CRR/CRD y compris en présence d’une filiale entreprise d’investissement d’un groupe d’établissement de crédit (« </w:t>
      </w:r>
      <w:r w:rsidR="00440DAA" w:rsidRPr="00FE1ADF">
        <w:rPr>
          <w:rFonts w:ascii="Times New Roman" w:hAnsi="Times New Roman" w:cs="Times New Roman"/>
          <w:i/>
          <w:sz w:val="24"/>
          <w:szCs w:val="24"/>
        </w:rPr>
        <w:t xml:space="preserve">Pour les entreprises mères et les filiales incluses dans la consolidation, les autorités compétentes devraient ajuster la profondeur </w:t>
      </w:r>
      <w:r w:rsidR="00440DAA" w:rsidRPr="00FE1ADF">
        <w:rPr>
          <w:rFonts w:ascii="Times New Roman" w:hAnsi="Times New Roman" w:cs="Times New Roman"/>
          <w:i/>
          <w:sz w:val="24"/>
          <w:szCs w:val="24"/>
        </w:rPr>
        <w:lastRenderedPageBreak/>
        <w:t>et le niveau de granularité de leurs évaluations de manière à correspondre au niveau d’application</w:t>
      </w:r>
      <w:r w:rsidR="00E23385">
        <w:rPr>
          <w:rFonts w:ascii="Times New Roman" w:hAnsi="Times New Roman" w:cs="Times New Roman"/>
          <w:sz w:val="24"/>
          <w:szCs w:val="24"/>
        </w:rPr>
        <w:t>. »)</w:t>
      </w:r>
      <w:r w:rsidR="00440DAA">
        <w:rPr>
          <w:rFonts w:ascii="Times New Roman" w:hAnsi="Times New Roman" w:cs="Times New Roman"/>
          <w:sz w:val="24"/>
          <w:szCs w:val="24"/>
        </w:rPr>
        <w:t xml:space="preserve"> </w:t>
      </w:r>
    </w:p>
    <w:p w14:paraId="6BA6AD9D" w14:textId="77777777" w:rsidR="00E23385" w:rsidRDefault="00E23385" w:rsidP="001E1FD0">
      <w:pPr>
        <w:spacing w:after="0"/>
        <w:jc w:val="both"/>
        <w:rPr>
          <w:rFonts w:ascii="Times New Roman" w:hAnsi="Times New Roman" w:cs="Times New Roman"/>
          <w:sz w:val="24"/>
          <w:szCs w:val="24"/>
        </w:rPr>
      </w:pPr>
    </w:p>
    <w:p w14:paraId="745F5F8F" w14:textId="77777777" w:rsidR="001E1FD0" w:rsidRDefault="00607CEB" w:rsidP="001E1FD0">
      <w:pPr>
        <w:spacing w:after="0"/>
        <w:jc w:val="both"/>
        <w:rPr>
          <w:rFonts w:ascii="Times New Roman" w:hAnsi="Times New Roman" w:cs="Times New Roman"/>
          <w:sz w:val="24"/>
          <w:szCs w:val="24"/>
        </w:rPr>
      </w:pPr>
      <w:r w:rsidRPr="00C80B81">
        <w:rPr>
          <w:rFonts w:ascii="Times New Roman" w:hAnsi="Times New Roman" w:cs="Times New Roman"/>
          <w:sz w:val="24"/>
          <w:szCs w:val="24"/>
        </w:rPr>
        <w:t>Dans ces conditions, le rapport ICARAP s’aligne avec ce périmètre, il es</w:t>
      </w:r>
      <w:r w:rsidR="00CC2AF5" w:rsidRPr="00C80B81">
        <w:rPr>
          <w:rFonts w:ascii="Times New Roman" w:hAnsi="Times New Roman" w:cs="Times New Roman"/>
          <w:sz w:val="24"/>
          <w:szCs w:val="24"/>
        </w:rPr>
        <w:t>t</w:t>
      </w:r>
      <w:r w:rsidRPr="00C80B81">
        <w:rPr>
          <w:rFonts w:ascii="Times New Roman" w:hAnsi="Times New Roman" w:cs="Times New Roman"/>
          <w:sz w:val="24"/>
          <w:szCs w:val="24"/>
        </w:rPr>
        <w:t xml:space="preserve"> donc à réaliser au niveau consolidé mais également au niveau individuel, afin de permettre d’apprécier le niveau d’adéquation d</w:t>
      </w:r>
      <w:r w:rsidR="009B00C0">
        <w:rPr>
          <w:rFonts w:ascii="Times New Roman" w:hAnsi="Times New Roman" w:cs="Times New Roman"/>
          <w:sz w:val="24"/>
          <w:szCs w:val="24"/>
        </w:rPr>
        <w:t>es</w:t>
      </w:r>
      <w:r w:rsidRPr="00C80B81">
        <w:rPr>
          <w:rFonts w:ascii="Times New Roman" w:hAnsi="Times New Roman" w:cs="Times New Roman"/>
          <w:sz w:val="24"/>
          <w:szCs w:val="24"/>
        </w:rPr>
        <w:t xml:space="preserve"> fonds propres et de la liquidité avec le profil de risques de chaque entité supervisée. </w:t>
      </w:r>
      <w:r w:rsidR="00CC2AF5" w:rsidRPr="00C80B81">
        <w:rPr>
          <w:rFonts w:ascii="Times New Roman" w:hAnsi="Times New Roman" w:cs="Times New Roman"/>
          <w:sz w:val="24"/>
          <w:szCs w:val="24"/>
        </w:rPr>
        <w:t>Étant</w:t>
      </w:r>
      <w:r w:rsidRPr="00C80B81">
        <w:rPr>
          <w:rFonts w:ascii="Times New Roman" w:hAnsi="Times New Roman" w:cs="Times New Roman"/>
          <w:sz w:val="24"/>
          <w:szCs w:val="24"/>
        </w:rPr>
        <w:t xml:space="preserve"> entendu que le rapport ICARAP est obligatoire pour toutes les entreprises d’investissement de classe 2 uniquement comme précisé au paragraphe 121 des </w:t>
      </w:r>
      <w:r w:rsidR="00D600C6">
        <w:rPr>
          <w:rFonts w:ascii="Times New Roman" w:hAnsi="Times New Roman" w:cs="Times New Roman"/>
          <w:sz w:val="24"/>
          <w:szCs w:val="24"/>
        </w:rPr>
        <w:t>Orientations</w:t>
      </w:r>
      <w:r w:rsidRPr="00C80B81">
        <w:rPr>
          <w:rFonts w:ascii="Times New Roman" w:hAnsi="Times New Roman" w:cs="Times New Roman"/>
          <w:sz w:val="24"/>
          <w:szCs w:val="24"/>
        </w:rPr>
        <w:t xml:space="preserve"> SREP en question ainsi qu’à l’article 24 de la Directive UE 2019/2034 (IFD). </w:t>
      </w:r>
      <w:r w:rsidR="001F49EB" w:rsidRPr="001F49EB">
        <w:rPr>
          <w:rFonts w:ascii="Times New Roman" w:hAnsi="Times New Roman" w:cs="Times New Roman"/>
          <w:sz w:val="24"/>
          <w:szCs w:val="24"/>
        </w:rPr>
        <w:t>S’agissant des entreprises d’investissement de classe 3, conformément aux dispositions de l’article L</w:t>
      </w:r>
      <w:r w:rsidR="00E23385">
        <w:rPr>
          <w:rFonts w:ascii="Times New Roman" w:hAnsi="Times New Roman" w:cs="Times New Roman"/>
          <w:sz w:val="24"/>
          <w:szCs w:val="24"/>
        </w:rPr>
        <w:t>.</w:t>
      </w:r>
      <w:r w:rsidR="001F49EB" w:rsidRPr="001F49EB">
        <w:rPr>
          <w:rFonts w:ascii="Times New Roman" w:hAnsi="Times New Roman" w:cs="Times New Roman"/>
          <w:sz w:val="24"/>
          <w:szCs w:val="24"/>
        </w:rPr>
        <w:t>533-2-2 du code monétaire et financier, l’ACPR a la possibilité de demander la remise d’un rapport si elle le juge approprié</w:t>
      </w:r>
      <w:r w:rsidRPr="00C80B81">
        <w:rPr>
          <w:rFonts w:ascii="Times New Roman" w:hAnsi="Times New Roman" w:cs="Times New Roman"/>
          <w:sz w:val="24"/>
          <w:szCs w:val="24"/>
        </w:rPr>
        <w:t>.</w:t>
      </w:r>
      <w:r w:rsidR="001E1FD0" w:rsidRPr="001E1FD0">
        <w:rPr>
          <w:rFonts w:ascii="Times New Roman" w:hAnsi="Times New Roman" w:cs="Times New Roman"/>
          <w:sz w:val="24"/>
          <w:szCs w:val="24"/>
        </w:rPr>
        <w:t xml:space="preserve"> </w:t>
      </w:r>
      <w:r w:rsidR="0011398B">
        <w:rPr>
          <w:rFonts w:ascii="Times New Roman" w:hAnsi="Times New Roman" w:cs="Times New Roman"/>
          <w:sz w:val="24"/>
          <w:szCs w:val="24"/>
        </w:rPr>
        <w:t>P</w:t>
      </w:r>
      <w:r w:rsidR="0011398B" w:rsidRPr="0011398B">
        <w:rPr>
          <w:rFonts w:ascii="Times New Roman" w:hAnsi="Times New Roman" w:cs="Times New Roman"/>
          <w:sz w:val="24"/>
          <w:szCs w:val="24"/>
        </w:rPr>
        <w:t xml:space="preserve">ar appréciation du principe de proportionnalité, il a été accordé que, pour les entreprises d’investissement incluses dans le périmètre de consolidation des grands groupes bancaires, un paragraphe dédié à l’entreprise d’investissement traitant </w:t>
      </w:r>
      <w:r w:rsidR="0011398B">
        <w:rPr>
          <w:rFonts w:ascii="Times New Roman" w:hAnsi="Times New Roman" w:cs="Times New Roman"/>
          <w:sz w:val="24"/>
          <w:szCs w:val="24"/>
        </w:rPr>
        <w:t>de l’ICARAP</w:t>
      </w:r>
      <w:r w:rsidR="0011398B" w:rsidRPr="0011398B">
        <w:rPr>
          <w:rFonts w:ascii="Times New Roman" w:hAnsi="Times New Roman" w:cs="Times New Roman"/>
          <w:sz w:val="24"/>
          <w:szCs w:val="24"/>
        </w:rPr>
        <w:t>, soit intégré à l’ICAAP du groupe</w:t>
      </w:r>
      <w:r w:rsidR="0011577D">
        <w:rPr>
          <w:rFonts w:ascii="Times New Roman" w:hAnsi="Times New Roman" w:cs="Times New Roman"/>
          <w:sz w:val="24"/>
          <w:szCs w:val="24"/>
        </w:rPr>
        <w:t>.</w:t>
      </w:r>
    </w:p>
    <w:p w14:paraId="09E1F726" w14:textId="77777777" w:rsidR="001E1FD0" w:rsidRDefault="001E1FD0" w:rsidP="001E1FD0">
      <w:pPr>
        <w:spacing w:after="0"/>
        <w:jc w:val="both"/>
        <w:rPr>
          <w:rFonts w:ascii="Times New Roman" w:hAnsi="Times New Roman" w:cs="Times New Roman"/>
          <w:sz w:val="24"/>
          <w:szCs w:val="24"/>
        </w:rPr>
      </w:pPr>
    </w:p>
    <w:p w14:paraId="3CD32C92" w14:textId="77777777" w:rsidR="00607CEB" w:rsidRPr="00BE34D2" w:rsidRDefault="00607CEB" w:rsidP="00640178">
      <w:pPr>
        <w:spacing w:after="0"/>
        <w:jc w:val="both"/>
        <w:rPr>
          <w:rFonts w:ascii="Times New Roman" w:hAnsi="Times New Roman" w:cs="Times New Roman"/>
          <w:i/>
          <w:iCs/>
          <w:color w:val="002060"/>
        </w:rPr>
      </w:pPr>
    </w:p>
    <w:p w14:paraId="0C61A69F" w14:textId="77777777" w:rsidR="00607CEB" w:rsidRPr="00BC4B68" w:rsidRDefault="00607CEB">
      <w:pPr>
        <w:pStyle w:val="Titre1"/>
      </w:pPr>
      <w:bookmarkStart w:id="2" w:name="_Toc145687408"/>
      <w:r w:rsidRPr="00BC4B68">
        <w:t>Canevas du rapport ICARAP et orientations à destination des entreprises d’investissement</w:t>
      </w:r>
      <w:bookmarkEnd w:id="2"/>
    </w:p>
    <w:p w14:paraId="1941E37A" w14:textId="77777777" w:rsidR="00607CEB" w:rsidRPr="00640178" w:rsidRDefault="00607CEB">
      <w:pPr>
        <w:pStyle w:val="Titre2"/>
      </w:pPr>
      <w:bookmarkStart w:id="3" w:name="_Toc145687409"/>
      <w:r w:rsidRPr="00640178">
        <w:t>Résumé</w:t>
      </w:r>
      <w:bookmarkEnd w:id="3"/>
    </w:p>
    <w:p w14:paraId="0FC07E43" w14:textId="77777777" w:rsidR="00607CEB" w:rsidRPr="00BA4116" w:rsidRDefault="00607CEB" w:rsidP="00640178">
      <w:pPr>
        <w:spacing w:after="0"/>
        <w:jc w:val="both"/>
        <w:rPr>
          <w:rFonts w:ascii="Times New Roman" w:hAnsi="Times New Roman" w:cs="Times New Roman"/>
          <w:i/>
          <w:iCs/>
          <w:sz w:val="24"/>
          <w:szCs w:val="24"/>
        </w:rPr>
      </w:pPr>
      <w:r w:rsidRPr="00BA4116">
        <w:rPr>
          <w:rFonts w:ascii="Times New Roman" w:hAnsi="Times New Roman" w:cs="Times New Roman"/>
          <w:i/>
          <w:iCs/>
          <w:sz w:val="24"/>
          <w:szCs w:val="24"/>
        </w:rPr>
        <w:t>Cette section présente un résumé de l’ICARAP, qui doit se focaliser sur les résultats et les conclu</w:t>
      </w:r>
      <w:r w:rsidR="00770FFD">
        <w:rPr>
          <w:rFonts w:ascii="Times New Roman" w:hAnsi="Times New Roman" w:cs="Times New Roman"/>
          <w:i/>
          <w:iCs/>
          <w:sz w:val="24"/>
          <w:szCs w:val="24"/>
        </w:rPr>
        <w:t xml:space="preserve">sions, les éléments importants </w:t>
      </w:r>
      <w:r w:rsidRPr="00BA4116">
        <w:rPr>
          <w:rFonts w:ascii="Times New Roman" w:hAnsi="Times New Roman" w:cs="Times New Roman"/>
          <w:i/>
          <w:iCs/>
          <w:sz w:val="24"/>
          <w:szCs w:val="24"/>
        </w:rPr>
        <w:t>et les principaux changements et évolutions par rapport à la version précédente.</w:t>
      </w:r>
    </w:p>
    <w:p w14:paraId="66B899FE" w14:textId="77777777" w:rsidR="00607CEB" w:rsidRPr="00640178" w:rsidRDefault="00607CEB" w:rsidP="00640178">
      <w:pPr>
        <w:spacing w:after="0"/>
        <w:jc w:val="both"/>
        <w:rPr>
          <w:rFonts w:ascii="Times New Roman" w:hAnsi="Times New Roman" w:cs="Times New Roman"/>
          <w:sz w:val="24"/>
          <w:szCs w:val="24"/>
        </w:rPr>
      </w:pPr>
    </w:p>
    <w:p w14:paraId="52F89451" w14:textId="77777777" w:rsidR="00607CEB" w:rsidRPr="00BC4B68" w:rsidRDefault="00104A1A">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o</w:t>
      </w:r>
      <w:r w:rsidR="00607CEB" w:rsidRPr="00BC4B68">
        <w:rPr>
          <w:rFonts w:ascii="Times New Roman" w:hAnsi="Times New Roman" w:cs="Times New Roman"/>
          <w:sz w:val="24"/>
          <w:szCs w:val="24"/>
        </w:rPr>
        <w:t>bjectif</w:t>
      </w:r>
      <w:proofErr w:type="gramEnd"/>
      <w:r w:rsidR="00607CEB" w:rsidRPr="00BC4B68">
        <w:rPr>
          <w:rFonts w:ascii="Times New Roman" w:hAnsi="Times New Roman" w:cs="Times New Roman"/>
          <w:sz w:val="24"/>
          <w:szCs w:val="24"/>
        </w:rPr>
        <w:t xml:space="preserve"> de l'exercice ICARAP et périmètre d’application</w:t>
      </w:r>
      <w:r w:rsidR="004B0C47">
        <w:rPr>
          <w:rFonts w:ascii="Times New Roman" w:hAnsi="Times New Roman" w:cs="Times New Roman"/>
          <w:sz w:val="24"/>
          <w:szCs w:val="24"/>
        </w:rPr>
        <w:t> ;</w:t>
      </w:r>
    </w:p>
    <w:p w14:paraId="255EC89C" w14:textId="77777777" w:rsidR="00607CEB" w:rsidRPr="00BC4B68" w:rsidRDefault="00104A1A">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p</w:t>
      </w:r>
      <w:r w:rsidR="00607CEB" w:rsidRPr="00BC4B68">
        <w:rPr>
          <w:rFonts w:ascii="Times New Roman" w:hAnsi="Times New Roman" w:cs="Times New Roman"/>
          <w:sz w:val="24"/>
          <w:szCs w:val="24"/>
        </w:rPr>
        <w:t>rincipaux</w:t>
      </w:r>
      <w:proofErr w:type="gramEnd"/>
      <w:r w:rsidR="00607CEB" w:rsidRPr="00BC4B68">
        <w:rPr>
          <w:rFonts w:ascii="Times New Roman" w:hAnsi="Times New Roman" w:cs="Times New Roman"/>
          <w:sz w:val="24"/>
          <w:szCs w:val="24"/>
        </w:rPr>
        <w:t xml:space="preserve"> résultats du processus ICARAP, mettant notamment en exergue les écarts entre les exigences de pilier 1</w:t>
      </w:r>
      <w:r w:rsidR="00B61D0B">
        <w:rPr>
          <w:rFonts w:ascii="Times New Roman" w:hAnsi="Times New Roman" w:cs="Times New Roman"/>
          <w:sz w:val="24"/>
          <w:szCs w:val="24"/>
        </w:rPr>
        <w:t>,</w:t>
      </w:r>
      <w:r w:rsidR="00607CEB" w:rsidRPr="00BC4B68">
        <w:rPr>
          <w:rFonts w:ascii="Times New Roman" w:hAnsi="Times New Roman" w:cs="Times New Roman"/>
          <w:sz w:val="24"/>
          <w:szCs w:val="24"/>
        </w:rPr>
        <w:t xml:space="preserve"> les exigences de liquidité et les résultats de l’évaluation interne</w:t>
      </w:r>
      <w:r w:rsidR="004B0C47">
        <w:rPr>
          <w:rFonts w:ascii="Times New Roman" w:hAnsi="Times New Roman" w:cs="Times New Roman"/>
          <w:sz w:val="24"/>
          <w:szCs w:val="24"/>
        </w:rPr>
        <w:t> ;</w:t>
      </w:r>
    </w:p>
    <w:p w14:paraId="4042D2B4" w14:textId="77777777" w:rsidR="00607CEB" w:rsidRPr="00BC4B68" w:rsidRDefault="00104A1A">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s</w:t>
      </w:r>
      <w:r w:rsidR="00607CEB" w:rsidRPr="00BC4B68">
        <w:rPr>
          <w:rFonts w:ascii="Times New Roman" w:hAnsi="Times New Roman" w:cs="Times New Roman"/>
          <w:sz w:val="24"/>
          <w:szCs w:val="24"/>
        </w:rPr>
        <w:t>tratégie</w:t>
      </w:r>
      <w:proofErr w:type="gramEnd"/>
      <w:r w:rsidR="00607CEB" w:rsidRPr="00BC4B68">
        <w:rPr>
          <w:rFonts w:ascii="Times New Roman" w:hAnsi="Times New Roman" w:cs="Times New Roman"/>
          <w:sz w:val="24"/>
          <w:szCs w:val="24"/>
        </w:rPr>
        <w:t xml:space="preserve"> d'allocation des fonds propres et des liquidités</w:t>
      </w:r>
      <w:r w:rsidR="004B0C47">
        <w:rPr>
          <w:rFonts w:ascii="Times New Roman" w:hAnsi="Times New Roman" w:cs="Times New Roman"/>
          <w:sz w:val="24"/>
          <w:szCs w:val="24"/>
        </w:rPr>
        <w:t> ;</w:t>
      </w:r>
    </w:p>
    <w:p w14:paraId="5E9A088C" w14:textId="77777777" w:rsidR="00607CEB" w:rsidRPr="00BC4B68" w:rsidRDefault="00104A1A">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c</w:t>
      </w:r>
      <w:r w:rsidR="00607CEB" w:rsidRPr="00BC4B68">
        <w:rPr>
          <w:rFonts w:ascii="Times New Roman" w:hAnsi="Times New Roman" w:cs="Times New Roman"/>
          <w:sz w:val="24"/>
          <w:szCs w:val="24"/>
        </w:rPr>
        <w:t>onséquences</w:t>
      </w:r>
      <w:proofErr w:type="gramEnd"/>
      <w:r w:rsidR="00607CEB" w:rsidRPr="00BC4B68">
        <w:rPr>
          <w:rFonts w:ascii="Times New Roman" w:hAnsi="Times New Roman" w:cs="Times New Roman"/>
          <w:sz w:val="24"/>
          <w:szCs w:val="24"/>
        </w:rPr>
        <w:t xml:space="preserve"> sur la stratégie, le cadre d’appétence et de tolérance, la gestion des risques ou toute autre fonction ou processus clé de l’entreprise d’investissement</w:t>
      </w:r>
      <w:r w:rsidR="004B0C47">
        <w:rPr>
          <w:rFonts w:ascii="Times New Roman" w:hAnsi="Times New Roman" w:cs="Times New Roman"/>
          <w:sz w:val="24"/>
          <w:szCs w:val="24"/>
        </w:rPr>
        <w:t> ;</w:t>
      </w:r>
    </w:p>
    <w:p w14:paraId="5646D5CC" w14:textId="77777777" w:rsidR="00BC4B68" w:rsidRPr="00AB4859" w:rsidRDefault="00104A1A">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é</w:t>
      </w:r>
      <w:r w:rsidR="00607CEB" w:rsidRPr="00BC4B68">
        <w:rPr>
          <w:rFonts w:ascii="Times New Roman" w:hAnsi="Times New Roman" w:cs="Times New Roman"/>
          <w:sz w:val="24"/>
          <w:szCs w:val="24"/>
        </w:rPr>
        <w:t>volution</w:t>
      </w:r>
      <w:proofErr w:type="gramEnd"/>
      <w:r w:rsidR="00607CEB" w:rsidRPr="00BC4B68">
        <w:rPr>
          <w:rFonts w:ascii="Times New Roman" w:hAnsi="Times New Roman" w:cs="Times New Roman"/>
          <w:sz w:val="24"/>
          <w:szCs w:val="24"/>
        </w:rPr>
        <w:t>(s) par rapport à l’ICARAP précédent</w:t>
      </w:r>
      <w:r w:rsidR="004B0C47">
        <w:rPr>
          <w:rFonts w:ascii="Times New Roman" w:hAnsi="Times New Roman" w:cs="Times New Roman"/>
          <w:sz w:val="24"/>
          <w:szCs w:val="24"/>
        </w:rPr>
        <w:t>.</w:t>
      </w:r>
    </w:p>
    <w:p w14:paraId="7684E55F" w14:textId="77777777" w:rsidR="00607CEB" w:rsidRPr="00C82F41" w:rsidRDefault="00607CEB">
      <w:pPr>
        <w:pStyle w:val="Titre2"/>
      </w:pPr>
      <w:bookmarkStart w:id="4" w:name="_Toc145687410"/>
      <w:r w:rsidRPr="00C82F41">
        <w:t xml:space="preserve">Modèle </w:t>
      </w:r>
      <w:r w:rsidR="00C42440">
        <w:t xml:space="preserve">économique, </w:t>
      </w:r>
      <w:r w:rsidRPr="00C82F41">
        <w:t>activité</w:t>
      </w:r>
      <w:r w:rsidR="00C42440">
        <w:t>s</w:t>
      </w:r>
      <w:r w:rsidRPr="00C82F41">
        <w:t xml:space="preserve"> et stratégie</w:t>
      </w:r>
      <w:bookmarkEnd w:id="4"/>
    </w:p>
    <w:p w14:paraId="63606DCA" w14:textId="77777777" w:rsidR="00607CEB" w:rsidRPr="00BA4116" w:rsidRDefault="00607CEB" w:rsidP="00640178">
      <w:pPr>
        <w:spacing w:after="0"/>
        <w:jc w:val="both"/>
        <w:rPr>
          <w:rFonts w:ascii="Times New Roman" w:hAnsi="Times New Roman" w:cs="Times New Roman"/>
          <w:i/>
          <w:iCs/>
          <w:sz w:val="24"/>
          <w:szCs w:val="24"/>
        </w:rPr>
      </w:pPr>
      <w:r w:rsidRPr="00BA4116">
        <w:rPr>
          <w:rFonts w:ascii="Times New Roman" w:hAnsi="Times New Roman" w:cs="Times New Roman"/>
          <w:i/>
          <w:iCs/>
          <w:sz w:val="24"/>
          <w:szCs w:val="24"/>
        </w:rPr>
        <w:t>Cette section présente le périmètre des activités prises en compte dans l’exercice ICARAP et leurs principales données financières, la stratégie suivie et les projections économiques et financières de l’entreprise d’investissement.</w:t>
      </w:r>
    </w:p>
    <w:p w14:paraId="0560B707" w14:textId="77777777" w:rsidR="00607CEB" w:rsidRPr="00640178" w:rsidRDefault="00607CEB" w:rsidP="00640178">
      <w:pPr>
        <w:spacing w:after="0"/>
        <w:jc w:val="both"/>
        <w:rPr>
          <w:rFonts w:ascii="Times New Roman" w:hAnsi="Times New Roman" w:cs="Times New Roman"/>
          <w:sz w:val="24"/>
          <w:szCs w:val="24"/>
        </w:rPr>
      </w:pPr>
    </w:p>
    <w:p w14:paraId="6A5A3672" w14:textId="77777777" w:rsidR="00607CEB" w:rsidRPr="00BC4B68" w:rsidRDefault="004B0C47">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p</w:t>
      </w:r>
      <w:r w:rsidR="00607CEB" w:rsidRPr="00BC4B68">
        <w:rPr>
          <w:rFonts w:ascii="Times New Roman" w:hAnsi="Times New Roman" w:cs="Times New Roman"/>
          <w:sz w:val="24"/>
          <w:szCs w:val="24"/>
        </w:rPr>
        <w:t>résentation</w:t>
      </w:r>
      <w:proofErr w:type="gramEnd"/>
      <w:r w:rsidR="00607CEB" w:rsidRPr="00BC4B68">
        <w:rPr>
          <w:rFonts w:ascii="Times New Roman" w:hAnsi="Times New Roman" w:cs="Times New Roman"/>
          <w:sz w:val="24"/>
          <w:szCs w:val="24"/>
        </w:rPr>
        <w:t xml:space="preserve"> du périmètre des activités et des entités concernées</w:t>
      </w:r>
      <w:r>
        <w:rPr>
          <w:rFonts w:ascii="Times New Roman" w:hAnsi="Times New Roman" w:cs="Times New Roman"/>
          <w:sz w:val="24"/>
          <w:szCs w:val="24"/>
        </w:rPr>
        <w:t> ;</w:t>
      </w:r>
    </w:p>
    <w:p w14:paraId="21E7A861" w14:textId="77777777" w:rsidR="00607CEB" w:rsidRPr="00BC4B68" w:rsidRDefault="004B0C47">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p</w:t>
      </w:r>
      <w:r w:rsidR="00607CEB" w:rsidRPr="00BC4B68">
        <w:rPr>
          <w:rFonts w:ascii="Times New Roman" w:hAnsi="Times New Roman" w:cs="Times New Roman"/>
          <w:sz w:val="24"/>
          <w:szCs w:val="24"/>
        </w:rPr>
        <w:t>résentation</w:t>
      </w:r>
      <w:proofErr w:type="gramEnd"/>
      <w:r w:rsidR="00607CEB" w:rsidRPr="00BC4B68">
        <w:rPr>
          <w:rFonts w:ascii="Times New Roman" w:hAnsi="Times New Roman" w:cs="Times New Roman"/>
          <w:sz w:val="24"/>
          <w:szCs w:val="24"/>
        </w:rPr>
        <w:t xml:space="preserve"> du </w:t>
      </w:r>
      <w:r w:rsidR="00B61D0B">
        <w:rPr>
          <w:rFonts w:ascii="Times New Roman" w:hAnsi="Times New Roman" w:cs="Times New Roman"/>
          <w:sz w:val="24"/>
          <w:szCs w:val="24"/>
        </w:rPr>
        <w:t>modèle d’activité</w:t>
      </w:r>
      <w:r w:rsidR="00607CEB" w:rsidRPr="00BC4B68">
        <w:rPr>
          <w:rFonts w:ascii="Times New Roman" w:hAnsi="Times New Roman" w:cs="Times New Roman"/>
          <w:sz w:val="24"/>
          <w:szCs w:val="24"/>
        </w:rPr>
        <w:t>, du plan stratégique et de la structure du bilan</w:t>
      </w:r>
      <w:r w:rsidR="009D6079">
        <w:rPr>
          <w:rFonts w:ascii="Times New Roman" w:hAnsi="Times New Roman" w:cs="Times New Roman"/>
          <w:sz w:val="24"/>
          <w:szCs w:val="24"/>
        </w:rPr>
        <w:t xml:space="preserve"> et du hors bilan</w:t>
      </w:r>
      <w:r>
        <w:rPr>
          <w:rFonts w:ascii="Times New Roman" w:hAnsi="Times New Roman" w:cs="Times New Roman"/>
          <w:sz w:val="24"/>
          <w:szCs w:val="24"/>
        </w:rPr>
        <w:t> ;</w:t>
      </w:r>
    </w:p>
    <w:p w14:paraId="4F335978" w14:textId="77777777" w:rsidR="00607CEB" w:rsidRPr="00BC4B68" w:rsidRDefault="004B0C47">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p</w:t>
      </w:r>
      <w:r w:rsidR="00607CEB" w:rsidRPr="00BC4B68">
        <w:rPr>
          <w:rFonts w:ascii="Times New Roman" w:hAnsi="Times New Roman" w:cs="Times New Roman"/>
          <w:sz w:val="24"/>
          <w:szCs w:val="24"/>
        </w:rPr>
        <w:t>résentation</w:t>
      </w:r>
      <w:proofErr w:type="gramEnd"/>
      <w:r w:rsidR="00607CEB" w:rsidRPr="00BC4B68">
        <w:rPr>
          <w:rFonts w:ascii="Times New Roman" w:hAnsi="Times New Roman" w:cs="Times New Roman"/>
          <w:sz w:val="24"/>
          <w:szCs w:val="24"/>
        </w:rPr>
        <w:t xml:space="preserve"> de la situation financière actuelle de l’entreprise d’investissement, de sa stratégie commerciale et de sa rentabilité, plan d’affaires sur 3 ans et budget annuel</w:t>
      </w:r>
      <w:r>
        <w:rPr>
          <w:rFonts w:ascii="Times New Roman" w:hAnsi="Times New Roman" w:cs="Times New Roman"/>
          <w:sz w:val="24"/>
          <w:szCs w:val="24"/>
        </w:rPr>
        <w:t> ;</w:t>
      </w:r>
      <w:r w:rsidR="00607CEB" w:rsidRPr="00BC4B68">
        <w:rPr>
          <w:rFonts w:ascii="Times New Roman" w:hAnsi="Times New Roman" w:cs="Times New Roman"/>
          <w:sz w:val="24"/>
          <w:szCs w:val="24"/>
        </w:rPr>
        <w:t xml:space="preserve"> </w:t>
      </w:r>
    </w:p>
    <w:p w14:paraId="7FFC2E53" w14:textId="77777777" w:rsidR="00607CEB" w:rsidRPr="00BC4B68" w:rsidRDefault="004B0C47">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p</w:t>
      </w:r>
      <w:r w:rsidR="00607CEB" w:rsidRPr="00BC4B68">
        <w:rPr>
          <w:rFonts w:ascii="Times New Roman" w:hAnsi="Times New Roman" w:cs="Times New Roman"/>
          <w:sz w:val="24"/>
          <w:szCs w:val="24"/>
        </w:rPr>
        <w:t>résentation</w:t>
      </w:r>
      <w:proofErr w:type="gramEnd"/>
      <w:r w:rsidR="00607CEB" w:rsidRPr="00BC4B68">
        <w:rPr>
          <w:rFonts w:ascii="Times New Roman" w:hAnsi="Times New Roman" w:cs="Times New Roman"/>
          <w:sz w:val="24"/>
          <w:szCs w:val="24"/>
        </w:rPr>
        <w:t xml:space="preserve"> des indicateurs-clés de solidité financière / principaux indicateurs financiers</w:t>
      </w:r>
      <w:r>
        <w:rPr>
          <w:rFonts w:ascii="Times New Roman" w:hAnsi="Times New Roman" w:cs="Times New Roman"/>
          <w:sz w:val="24"/>
          <w:szCs w:val="24"/>
        </w:rPr>
        <w:t> ;</w:t>
      </w:r>
    </w:p>
    <w:p w14:paraId="088A2F46" w14:textId="77777777" w:rsidR="00607CEB" w:rsidRPr="00BC4B68" w:rsidRDefault="004B0C47">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p</w:t>
      </w:r>
      <w:r w:rsidR="00607CEB" w:rsidRPr="00BC4B68">
        <w:rPr>
          <w:rFonts w:ascii="Times New Roman" w:hAnsi="Times New Roman" w:cs="Times New Roman"/>
          <w:sz w:val="24"/>
          <w:szCs w:val="24"/>
        </w:rPr>
        <w:t>rojections</w:t>
      </w:r>
      <w:proofErr w:type="gramEnd"/>
      <w:r w:rsidR="00607CEB" w:rsidRPr="00BC4B68">
        <w:rPr>
          <w:rFonts w:ascii="Times New Roman" w:hAnsi="Times New Roman" w:cs="Times New Roman"/>
          <w:sz w:val="24"/>
          <w:szCs w:val="24"/>
        </w:rPr>
        <w:t xml:space="preserve"> à 3 ans ou plus des indicateurs-clés, de la rentabilité et des coûts. Description des évolutions, hypothèses et attentes sur lesquelles sont basées les prévisions, en ce qui concerne tant la stratégie de l’entité/groupe que son environnement (marché)</w:t>
      </w:r>
      <w:r>
        <w:rPr>
          <w:rFonts w:ascii="Times New Roman" w:hAnsi="Times New Roman" w:cs="Times New Roman"/>
          <w:sz w:val="24"/>
          <w:szCs w:val="24"/>
        </w:rPr>
        <w:t> ;</w:t>
      </w:r>
    </w:p>
    <w:p w14:paraId="3844537E" w14:textId="77777777" w:rsidR="00607CEB" w:rsidRPr="00BC4B68" w:rsidRDefault="004B0C47">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n</w:t>
      </w:r>
      <w:r w:rsidR="00607CEB" w:rsidRPr="00BC4B68">
        <w:rPr>
          <w:rFonts w:ascii="Times New Roman" w:hAnsi="Times New Roman" w:cs="Times New Roman"/>
          <w:sz w:val="24"/>
          <w:szCs w:val="24"/>
        </w:rPr>
        <w:t>iveaux</w:t>
      </w:r>
      <w:proofErr w:type="gramEnd"/>
      <w:r w:rsidR="00607CEB" w:rsidRPr="00BC4B68">
        <w:rPr>
          <w:rFonts w:ascii="Times New Roman" w:hAnsi="Times New Roman" w:cs="Times New Roman"/>
          <w:sz w:val="24"/>
          <w:szCs w:val="24"/>
        </w:rPr>
        <w:t xml:space="preserve"> de </w:t>
      </w:r>
      <w:r w:rsidR="003A7562">
        <w:rPr>
          <w:rFonts w:ascii="Times New Roman" w:hAnsi="Times New Roman" w:cs="Times New Roman"/>
          <w:sz w:val="24"/>
          <w:szCs w:val="24"/>
        </w:rPr>
        <w:t>capital interne</w:t>
      </w:r>
      <w:r w:rsidR="00607CEB" w:rsidRPr="00BC4B68">
        <w:rPr>
          <w:rFonts w:ascii="Times New Roman" w:hAnsi="Times New Roman" w:cs="Times New Roman"/>
          <w:sz w:val="24"/>
          <w:szCs w:val="24"/>
        </w:rPr>
        <w:t xml:space="preserve"> et de liquidités disponibles</w:t>
      </w:r>
      <w:r>
        <w:rPr>
          <w:rFonts w:ascii="Times New Roman" w:hAnsi="Times New Roman" w:cs="Times New Roman"/>
          <w:sz w:val="24"/>
          <w:szCs w:val="24"/>
        </w:rPr>
        <w:t> ;</w:t>
      </w:r>
    </w:p>
    <w:p w14:paraId="3043D20E" w14:textId="77777777" w:rsidR="00607CEB" w:rsidRPr="00BC4B68" w:rsidRDefault="004B0C47">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é</w:t>
      </w:r>
      <w:r w:rsidR="00607CEB" w:rsidRPr="00BC4B68">
        <w:rPr>
          <w:rFonts w:ascii="Times New Roman" w:hAnsi="Times New Roman" w:cs="Times New Roman"/>
          <w:sz w:val="24"/>
          <w:szCs w:val="24"/>
        </w:rPr>
        <w:t>vènements</w:t>
      </w:r>
      <w:proofErr w:type="gramEnd"/>
      <w:r w:rsidR="00607CEB" w:rsidRPr="00BC4B68">
        <w:rPr>
          <w:rFonts w:ascii="Times New Roman" w:hAnsi="Times New Roman" w:cs="Times New Roman"/>
          <w:sz w:val="24"/>
          <w:szCs w:val="24"/>
        </w:rPr>
        <w:t xml:space="preserve"> particuliers et changements significatifs dans la vie de l’entreprise d’investissement durant les trois dernières années, leurs impacts sur ses fonds propres, </w:t>
      </w:r>
      <w:r w:rsidR="004E5771">
        <w:rPr>
          <w:rFonts w:ascii="Times New Roman" w:hAnsi="Times New Roman" w:cs="Times New Roman"/>
          <w:sz w:val="24"/>
          <w:szCs w:val="24"/>
        </w:rPr>
        <w:t xml:space="preserve">ses exigences en fonds propres, </w:t>
      </w:r>
      <w:r w:rsidR="00607CEB" w:rsidRPr="00BC4B68">
        <w:rPr>
          <w:rFonts w:ascii="Times New Roman" w:hAnsi="Times New Roman" w:cs="Times New Roman"/>
          <w:sz w:val="24"/>
          <w:szCs w:val="24"/>
        </w:rPr>
        <w:t>ses liquidités</w:t>
      </w:r>
      <w:r w:rsidR="004E5771">
        <w:rPr>
          <w:rFonts w:ascii="Times New Roman" w:hAnsi="Times New Roman" w:cs="Times New Roman"/>
          <w:sz w:val="24"/>
          <w:szCs w:val="24"/>
        </w:rPr>
        <w:t xml:space="preserve">, ses besoins de liquidité </w:t>
      </w:r>
      <w:r w:rsidR="00607CEB" w:rsidRPr="00BC4B68">
        <w:rPr>
          <w:rFonts w:ascii="Times New Roman" w:hAnsi="Times New Roman" w:cs="Times New Roman"/>
          <w:sz w:val="24"/>
          <w:szCs w:val="24"/>
        </w:rPr>
        <w:t>et son activité</w:t>
      </w:r>
      <w:r>
        <w:rPr>
          <w:rFonts w:ascii="Times New Roman" w:hAnsi="Times New Roman" w:cs="Times New Roman"/>
          <w:sz w:val="24"/>
          <w:szCs w:val="24"/>
        </w:rPr>
        <w:t> ;</w:t>
      </w:r>
    </w:p>
    <w:p w14:paraId="34DE2F4A" w14:textId="77777777" w:rsidR="00BC4B68" w:rsidRPr="00AB4859" w:rsidRDefault="004B0C47">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c</w:t>
      </w:r>
      <w:r w:rsidR="00607CEB" w:rsidRPr="00BC4B68">
        <w:rPr>
          <w:rFonts w:ascii="Times New Roman" w:hAnsi="Times New Roman" w:cs="Times New Roman"/>
          <w:sz w:val="24"/>
          <w:szCs w:val="24"/>
        </w:rPr>
        <w:t>hangements</w:t>
      </w:r>
      <w:proofErr w:type="gramEnd"/>
      <w:r w:rsidR="00607CEB" w:rsidRPr="00BC4B68">
        <w:rPr>
          <w:rFonts w:ascii="Times New Roman" w:hAnsi="Times New Roman" w:cs="Times New Roman"/>
          <w:sz w:val="24"/>
          <w:szCs w:val="24"/>
        </w:rPr>
        <w:t xml:space="preserve"> </w:t>
      </w:r>
      <w:r w:rsidR="004E5771">
        <w:rPr>
          <w:rFonts w:ascii="Times New Roman" w:hAnsi="Times New Roman" w:cs="Times New Roman"/>
          <w:sz w:val="24"/>
          <w:szCs w:val="24"/>
        </w:rPr>
        <w:t>envisagés</w:t>
      </w:r>
      <w:r w:rsidR="004E5771" w:rsidRPr="00BC4B68">
        <w:rPr>
          <w:rFonts w:ascii="Times New Roman" w:hAnsi="Times New Roman" w:cs="Times New Roman"/>
          <w:sz w:val="24"/>
          <w:szCs w:val="24"/>
        </w:rPr>
        <w:t xml:space="preserve"> </w:t>
      </w:r>
      <w:r w:rsidR="00607CEB" w:rsidRPr="00BC4B68">
        <w:rPr>
          <w:rFonts w:ascii="Times New Roman" w:hAnsi="Times New Roman" w:cs="Times New Roman"/>
          <w:sz w:val="24"/>
          <w:szCs w:val="24"/>
        </w:rPr>
        <w:t>concernant la stratégie, le modèle d'activité et les activités sous-jacentes.</w:t>
      </w:r>
    </w:p>
    <w:p w14:paraId="4AC8F94E" w14:textId="77777777" w:rsidR="00607CEB" w:rsidRPr="00C82F41" w:rsidRDefault="00607CEB">
      <w:pPr>
        <w:pStyle w:val="Titre2"/>
      </w:pPr>
      <w:bookmarkStart w:id="5" w:name="_Toc145687411"/>
      <w:r w:rsidRPr="00C82F41">
        <w:t>Gouvernance de l'ICARAP</w:t>
      </w:r>
      <w:bookmarkEnd w:id="5"/>
      <w:r w:rsidR="000A7599">
        <w:rPr>
          <w:rStyle w:val="Appelnotedebasdep"/>
        </w:rPr>
        <w:footnoteReference w:id="2"/>
      </w:r>
      <w:r w:rsidRPr="00C82F41">
        <w:t xml:space="preserve"> </w:t>
      </w:r>
    </w:p>
    <w:p w14:paraId="1B1113DC" w14:textId="44594D7C" w:rsidR="00607CEB" w:rsidRPr="00BA4116" w:rsidRDefault="00607CEB" w:rsidP="00640178">
      <w:pPr>
        <w:spacing w:after="0"/>
        <w:jc w:val="both"/>
        <w:rPr>
          <w:rFonts w:ascii="Times New Roman" w:hAnsi="Times New Roman" w:cs="Times New Roman"/>
          <w:i/>
          <w:iCs/>
          <w:sz w:val="24"/>
          <w:szCs w:val="24"/>
        </w:rPr>
      </w:pPr>
      <w:r w:rsidRPr="00BA4116">
        <w:rPr>
          <w:rFonts w:ascii="Times New Roman" w:hAnsi="Times New Roman" w:cs="Times New Roman"/>
          <w:i/>
          <w:iCs/>
          <w:sz w:val="24"/>
          <w:szCs w:val="24"/>
        </w:rPr>
        <w:t>Cette section présente le cadre de gouvernance du dispositif ICARAP</w:t>
      </w:r>
      <w:r w:rsidR="00611C23">
        <w:rPr>
          <w:rFonts w:ascii="Times New Roman" w:hAnsi="Times New Roman" w:cs="Times New Roman"/>
          <w:i/>
          <w:iCs/>
          <w:sz w:val="24"/>
          <w:szCs w:val="24"/>
        </w:rPr>
        <w:t>, que les problématiques ICAAP et ILAAP soi</w:t>
      </w:r>
      <w:r w:rsidR="001D122C">
        <w:rPr>
          <w:rFonts w:ascii="Times New Roman" w:hAnsi="Times New Roman" w:cs="Times New Roman"/>
          <w:i/>
          <w:iCs/>
          <w:sz w:val="24"/>
          <w:szCs w:val="24"/>
        </w:rPr>
        <w:t>en</w:t>
      </w:r>
      <w:r w:rsidR="00611C23">
        <w:rPr>
          <w:rFonts w:ascii="Times New Roman" w:hAnsi="Times New Roman" w:cs="Times New Roman"/>
          <w:i/>
          <w:iCs/>
          <w:sz w:val="24"/>
          <w:szCs w:val="24"/>
        </w:rPr>
        <w:t xml:space="preserve">t encadrées par des dispositifs </w:t>
      </w:r>
      <w:r w:rsidR="00481710">
        <w:rPr>
          <w:rFonts w:ascii="Times New Roman" w:hAnsi="Times New Roman" w:cs="Times New Roman"/>
          <w:i/>
          <w:iCs/>
          <w:sz w:val="24"/>
          <w:szCs w:val="24"/>
        </w:rPr>
        <w:t xml:space="preserve">de gouvernance </w:t>
      </w:r>
      <w:r w:rsidR="00611C23">
        <w:rPr>
          <w:rFonts w:ascii="Times New Roman" w:hAnsi="Times New Roman" w:cs="Times New Roman"/>
          <w:i/>
          <w:iCs/>
          <w:sz w:val="24"/>
          <w:szCs w:val="24"/>
        </w:rPr>
        <w:t>communs ou distincts</w:t>
      </w:r>
      <w:r w:rsidR="00B32526">
        <w:rPr>
          <w:rFonts w:ascii="Times New Roman" w:hAnsi="Times New Roman" w:cs="Times New Roman"/>
          <w:i/>
          <w:iCs/>
          <w:sz w:val="24"/>
          <w:szCs w:val="24"/>
        </w:rPr>
        <w:t>. L’objectif est d’illustre</w:t>
      </w:r>
      <w:r w:rsidR="00557C55">
        <w:rPr>
          <w:rFonts w:ascii="Times New Roman" w:hAnsi="Times New Roman" w:cs="Times New Roman"/>
          <w:i/>
          <w:iCs/>
          <w:sz w:val="24"/>
          <w:szCs w:val="24"/>
        </w:rPr>
        <w:t>r</w:t>
      </w:r>
      <w:r w:rsidR="00B32526">
        <w:rPr>
          <w:rFonts w:ascii="Times New Roman" w:hAnsi="Times New Roman" w:cs="Times New Roman"/>
          <w:i/>
          <w:iCs/>
          <w:sz w:val="24"/>
          <w:szCs w:val="24"/>
        </w:rPr>
        <w:t xml:space="preserve"> comment</w:t>
      </w:r>
      <w:r w:rsidRPr="00BA4116">
        <w:rPr>
          <w:rFonts w:ascii="Times New Roman" w:hAnsi="Times New Roman" w:cs="Times New Roman"/>
          <w:i/>
          <w:iCs/>
          <w:sz w:val="24"/>
          <w:szCs w:val="24"/>
        </w:rPr>
        <w:t xml:space="preserve"> l’ICARAP est </w:t>
      </w:r>
      <w:r w:rsidR="001D122C">
        <w:rPr>
          <w:rFonts w:ascii="Times New Roman" w:hAnsi="Times New Roman" w:cs="Times New Roman"/>
          <w:i/>
          <w:iCs/>
          <w:sz w:val="24"/>
          <w:szCs w:val="24"/>
        </w:rPr>
        <w:t xml:space="preserve">effectivement </w:t>
      </w:r>
      <w:r w:rsidRPr="00BA4116">
        <w:rPr>
          <w:rFonts w:ascii="Times New Roman" w:hAnsi="Times New Roman" w:cs="Times New Roman"/>
          <w:i/>
          <w:iCs/>
          <w:sz w:val="24"/>
          <w:szCs w:val="24"/>
        </w:rPr>
        <w:t xml:space="preserve">utilisé par les différents organes de direction de l’entreprise d’investissement et contribue à l’ensemble des décisions opérationnelles importantes. </w:t>
      </w:r>
      <w:r w:rsidR="009E5157">
        <w:rPr>
          <w:rFonts w:ascii="Times New Roman" w:hAnsi="Times New Roman" w:cs="Times New Roman"/>
          <w:i/>
          <w:iCs/>
          <w:sz w:val="24"/>
          <w:szCs w:val="24"/>
        </w:rPr>
        <w:t>Il est également attendu que l’</w:t>
      </w:r>
      <w:r w:rsidRPr="00BA4116">
        <w:rPr>
          <w:rFonts w:ascii="Times New Roman" w:hAnsi="Times New Roman" w:cs="Times New Roman"/>
          <w:i/>
          <w:iCs/>
          <w:sz w:val="24"/>
          <w:szCs w:val="24"/>
        </w:rPr>
        <w:t xml:space="preserve">entreprise d’investissement </w:t>
      </w:r>
      <w:r w:rsidR="00B32526">
        <w:rPr>
          <w:rFonts w:ascii="Times New Roman" w:hAnsi="Times New Roman" w:cs="Times New Roman"/>
          <w:i/>
          <w:iCs/>
          <w:sz w:val="24"/>
          <w:szCs w:val="24"/>
        </w:rPr>
        <w:t>montre comment</w:t>
      </w:r>
      <w:r w:rsidRPr="00BA4116">
        <w:rPr>
          <w:rFonts w:ascii="Times New Roman" w:hAnsi="Times New Roman" w:cs="Times New Roman"/>
          <w:i/>
          <w:iCs/>
          <w:sz w:val="24"/>
          <w:szCs w:val="24"/>
        </w:rPr>
        <w:t xml:space="preserve"> l’organe de surveillance s’implique et assume pleinement la responsabilité du dispositif ICARAP.</w:t>
      </w:r>
    </w:p>
    <w:p w14:paraId="79338F53" w14:textId="77777777" w:rsidR="00607CEB" w:rsidRPr="00640178" w:rsidRDefault="00607CEB" w:rsidP="00640178">
      <w:pPr>
        <w:spacing w:after="0"/>
        <w:jc w:val="both"/>
        <w:rPr>
          <w:rFonts w:ascii="Times New Roman" w:hAnsi="Times New Roman" w:cs="Times New Roman"/>
          <w:sz w:val="24"/>
          <w:szCs w:val="24"/>
        </w:rPr>
      </w:pPr>
    </w:p>
    <w:p w14:paraId="4A0E4A07" w14:textId="77777777" w:rsidR="00607CEB" w:rsidRPr="00222C06" w:rsidRDefault="004B0C47">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c</w:t>
      </w:r>
      <w:r w:rsidR="00607CEB" w:rsidRPr="00222C06">
        <w:rPr>
          <w:rFonts w:ascii="Times New Roman" w:hAnsi="Times New Roman" w:cs="Times New Roman"/>
          <w:sz w:val="24"/>
          <w:szCs w:val="24"/>
        </w:rPr>
        <w:t>adre</w:t>
      </w:r>
      <w:proofErr w:type="gramEnd"/>
      <w:r w:rsidR="00607CEB" w:rsidRPr="00222C06">
        <w:rPr>
          <w:rFonts w:ascii="Times New Roman" w:hAnsi="Times New Roman" w:cs="Times New Roman"/>
          <w:sz w:val="24"/>
          <w:szCs w:val="24"/>
        </w:rPr>
        <w:t xml:space="preserve"> de gouvernance du dispositif ICARAP</w:t>
      </w:r>
      <w:r w:rsidR="00A716D4">
        <w:rPr>
          <w:rFonts w:ascii="Times New Roman" w:hAnsi="Times New Roman" w:cs="Times New Roman"/>
          <w:sz w:val="24"/>
          <w:szCs w:val="24"/>
        </w:rPr>
        <w:t xml:space="preserve"> avec une description claire de la structure organisationnelle et une culture du risque appropriée</w:t>
      </w:r>
      <w:r>
        <w:rPr>
          <w:rFonts w:ascii="Times New Roman" w:hAnsi="Times New Roman" w:cs="Times New Roman"/>
          <w:sz w:val="24"/>
          <w:szCs w:val="24"/>
        </w:rPr>
        <w:t> ;</w:t>
      </w:r>
    </w:p>
    <w:p w14:paraId="213AD785" w14:textId="77777777" w:rsidR="00607CEB" w:rsidRPr="00222C06" w:rsidRDefault="004B0C47">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d</w:t>
      </w:r>
      <w:r w:rsidR="00607CEB" w:rsidRPr="00222C06">
        <w:rPr>
          <w:rFonts w:ascii="Times New Roman" w:hAnsi="Times New Roman" w:cs="Times New Roman"/>
          <w:sz w:val="24"/>
          <w:szCs w:val="24"/>
        </w:rPr>
        <w:t>escription</w:t>
      </w:r>
      <w:proofErr w:type="gramEnd"/>
      <w:r w:rsidR="00607CEB" w:rsidRPr="00222C06">
        <w:rPr>
          <w:rFonts w:ascii="Times New Roman" w:hAnsi="Times New Roman" w:cs="Times New Roman"/>
          <w:sz w:val="24"/>
          <w:szCs w:val="24"/>
        </w:rPr>
        <w:t xml:space="preserve"> du process</w:t>
      </w:r>
      <w:r w:rsidR="00F109FA">
        <w:rPr>
          <w:rFonts w:ascii="Times New Roman" w:hAnsi="Times New Roman" w:cs="Times New Roman"/>
          <w:sz w:val="24"/>
          <w:szCs w:val="24"/>
        </w:rPr>
        <w:t>us</w:t>
      </w:r>
      <w:r w:rsidR="00607CEB" w:rsidRPr="00222C06">
        <w:rPr>
          <w:rFonts w:ascii="Times New Roman" w:hAnsi="Times New Roman" w:cs="Times New Roman"/>
          <w:sz w:val="24"/>
          <w:szCs w:val="24"/>
        </w:rPr>
        <w:t xml:space="preserve"> d’élaboration et de validation de l’adéquation du capital interne et des liquidités</w:t>
      </w:r>
      <w:r>
        <w:rPr>
          <w:rFonts w:ascii="Times New Roman" w:hAnsi="Times New Roman" w:cs="Times New Roman"/>
          <w:sz w:val="24"/>
          <w:szCs w:val="24"/>
        </w:rPr>
        <w:t> ;</w:t>
      </w:r>
      <w:r w:rsidR="00607CEB" w:rsidRPr="00222C06">
        <w:rPr>
          <w:rFonts w:ascii="Times New Roman" w:hAnsi="Times New Roman" w:cs="Times New Roman"/>
          <w:sz w:val="24"/>
          <w:szCs w:val="24"/>
        </w:rPr>
        <w:t xml:space="preserve"> </w:t>
      </w:r>
    </w:p>
    <w:p w14:paraId="696ACF26" w14:textId="77777777" w:rsidR="00607CEB" w:rsidRPr="00222C06" w:rsidRDefault="004B0C47">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r</w:t>
      </w:r>
      <w:r w:rsidR="00607CEB" w:rsidRPr="00222C06">
        <w:rPr>
          <w:rFonts w:ascii="Times New Roman" w:hAnsi="Times New Roman" w:cs="Times New Roman"/>
          <w:sz w:val="24"/>
          <w:szCs w:val="24"/>
        </w:rPr>
        <w:t>ôles</w:t>
      </w:r>
      <w:proofErr w:type="gramEnd"/>
      <w:r w:rsidR="00607CEB" w:rsidRPr="00222C06">
        <w:rPr>
          <w:rFonts w:ascii="Times New Roman" w:hAnsi="Times New Roman" w:cs="Times New Roman"/>
          <w:sz w:val="24"/>
          <w:szCs w:val="24"/>
        </w:rPr>
        <w:t xml:space="preserve"> et responsabilités des différents acteurs intervenant dans le dispositif ICARAP (incluant notamment l’organe de surveillance, la direction générale, les fonctions du contrôle interne, </w:t>
      </w:r>
      <w:r w:rsidR="00557C55">
        <w:rPr>
          <w:rFonts w:ascii="Times New Roman" w:hAnsi="Times New Roman" w:cs="Times New Roman"/>
          <w:sz w:val="24"/>
          <w:szCs w:val="24"/>
        </w:rPr>
        <w:t xml:space="preserve">la fonction risques et </w:t>
      </w:r>
      <w:r w:rsidR="00607CEB" w:rsidRPr="00222C06">
        <w:rPr>
          <w:rFonts w:ascii="Times New Roman" w:hAnsi="Times New Roman" w:cs="Times New Roman"/>
          <w:sz w:val="24"/>
          <w:szCs w:val="24"/>
        </w:rPr>
        <w:t>la fonction financière)</w:t>
      </w:r>
      <w:r>
        <w:rPr>
          <w:rFonts w:ascii="Times New Roman" w:hAnsi="Times New Roman" w:cs="Times New Roman"/>
          <w:sz w:val="24"/>
          <w:szCs w:val="24"/>
        </w:rPr>
        <w:t> ;</w:t>
      </w:r>
      <w:r w:rsidR="00607CEB" w:rsidRPr="00222C06">
        <w:rPr>
          <w:rFonts w:ascii="Times New Roman" w:hAnsi="Times New Roman" w:cs="Times New Roman"/>
          <w:sz w:val="24"/>
          <w:szCs w:val="24"/>
        </w:rPr>
        <w:t xml:space="preserve"> </w:t>
      </w:r>
    </w:p>
    <w:p w14:paraId="4199C9BC" w14:textId="77777777" w:rsidR="00607CEB" w:rsidRPr="00222C06" w:rsidRDefault="004B0C47">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e</w:t>
      </w:r>
      <w:r w:rsidR="00607CEB" w:rsidRPr="00222C06">
        <w:rPr>
          <w:rFonts w:ascii="Times New Roman" w:hAnsi="Times New Roman" w:cs="Times New Roman"/>
          <w:sz w:val="24"/>
          <w:szCs w:val="24"/>
        </w:rPr>
        <w:t>xtrait</w:t>
      </w:r>
      <w:proofErr w:type="gramEnd"/>
      <w:r w:rsidR="00607CEB" w:rsidRPr="00222C06">
        <w:rPr>
          <w:rFonts w:ascii="Times New Roman" w:hAnsi="Times New Roman" w:cs="Times New Roman"/>
          <w:sz w:val="24"/>
          <w:szCs w:val="24"/>
        </w:rPr>
        <w:t xml:space="preserve"> des </w:t>
      </w:r>
      <w:r w:rsidR="00A716D4">
        <w:rPr>
          <w:rFonts w:ascii="Times New Roman" w:hAnsi="Times New Roman" w:cs="Times New Roman"/>
          <w:sz w:val="24"/>
          <w:szCs w:val="24"/>
        </w:rPr>
        <w:t>p</w:t>
      </w:r>
      <w:r w:rsidR="00607CEB" w:rsidRPr="00222C06">
        <w:rPr>
          <w:rFonts w:ascii="Times New Roman" w:hAnsi="Times New Roman" w:cs="Times New Roman"/>
          <w:sz w:val="24"/>
          <w:szCs w:val="24"/>
        </w:rPr>
        <w:t>rocès-</w:t>
      </w:r>
      <w:r w:rsidR="00A716D4">
        <w:rPr>
          <w:rFonts w:ascii="Times New Roman" w:hAnsi="Times New Roman" w:cs="Times New Roman"/>
          <w:sz w:val="24"/>
          <w:szCs w:val="24"/>
        </w:rPr>
        <w:t>v</w:t>
      </w:r>
      <w:r w:rsidR="00607CEB" w:rsidRPr="00222C06">
        <w:rPr>
          <w:rFonts w:ascii="Times New Roman" w:hAnsi="Times New Roman" w:cs="Times New Roman"/>
          <w:sz w:val="24"/>
          <w:szCs w:val="24"/>
        </w:rPr>
        <w:t>erbaux des réunions de l’organe de surveillance et des comités chargés notamment de la validation et de la mise en œuvre du dispositif ICARAP ainsi que de l’examen des résultats des contrôles internes</w:t>
      </w:r>
      <w:r>
        <w:rPr>
          <w:rFonts w:ascii="Times New Roman" w:hAnsi="Times New Roman" w:cs="Times New Roman"/>
          <w:sz w:val="24"/>
          <w:szCs w:val="24"/>
        </w:rPr>
        <w:t> ;</w:t>
      </w:r>
    </w:p>
    <w:p w14:paraId="43DCFE79" w14:textId="77777777" w:rsidR="00607CEB" w:rsidRPr="00222C06" w:rsidRDefault="004B0C47">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d</w:t>
      </w:r>
      <w:r w:rsidR="00607CEB" w:rsidRPr="00222C06">
        <w:rPr>
          <w:rFonts w:ascii="Times New Roman" w:hAnsi="Times New Roman" w:cs="Times New Roman"/>
          <w:sz w:val="24"/>
          <w:szCs w:val="24"/>
        </w:rPr>
        <w:t>écisions</w:t>
      </w:r>
      <w:proofErr w:type="gramEnd"/>
      <w:r w:rsidR="00607CEB" w:rsidRPr="00222C06">
        <w:rPr>
          <w:rFonts w:ascii="Times New Roman" w:hAnsi="Times New Roman" w:cs="Times New Roman"/>
          <w:sz w:val="24"/>
          <w:szCs w:val="24"/>
        </w:rPr>
        <w:t xml:space="preserve"> majeures prises concernant le dispositif ICARAP</w:t>
      </w:r>
      <w:r>
        <w:rPr>
          <w:rFonts w:ascii="Times New Roman" w:hAnsi="Times New Roman" w:cs="Times New Roman"/>
          <w:sz w:val="24"/>
          <w:szCs w:val="24"/>
        </w:rPr>
        <w:t> ;</w:t>
      </w:r>
    </w:p>
    <w:p w14:paraId="101B453F" w14:textId="77777777" w:rsidR="00607CEB" w:rsidRPr="00222C06" w:rsidRDefault="004B0C47">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l</w:t>
      </w:r>
      <w:r w:rsidR="00607CEB" w:rsidRPr="00222C06">
        <w:rPr>
          <w:rFonts w:ascii="Times New Roman" w:hAnsi="Times New Roman" w:cs="Times New Roman"/>
          <w:sz w:val="24"/>
          <w:szCs w:val="24"/>
        </w:rPr>
        <w:t>iste</w:t>
      </w:r>
      <w:proofErr w:type="gramEnd"/>
      <w:r w:rsidR="00607CEB" w:rsidRPr="00222C06">
        <w:rPr>
          <w:rFonts w:ascii="Times New Roman" w:hAnsi="Times New Roman" w:cs="Times New Roman"/>
          <w:sz w:val="24"/>
          <w:szCs w:val="24"/>
        </w:rPr>
        <w:t xml:space="preserve"> des politiques et procédures qui formalisent l'intégralité du processus ICARAP et son contrôle interne</w:t>
      </w:r>
      <w:r>
        <w:rPr>
          <w:rFonts w:ascii="Times New Roman" w:hAnsi="Times New Roman" w:cs="Times New Roman"/>
          <w:sz w:val="24"/>
          <w:szCs w:val="24"/>
        </w:rPr>
        <w:t> ;</w:t>
      </w:r>
    </w:p>
    <w:p w14:paraId="013C3AD6" w14:textId="77777777" w:rsidR="0011577D" w:rsidRDefault="004B0C47" w:rsidP="00E23385">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d</w:t>
      </w:r>
      <w:r w:rsidR="00607CEB" w:rsidRPr="00222C06">
        <w:rPr>
          <w:rFonts w:ascii="Times New Roman" w:hAnsi="Times New Roman" w:cs="Times New Roman"/>
          <w:sz w:val="24"/>
          <w:szCs w:val="24"/>
        </w:rPr>
        <w:t>escription</w:t>
      </w:r>
      <w:proofErr w:type="gramEnd"/>
      <w:r w:rsidR="00607CEB" w:rsidRPr="00222C06">
        <w:rPr>
          <w:rFonts w:ascii="Times New Roman" w:hAnsi="Times New Roman" w:cs="Times New Roman"/>
          <w:sz w:val="24"/>
          <w:szCs w:val="24"/>
        </w:rPr>
        <w:t xml:space="preserve"> de l’intégration de l’ICARAP (problématiques de capital interne, liquidités disponibles, appétit au risque) dans la stratégie globale et les prises de décision managériales</w:t>
      </w:r>
      <w:r>
        <w:rPr>
          <w:rFonts w:ascii="Times New Roman" w:hAnsi="Times New Roman" w:cs="Times New Roman"/>
          <w:sz w:val="24"/>
          <w:szCs w:val="24"/>
        </w:rPr>
        <w:t>.</w:t>
      </w:r>
    </w:p>
    <w:p w14:paraId="7EA9D903" w14:textId="77777777" w:rsidR="0011577D" w:rsidRDefault="0011577D" w:rsidP="00E23385">
      <w:pPr>
        <w:spacing w:after="0"/>
        <w:jc w:val="both"/>
        <w:rPr>
          <w:rFonts w:ascii="Times New Roman" w:hAnsi="Times New Roman" w:cs="Times New Roman"/>
          <w:sz w:val="24"/>
          <w:szCs w:val="24"/>
        </w:rPr>
      </w:pPr>
    </w:p>
    <w:p w14:paraId="54F74DE9" w14:textId="77777777" w:rsidR="0011577D" w:rsidRPr="00E23385" w:rsidRDefault="0011577D" w:rsidP="00E23385">
      <w:pPr>
        <w:spacing w:after="0"/>
        <w:jc w:val="both"/>
        <w:rPr>
          <w:rFonts w:ascii="Times New Roman" w:hAnsi="Times New Roman" w:cs="Times New Roman"/>
          <w:sz w:val="24"/>
          <w:szCs w:val="24"/>
        </w:rPr>
      </w:pPr>
      <w:r w:rsidRPr="00E23385">
        <w:rPr>
          <w:rFonts w:ascii="Times New Roman" w:hAnsi="Times New Roman" w:cs="Times New Roman"/>
          <w:sz w:val="24"/>
          <w:szCs w:val="24"/>
        </w:rPr>
        <w:t xml:space="preserve">Les derniers documents transmis à l’organe de surveillance et discutés en comité des risques, en application du paragraphe 125 des Orientations SREP relatives aux entreprises d’investissement sous IFD, portant sur l’analyse et les résultats de l’ICARAP ainsi que sur leur prise en compte dans la stratégie et la gestion des risques de l’entité, doivent être inclus dans le présent rapport.  </w:t>
      </w:r>
    </w:p>
    <w:p w14:paraId="2E74D8C2" w14:textId="77777777" w:rsidR="00607CEB" w:rsidRPr="00640178" w:rsidRDefault="00607CEB">
      <w:pPr>
        <w:pStyle w:val="Titre2"/>
      </w:pPr>
      <w:bookmarkStart w:id="6" w:name="_Toc145687412"/>
      <w:r w:rsidRPr="00640178">
        <w:t>Contrôle interne</w:t>
      </w:r>
      <w:bookmarkEnd w:id="6"/>
      <w:r w:rsidR="00623917">
        <w:rPr>
          <w:rStyle w:val="Appelnotedebasdep"/>
        </w:rPr>
        <w:footnoteReference w:id="3"/>
      </w:r>
    </w:p>
    <w:p w14:paraId="53AC60A5" w14:textId="77777777" w:rsidR="00607CEB" w:rsidRPr="00BA4116" w:rsidRDefault="00607CEB" w:rsidP="00640178">
      <w:pPr>
        <w:spacing w:after="0"/>
        <w:jc w:val="both"/>
        <w:rPr>
          <w:rFonts w:ascii="Times New Roman" w:hAnsi="Times New Roman" w:cs="Times New Roman"/>
          <w:i/>
          <w:iCs/>
          <w:sz w:val="24"/>
          <w:szCs w:val="24"/>
        </w:rPr>
      </w:pPr>
      <w:r w:rsidRPr="00BA4116">
        <w:rPr>
          <w:rFonts w:ascii="Times New Roman" w:hAnsi="Times New Roman" w:cs="Times New Roman"/>
          <w:i/>
          <w:iCs/>
          <w:sz w:val="24"/>
          <w:szCs w:val="24"/>
        </w:rPr>
        <w:t xml:space="preserve">Cette section présente le cadre de contrôle interne de l’ICARAP et les principaux résultats des contrôles effectués ainsi que les mesures correctives prévues. Plus largement, il </w:t>
      </w:r>
      <w:r w:rsidR="00FB4E30">
        <w:rPr>
          <w:rFonts w:ascii="Times New Roman" w:hAnsi="Times New Roman" w:cs="Times New Roman"/>
          <w:i/>
          <w:iCs/>
          <w:sz w:val="24"/>
          <w:szCs w:val="24"/>
        </w:rPr>
        <w:t xml:space="preserve">est attendu une </w:t>
      </w:r>
      <w:r w:rsidR="00FB4E30">
        <w:rPr>
          <w:rFonts w:ascii="Times New Roman" w:hAnsi="Times New Roman" w:cs="Times New Roman"/>
          <w:i/>
          <w:iCs/>
          <w:sz w:val="24"/>
          <w:szCs w:val="24"/>
        </w:rPr>
        <w:lastRenderedPageBreak/>
        <w:t>description</w:t>
      </w:r>
      <w:r w:rsidRPr="00BA4116">
        <w:rPr>
          <w:rFonts w:ascii="Times New Roman" w:hAnsi="Times New Roman" w:cs="Times New Roman"/>
          <w:i/>
          <w:iCs/>
          <w:sz w:val="24"/>
          <w:szCs w:val="24"/>
        </w:rPr>
        <w:t xml:space="preserve"> des dispositifs permettant à l’entreprise d’investissement de contrôler régulièrement la fiabilité et la cohérence de l’ICARAP.</w:t>
      </w:r>
    </w:p>
    <w:p w14:paraId="17046F70" w14:textId="77777777" w:rsidR="00607CEB" w:rsidRPr="00640178" w:rsidRDefault="00607CEB" w:rsidP="00640178">
      <w:pPr>
        <w:spacing w:after="0"/>
        <w:jc w:val="both"/>
        <w:rPr>
          <w:rFonts w:ascii="Times New Roman" w:hAnsi="Times New Roman" w:cs="Times New Roman"/>
          <w:sz w:val="24"/>
          <w:szCs w:val="24"/>
        </w:rPr>
      </w:pPr>
    </w:p>
    <w:p w14:paraId="2033D8D5" w14:textId="77777777" w:rsidR="00607CEB" w:rsidRPr="00222C06" w:rsidRDefault="00951315">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c</w:t>
      </w:r>
      <w:r w:rsidR="00607CEB" w:rsidRPr="00222C06">
        <w:rPr>
          <w:rFonts w:ascii="Times New Roman" w:hAnsi="Times New Roman" w:cs="Times New Roman"/>
          <w:sz w:val="24"/>
          <w:szCs w:val="24"/>
        </w:rPr>
        <w:t>adre</w:t>
      </w:r>
      <w:proofErr w:type="gramEnd"/>
      <w:r w:rsidR="00607CEB" w:rsidRPr="00222C06">
        <w:rPr>
          <w:rFonts w:ascii="Times New Roman" w:hAnsi="Times New Roman" w:cs="Times New Roman"/>
          <w:sz w:val="24"/>
          <w:szCs w:val="24"/>
        </w:rPr>
        <w:t xml:space="preserve"> global du contrôle interne de I'ICARAP, son organisation, sa fréquence, les rôles et responsabilités </w:t>
      </w:r>
      <w:r w:rsidR="00A451D3">
        <w:rPr>
          <w:rFonts w:ascii="Times New Roman" w:hAnsi="Times New Roman" w:cs="Times New Roman"/>
          <w:sz w:val="24"/>
          <w:szCs w:val="24"/>
        </w:rPr>
        <w:t>des différents</w:t>
      </w:r>
      <w:r w:rsidR="00607CEB" w:rsidRPr="00222C06">
        <w:rPr>
          <w:rFonts w:ascii="Times New Roman" w:hAnsi="Times New Roman" w:cs="Times New Roman"/>
          <w:sz w:val="24"/>
          <w:szCs w:val="24"/>
        </w:rPr>
        <w:t xml:space="preserve"> acteurs</w:t>
      </w:r>
      <w:r w:rsidR="00A451D3">
        <w:rPr>
          <w:rFonts w:ascii="Times New Roman" w:hAnsi="Times New Roman" w:cs="Times New Roman"/>
          <w:sz w:val="24"/>
          <w:szCs w:val="24"/>
        </w:rPr>
        <w:t xml:space="preserve"> impliqués</w:t>
      </w:r>
      <w:r>
        <w:rPr>
          <w:rFonts w:ascii="Times New Roman" w:hAnsi="Times New Roman" w:cs="Times New Roman"/>
          <w:sz w:val="24"/>
          <w:szCs w:val="24"/>
        </w:rPr>
        <w:t> ;</w:t>
      </w:r>
    </w:p>
    <w:p w14:paraId="00121F40" w14:textId="77777777" w:rsidR="00607CEB" w:rsidRPr="00222C06" w:rsidRDefault="00951315">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s</w:t>
      </w:r>
      <w:r w:rsidR="00607CEB" w:rsidRPr="00222C06">
        <w:rPr>
          <w:rFonts w:ascii="Times New Roman" w:hAnsi="Times New Roman" w:cs="Times New Roman"/>
          <w:sz w:val="24"/>
          <w:szCs w:val="24"/>
        </w:rPr>
        <w:t>ynthèse</w:t>
      </w:r>
      <w:proofErr w:type="gramEnd"/>
      <w:r w:rsidR="00607CEB" w:rsidRPr="00222C06">
        <w:rPr>
          <w:rFonts w:ascii="Times New Roman" w:hAnsi="Times New Roman" w:cs="Times New Roman"/>
          <w:sz w:val="24"/>
          <w:szCs w:val="24"/>
        </w:rPr>
        <w:t xml:space="preserve"> des conclusions des travaux du contrôle permanent, des rapports de missions d'audit couvrant le dispositif ICARAP et les mesures correctrices prévues</w:t>
      </w:r>
      <w:r>
        <w:rPr>
          <w:rFonts w:ascii="Times New Roman" w:hAnsi="Times New Roman" w:cs="Times New Roman"/>
          <w:sz w:val="24"/>
          <w:szCs w:val="24"/>
        </w:rPr>
        <w:t> ;</w:t>
      </w:r>
    </w:p>
    <w:p w14:paraId="524592BF" w14:textId="77777777" w:rsidR="00607CEB" w:rsidRPr="00222C06" w:rsidRDefault="00951315">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m</w:t>
      </w:r>
      <w:r w:rsidR="00607CEB" w:rsidRPr="00222C06">
        <w:rPr>
          <w:rFonts w:ascii="Times New Roman" w:hAnsi="Times New Roman" w:cs="Times New Roman"/>
          <w:sz w:val="24"/>
          <w:szCs w:val="24"/>
        </w:rPr>
        <w:t>écanismes</w:t>
      </w:r>
      <w:proofErr w:type="gramEnd"/>
      <w:r w:rsidR="00607CEB" w:rsidRPr="00222C06">
        <w:rPr>
          <w:rFonts w:ascii="Times New Roman" w:hAnsi="Times New Roman" w:cs="Times New Roman"/>
          <w:sz w:val="24"/>
          <w:szCs w:val="24"/>
        </w:rPr>
        <w:t xml:space="preserve"> de contrôle de la qualité des données (exhaustivité, intégrité, pertinence, mise à jour, validité et traçabilité)</w:t>
      </w:r>
      <w:r>
        <w:rPr>
          <w:rFonts w:ascii="Times New Roman" w:hAnsi="Times New Roman" w:cs="Times New Roman"/>
          <w:sz w:val="24"/>
          <w:szCs w:val="24"/>
        </w:rPr>
        <w:t>.</w:t>
      </w:r>
    </w:p>
    <w:p w14:paraId="521B8194" w14:textId="77777777" w:rsidR="00607CEB" w:rsidRPr="00640178" w:rsidRDefault="00607CEB" w:rsidP="00640178">
      <w:pPr>
        <w:spacing w:after="0"/>
        <w:jc w:val="both"/>
        <w:rPr>
          <w:rFonts w:ascii="Times New Roman" w:hAnsi="Times New Roman" w:cs="Times New Roman"/>
          <w:sz w:val="24"/>
          <w:szCs w:val="24"/>
        </w:rPr>
      </w:pPr>
    </w:p>
    <w:p w14:paraId="0446EA3A" w14:textId="77777777" w:rsidR="0013207E" w:rsidRDefault="0013207E">
      <w:pPr>
        <w:rPr>
          <w:rFonts w:ascii="Arial" w:eastAsiaTheme="majorEastAsia" w:hAnsi="Arial" w:cstheme="majorBidi"/>
          <w:b/>
          <w:color w:val="000000" w:themeColor="text1"/>
          <w:sz w:val="32"/>
          <w:szCs w:val="32"/>
        </w:rPr>
      </w:pPr>
      <w:r>
        <w:br w:type="page"/>
      </w:r>
    </w:p>
    <w:p w14:paraId="2F947648" w14:textId="77777777" w:rsidR="00607CEB" w:rsidRPr="00AB4859" w:rsidRDefault="000F6629">
      <w:pPr>
        <w:pStyle w:val="Titre1"/>
      </w:pPr>
      <w:bookmarkStart w:id="7" w:name="_Toc145687413"/>
      <w:r>
        <w:lastRenderedPageBreak/>
        <w:t>É</w:t>
      </w:r>
      <w:r w:rsidRPr="00640178">
        <w:t xml:space="preserve">valuation </w:t>
      </w:r>
      <w:r w:rsidR="00607CEB" w:rsidRPr="00640178">
        <w:t>de l’adéquation du niveau des fonds propres (ICAAP)</w:t>
      </w:r>
      <w:bookmarkEnd w:id="7"/>
    </w:p>
    <w:p w14:paraId="6D8A7F5F" w14:textId="77777777" w:rsidR="00607CEB" w:rsidRPr="005B1144" w:rsidRDefault="00607CEB">
      <w:pPr>
        <w:pStyle w:val="Titre2"/>
      </w:pPr>
      <w:bookmarkStart w:id="8" w:name="_Toc145687414"/>
      <w:r w:rsidRPr="005B1144">
        <w:t>Identification des risques</w:t>
      </w:r>
      <w:bookmarkEnd w:id="8"/>
      <w:r w:rsidR="005D7531">
        <w:rPr>
          <w:rStyle w:val="Appelnotedebasdep"/>
        </w:rPr>
        <w:footnoteReference w:id="4"/>
      </w:r>
    </w:p>
    <w:p w14:paraId="754549D5" w14:textId="77777777" w:rsidR="00607CEB" w:rsidRPr="00BA4116" w:rsidRDefault="00607CEB" w:rsidP="00640178">
      <w:pPr>
        <w:spacing w:after="0"/>
        <w:jc w:val="both"/>
        <w:rPr>
          <w:rFonts w:ascii="Times New Roman" w:hAnsi="Times New Roman" w:cs="Times New Roman"/>
          <w:i/>
          <w:iCs/>
          <w:sz w:val="24"/>
          <w:szCs w:val="24"/>
        </w:rPr>
      </w:pPr>
      <w:r w:rsidRPr="00BA4116">
        <w:rPr>
          <w:rFonts w:ascii="Times New Roman" w:hAnsi="Times New Roman" w:cs="Times New Roman"/>
          <w:i/>
          <w:iCs/>
          <w:sz w:val="24"/>
          <w:szCs w:val="24"/>
        </w:rPr>
        <w:t xml:space="preserve">Dans son inventaire des risques, </w:t>
      </w:r>
      <w:r w:rsidR="00F34B73">
        <w:rPr>
          <w:rFonts w:ascii="Times New Roman" w:hAnsi="Times New Roman" w:cs="Times New Roman"/>
          <w:i/>
          <w:iCs/>
          <w:sz w:val="24"/>
          <w:szCs w:val="24"/>
        </w:rPr>
        <w:t xml:space="preserve">il est attendu que </w:t>
      </w:r>
      <w:r w:rsidRPr="00BA4116">
        <w:rPr>
          <w:rFonts w:ascii="Times New Roman" w:hAnsi="Times New Roman" w:cs="Times New Roman"/>
          <w:i/>
          <w:iCs/>
          <w:sz w:val="24"/>
          <w:szCs w:val="24"/>
        </w:rPr>
        <w:t xml:space="preserve">l’entreprise d’investissement </w:t>
      </w:r>
      <w:r w:rsidR="00F34B73">
        <w:rPr>
          <w:rFonts w:ascii="Times New Roman" w:hAnsi="Times New Roman" w:cs="Times New Roman"/>
          <w:i/>
          <w:iCs/>
          <w:sz w:val="24"/>
          <w:szCs w:val="24"/>
        </w:rPr>
        <w:t>considère</w:t>
      </w:r>
      <w:r w:rsidR="000E1027">
        <w:rPr>
          <w:rFonts w:ascii="Times New Roman" w:hAnsi="Times New Roman" w:cs="Times New Roman"/>
          <w:i/>
          <w:iCs/>
          <w:sz w:val="24"/>
          <w:szCs w:val="24"/>
        </w:rPr>
        <w:t xml:space="preserve"> la notion de risques plus largement que les risques règlementaires strictement définis dans le pilier 1 </w:t>
      </w:r>
      <w:r w:rsidR="00F34B73">
        <w:rPr>
          <w:rFonts w:ascii="Times New Roman" w:hAnsi="Times New Roman" w:cs="Times New Roman"/>
          <w:i/>
          <w:iCs/>
          <w:sz w:val="24"/>
          <w:szCs w:val="24"/>
        </w:rPr>
        <w:t>et tienne</w:t>
      </w:r>
      <w:r w:rsidR="000E1027">
        <w:rPr>
          <w:rFonts w:ascii="Times New Roman" w:hAnsi="Times New Roman" w:cs="Times New Roman"/>
          <w:i/>
          <w:iCs/>
          <w:sz w:val="24"/>
          <w:szCs w:val="24"/>
        </w:rPr>
        <w:t xml:space="preserve"> compte de l’intégralité de son environnement (i.e. au-delà du périmètre de consolidation prudentiel). </w:t>
      </w:r>
      <w:r w:rsidRPr="00BA4116">
        <w:rPr>
          <w:rFonts w:ascii="Times New Roman" w:hAnsi="Times New Roman" w:cs="Times New Roman"/>
          <w:i/>
          <w:iCs/>
          <w:sz w:val="24"/>
          <w:szCs w:val="24"/>
        </w:rPr>
        <w:t>De façon proportionnée, l’entreprise d’investissement</w:t>
      </w:r>
      <w:r w:rsidR="007D003F">
        <w:rPr>
          <w:rFonts w:ascii="Times New Roman" w:hAnsi="Times New Roman" w:cs="Times New Roman"/>
          <w:i/>
          <w:iCs/>
          <w:sz w:val="24"/>
          <w:szCs w:val="24"/>
        </w:rPr>
        <w:t xml:space="preserve">, </w:t>
      </w:r>
      <w:r w:rsidRPr="00BA4116">
        <w:rPr>
          <w:rFonts w:ascii="Times New Roman" w:hAnsi="Times New Roman" w:cs="Times New Roman"/>
          <w:i/>
          <w:iCs/>
          <w:sz w:val="24"/>
          <w:szCs w:val="24"/>
        </w:rPr>
        <w:t>devrait regarder</w:t>
      </w:r>
      <w:r w:rsidR="007D003F">
        <w:rPr>
          <w:rFonts w:ascii="Times New Roman" w:hAnsi="Times New Roman" w:cs="Times New Roman"/>
          <w:i/>
          <w:iCs/>
          <w:sz w:val="24"/>
          <w:szCs w:val="24"/>
        </w:rPr>
        <w:t>,</w:t>
      </w:r>
      <w:r w:rsidRPr="00BA4116">
        <w:rPr>
          <w:rFonts w:ascii="Times New Roman" w:hAnsi="Times New Roman" w:cs="Times New Roman"/>
          <w:i/>
          <w:iCs/>
          <w:sz w:val="24"/>
          <w:szCs w:val="24"/>
        </w:rPr>
        <w:t xml:space="preserve"> recenser, comprendre et quantifier les risques sous-jacents significatifs et les prendre en compte dans sa taxonomie interne des risques, que les entités concernées soient incluses ou non dans le périmètre prudentiel. </w:t>
      </w:r>
    </w:p>
    <w:p w14:paraId="7E2E66FD" w14:textId="77777777" w:rsidR="00607CEB" w:rsidRPr="00640178" w:rsidRDefault="00607CEB" w:rsidP="00640178">
      <w:pPr>
        <w:spacing w:after="0"/>
        <w:jc w:val="both"/>
        <w:rPr>
          <w:rFonts w:ascii="Times New Roman" w:hAnsi="Times New Roman" w:cs="Times New Roman"/>
          <w:sz w:val="24"/>
          <w:szCs w:val="24"/>
        </w:rPr>
      </w:pPr>
    </w:p>
    <w:p w14:paraId="5531E66E" w14:textId="77777777" w:rsidR="00607CEB" w:rsidRPr="00222C06" w:rsidRDefault="00BD33C8">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t</w:t>
      </w:r>
      <w:r w:rsidR="00AA1D00">
        <w:rPr>
          <w:rFonts w:ascii="Times New Roman" w:hAnsi="Times New Roman" w:cs="Times New Roman"/>
          <w:sz w:val="24"/>
          <w:szCs w:val="24"/>
        </w:rPr>
        <w:t>axonomie</w:t>
      </w:r>
      <w:proofErr w:type="gramEnd"/>
      <w:r w:rsidR="00AA1D00">
        <w:rPr>
          <w:rFonts w:ascii="Times New Roman" w:hAnsi="Times New Roman" w:cs="Times New Roman"/>
          <w:sz w:val="24"/>
          <w:szCs w:val="24"/>
        </w:rPr>
        <w:t xml:space="preserve"> interne des risques et </w:t>
      </w:r>
      <w:r w:rsidR="00607CEB" w:rsidRPr="00222C06">
        <w:rPr>
          <w:rFonts w:ascii="Times New Roman" w:hAnsi="Times New Roman" w:cs="Times New Roman"/>
          <w:sz w:val="24"/>
          <w:szCs w:val="24"/>
        </w:rPr>
        <w:t>présentation des risques significatifs, des indicateurs de risque ainsi que des limites afférentes et du niveau des indicateurs à la date de référence</w:t>
      </w:r>
      <w:r>
        <w:rPr>
          <w:rFonts w:ascii="Times New Roman" w:hAnsi="Times New Roman" w:cs="Times New Roman"/>
          <w:sz w:val="24"/>
          <w:szCs w:val="24"/>
        </w:rPr>
        <w:t> ;</w:t>
      </w:r>
    </w:p>
    <w:p w14:paraId="7661E0CD" w14:textId="30FE626B" w:rsidR="00222C06" w:rsidRDefault="00BD33C8">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d</w:t>
      </w:r>
      <w:r w:rsidR="00607CEB" w:rsidRPr="00222C06">
        <w:rPr>
          <w:rFonts w:ascii="Times New Roman" w:hAnsi="Times New Roman" w:cs="Times New Roman"/>
          <w:sz w:val="24"/>
          <w:szCs w:val="24"/>
        </w:rPr>
        <w:t>escription</w:t>
      </w:r>
      <w:proofErr w:type="gramEnd"/>
      <w:r w:rsidR="00607CEB" w:rsidRPr="00222C06">
        <w:rPr>
          <w:rFonts w:ascii="Times New Roman" w:hAnsi="Times New Roman" w:cs="Times New Roman"/>
          <w:sz w:val="24"/>
          <w:szCs w:val="24"/>
        </w:rPr>
        <w:t xml:space="preserve"> de l’approche utilisée pour déterminer l</w:t>
      </w:r>
      <w:r w:rsidR="00AA1D00">
        <w:rPr>
          <w:rFonts w:ascii="Times New Roman" w:hAnsi="Times New Roman" w:cs="Times New Roman"/>
          <w:sz w:val="24"/>
          <w:szCs w:val="24"/>
        </w:rPr>
        <w:t>e niveau</w:t>
      </w:r>
      <w:r w:rsidR="00607CEB" w:rsidRPr="00222C06">
        <w:rPr>
          <w:rFonts w:ascii="Times New Roman" w:hAnsi="Times New Roman" w:cs="Times New Roman"/>
          <w:sz w:val="24"/>
          <w:szCs w:val="24"/>
        </w:rPr>
        <w:t xml:space="preserve"> des risques/le caractère significatif d’un risque</w:t>
      </w:r>
      <w:r w:rsidR="001E5550">
        <w:rPr>
          <w:rFonts w:ascii="Times New Roman" w:hAnsi="Times New Roman" w:cs="Times New Roman"/>
          <w:sz w:val="24"/>
          <w:szCs w:val="24"/>
        </w:rPr>
        <w:t> ;</w:t>
      </w:r>
    </w:p>
    <w:p w14:paraId="23FA0652" w14:textId="2A126A94" w:rsidR="00BF3FB5" w:rsidRPr="001E5550" w:rsidRDefault="00BF3FB5" w:rsidP="00BF3FB5">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c</w:t>
      </w:r>
      <w:r w:rsidRPr="00222C06">
        <w:rPr>
          <w:rFonts w:ascii="Times New Roman" w:hAnsi="Times New Roman" w:cs="Times New Roman"/>
          <w:sz w:val="24"/>
          <w:szCs w:val="24"/>
        </w:rPr>
        <w:t>ohérence</w:t>
      </w:r>
      <w:proofErr w:type="gramEnd"/>
      <w:r w:rsidRPr="00222C06">
        <w:rPr>
          <w:rFonts w:ascii="Times New Roman" w:hAnsi="Times New Roman" w:cs="Times New Roman"/>
          <w:sz w:val="24"/>
          <w:szCs w:val="24"/>
        </w:rPr>
        <w:t xml:space="preserve"> du dispositif d’ICARAP avec l’évolution du profil de risques de l’entité</w:t>
      </w:r>
      <w:r w:rsidR="001E5550">
        <w:rPr>
          <w:rFonts w:ascii="Times New Roman" w:hAnsi="Times New Roman" w:cs="Times New Roman"/>
          <w:sz w:val="24"/>
          <w:szCs w:val="24"/>
        </w:rPr>
        <w:t>.</w:t>
      </w:r>
    </w:p>
    <w:p w14:paraId="49D1365B" w14:textId="77777777" w:rsidR="00607CEB" w:rsidRPr="005B1144" w:rsidRDefault="00607CEB">
      <w:pPr>
        <w:pStyle w:val="Titre2"/>
      </w:pPr>
      <w:bookmarkStart w:id="9" w:name="_Toc145687415"/>
      <w:r w:rsidRPr="005B1144">
        <w:t>Quantification des risques</w:t>
      </w:r>
      <w:bookmarkEnd w:id="9"/>
      <w:r w:rsidR="005D7531">
        <w:rPr>
          <w:rStyle w:val="Appelnotedebasdep"/>
        </w:rPr>
        <w:footnoteReference w:id="5"/>
      </w:r>
    </w:p>
    <w:p w14:paraId="7A1F0E3B" w14:textId="138E9ACC" w:rsidR="00607CEB" w:rsidRDefault="00947B73" w:rsidP="00640178">
      <w:pPr>
        <w:spacing w:after="0"/>
        <w:jc w:val="both"/>
        <w:rPr>
          <w:rFonts w:ascii="Times New Roman" w:hAnsi="Times New Roman" w:cs="Times New Roman"/>
          <w:i/>
          <w:iCs/>
          <w:sz w:val="24"/>
          <w:szCs w:val="24"/>
        </w:rPr>
      </w:pPr>
      <w:r>
        <w:rPr>
          <w:rFonts w:ascii="Times New Roman" w:hAnsi="Times New Roman" w:cs="Times New Roman"/>
          <w:i/>
          <w:iCs/>
          <w:sz w:val="24"/>
          <w:szCs w:val="24"/>
        </w:rPr>
        <w:t>Il est attendu que l</w:t>
      </w:r>
      <w:r w:rsidR="00607CEB" w:rsidRPr="00BA4116">
        <w:rPr>
          <w:rFonts w:ascii="Times New Roman" w:hAnsi="Times New Roman" w:cs="Times New Roman"/>
          <w:i/>
          <w:iCs/>
          <w:sz w:val="24"/>
          <w:szCs w:val="24"/>
        </w:rPr>
        <w:t xml:space="preserve">’entreprise d’investissement </w:t>
      </w:r>
      <w:r w:rsidR="00B32526">
        <w:rPr>
          <w:rFonts w:ascii="Times New Roman" w:hAnsi="Times New Roman" w:cs="Times New Roman"/>
          <w:i/>
          <w:iCs/>
          <w:sz w:val="24"/>
          <w:szCs w:val="24"/>
        </w:rPr>
        <w:t>développe des</w:t>
      </w:r>
      <w:r w:rsidR="005F73B1">
        <w:rPr>
          <w:rFonts w:ascii="Times New Roman" w:hAnsi="Times New Roman" w:cs="Times New Roman"/>
          <w:i/>
          <w:iCs/>
          <w:sz w:val="24"/>
          <w:szCs w:val="24"/>
        </w:rPr>
        <w:t xml:space="preserve"> métriques</w:t>
      </w:r>
      <w:r w:rsidR="00607CEB" w:rsidRPr="00BA4116">
        <w:rPr>
          <w:rFonts w:ascii="Times New Roman" w:hAnsi="Times New Roman" w:cs="Times New Roman"/>
          <w:i/>
          <w:iCs/>
          <w:sz w:val="24"/>
          <w:szCs w:val="24"/>
        </w:rPr>
        <w:t xml:space="preserve"> de quantification des risques adaptées à sa situation individuelle, dans le cadre de l’approche économique interne. </w:t>
      </w:r>
    </w:p>
    <w:p w14:paraId="687F89C2" w14:textId="300A962F" w:rsidR="00111654" w:rsidRPr="00BA4116" w:rsidRDefault="00111654" w:rsidP="00640178">
      <w:pPr>
        <w:spacing w:after="0"/>
        <w:jc w:val="both"/>
        <w:rPr>
          <w:rFonts w:ascii="Times New Roman" w:hAnsi="Times New Roman" w:cs="Times New Roman"/>
          <w:i/>
          <w:iCs/>
          <w:sz w:val="24"/>
          <w:szCs w:val="24"/>
        </w:rPr>
      </w:pPr>
      <w:r>
        <w:rPr>
          <w:rFonts w:ascii="Times New Roman" w:hAnsi="Times New Roman" w:cs="Times New Roman"/>
          <w:i/>
          <w:iCs/>
          <w:sz w:val="24"/>
          <w:szCs w:val="24"/>
        </w:rPr>
        <w:t>Ces mét</w:t>
      </w:r>
      <w:r w:rsidR="005F73B1">
        <w:rPr>
          <w:rFonts w:ascii="Times New Roman" w:hAnsi="Times New Roman" w:cs="Times New Roman"/>
          <w:i/>
          <w:iCs/>
          <w:sz w:val="24"/>
          <w:szCs w:val="24"/>
        </w:rPr>
        <w:t>riques</w:t>
      </w:r>
      <w:r>
        <w:rPr>
          <w:rFonts w:ascii="Times New Roman" w:hAnsi="Times New Roman" w:cs="Times New Roman"/>
          <w:i/>
          <w:iCs/>
          <w:sz w:val="24"/>
          <w:szCs w:val="24"/>
        </w:rPr>
        <w:t xml:space="preserve"> sont ensuite intégrées dans le cadre d’appétence au risque de l’entité.</w:t>
      </w:r>
    </w:p>
    <w:p w14:paraId="723A9203" w14:textId="26026863" w:rsidR="00B74EB8" w:rsidRPr="00BA4116" w:rsidRDefault="00B74EB8" w:rsidP="00640178">
      <w:pPr>
        <w:spacing w:after="0"/>
        <w:jc w:val="both"/>
        <w:rPr>
          <w:rFonts w:ascii="Times New Roman" w:hAnsi="Times New Roman" w:cs="Times New Roman"/>
          <w:i/>
          <w:iCs/>
          <w:sz w:val="24"/>
          <w:szCs w:val="24"/>
        </w:rPr>
      </w:pPr>
    </w:p>
    <w:p w14:paraId="45640B00" w14:textId="3145C3DE" w:rsidR="00607CEB" w:rsidRPr="00BA4116" w:rsidRDefault="00607CEB" w:rsidP="00640178">
      <w:pPr>
        <w:spacing w:after="0"/>
        <w:jc w:val="both"/>
        <w:rPr>
          <w:rFonts w:ascii="Times New Roman" w:hAnsi="Times New Roman" w:cs="Times New Roman"/>
          <w:i/>
          <w:iCs/>
          <w:sz w:val="24"/>
          <w:szCs w:val="24"/>
        </w:rPr>
      </w:pPr>
      <w:r w:rsidRPr="00BA4116">
        <w:rPr>
          <w:rFonts w:ascii="Times New Roman" w:hAnsi="Times New Roman" w:cs="Times New Roman"/>
          <w:i/>
          <w:iCs/>
          <w:sz w:val="24"/>
          <w:szCs w:val="24"/>
        </w:rPr>
        <w:t>Les risques difficiles à quantifier, par exemple en raison de données manquantes ou de l’absence de mét</w:t>
      </w:r>
      <w:r w:rsidR="005F73B1">
        <w:rPr>
          <w:rFonts w:ascii="Times New Roman" w:hAnsi="Times New Roman" w:cs="Times New Roman"/>
          <w:i/>
          <w:iCs/>
          <w:sz w:val="24"/>
          <w:szCs w:val="24"/>
        </w:rPr>
        <w:t>rique</w:t>
      </w:r>
      <w:r w:rsidRPr="00BA4116">
        <w:rPr>
          <w:rFonts w:ascii="Times New Roman" w:hAnsi="Times New Roman" w:cs="Times New Roman"/>
          <w:i/>
          <w:iCs/>
          <w:sz w:val="24"/>
          <w:szCs w:val="24"/>
        </w:rPr>
        <w:t xml:space="preserve"> de quantif</w:t>
      </w:r>
      <w:r w:rsidR="005F73B1">
        <w:rPr>
          <w:rFonts w:ascii="Times New Roman" w:hAnsi="Times New Roman" w:cs="Times New Roman"/>
          <w:i/>
          <w:iCs/>
          <w:sz w:val="24"/>
          <w:szCs w:val="24"/>
        </w:rPr>
        <w:t>ication établie</w:t>
      </w:r>
      <w:r w:rsidRPr="00BA4116">
        <w:rPr>
          <w:rFonts w:ascii="Times New Roman" w:hAnsi="Times New Roman" w:cs="Times New Roman"/>
          <w:i/>
          <w:iCs/>
          <w:sz w:val="24"/>
          <w:szCs w:val="24"/>
        </w:rPr>
        <w:t xml:space="preserve">, ne doivent pas être exclus de l’évaluation. Pour ces </w:t>
      </w:r>
      <w:r w:rsidR="000F2683">
        <w:rPr>
          <w:rFonts w:ascii="Times New Roman" w:hAnsi="Times New Roman" w:cs="Times New Roman"/>
          <w:i/>
          <w:iCs/>
          <w:sz w:val="24"/>
          <w:szCs w:val="24"/>
        </w:rPr>
        <w:t>dernier</w:t>
      </w:r>
      <w:r w:rsidR="000F2683" w:rsidRPr="00BA4116">
        <w:rPr>
          <w:rFonts w:ascii="Times New Roman" w:hAnsi="Times New Roman" w:cs="Times New Roman"/>
          <w:i/>
          <w:iCs/>
          <w:sz w:val="24"/>
          <w:szCs w:val="24"/>
        </w:rPr>
        <w:t>s</w:t>
      </w:r>
      <w:r w:rsidRPr="00BA4116">
        <w:rPr>
          <w:rFonts w:ascii="Times New Roman" w:hAnsi="Times New Roman" w:cs="Times New Roman"/>
          <w:i/>
          <w:iCs/>
          <w:sz w:val="24"/>
          <w:szCs w:val="24"/>
        </w:rPr>
        <w:t xml:space="preserve">, l’entreprise d’investissement peut concevoir des </w:t>
      </w:r>
      <w:r w:rsidR="005F73B1">
        <w:rPr>
          <w:rFonts w:ascii="Times New Roman" w:hAnsi="Times New Roman" w:cs="Times New Roman"/>
          <w:i/>
          <w:iCs/>
          <w:sz w:val="24"/>
          <w:szCs w:val="24"/>
        </w:rPr>
        <w:t>métriques</w:t>
      </w:r>
      <w:r w:rsidRPr="00BA4116">
        <w:rPr>
          <w:rFonts w:ascii="Times New Roman" w:hAnsi="Times New Roman" w:cs="Times New Roman"/>
          <w:i/>
          <w:iCs/>
          <w:sz w:val="24"/>
          <w:szCs w:val="24"/>
        </w:rPr>
        <w:t xml:space="preserve"> de quantification des pertes attendues, y compris à travers un jugement d’expert. Dans ce cas, il est attendu de l’entreprise d’investissement qu’elle </w:t>
      </w:r>
      <w:r w:rsidR="005F2BD5">
        <w:rPr>
          <w:rFonts w:ascii="Times New Roman" w:hAnsi="Times New Roman" w:cs="Times New Roman"/>
          <w:i/>
          <w:iCs/>
          <w:sz w:val="24"/>
          <w:szCs w:val="24"/>
        </w:rPr>
        <w:t>applique une approche prudente</w:t>
      </w:r>
      <w:r w:rsidRPr="00BA4116">
        <w:rPr>
          <w:rFonts w:ascii="Times New Roman" w:hAnsi="Times New Roman" w:cs="Times New Roman"/>
          <w:i/>
          <w:iCs/>
          <w:sz w:val="24"/>
          <w:szCs w:val="24"/>
        </w:rPr>
        <w:t>, en tenant compte de toutes les informations pertinentes disponibles et en veillant à l’adéquation et à la cohérence de son choix.</w:t>
      </w:r>
      <w:r w:rsidR="00ED5ED6">
        <w:rPr>
          <w:rFonts w:ascii="Times New Roman" w:hAnsi="Times New Roman" w:cs="Times New Roman"/>
          <w:i/>
          <w:iCs/>
          <w:sz w:val="24"/>
          <w:szCs w:val="24"/>
        </w:rPr>
        <w:t xml:space="preserve"> Il est également possible pour l’entreprise d’investissement d’</w:t>
      </w:r>
      <w:r w:rsidR="00ED5ED6" w:rsidRPr="00ED5ED6">
        <w:rPr>
          <w:rFonts w:ascii="Times New Roman" w:hAnsi="Times New Roman" w:cs="Times New Roman"/>
          <w:i/>
          <w:iCs/>
          <w:sz w:val="24"/>
          <w:szCs w:val="24"/>
        </w:rPr>
        <w:t>acquérir des modèles au</w:t>
      </w:r>
      <w:r w:rsidR="00ED5ED6">
        <w:rPr>
          <w:rFonts w:ascii="Times New Roman" w:hAnsi="Times New Roman" w:cs="Times New Roman"/>
          <w:i/>
          <w:iCs/>
          <w:sz w:val="24"/>
          <w:szCs w:val="24"/>
        </w:rPr>
        <w:t>près de tiers.</w:t>
      </w:r>
      <w:r w:rsidR="00ED5ED6" w:rsidRPr="00ED5ED6">
        <w:rPr>
          <w:rFonts w:ascii="Times New Roman" w:hAnsi="Times New Roman" w:cs="Times New Roman"/>
          <w:i/>
          <w:iCs/>
          <w:sz w:val="24"/>
          <w:szCs w:val="24"/>
        </w:rPr>
        <w:t xml:space="preserve"> Cela suppose notamment que les modèles tiers ne soient pas importés automatiquement mais soient pleinement compris par l’</w:t>
      </w:r>
      <w:r w:rsidR="00ED5ED6">
        <w:rPr>
          <w:rFonts w:ascii="Times New Roman" w:hAnsi="Times New Roman" w:cs="Times New Roman"/>
          <w:i/>
          <w:iCs/>
          <w:sz w:val="24"/>
          <w:szCs w:val="24"/>
        </w:rPr>
        <w:t>entreprise</w:t>
      </w:r>
      <w:r w:rsidR="00ED5ED6" w:rsidRPr="00ED5ED6">
        <w:rPr>
          <w:rFonts w:ascii="Times New Roman" w:hAnsi="Times New Roman" w:cs="Times New Roman"/>
          <w:i/>
          <w:iCs/>
          <w:sz w:val="24"/>
          <w:szCs w:val="24"/>
        </w:rPr>
        <w:t xml:space="preserve">, bien adaptés à </w:t>
      </w:r>
      <w:r w:rsidR="00ED5ED6">
        <w:rPr>
          <w:rFonts w:ascii="Times New Roman" w:hAnsi="Times New Roman" w:cs="Times New Roman"/>
          <w:i/>
          <w:iCs/>
          <w:sz w:val="24"/>
          <w:szCs w:val="24"/>
        </w:rPr>
        <w:t>cette dernière</w:t>
      </w:r>
      <w:r w:rsidR="00ED5ED6" w:rsidRPr="00ED5ED6">
        <w:rPr>
          <w:rFonts w:ascii="Times New Roman" w:hAnsi="Times New Roman" w:cs="Times New Roman"/>
          <w:i/>
          <w:iCs/>
          <w:sz w:val="24"/>
          <w:szCs w:val="24"/>
        </w:rPr>
        <w:t xml:space="preserve"> et qu’ils correspondent à son activité et à son profil de risque. </w:t>
      </w:r>
      <w:r w:rsidR="00213EC9">
        <w:rPr>
          <w:rFonts w:ascii="Times New Roman" w:hAnsi="Times New Roman" w:cs="Times New Roman"/>
          <w:i/>
          <w:iCs/>
          <w:sz w:val="24"/>
          <w:szCs w:val="24"/>
        </w:rPr>
        <w:t>À titre d’illustration</w:t>
      </w:r>
      <w:r w:rsidR="00ED5ED6" w:rsidRPr="00ED5ED6">
        <w:rPr>
          <w:rFonts w:ascii="Times New Roman" w:hAnsi="Times New Roman" w:cs="Times New Roman"/>
          <w:i/>
          <w:iCs/>
          <w:sz w:val="24"/>
          <w:szCs w:val="24"/>
        </w:rPr>
        <w:t xml:space="preserve">, </w:t>
      </w:r>
      <w:r w:rsidR="00ED5ED6">
        <w:rPr>
          <w:rFonts w:ascii="Times New Roman" w:hAnsi="Times New Roman" w:cs="Times New Roman"/>
          <w:i/>
          <w:iCs/>
          <w:sz w:val="24"/>
          <w:szCs w:val="24"/>
        </w:rPr>
        <w:t>l’entreprise d’investissement</w:t>
      </w:r>
      <w:r w:rsidR="00ED5ED6" w:rsidRPr="00ED5ED6">
        <w:rPr>
          <w:rFonts w:ascii="Times New Roman" w:hAnsi="Times New Roman" w:cs="Times New Roman"/>
          <w:i/>
          <w:iCs/>
          <w:sz w:val="24"/>
          <w:szCs w:val="24"/>
        </w:rPr>
        <w:t xml:space="preserve"> </w:t>
      </w:r>
      <w:r w:rsidR="00C9488C">
        <w:rPr>
          <w:rFonts w:ascii="Times New Roman" w:hAnsi="Times New Roman" w:cs="Times New Roman"/>
          <w:i/>
          <w:iCs/>
          <w:sz w:val="24"/>
          <w:szCs w:val="24"/>
        </w:rPr>
        <w:t>pourrait</w:t>
      </w:r>
      <w:r w:rsidR="00ED5ED6" w:rsidRPr="00ED5ED6">
        <w:rPr>
          <w:rFonts w:ascii="Times New Roman" w:hAnsi="Times New Roman" w:cs="Times New Roman"/>
          <w:i/>
          <w:iCs/>
          <w:sz w:val="24"/>
          <w:szCs w:val="24"/>
        </w:rPr>
        <w:t xml:space="preserve"> appliquer des contrôles plus approfondis et plus fréquents.</w:t>
      </w:r>
    </w:p>
    <w:p w14:paraId="2A06E8F3" w14:textId="77777777" w:rsidR="00607CEB" w:rsidRPr="00BA4116" w:rsidRDefault="00607CEB" w:rsidP="00640178">
      <w:pPr>
        <w:spacing w:after="0"/>
        <w:jc w:val="both"/>
        <w:rPr>
          <w:rFonts w:ascii="Times New Roman" w:hAnsi="Times New Roman" w:cs="Times New Roman"/>
          <w:i/>
          <w:iCs/>
          <w:sz w:val="24"/>
          <w:szCs w:val="24"/>
        </w:rPr>
      </w:pPr>
    </w:p>
    <w:p w14:paraId="662385F8" w14:textId="77777777" w:rsidR="00607CEB" w:rsidRPr="00BA4116" w:rsidRDefault="00607CEB" w:rsidP="00640178">
      <w:pPr>
        <w:spacing w:after="0"/>
        <w:jc w:val="both"/>
        <w:rPr>
          <w:rFonts w:ascii="Times New Roman" w:hAnsi="Times New Roman" w:cs="Times New Roman"/>
          <w:i/>
          <w:iCs/>
          <w:sz w:val="24"/>
          <w:szCs w:val="24"/>
        </w:rPr>
      </w:pPr>
      <w:r w:rsidRPr="00BA4116">
        <w:rPr>
          <w:rFonts w:ascii="Times New Roman" w:hAnsi="Times New Roman" w:cs="Times New Roman"/>
          <w:i/>
          <w:iCs/>
          <w:sz w:val="24"/>
          <w:szCs w:val="24"/>
        </w:rPr>
        <w:t xml:space="preserve">Quelle que soit l’approche, </w:t>
      </w:r>
      <w:r w:rsidR="008D4EDA">
        <w:rPr>
          <w:rFonts w:ascii="Times New Roman" w:hAnsi="Times New Roman" w:cs="Times New Roman"/>
          <w:i/>
          <w:iCs/>
          <w:sz w:val="24"/>
          <w:szCs w:val="24"/>
        </w:rPr>
        <w:t>l’objectif est de</w:t>
      </w:r>
      <w:r w:rsidR="006722BB">
        <w:rPr>
          <w:rFonts w:ascii="Times New Roman" w:hAnsi="Times New Roman" w:cs="Times New Roman"/>
          <w:i/>
          <w:iCs/>
          <w:sz w:val="24"/>
          <w:szCs w:val="24"/>
        </w:rPr>
        <w:t xml:space="preserve"> </w:t>
      </w:r>
      <w:r w:rsidRPr="00BA4116">
        <w:rPr>
          <w:rFonts w:ascii="Times New Roman" w:hAnsi="Times New Roman" w:cs="Times New Roman"/>
          <w:i/>
          <w:iCs/>
          <w:sz w:val="24"/>
          <w:szCs w:val="24"/>
        </w:rPr>
        <w:t>considérer les événements rares ou extrêmes</w:t>
      </w:r>
      <w:r w:rsidR="00370692">
        <w:rPr>
          <w:rFonts w:ascii="Times New Roman" w:hAnsi="Times New Roman" w:cs="Times New Roman"/>
          <w:i/>
          <w:iCs/>
          <w:sz w:val="24"/>
          <w:szCs w:val="24"/>
        </w:rPr>
        <w:t xml:space="preserve"> mais plausible </w:t>
      </w:r>
      <w:r w:rsidRPr="00BA4116">
        <w:rPr>
          <w:rFonts w:ascii="Times New Roman" w:hAnsi="Times New Roman" w:cs="Times New Roman"/>
          <w:i/>
          <w:iCs/>
          <w:sz w:val="24"/>
          <w:szCs w:val="24"/>
        </w:rPr>
        <w:t>de manière appropriée.</w:t>
      </w:r>
    </w:p>
    <w:p w14:paraId="7BD7772C" w14:textId="77777777" w:rsidR="00607CEB" w:rsidRPr="00BA4116" w:rsidRDefault="00607CEB" w:rsidP="00640178">
      <w:pPr>
        <w:spacing w:after="0"/>
        <w:jc w:val="both"/>
        <w:rPr>
          <w:rFonts w:ascii="Times New Roman" w:hAnsi="Times New Roman" w:cs="Times New Roman"/>
          <w:i/>
          <w:iCs/>
          <w:sz w:val="24"/>
          <w:szCs w:val="24"/>
        </w:rPr>
      </w:pPr>
    </w:p>
    <w:p w14:paraId="1403CB66" w14:textId="4448B9C3" w:rsidR="00607CEB" w:rsidRDefault="00607CEB" w:rsidP="00640178">
      <w:pPr>
        <w:spacing w:after="0"/>
        <w:jc w:val="both"/>
        <w:rPr>
          <w:rFonts w:ascii="Times New Roman" w:hAnsi="Times New Roman" w:cs="Times New Roman"/>
          <w:i/>
          <w:iCs/>
          <w:sz w:val="24"/>
          <w:szCs w:val="24"/>
        </w:rPr>
      </w:pPr>
      <w:r w:rsidRPr="00BA4116">
        <w:rPr>
          <w:rFonts w:ascii="Times New Roman" w:hAnsi="Times New Roman" w:cs="Times New Roman"/>
          <w:i/>
          <w:iCs/>
          <w:sz w:val="24"/>
          <w:szCs w:val="24"/>
        </w:rPr>
        <w:t>L’entreprise d’investissement d</w:t>
      </w:r>
      <w:r w:rsidR="006722BB">
        <w:rPr>
          <w:rFonts w:ascii="Times New Roman" w:hAnsi="Times New Roman" w:cs="Times New Roman"/>
          <w:i/>
          <w:iCs/>
          <w:sz w:val="24"/>
          <w:szCs w:val="24"/>
        </w:rPr>
        <w:t>evra</w:t>
      </w:r>
      <w:r w:rsidRPr="00BA4116">
        <w:rPr>
          <w:rFonts w:ascii="Times New Roman" w:hAnsi="Times New Roman" w:cs="Times New Roman"/>
          <w:i/>
          <w:iCs/>
          <w:sz w:val="24"/>
          <w:szCs w:val="24"/>
        </w:rPr>
        <w:t xml:space="preserve">it également s’assurer que les modèles de quantification sont revus régulièrement par une fonction indépendante. Selon la taille et la complexité de l’entreprise, différentes solutions organisationnelles peuvent être adoptées pour garantir l’indépendance entre l’élaboration et la validation des </w:t>
      </w:r>
      <w:r w:rsidR="005F73B1">
        <w:rPr>
          <w:rFonts w:ascii="Times New Roman" w:hAnsi="Times New Roman" w:cs="Times New Roman"/>
          <w:i/>
          <w:iCs/>
          <w:sz w:val="24"/>
          <w:szCs w:val="24"/>
        </w:rPr>
        <w:t>métriques</w:t>
      </w:r>
      <w:r w:rsidRPr="00BA4116">
        <w:rPr>
          <w:rFonts w:ascii="Times New Roman" w:hAnsi="Times New Roman" w:cs="Times New Roman"/>
          <w:i/>
          <w:iCs/>
          <w:sz w:val="24"/>
          <w:szCs w:val="24"/>
        </w:rPr>
        <w:t xml:space="preserve"> de quantification des risques. Cette revue peut notamment être assurée par l’une des fonctions de contrôle en place au sein de l’entreprise d’investissement. </w:t>
      </w:r>
    </w:p>
    <w:p w14:paraId="709EB7A2" w14:textId="77777777" w:rsidR="00ED5ED6" w:rsidRDefault="00ED5ED6" w:rsidP="00640178">
      <w:pPr>
        <w:spacing w:after="0"/>
        <w:jc w:val="both"/>
        <w:rPr>
          <w:rFonts w:ascii="Times New Roman" w:hAnsi="Times New Roman" w:cs="Times New Roman"/>
          <w:i/>
          <w:iCs/>
          <w:sz w:val="24"/>
          <w:szCs w:val="24"/>
        </w:rPr>
      </w:pPr>
    </w:p>
    <w:p w14:paraId="13F7A8CE" w14:textId="77777777" w:rsidR="00ED5ED6" w:rsidRPr="00FB7235" w:rsidRDefault="00ED5ED6" w:rsidP="00ED5ED6">
      <w:pPr>
        <w:widowControl w:val="0"/>
        <w:autoSpaceDE w:val="0"/>
        <w:autoSpaceDN w:val="0"/>
        <w:adjustRightInd w:val="0"/>
        <w:spacing w:after="0" w:line="240" w:lineRule="auto"/>
        <w:jc w:val="both"/>
        <w:rPr>
          <w:rFonts w:ascii="Times New Roman" w:eastAsia="Batang" w:hAnsi="Times New Roman" w:cs="Times New Roman"/>
          <w:i/>
          <w:sz w:val="24"/>
          <w:szCs w:val="24"/>
        </w:rPr>
      </w:pPr>
      <w:r>
        <w:rPr>
          <w:rFonts w:ascii="Times New Roman" w:eastAsia="Batang" w:hAnsi="Times New Roman" w:cs="Times New Roman"/>
          <w:i/>
          <w:sz w:val="24"/>
          <w:szCs w:val="24"/>
        </w:rPr>
        <w:t>Afin de vérifier la pertinence de l’utilisation d’un modèle, il est recommandé que l’entreprise d’investissement conduise des exercices dits de « </w:t>
      </w:r>
      <w:proofErr w:type="spellStart"/>
      <w:r>
        <w:rPr>
          <w:rFonts w:ascii="Times New Roman" w:eastAsia="Batang" w:hAnsi="Times New Roman" w:cs="Times New Roman"/>
          <w:i/>
          <w:sz w:val="24"/>
          <w:szCs w:val="24"/>
        </w:rPr>
        <w:t>backtesting</w:t>
      </w:r>
      <w:proofErr w:type="spellEnd"/>
      <w:r>
        <w:rPr>
          <w:rFonts w:ascii="Times New Roman" w:eastAsia="Batang" w:hAnsi="Times New Roman" w:cs="Times New Roman"/>
          <w:i/>
          <w:sz w:val="24"/>
          <w:szCs w:val="24"/>
        </w:rPr>
        <w:t xml:space="preserve"> », consistant à tester rétroactivement la pertinence d’un modèle et de ses hypothèses. Le </w:t>
      </w:r>
      <w:proofErr w:type="spellStart"/>
      <w:r>
        <w:rPr>
          <w:rFonts w:ascii="Times New Roman" w:eastAsia="Batang" w:hAnsi="Times New Roman" w:cs="Times New Roman"/>
          <w:i/>
          <w:sz w:val="24"/>
          <w:szCs w:val="24"/>
        </w:rPr>
        <w:t>backtesting</w:t>
      </w:r>
      <w:proofErr w:type="spellEnd"/>
      <w:r>
        <w:rPr>
          <w:rFonts w:ascii="Times New Roman" w:eastAsia="Batang" w:hAnsi="Times New Roman" w:cs="Times New Roman"/>
          <w:i/>
          <w:sz w:val="24"/>
          <w:szCs w:val="24"/>
        </w:rPr>
        <w:t xml:space="preserve"> peut permettre par exemple d’évaluer une stratégie (en fonction du passé), ou encore de </w:t>
      </w:r>
      <w:r w:rsidR="00BB2AE3">
        <w:rPr>
          <w:rFonts w:ascii="Times New Roman" w:eastAsia="Batang" w:hAnsi="Times New Roman" w:cs="Times New Roman"/>
          <w:i/>
          <w:sz w:val="24"/>
          <w:szCs w:val="24"/>
        </w:rPr>
        <w:t>vérifier</w:t>
      </w:r>
      <w:r w:rsidR="00743FC5">
        <w:rPr>
          <w:rFonts w:ascii="Times New Roman" w:eastAsia="Batang" w:hAnsi="Times New Roman" w:cs="Times New Roman"/>
          <w:i/>
          <w:sz w:val="24"/>
          <w:szCs w:val="24"/>
        </w:rPr>
        <w:t xml:space="preserve"> que </w:t>
      </w:r>
      <w:r>
        <w:rPr>
          <w:rFonts w:ascii="Times New Roman" w:eastAsia="Batang" w:hAnsi="Times New Roman" w:cs="Times New Roman"/>
          <w:i/>
          <w:sz w:val="24"/>
          <w:szCs w:val="24"/>
        </w:rPr>
        <w:t>les paramètres d’un modèle</w:t>
      </w:r>
      <w:r w:rsidR="00752C5F">
        <w:rPr>
          <w:rFonts w:ascii="Times New Roman" w:eastAsia="Batang" w:hAnsi="Times New Roman" w:cs="Times New Roman"/>
          <w:i/>
          <w:sz w:val="24"/>
          <w:szCs w:val="24"/>
        </w:rPr>
        <w:t xml:space="preserve"> sont adaptés</w:t>
      </w:r>
      <w:r>
        <w:rPr>
          <w:rFonts w:ascii="Times New Roman" w:eastAsia="Batang" w:hAnsi="Times New Roman" w:cs="Times New Roman"/>
          <w:i/>
          <w:sz w:val="24"/>
          <w:szCs w:val="24"/>
        </w:rPr>
        <w:t>.</w:t>
      </w:r>
    </w:p>
    <w:p w14:paraId="1F13B07E" w14:textId="77777777" w:rsidR="00ED5ED6" w:rsidRDefault="00ED5ED6" w:rsidP="00640178">
      <w:pPr>
        <w:spacing w:after="0"/>
        <w:jc w:val="both"/>
        <w:rPr>
          <w:rFonts w:ascii="Times New Roman" w:hAnsi="Times New Roman" w:cs="Times New Roman"/>
          <w:i/>
          <w:iCs/>
          <w:sz w:val="24"/>
          <w:szCs w:val="24"/>
        </w:rPr>
      </w:pPr>
    </w:p>
    <w:p w14:paraId="51669A74" w14:textId="77777777" w:rsidR="00ED5ED6" w:rsidRPr="00BA4116" w:rsidRDefault="00ED5ED6" w:rsidP="00640178">
      <w:pPr>
        <w:spacing w:after="0"/>
        <w:jc w:val="both"/>
        <w:rPr>
          <w:rFonts w:ascii="Times New Roman" w:hAnsi="Times New Roman" w:cs="Times New Roman"/>
          <w:i/>
          <w:iCs/>
          <w:sz w:val="24"/>
          <w:szCs w:val="24"/>
        </w:rPr>
      </w:pPr>
      <w:r>
        <w:rPr>
          <w:rFonts w:ascii="Times New Roman" w:hAnsi="Times New Roman" w:cs="Times New Roman"/>
          <w:i/>
          <w:iCs/>
          <w:sz w:val="24"/>
          <w:szCs w:val="24"/>
        </w:rPr>
        <w:t>À noter que l</w:t>
      </w:r>
      <w:r w:rsidRPr="00ED5ED6">
        <w:rPr>
          <w:rFonts w:ascii="Times New Roman" w:hAnsi="Times New Roman" w:cs="Times New Roman"/>
          <w:i/>
          <w:iCs/>
          <w:sz w:val="24"/>
          <w:szCs w:val="24"/>
        </w:rPr>
        <w:t xml:space="preserve">e présent document n’énonce aucune attente quant à l’utilisation ou non d’une méthodologie de quantification en tant que telle. Cela signifie qu’il n’est pas déterminé à l’avance si </w:t>
      </w:r>
      <w:r>
        <w:rPr>
          <w:rFonts w:ascii="Times New Roman" w:hAnsi="Times New Roman" w:cs="Times New Roman"/>
          <w:i/>
          <w:iCs/>
          <w:sz w:val="24"/>
          <w:szCs w:val="24"/>
        </w:rPr>
        <w:t>l’entreprise d’investissement</w:t>
      </w:r>
      <w:r w:rsidRPr="00ED5ED6">
        <w:rPr>
          <w:rFonts w:ascii="Times New Roman" w:hAnsi="Times New Roman" w:cs="Times New Roman"/>
          <w:i/>
          <w:iCs/>
          <w:sz w:val="24"/>
          <w:szCs w:val="24"/>
        </w:rPr>
        <w:t xml:space="preserve"> doit utiliser, par exemple, des méthodologies se basant sur celles appliquées au pilier 1, les modèles de capital économique, les résultats des tests de résistance ou d’autres méthodologies, telles que les scénarios multiples, afin de quantifier les risques auxquels </w:t>
      </w:r>
      <w:r w:rsidR="00680FB9">
        <w:rPr>
          <w:rFonts w:ascii="Times New Roman" w:hAnsi="Times New Roman" w:cs="Times New Roman"/>
          <w:i/>
          <w:iCs/>
          <w:sz w:val="24"/>
          <w:szCs w:val="24"/>
        </w:rPr>
        <w:t xml:space="preserve">elle </w:t>
      </w:r>
      <w:r w:rsidRPr="00ED5ED6">
        <w:rPr>
          <w:rFonts w:ascii="Times New Roman" w:hAnsi="Times New Roman" w:cs="Times New Roman"/>
          <w:i/>
          <w:iCs/>
          <w:sz w:val="24"/>
          <w:szCs w:val="24"/>
        </w:rPr>
        <w:t>est ou pourrait être exposé</w:t>
      </w:r>
      <w:r w:rsidR="00680FB9">
        <w:rPr>
          <w:rFonts w:ascii="Times New Roman" w:hAnsi="Times New Roman" w:cs="Times New Roman"/>
          <w:i/>
          <w:iCs/>
          <w:sz w:val="24"/>
          <w:szCs w:val="24"/>
        </w:rPr>
        <w:t>e</w:t>
      </w:r>
      <w:r w:rsidRPr="00ED5ED6">
        <w:rPr>
          <w:rFonts w:ascii="Times New Roman" w:hAnsi="Times New Roman" w:cs="Times New Roman"/>
          <w:i/>
          <w:iCs/>
          <w:sz w:val="24"/>
          <w:szCs w:val="24"/>
        </w:rPr>
        <w:t>.</w:t>
      </w:r>
    </w:p>
    <w:p w14:paraId="68403552" w14:textId="77777777" w:rsidR="00607CEB" w:rsidRPr="00640178" w:rsidRDefault="00607CEB" w:rsidP="00640178">
      <w:pPr>
        <w:spacing w:after="0"/>
        <w:jc w:val="both"/>
        <w:rPr>
          <w:rFonts w:ascii="Times New Roman" w:hAnsi="Times New Roman" w:cs="Times New Roman"/>
          <w:sz w:val="24"/>
          <w:szCs w:val="24"/>
        </w:rPr>
      </w:pPr>
    </w:p>
    <w:p w14:paraId="024A7B30" w14:textId="511D5C91" w:rsidR="00607CEB" w:rsidRPr="00222C06" w:rsidRDefault="00BD33C8">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p</w:t>
      </w:r>
      <w:r w:rsidR="00607CEB" w:rsidRPr="00222C06">
        <w:rPr>
          <w:rFonts w:ascii="Times New Roman" w:hAnsi="Times New Roman" w:cs="Times New Roman"/>
          <w:sz w:val="24"/>
          <w:szCs w:val="24"/>
        </w:rPr>
        <w:t>résentation</w:t>
      </w:r>
      <w:proofErr w:type="gramEnd"/>
      <w:r w:rsidR="00607CEB" w:rsidRPr="00222C06">
        <w:rPr>
          <w:rFonts w:ascii="Times New Roman" w:hAnsi="Times New Roman" w:cs="Times New Roman"/>
          <w:sz w:val="24"/>
          <w:szCs w:val="24"/>
        </w:rPr>
        <w:t xml:space="preserve"> des mét</w:t>
      </w:r>
      <w:r w:rsidR="005F73B1">
        <w:rPr>
          <w:rFonts w:ascii="Times New Roman" w:hAnsi="Times New Roman" w:cs="Times New Roman"/>
          <w:sz w:val="24"/>
          <w:szCs w:val="24"/>
        </w:rPr>
        <w:t>riques</w:t>
      </w:r>
      <w:r w:rsidR="00607CEB" w:rsidRPr="00222C06">
        <w:rPr>
          <w:rFonts w:ascii="Times New Roman" w:hAnsi="Times New Roman" w:cs="Times New Roman"/>
          <w:sz w:val="24"/>
          <w:szCs w:val="24"/>
        </w:rPr>
        <w:t xml:space="preserve"> de quantification des risques pour chaque type de risque : hypothèses, horizons d’analyse, approche par la valeur économique, modèles et paramètres de calcul, etc. Cette description doit inclure des explications concernant les limites ou faiblesses de la méthodologie de calcul employée, ainsi que la façon dont ces éléments sont gérés, voire corrigés. Elle doit également inclure une évaluation de la qualité des données utilisées par chaque méthodologie</w:t>
      </w:r>
      <w:r>
        <w:rPr>
          <w:rFonts w:ascii="Times New Roman" w:hAnsi="Times New Roman" w:cs="Times New Roman"/>
          <w:sz w:val="24"/>
          <w:szCs w:val="24"/>
        </w:rPr>
        <w:t> ;</w:t>
      </w:r>
      <w:r w:rsidR="00607CEB" w:rsidRPr="00222C06">
        <w:rPr>
          <w:rFonts w:ascii="Times New Roman" w:hAnsi="Times New Roman" w:cs="Times New Roman"/>
          <w:sz w:val="24"/>
          <w:szCs w:val="24"/>
        </w:rPr>
        <w:t xml:space="preserve"> </w:t>
      </w:r>
    </w:p>
    <w:p w14:paraId="7E647F3B" w14:textId="77777777" w:rsidR="00607CEB" w:rsidRPr="00222C06" w:rsidRDefault="00BD33C8">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d</w:t>
      </w:r>
      <w:r w:rsidR="00607CEB" w:rsidRPr="00222C06">
        <w:rPr>
          <w:rFonts w:ascii="Times New Roman" w:hAnsi="Times New Roman" w:cs="Times New Roman"/>
          <w:sz w:val="24"/>
          <w:szCs w:val="24"/>
        </w:rPr>
        <w:t>escription</w:t>
      </w:r>
      <w:proofErr w:type="gramEnd"/>
      <w:r w:rsidR="00607CEB" w:rsidRPr="00222C06">
        <w:rPr>
          <w:rFonts w:ascii="Times New Roman" w:hAnsi="Times New Roman" w:cs="Times New Roman"/>
          <w:sz w:val="24"/>
          <w:szCs w:val="24"/>
        </w:rPr>
        <w:t xml:space="preserve"> de la méthodologie de fixation de l’appétence et de la tolérance au risque, des limites et seuils d'alerte, leur fréquence de revue, et description du dispositif de remontée des dépassements. Préciser pour chaque risque concerné les dépassements survenus lors de l’année écoulée et les mesures correctrices mises en œuvre. Préciser les modifications apportées aux limites</w:t>
      </w:r>
      <w:r>
        <w:rPr>
          <w:rFonts w:ascii="Times New Roman" w:hAnsi="Times New Roman" w:cs="Times New Roman"/>
          <w:sz w:val="24"/>
          <w:szCs w:val="24"/>
        </w:rPr>
        <w:t> ;</w:t>
      </w:r>
    </w:p>
    <w:p w14:paraId="7071ED60" w14:textId="1453071D" w:rsidR="00222C06" w:rsidRPr="00AB4859" w:rsidRDefault="00BD33C8">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p</w:t>
      </w:r>
      <w:r w:rsidR="00607CEB" w:rsidRPr="00222C06">
        <w:rPr>
          <w:rFonts w:ascii="Times New Roman" w:hAnsi="Times New Roman" w:cs="Times New Roman"/>
          <w:sz w:val="24"/>
          <w:szCs w:val="24"/>
        </w:rPr>
        <w:t>résentation</w:t>
      </w:r>
      <w:proofErr w:type="gramEnd"/>
      <w:r w:rsidR="00607CEB" w:rsidRPr="00222C06">
        <w:rPr>
          <w:rFonts w:ascii="Times New Roman" w:hAnsi="Times New Roman" w:cs="Times New Roman"/>
          <w:sz w:val="24"/>
          <w:szCs w:val="24"/>
        </w:rPr>
        <w:t xml:space="preserve"> des conclusions des contrôles effectués par une fonction indépendante sur les mét</w:t>
      </w:r>
      <w:r w:rsidR="005F73B1">
        <w:rPr>
          <w:rFonts w:ascii="Times New Roman" w:hAnsi="Times New Roman" w:cs="Times New Roman"/>
          <w:sz w:val="24"/>
          <w:szCs w:val="24"/>
        </w:rPr>
        <w:t>riques</w:t>
      </w:r>
      <w:r w:rsidR="00607CEB" w:rsidRPr="00222C06">
        <w:rPr>
          <w:rFonts w:ascii="Times New Roman" w:hAnsi="Times New Roman" w:cs="Times New Roman"/>
          <w:sz w:val="24"/>
          <w:szCs w:val="24"/>
        </w:rPr>
        <w:t xml:space="preserve"> de quantification des risques</w:t>
      </w:r>
      <w:r>
        <w:rPr>
          <w:rFonts w:ascii="Times New Roman" w:hAnsi="Times New Roman" w:cs="Times New Roman"/>
          <w:sz w:val="24"/>
          <w:szCs w:val="24"/>
        </w:rPr>
        <w:t>.</w:t>
      </w:r>
      <w:r w:rsidR="00607CEB" w:rsidRPr="00222C06">
        <w:rPr>
          <w:rFonts w:ascii="Times New Roman" w:hAnsi="Times New Roman" w:cs="Times New Roman"/>
          <w:sz w:val="24"/>
          <w:szCs w:val="24"/>
        </w:rPr>
        <w:t xml:space="preserve"> </w:t>
      </w:r>
    </w:p>
    <w:p w14:paraId="5DAC5EDB" w14:textId="77777777" w:rsidR="00607CEB" w:rsidRPr="005B1144" w:rsidRDefault="00607CEB">
      <w:pPr>
        <w:pStyle w:val="Titre2"/>
      </w:pPr>
      <w:bookmarkStart w:id="10" w:name="_Toc145687416"/>
      <w:r w:rsidRPr="005B1144">
        <w:t>Agrégation des risques</w:t>
      </w:r>
      <w:bookmarkEnd w:id="10"/>
      <w:r w:rsidR="00351E8C">
        <w:rPr>
          <w:rStyle w:val="Appelnotedebasdep"/>
        </w:rPr>
        <w:footnoteReference w:id="6"/>
      </w:r>
    </w:p>
    <w:p w14:paraId="38BFCF73" w14:textId="77777777" w:rsidR="00607CEB" w:rsidRPr="00BA4116" w:rsidRDefault="00607CEB" w:rsidP="00640178">
      <w:pPr>
        <w:spacing w:after="0"/>
        <w:jc w:val="both"/>
        <w:rPr>
          <w:rFonts w:ascii="Times New Roman" w:hAnsi="Times New Roman" w:cs="Times New Roman"/>
          <w:i/>
          <w:iCs/>
          <w:sz w:val="24"/>
          <w:szCs w:val="24"/>
        </w:rPr>
      </w:pPr>
      <w:r w:rsidRPr="00BA4116">
        <w:rPr>
          <w:rFonts w:ascii="Times New Roman" w:hAnsi="Times New Roman" w:cs="Times New Roman"/>
          <w:i/>
          <w:iCs/>
          <w:sz w:val="24"/>
          <w:szCs w:val="24"/>
        </w:rPr>
        <w:t>Lorsque cela est justifié, l’entreprise d’investissement peut prendre en compte des effets de diversification inter-risques dans son analyse. L’entreprise d’investissement d</w:t>
      </w:r>
      <w:r w:rsidR="00CC6556">
        <w:rPr>
          <w:rFonts w:ascii="Times New Roman" w:hAnsi="Times New Roman" w:cs="Times New Roman"/>
          <w:i/>
          <w:iCs/>
          <w:sz w:val="24"/>
          <w:szCs w:val="24"/>
        </w:rPr>
        <w:t>evra</w:t>
      </w:r>
      <w:r w:rsidRPr="00BA4116">
        <w:rPr>
          <w:rFonts w:ascii="Times New Roman" w:hAnsi="Times New Roman" w:cs="Times New Roman"/>
          <w:i/>
          <w:iCs/>
          <w:sz w:val="24"/>
          <w:szCs w:val="24"/>
        </w:rPr>
        <w:t>it adopter une approche prudente pour évaluer les effets de diversification et déclarer dans son rapport</w:t>
      </w:r>
      <w:r w:rsidR="00D4159A">
        <w:rPr>
          <w:rFonts w:ascii="Times New Roman" w:hAnsi="Times New Roman" w:cs="Times New Roman"/>
          <w:i/>
          <w:iCs/>
          <w:sz w:val="24"/>
          <w:szCs w:val="24"/>
        </w:rPr>
        <w:t xml:space="preserve"> l’impact de ces effets, en déclarant</w:t>
      </w:r>
      <w:r w:rsidRPr="00BA4116">
        <w:rPr>
          <w:rFonts w:ascii="Times New Roman" w:hAnsi="Times New Roman" w:cs="Times New Roman"/>
          <w:i/>
          <w:iCs/>
          <w:sz w:val="24"/>
          <w:szCs w:val="24"/>
        </w:rPr>
        <w:t xml:space="preserve"> les chiffres bruts </w:t>
      </w:r>
      <w:r w:rsidR="00D4159A">
        <w:rPr>
          <w:rFonts w:ascii="Times New Roman" w:hAnsi="Times New Roman" w:cs="Times New Roman"/>
          <w:i/>
          <w:iCs/>
          <w:sz w:val="24"/>
          <w:szCs w:val="24"/>
        </w:rPr>
        <w:t xml:space="preserve">et </w:t>
      </w:r>
      <w:r w:rsidRPr="00BA4116">
        <w:rPr>
          <w:rFonts w:ascii="Times New Roman" w:hAnsi="Times New Roman" w:cs="Times New Roman"/>
          <w:i/>
          <w:iCs/>
          <w:sz w:val="24"/>
          <w:szCs w:val="24"/>
        </w:rPr>
        <w:t>nets</w:t>
      </w:r>
      <w:r w:rsidR="00D4159A">
        <w:rPr>
          <w:rFonts w:ascii="Times New Roman" w:hAnsi="Times New Roman" w:cs="Times New Roman"/>
          <w:i/>
          <w:iCs/>
          <w:sz w:val="24"/>
          <w:szCs w:val="24"/>
        </w:rPr>
        <w:t xml:space="preserve"> de ces effets</w:t>
      </w:r>
      <w:r w:rsidRPr="00BA4116">
        <w:rPr>
          <w:rFonts w:ascii="Times New Roman" w:hAnsi="Times New Roman" w:cs="Times New Roman"/>
          <w:i/>
          <w:iCs/>
          <w:sz w:val="24"/>
          <w:szCs w:val="24"/>
        </w:rPr>
        <w:t>.</w:t>
      </w:r>
    </w:p>
    <w:p w14:paraId="31864B17" w14:textId="77777777" w:rsidR="00607CEB" w:rsidRPr="00BA4116" w:rsidRDefault="00607CEB" w:rsidP="00640178">
      <w:pPr>
        <w:spacing w:after="0"/>
        <w:jc w:val="both"/>
        <w:rPr>
          <w:rFonts w:ascii="Times New Roman" w:hAnsi="Times New Roman" w:cs="Times New Roman"/>
          <w:i/>
          <w:iCs/>
          <w:sz w:val="24"/>
          <w:szCs w:val="24"/>
        </w:rPr>
      </w:pPr>
      <w:r w:rsidRPr="00BA4116">
        <w:rPr>
          <w:rFonts w:ascii="Times New Roman" w:hAnsi="Times New Roman" w:cs="Times New Roman"/>
          <w:i/>
          <w:iCs/>
          <w:sz w:val="24"/>
          <w:szCs w:val="24"/>
        </w:rPr>
        <w:t xml:space="preserve">Les </w:t>
      </w:r>
      <w:r w:rsidR="00935B47">
        <w:rPr>
          <w:rFonts w:ascii="Times New Roman" w:hAnsi="Times New Roman" w:cs="Times New Roman"/>
          <w:i/>
          <w:iCs/>
          <w:sz w:val="24"/>
          <w:szCs w:val="24"/>
        </w:rPr>
        <w:t>tests de résistance</w:t>
      </w:r>
      <w:r w:rsidRPr="00BA4116">
        <w:rPr>
          <w:rFonts w:ascii="Times New Roman" w:hAnsi="Times New Roman" w:cs="Times New Roman"/>
          <w:i/>
          <w:iCs/>
          <w:sz w:val="24"/>
          <w:szCs w:val="24"/>
        </w:rPr>
        <w:t xml:space="preserve"> conduits par l’entreprise d’investissement doivent notamment cibler l’évolution de ces effets de diversification en période de tensions.</w:t>
      </w:r>
    </w:p>
    <w:p w14:paraId="07FB82CE" w14:textId="77777777" w:rsidR="00607CEB" w:rsidRPr="00640178" w:rsidRDefault="00607CEB" w:rsidP="00640178">
      <w:pPr>
        <w:spacing w:after="0"/>
        <w:jc w:val="both"/>
        <w:rPr>
          <w:rFonts w:ascii="Times New Roman" w:hAnsi="Times New Roman" w:cs="Times New Roman"/>
          <w:sz w:val="24"/>
          <w:szCs w:val="24"/>
        </w:rPr>
      </w:pPr>
    </w:p>
    <w:p w14:paraId="56D5DD52" w14:textId="77777777" w:rsidR="00607CEB" w:rsidRPr="00222C06" w:rsidRDefault="009D6079">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description</w:t>
      </w:r>
      <w:proofErr w:type="gramEnd"/>
      <w:r w:rsidRPr="00222C06">
        <w:rPr>
          <w:rFonts w:ascii="Times New Roman" w:hAnsi="Times New Roman" w:cs="Times New Roman"/>
          <w:sz w:val="24"/>
          <w:szCs w:val="24"/>
        </w:rPr>
        <w:t xml:space="preserve"> </w:t>
      </w:r>
      <w:r w:rsidR="00607CEB" w:rsidRPr="00222C06">
        <w:rPr>
          <w:rFonts w:ascii="Times New Roman" w:hAnsi="Times New Roman" w:cs="Times New Roman"/>
          <w:sz w:val="24"/>
          <w:szCs w:val="24"/>
        </w:rPr>
        <w:t>des méthodologies d'agrégation des estimations des risques</w:t>
      </w:r>
      <w:r w:rsidR="00BD33C8">
        <w:rPr>
          <w:rFonts w:ascii="Times New Roman" w:hAnsi="Times New Roman" w:cs="Times New Roman"/>
          <w:sz w:val="24"/>
          <w:szCs w:val="24"/>
        </w:rPr>
        <w:t> ;</w:t>
      </w:r>
    </w:p>
    <w:p w14:paraId="65986D60" w14:textId="77777777" w:rsidR="00607CEB" w:rsidRPr="00222C06" w:rsidRDefault="00BD33C8">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p</w:t>
      </w:r>
      <w:r w:rsidR="00607CEB" w:rsidRPr="00222C06">
        <w:rPr>
          <w:rFonts w:ascii="Times New Roman" w:hAnsi="Times New Roman" w:cs="Times New Roman"/>
          <w:sz w:val="24"/>
          <w:szCs w:val="24"/>
        </w:rPr>
        <w:t>résentation</w:t>
      </w:r>
      <w:proofErr w:type="gramEnd"/>
      <w:r w:rsidR="00607CEB" w:rsidRPr="00222C06">
        <w:rPr>
          <w:rFonts w:ascii="Times New Roman" w:hAnsi="Times New Roman" w:cs="Times New Roman"/>
          <w:sz w:val="24"/>
          <w:szCs w:val="24"/>
        </w:rPr>
        <w:t xml:space="preserve"> de</w:t>
      </w:r>
      <w:r w:rsidR="00B92BE9">
        <w:rPr>
          <w:rFonts w:ascii="Times New Roman" w:hAnsi="Times New Roman" w:cs="Times New Roman"/>
          <w:sz w:val="24"/>
          <w:szCs w:val="24"/>
        </w:rPr>
        <w:t xml:space="preserve"> </w:t>
      </w:r>
      <w:r w:rsidR="00607CEB" w:rsidRPr="00222C06">
        <w:rPr>
          <w:rFonts w:ascii="Times New Roman" w:hAnsi="Times New Roman" w:cs="Times New Roman"/>
          <w:sz w:val="24"/>
          <w:szCs w:val="24"/>
        </w:rPr>
        <w:t xml:space="preserve">l'impact de </w:t>
      </w:r>
      <w:r w:rsidR="003414AD">
        <w:rPr>
          <w:rFonts w:ascii="Times New Roman" w:hAnsi="Times New Roman" w:cs="Times New Roman"/>
          <w:sz w:val="24"/>
          <w:szCs w:val="24"/>
        </w:rPr>
        <w:t xml:space="preserve">la </w:t>
      </w:r>
      <w:r w:rsidR="00607CEB" w:rsidRPr="00222C06">
        <w:rPr>
          <w:rFonts w:ascii="Times New Roman" w:hAnsi="Times New Roman" w:cs="Times New Roman"/>
          <w:sz w:val="24"/>
          <w:szCs w:val="24"/>
        </w:rPr>
        <w:t>diversification des risques, le périmètre et les contrôles qui l</w:t>
      </w:r>
      <w:r w:rsidR="003414AD">
        <w:rPr>
          <w:rFonts w:ascii="Times New Roman" w:hAnsi="Times New Roman" w:cs="Times New Roman"/>
          <w:sz w:val="24"/>
          <w:szCs w:val="24"/>
        </w:rPr>
        <w:t>ui</w:t>
      </w:r>
      <w:r w:rsidR="00607CEB" w:rsidRPr="00222C06">
        <w:rPr>
          <w:rFonts w:ascii="Times New Roman" w:hAnsi="Times New Roman" w:cs="Times New Roman"/>
          <w:sz w:val="24"/>
          <w:szCs w:val="24"/>
        </w:rPr>
        <w:t xml:space="preserve"> sont associés</w:t>
      </w:r>
      <w:r>
        <w:rPr>
          <w:rFonts w:ascii="Times New Roman" w:hAnsi="Times New Roman" w:cs="Times New Roman"/>
          <w:sz w:val="24"/>
          <w:szCs w:val="24"/>
        </w:rPr>
        <w:t> ;</w:t>
      </w:r>
    </w:p>
    <w:p w14:paraId="23A8ECDE" w14:textId="77777777" w:rsidR="00607CEB" w:rsidRPr="00222C06" w:rsidRDefault="00BD33C8">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p</w:t>
      </w:r>
      <w:r w:rsidR="00607CEB" w:rsidRPr="00222C06">
        <w:rPr>
          <w:rFonts w:ascii="Times New Roman" w:hAnsi="Times New Roman" w:cs="Times New Roman"/>
          <w:sz w:val="24"/>
          <w:szCs w:val="24"/>
        </w:rPr>
        <w:t>résentation</w:t>
      </w:r>
      <w:proofErr w:type="gramEnd"/>
      <w:r w:rsidR="00607CEB" w:rsidRPr="00222C06">
        <w:rPr>
          <w:rFonts w:ascii="Times New Roman" w:hAnsi="Times New Roman" w:cs="Times New Roman"/>
          <w:sz w:val="24"/>
          <w:szCs w:val="24"/>
        </w:rPr>
        <w:t xml:space="preserve"> d’un tableau de synthèse de l’évaluation des risques selon l’approche économique interne (cf. exemple de tableau en annexe 3 </w:t>
      </w:r>
      <w:r w:rsidR="009D6079">
        <w:rPr>
          <w:rFonts w:ascii="Times New Roman" w:hAnsi="Times New Roman" w:cs="Times New Roman"/>
          <w:sz w:val="24"/>
          <w:szCs w:val="24"/>
        </w:rPr>
        <w:t>du présent canevas</w:t>
      </w:r>
      <w:r w:rsidR="00607CEB" w:rsidRPr="00222C06">
        <w:rPr>
          <w:rFonts w:ascii="Times New Roman" w:hAnsi="Times New Roman" w:cs="Times New Roman"/>
          <w:sz w:val="24"/>
          <w:szCs w:val="24"/>
        </w:rPr>
        <w:t>)</w:t>
      </w:r>
      <w:r>
        <w:rPr>
          <w:rFonts w:ascii="Times New Roman" w:hAnsi="Times New Roman" w:cs="Times New Roman"/>
          <w:sz w:val="24"/>
          <w:szCs w:val="24"/>
        </w:rPr>
        <w:t> ;</w:t>
      </w:r>
    </w:p>
    <w:p w14:paraId="2293D731" w14:textId="77777777" w:rsidR="00222C06" w:rsidRPr="00AB4859" w:rsidRDefault="00BD33C8">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r</w:t>
      </w:r>
      <w:r w:rsidR="00607CEB" w:rsidRPr="00222C06">
        <w:rPr>
          <w:rFonts w:ascii="Times New Roman" w:hAnsi="Times New Roman" w:cs="Times New Roman"/>
          <w:sz w:val="24"/>
          <w:szCs w:val="24"/>
        </w:rPr>
        <w:t>approchement</w:t>
      </w:r>
      <w:proofErr w:type="gramEnd"/>
      <w:r w:rsidR="00607CEB" w:rsidRPr="00222C06">
        <w:rPr>
          <w:rFonts w:ascii="Times New Roman" w:hAnsi="Times New Roman" w:cs="Times New Roman"/>
          <w:sz w:val="24"/>
          <w:szCs w:val="24"/>
        </w:rPr>
        <w:t xml:space="preserve"> entre les risques selon l’approche économique interne et les risques réglementaires (au titre du pilier 1) et analyse des écarts constatés</w:t>
      </w:r>
      <w:r>
        <w:rPr>
          <w:rFonts w:ascii="Times New Roman" w:hAnsi="Times New Roman" w:cs="Times New Roman"/>
          <w:sz w:val="24"/>
          <w:szCs w:val="24"/>
        </w:rPr>
        <w:t>.</w:t>
      </w:r>
    </w:p>
    <w:p w14:paraId="1CB344C6" w14:textId="77777777" w:rsidR="00607CEB" w:rsidRPr="005B1144" w:rsidRDefault="00607CEB">
      <w:pPr>
        <w:pStyle w:val="Titre2"/>
      </w:pPr>
      <w:bookmarkStart w:id="11" w:name="_Toc145687417"/>
      <w:r w:rsidRPr="005B1144">
        <w:lastRenderedPageBreak/>
        <w:t>Évaluation d</w:t>
      </w:r>
      <w:r w:rsidR="00074AC5">
        <w:t>u</w:t>
      </w:r>
      <w:r w:rsidRPr="005B1144">
        <w:t xml:space="preserve"> </w:t>
      </w:r>
      <w:r w:rsidR="003A7562">
        <w:t>capital interne</w:t>
      </w:r>
      <w:r w:rsidRPr="005B1144">
        <w:t xml:space="preserve"> et de </w:t>
      </w:r>
      <w:r w:rsidR="00F57F38">
        <w:t>son</w:t>
      </w:r>
      <w:r w:rsidRPr="005B1144">
        <w:t xml:space="preserve"> adéquation aux risques identifiés selon l’approche économique interne</w:t>
      </w:r>
      <w:bookmarkEnd w:id="11"/>
      <w:r w:rsidR="00381694">
        <w:rPr>
          <w:rStyle w:val="Appelnotedebasdep"/>
        </w:rPr>
        <w:footnoteReference w:id="7"/>
      </w:r>
      <w:r w:rsidRPr="005B1144">
        <w:t xml:space="preserve"> </w:t>
      </w:r>
    </w:p>
    <w:p w14:paraId="24622ED5" w14:textId="77777777" w:rsidR="00607CEB" w:rsidRPr="00BA4116" w:rsidRDefault="00607CEB" w:rsidP="00640178">
      <w:pPr>
        <w:spacing w:after="0"/>
        <w:jc w:val="both"/>
        <w:rPr>
          <w:rFonts w:ascii="Times New Roman" w:hAnsi="Times New Roman" w:cs="Times New Roman"/>
          <w:i/>
          <w:iCs/>
          <w:sz w:val="24"/>
          <w:szCs w:val="24"/>
        </w:rPr>
      </w:pPr>
      <w:r w:rsidRPr="00BA4116">
        <w:rPr>
          <w:rFonts w:ascii="Times New Roman" w:hAnsi="Times New Roman" w:cs="Times New Roman"/>
          <w:i/>
          <w:iCs/>
          <w:sz w:val="24"/>
          <w:szCs w:val="24"/>
        </w:rPr>
        <w:t>Cette section présente la définition et l’évaluation d</w:t>
      </w:r>
      <w:r w:rsidR="005A1C7F">
        <w:rPr>
          <w:rFonts w:ascii="Times New Roman" w:hAnsi="Times New Roman" w:cs="Times New Roman"/>
          <w:i/>
          <w:iCs/>
          <w:sz w:val="24"/>
          <w:szCs w:val="24"/>
        </w:rPr>
        <w:t>u</w:t>
      </w:r>
      <w:r w:rsidRPr="00BA4116">
        <w:rPr>
          <w:rFonts w:ascii="Times New Roman" w:hAnsi="Times New Roman" w:cs="Times New Roman"/>
          <w:i/>
          <w:iCs/>
          <w:sz w:val="24"/>
          <w:szCs w:val="24"/>
        </w:rPr>
        <w:t xml:space="preserve"> </w:t>
      </w:r>
      <w:r w:rsidR="003A7562">
        <w:rPr>
          <w:rFonts w:ascii="Times New Roman" w:hAnsi="Times New Roman" w:cs="Times New Roman"/>
          <w:i/>
          <w:iCs/>
          <w:sz w:val="24"/>
          <w:szCs w:val="24"/>
        </w:rPr>
        <w:t xml:space="preserve">capital </w:t>
      </w:r>
      <w:proofErr w:type="gramStart"/>
      <w:r w:rsidR="003A7562">
        <w:rPr>
          <w:rFonts w:ascii="Times New Roman" w:hAnsi="Times New Roman" w:cs="Times New Roman"/>
          <w:i/>
          <w:iCs/>
          <w:sz w:val="24"/>
          <w:szCs w:val="24"/>
        </w:rPr>
        <w:t>interne</w:t>
      </w:r>
      <w:r w:rsidRPr="00BA4116">
        <w:rPr>
          <w:rFonts w:ascii="Times New Roman" w:hAnsi="Times New Roman" w:cs="Times New Roman"/>
          <w:i/>
          <w:iCs/>
          <w:sz w:val="24"/>
          <w:szCs w:val="24"/>
        </w:rPr>
        <w:t xml:space="preserve">  de</w:t>
      </w:r>
      <w:proofErr w:type="gramEnd"/>
      <w:r w:rsidRPr="00BA4116">
        <w:rPr>
          <w:rFonts w:ascii="Times New Roman" w:hAnsi="Times New Roman" w:cs="Times New Roman"/>
          <w:i/>
          <w:iCs/>
          <w:sz w:val="24"/>
          <w:szCs w:val="24"/>
        </w:rPr>
        <w:t xml:space="preserve"> l’entreprise d’investissement, selon sa propre approche économique interne.</w:t>
      </w:r>
    </w:p>
    <w:p w14:paraId="65AB5F1E" w14:textId="77777777" w:rsidR="00607CEB" w:rsidRPr="00BA4116" w:rsidRDefault="00607CEB" w:rsidP="00640178">
      <w:pPr>
        <w:spacing w:after="0"/>
        <w:jc w:val="both"/>
        <w:rPr>
          <w:rFonts w:ascii="Times New Roman" w:hAnsi="Times New Roman" w:cs="Times New Roman"/>
          <w:i/>
          <w:iCs/>
          <w:sz w:val="24"/>
          <w:szCs w:val="24"/>
        </w:rPr>
      </w:pPr>
      <w:r w:rsidRPr="00BA4116">
        <w:rPr>
          <w:rFonts w:ascii="Times New Roman" w:hAnsi="Times New Roman" w:cs="Times New Roman"/>
          <w:i/>
          <w:iCs/>
          <w:sz w:val="24"/>
          <w:szCs w:val="24"/>
        </w:rPr>
        <w:t>En raison des différentes méthodologies et hypothèses de valorisation applicables aux actifs, aux passifs et aux opérations d’un</w:t>
      </w:r>
      <w:r w:rsidR="00BD33C8">
        <w:rPr>
          <w:rFonts w:ascii="Times New Roman" w:hAnsi="Times New Roman" w:cs="Times New Roman"/>
          <w:i/>
          <w:iCs/>
          <w:sz w:val="24"/>
          <w:szCs w:val="24"/>
        </w:rPr>
        <w:t>e</w:t>
      </w:r>
      <w:r w:rsidRPr="00BA4116">
        <w:rPr>
          <w:rFonts w:ascii="Times New Roman" w:hAnsi="Times New Roman" w:cs="Times New Roman"/>
          <w:i/>
          <w:iCs/>
          <w:sz w:val="24"/>
          <w:szCs w:val="24"/>
        </w:rPr>
        <w:t xml:space="preserve"> entreprise d’investissement, le </w:t>
      </w:r>
      <w:r w:rsidR="003A7562">
        <w:rPr>
          <w:rFonts w:ascii="Times New Roman" w:hAnsi="Times New Roman" w:cs="Times New Roman"/>
          <w:i/>
          <w:iCs/>
          <w:sz w:val="24"/>
          <w:szCs w:val="24"/>
        </w:rPr>
        <w:t xml:space="preserve">capital </w:t>
      </w:r>
      <w:proofErr w:type="gramStart"/>
      <w:r w:rsidR="003A7562">
        <w:rPr>
          <w:rFonts w:ascii="Times New Roman" w:hAnsi="Times New Roman" w:cs="Times New Roman"/>
          <w:i/>
          <w:iCs/>
          <w:sz w:val="24"/>
          <w:szCs w:val="24"/>
        </w:rPr>
        <w:t>interne</w:t>
      </w:r>
      <w:r w:rsidRPr="00BA4116">
        <w:rPr>
          <w:rFonts w:ascii="Times New Roman" w:hAnsi="Times New Roman" w:cs="Times New Roman"/>
          <w:i/>
          <w:iCs/>
          <w:sz w:val="24"/>
          <w:szCs w:val="24"/>
        </w:rPr>
        <w:t xml:space="preserve">  dans</w:t>
      </w:r>
      <w:proofErr w:type="gramEnd"/>
      <w:r w:rsidRPr="00BA4116">
        <w:rPr>
          <w:rFonts w:ascii="Times New Roman" w:hAnsi="Times New Roman" w:cs="Times New Roman"/>
          <w:i/>
          <w:iCs/>
          <w:sz w:val="24"/>
          <w:szCs w:val="24"/>
        </w:rPr>
        <w:t xml:space="preserve"> le cadre de l’approche économique peut différer sensiblement des fonds propres définis selon l’approche comptable ou réglementaire. L’entreprise d’investissement d</w:t>
      </w:r>
      <w:r w:rsidR="005A1C7F">
        <w:rPr>
          <w:rFonts w:ascii="Times New Roman" w:hAnsi="Times New Roman" w:cs="Times New Roman"/>
          <w:i/>
          <w:iCs/>
          <w:sz w:val="24"/>
          <w:szCs w:val="24"/>
        </w:rPr>
        <w:t>evra</w:t>
      </w:r>
      <w:r w:rsidRPr="00BA4116">
        <w:rPr>
          <w:rFonts w:ascii="Times New Roman" w:hAnsi="Times New Roman" w:cs="Times New Roman"/>
          <w:i/>
          <w:iCs/>
          <w:sz w:val="24"/>
          <w:szCs w:val="24"/>
        </w:rPr>
        <w:t>it adopter une approche prudente pour définir s</w:t>
      </w:r>
      <w:r w:rsidR="005A1C7F">
        <w:rPr>
          <w:rFonts w:ascii="Times New Roman" w:hAnsi="Times New Roman" w:cs="Times New Roman"/>
          <w:i/>
          <w:iCs/>
          <w:sz w:val="24"/>
          <w:szCs w:val="24"/>
        </w:rPr>
        <w:t>on</w:t>
      </w:r>
      <w:r w:rsidRPr="00BA4116">
        <w:rPr>
          <w:rFonts w:ascii="Times New Roman" w:hAnsi="Times New Roman" w:cs="Times New Roman"/>
          <w:i/>
          <w:iCs/>
          <w:sz w:val="24"/>
          <w:szCs w:val="24"/>
        </w:rPr>
        <w:t xml:space="preserve"> </w:t>
      </w:r>
      <w:r w:rsidR="003A7562">
        <w:rPr>
          <w:rFonts w:ascii="Times New Roman" w:hAnsi="Times New Roman" w:cs="Times New Roman"/>
          <w:i/>
          <w:iCs/>
          <w:sz w:val="24"/>
          <w:szCs w:val="24"/>
        </w:rPr>
        <w:t>capital interne</w:t>
      </w:r>
      <w:r w:rsidRPr="00BA4116">
        <w:rPr>
          <w:rFonts w:ascii="Times New Roman" w:hAnsi="Times New Roman" w:cs="Times New Roman"/>
          <w:i/>
          <w:iCs/>
          <w:sz w:val="24"/>
          <w:szCs w:val="24"/>
        </w:rPr>
        <w:t xml:space="preserve">. Ce principe de prudence s’applique à toutes les hypothèses et méthodologies utilisées pour les quantifier. </w:t>
      </w:r>
    </w:p>
    <w:p w14:paraId="7A6CF582" w14:textId="77777777" w:rsidR="00607CEB" w:rsidRPr="00BA4116" w:rsidRDefault="00607CEB" w:rsidP="00640178">
      <w:pPr>
        <w:spacing w:after="0"/>
        <w:jc w:val="both"/>
        <w:rPr>
          <w:rFonts w:ascii="Times New Roman" w:hAnsi="Times New Roman" w:cs="Times New Roman"/>
          <w:i/>
          <w:iCs/>
          <w:sz w:val="24"/>
          <w:szCs w:val="24"/>
        </w:rPr>
      </w:pPr>
      <w:r w:rsidRPr="00BA4116">
        <w:rPr>
          <w:rFonts w:ascii="Times New Roman" w:hAnsi="Times New Roman" w:cs="Times New Roman"/>
          <w:i/>
          <w:iCs/>
          <w:sz w:val="24"/>
          <w:szCs w:val="24"/>
        </w:rPr>
        <w:t>Cette section présente également un rapprochement</w:t>
      </w:r>
      <w:r w:rsidR="00F57F38">
        <w:rPr>
          <w:rFonts w:ascii="Times New Roman" w:hAnsi="Times New Roman" w:cs="Times New Roman"/>
          <w:i/>
          <w:iCs/>
          <w:sz w:val="24"/>
          <w:szCs w:val="24"/>
        </w:rPr>
        <w:t xml:space="preserve"> entre </w:t>
      </w:r>
      <w:proofErr w:type="gramStart"/>
      <w:r w:rsidR="00F57F38">
        <w:rPr>
          <w:rFonts w:ascii="Times New Roman" w:hAnsi="Times New Roman" w:cs="Times New Roman"/>
          <w:i/>
          <w:iCs/>
          <w:sz w:val="24"/>
          <w:szCs w:val="24"/>
        </w:rPr>
        <w:t>le</w:t>
      </w:r>
      <w:r w:rsidRPr="00BA4116">
        <w:rPr>
          <w:rFonts w:ascii="Times New Roman" w:hAnsi="Times New Roman" w:cs="Times New Roman"/>
          <w:i/>
          <w:iCs/>
          <w:sz w:val="24"/>
          <w:szCs w:val="24"/>
        </w:rPr>
        <w:t xml:space="preserve">  </w:t>
      </w:r>
      <w:r w:rsidR="003A7562">
        <w:rPr>
          <w:rFonts w:ascii="Times New Roman" w:hAnsi="Times New Roman" w:cs="Times New Roman"/>
          <w:i/>
          <w:iCs/>
          <w:sz w:val="24"/>
          <w:szCs w:val="24"/>
        </w:rPr>
        <w:t>capital</w:t>
      </w:r>
      <w:proofErr w:type="gramEnd"/>
      <w:r w:rsidR="003A7562">
        <w:rPr>
          <w:rFonts w:ascii="Times New Roman" w:hAnsi="Times New Roman" w:cs="Times New Roman"/>
          <w:i/>
          <w:iCs/>
          <w:sz w:val="24"/>
          <w:szCs w:val="24"/>
        </w:rPr>
        <w:t xml:space="preserve"> interne</w:t>
      </w:r>
      <w:r w:rsidR="005A1C7F">
        <w:rPr>
          <w:rFonts w:ascii="Times New Roman" w:hAnsi="Times New Roman" w:cs="Times New Roman"/>
          <w:i/>
          <w:iCs/>
          <w:sz w:val="24"/>
          <w:szCs w:val="24"/>
        </w:rPr>
        <w:t xml:space="preserve"> et</w:t>
      </w:r>
      <w:r w:rsidRPr="00BA4116">
        <w:rPr>
          <w:rFonts w:ascii="Times New Roman" w:hAnsi="Times New Roman" w:cs="Times New Roman"/>
          <w:i/>
          <w:iCs/>
          <w:sz w:val="24"/>
          <w:szCs w:val="24"/>
        </w:rPr>
        <w:t xml:space="preserve"> </w:t>
      </w:r>
      <w:r w:rsidR="00F57F38">
        <w:rPr>
          <w:rFonts w:ascii="Times New Roman" w:hAnsi="Times New Roman" w:cs="Times New Roman"/>
          <w:i/>
          <w:iCs/>
          <w:sz w:val="24"/>
          <w:szCs w:val="24"/>
        </w:rPr>
        <w:t>l</w:t>
      </w:r>
      <w:r w:rsidRPr="00BA4116">
        <w:rPr>
          <w:rFonts w:ascii="Times New Roman" w:hAnsi="Times New Roman" w:cs="Times New Roman"/>
          <w:i/>
          <w:iCs/>
          <w:sz w:val="24"/>
          <w:szCs w:val="24"/>
        </w:rPr>
        <w:t>es risques internes en vue de vérifier la correcte adéquation des fonds propres aux risques économiques identifiés selon la méthode économique interne.</w:t>
      </w:r>
    </w:p>
    <w:p w14:paraId="411386D8" w14:textId="77777777" w:rsidR="00607CEB" w:rsidRPr="00640178" w:rsidRDefault="00607CEB" w:rsidP="00640178">
      <w:pPr>
        <w:spacing w:after="0"/>
        <w:jc w:val="both"/>
        <w:rPr>
          <w:rFonts w:ascii="Times New Roman" w:hAnsi="Times New Roman" w:cs="Times New Roman"/>
          <w:sz w:val="24"/>
          <w:szCs w:val="24"/>
        </w:rPr>
      </w:pPr>
    </w:p>
    <w:p w14:paraId="2528E7CF" w14:textId="77777777" w:rsidR="00607CEB" w:rsidRPr="00222C06" w:rsidRDefault="00BD33C8">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d</w:t>
      </w:r>
      <w:r w:rsidR="00607CEB" w:rsidRPr="00222C06">
        <w:rPr>
          <w:rFonts w:ascii="Times New Roman" w:hAnsi="Times New Roman" w:cs="Times New Roman"/>
          <w:sz w:val="24"/>
          <w:szCs w:val="24"/>
        </w:rPr>
        <w:t>éfinition</w:t>
      </w:r>
      <w:proofErr w:type="gramEnd"/>
      <w:r w:rsidR="00607CEB" w:rsidRPr="00222C06">
        <w:rPr>
          <w:rFonts w:ascii="Times New Roman" w:hAnsi="Times New Roman" w:cs="Times New Roman"/>
          <w:sz w:val="24"/>
          <w:szCs w:val="24"/>
        </w:rPr>
        <w:t xml:space="preserve"> </w:t>
      </w:r>
      <w:r w:rsidR="00AC665E">
        <w:rPr>
          <w:rFonts w:ascii="Times New Roman" w:hAnsi="Times New Roman" w:cs="Times New Roman"/>
          <w:sz w:val="24"/>
          <w:szCs w:val="24"/>
        </w:rPr>
        <w:t>et modalités de calcul</w:t>
      </w:r>
      <w:r w:rsidR="009B69FA">
        <w:rPr>
          <w:rFonts w:ascii="Times New Roman" w:hAnsi="Times New Roman" w:cs="Times New Roman"/>
          <w:sz w:val="24"/>
          <w:szCs w:val="24"/>
        </w:rPr>
        <w:t xml:space="preserve"> du capital interne</w:t>
      </w:r>
      <w:r w:rsidR="00AC665E">
        <w:rPr>
          <w:rFonts w:ascii="Times New Roman" w:hAnsi="Times New Roman" w:cs="Times New Roman"/>
          <w:sz w:val="24"/>
          <w:szCs w:val="24"/>
        </w:rPr>
        <w:t xml:space="preserve"> </w:t>
      </w:r>
      <w:r>
        <w:rPr>
          <w:rFonts w:ascii="Times New Roman" w:hAnsi="Times New Roman" w:cs="Times New Roman"/>
          <w:sz w:val="24"/>
          <w:szCs w:val="24"/>
        </w:rPr>
        <w:t> ;</w:t>
      </w:r>
    </w:p>
    <w:p w14:paraId="2D51B3C9" w14:textId="77777777" w:rsidR="00607CEB" w:rsidRPr="00222C06" w:rsidRDefault="00BD33C8">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d</w:t>
      </w:r>
      <w:r w:rsidR="00607CEB" w:rsidRPr="00222C06">
        <w:rPr>
          <w:rFonts w:ascii="Times New Roman" w:hAnsi="Times New Roman" w:cs="Times New Roman"/>
          <w:sz w:val="24"/>
          <w:szCs w:val="24"/>
        </w:rPr>
        <w:t>escription</w:t>
      </w:r>
      <w:proofErr w:type="gramEnd"/>
      <w:r w:rsidR="00607CEB" w:rsidRPr="00222C06">
        <w:rPr>
          <w:rFonts w:ascii="Times New Roman" w:hAnsi="Times New Roman" w:cs="Times New Roman"/>
          <w:sz w:val="24"/>
          <w:szCs w:val="24"/>
        </w:rPr>
        <w:t xml:space="preserve"> de la composition </w:t>
      </w:r>
      <w:r w:rsidR="00025352">
        <w:rPr>
          <w:rFonts w:ascii="Times New Roman" w:hAnsi="Times New Roman" w:cs="Times New Roman"/>
          <w:sz w:val="24"/>
          <w:szCs w:val="24"/>
        </w:rPr>
        <w:t>du capital interne (typologie</w:t>
      </w:r>
      <w:r w:rsidR="009B69FA">
        <w:rPr>
          <w:rFonts w:ascii="Times New Roman" w:hAnsi="Times New Roman" w:cs="Times New Roman"/>
          <w:sz w:val="24"/>
          <w:szCs w:val="24"/>
        </w:rPr>
        <w:t xml:space="preserve"> d’instrument</w:t>
      </w:r>
      <w:r w:rsidR="00025352">
        <w:rPr>
          <w:rFonts w:ascii="Times New Roman" w:hAnsi="Times New Roman" w:cs="Times New Roman"/>
          <w:sz w:val="24"/>
          <w:szCs w:val="24"/>
        </w:rPr>
        <w:t>s</w:t>
      </w:r>
      <w:r w:rsidR="009B69FA">
        <w:rPr>
          <w:rFonts w:ascii="Times New Roman" w:hAnsi="Times New Roman" w:cs="Times New Roman"/>
          <w:sz w:val="24"/>
          <w:szCs w:val="24"/>
        </w:rPr>
        <w:t>, qualité)</w:t>
      </w:r>
      <w:r w:rsidR="00607CEB" w:rsidRPr="00222C06">
        <w:rPr>
          <w:rFonts w:ascii="Times New Roman" w:hAnsi="Times New Roman" w:cs="Times New Roman"/>
          <w:sz w:val="24"/>
          <w:szCs w:val="24"/>
        </w:rPr>
        <w:t>: niveau actuel et projections à 3 ans</w:t>
      </w:r>
      <w:r>
        <w:rPr>
          <w:rFonts w:ascii="Times New Roman" w:hAnsi="Times New Roman" w:cs="Times New Roman"/>
          <w:sz w:val="24"/>
          <w:szCs w:val="24"/>
        </w:rPr>
        <w:t> ;</w:t>
      </w:r>
    </w:p>
    <w:p w14:paraId="326AF9B7" w14:textId="77777777" w:rsidR="00607CEB" w:rsidRPr="00222C06" w:rsidRDefault="00BD33C8">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a</w:t>
      </w:r>
      <w:r w:rsidR="00607CEB" w:rsidRPr="00222C06">
        <w:rPr>
          <w:rFonts w:ascii="Times New Roman" w:hAnsi="Times New Roman" w:cs="Times New Roman"/>
          <w:sz w:val="24"/>
          <w:szCs w:val="24"/>
        </w:rPr>
        <w:t>nalyse</w:t>
      </w:r>
      <w:proofErr w:type="gramEnd"/>
      <w:r w:rsidR="00607CEB" w:rsidRPr="00222C06">
        <w:rPr>
          <w:rFonts w:ascii="Times New Roman" w:hAnsi="Times New Roman" w:cs="Times New Roman"/>
          <w:sz w:val="24"/>
          <w:szCs w:val="24"/>
        </w:rPr>
        <w:t xml:space="preserve"> des obstacles à la transférabilité </w:t>
      </w:r>
      <w:r w:rsidR="009B69FA">
        <w:rPr>
          <w:rFonts w:ascii="Times New Roman" w:hAnsi="Times New Roman" w:cs="Times New Roman"/>
          <w:sz w:val="24"/>
          <w:szCs w:val="24"/>
        </w:rPr>
        <w:t xml:space="preserve">des composantes du capital </w:t>
      </w:r>
      <w:r w:rsidR="00025352">
        <w:rPr>
          <w:rFonts w:ascii="Times New Roman" w:hAnsi="Times New Roman" w:cs="Times New Roman"/>
          <w:sz w:val="24"/>
          <w:szCs w:val="24"/>
        </w:rPr>
        <w:t>interne</w:t>
      </w:r>
      <w:r w:rsidR="00025352" w:rsidRPr="00222C06">
        <w:rPr>
          <w:rFonts w:ascii="Times New Roman" w:hAnsi="Times New Roman" w:cs="Times New Roman"/>
          <w:sz w:val="24"/>
          <w:szCs w:val="24"/>
        </w:rPr>
        <w:t xml:space="preserve"> au</w:t>
      </w:r>
      <w:r w:rsidR="00607CEB" w:rsidRPr="00222C06">
        <w:rPr>
          <w:rFonts w:ascii="Times New Roman" w:hAnsi="Times New Roman" w:cs="Times New Roman"/>
          <w:sz w:val="24"/>
          <w:szCs w:val="24"/>
        </w:rPr>
        <w:t xml:space="preserve"> sein du groupe</w:t>
      </w:r>
      <w:r>
        <w:rPr>
          <w:rFonts w:ascii="Times New Roman" w:hAnsi="Times New Roman" w:cs="Times New Roman"/>
          <w:sz w:val="24"/>
          <w:szCs w:val="24"/>
        </w:rPr>
        <w:t> ;</w:t>
      </w:r>
      <w:r w:rsidR="00607CEB" w:rsidRPr="00222C06">
        <w:rPr>
          <w:rFonts w:ascii="Times New Roman" w:hAnsi="Times New Roman" w:cs="Times New Roman"/>
          <w:sz w:val="24"/>
          <w:szCs w:val="24"/>
        </w:rPr>
        <w:t xml:space="preserve"> </w:t>
      </w:r>
    </w:p>
    <w:p w14:paraId="4CFAB733" w14:textId="77777777" w:rsidR="00607CEB" w:rsidRPr="00222C06" w:rsidRDefault="00BD33C8">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p</w:t>
      </w:r>
      <w:r w:rsidR="00607CEB" w:rsidRPr="00222C06">
        <w:rPr>
          <w:rFonts w:ascii="Times New Roman" w:hAnsi="Times New Roman" w:cs="Times New Roman"/>
          <w:sz w:val="24"/>
          <w:szCs w:val="24"/>
        </w:rPr>
        <w:t>résentation</w:t>
      </w:r>
      <w:proofErr w:type="gramEnd"/>
      <w:r w:rsidR="00607CEB" w:rsidRPr="00222C06">
        <w:rPr>
          <w:rFonts w:ascii="Times New Roman" w:hAnsi="Times New Roman" w:cs="Times New Roman"/>
          <w:sz w:val="24"/>
          <w:szCs w:val="24"/>
        </w:rPr>
        <w:t xml:space="preserve"> d’un tableau de synthèse des</w:t>
      </w:r>
      <w:r w:rsidR="00BA677E">
        <w:rPr>
          <w:rFonts w:ascii="Times New Roman" w:hAnsi="Times New Roman" w:cs="Times New Roman"/>
          <w:sz w:val="24"/>
          <w:szCs w:val="24"/>
        </w:rPr>
        <w:t xml:space="preserve"> éléments de capital</w:t>
      </w:r>
      <w:r w:rsidR="00607CEB" w:rsidRPr="00222C06">
        <w:rPr>
          <w:rFonts w:ascii="Times New Roman" w:hAnsi="Times New Roman" w:cs="Times New Roman"/>
          <w:sz w:val="24"/>
          <w:szCs w:val="24"/>
        </w:rPr>
        <w:t xml:space="preserve">  selon l’approche économique interne (cf. exemple de tableau en annexe 3 de la présente circulaire)</w:t>
      </w:r>
      <w:r>
        <w:rPr>
          <w:rFonts w:ascii="Times New Roman" w:hAnsi="Times New Roman" w:cs="Times New Roman"/>
          <w:sz w:val="24"/>
          <w:szCs w:val="24"/>
        </w:rPr>
        <w:t> ;</w:t>
      </w:r>
    </w:p>
    <w:p w14:paraId="4952F193" w14:textId="131BFEA6" w:rsidR="00025352" w:rsidRDefault="00BD33C8">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r</w:t>
      </w:r>
      <w:r w:rsidR="00607CEB" w:rsidRPr="00222C06">
        <w:rPr>
          <w:rFonts w:ascii="Times New Roman" w:hAnsi="Times New Roman" w:cs="Times New Roman"/>
          <w:sz w:val="24"/>
          <w:szCs w:val="24"/>
        </w:rPr>
        <w:t>approchement</w:t>
      </w:r>
      <w:proofErr w:type="gramEnd"/>
      <w:r w:rsidR="00607CEB" w:rsidRPr="00222C06">
        <w:rPr>
          <w:rFonts w:ascii="Times New Roman" w:hAnsi="Times New Roman" w:cs="Times New Roman"/>
          <w:sz w:val="24"/>
          <w:szCs w:val="24"/>
        </w:rPr>
        <w:t xml:space="preserve"> </w:t>
      </w:r>
      <w:r w:rsidR="00025352">
        <w:rPr>
          <w:rFonts w:ascii="Times New Roman" w:hAnsi="Times New Roman" w:cs="Times New Roman"/>
          <w:sz w:val="24"/>
          <w:szCs w:val="24"/>
        </w:rPr>
        <w:t xml:space="preserve">entre </w:t>
      </w:r>
      <w:r w:rsidR="00975AD9">
        <w:rPr>
          <w:rFonts w:ascii="Times New Roman" w:hAnsi="Times New Roman" w:cs="Times New Roman"/>
          <w:sz w:val="24"/>
          <w:szCs w:val="24"/>
        </w:rPr>
        <w:t>le capit</w:t>
      </w:r>
      <w:r w:rsidR="00025352">
        <w:rPr>
          <w:rFonts w:ascii="Times New Roman" w:hAnsi="Times New Roman" w:cs="Times New Roman"/>
          <w:sz w:val="24"/>
          <w:szCs w:val="24"/>
        </w:rPr>
        <w:t>al interne et les fonds propres réglementaires, analyse des écarts ;</w:t>
      </w:r>
    </w:p>
    <w:p w14:paraId="0E0A6A46" w14:textId="77777777" w:rsidR="00607CEB" w:rsidRPr="00222C06" w:rsidRDefault="00025352">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rapprochement</w:t>
      </w:r>
      <w:proofErr w:type="gramEnd"/>
      <w:r>
        <w:rPr>
          <w:rFonts w:ascii="Times New Roman" w:hAnsi="Times New Roman" w:cs="Times New Roman"/>
          <w:sz w:val="24"/>
          <w:szCs w:val="24"/>
        </w:rPr>
        <w:t xml:space="preserve"> entre l’exigence en capital économique et l’exigence règlementaire </w:t>
      </w:r>
      <w:r w:rsidR="00607CEB" w:rsidRPr="00222C06">
        <w:rPr>
          <w:rFonts w:ascii="Times New Roman" w:hAnsi="Times New Roman" w:cs="Times New Roman"/>
          <w:sz w:val="24"/>
          <w:szCs w:val="24"/>
        </w:rPr>
        <w:t>(au titre du pilier 1)</w:t>
      </w:r>
      <w:r w:rsidR="00D81DE6">
        <w:rPr>
          <w:rFonts w:ascii="Times New Roman" w:hAnsi="Times New Roman" w:cs="Times New Roman"/>
          <w:sz w:val="24"/>
          <w:szCs w:val="24"/>
        </w:rPr>
        <w:t>,</w:t>
      </w:r>
      <w:r w:rsidR="00607CEB" w:rsidRPr="00222C06">
        <w:rPr>
          <w:rFonts w:ascii="Times New Roman" w:hAnsi="Times New Roman" w:cs="Times New Roman"/>
          <w:sz w:val="24"/>
          <w:szCs w:val="24"/>
        </w:rPr>
        <w:t xml:space="preserve"> analyse des écarts constatés</w:t>
      </w:r>
      <w:r w:rsidR="00BD33C8">
        <w:rPr>
          <w:rFonts w:ascii="Times New Roman" w:hAnsi="Times New Roman" w:cs="Times New Roman"/>
          <w:sz w:val="24"/>
          <w:szCs w:val="24"/>
        </w:rPr>
        <w:t> ;</w:t>
      </w:r>
      <w:r w:rsidR="00607CEB" w:rsidRPr="00222C06">
        <w:rPr>
          <w:rFonts w:ascii="Times New Roman" w:hAnsi="Times New Roman" w:cs="Times New Roman"/>
          <w:sz w:val="24"/>
          <w:szCs w:val="24"/>
        </w:rPr>
        <w:t xml:space="preserve">  </w:t>
      </w:r>
    </w:p>
    <w:p w14:paraId="409BB90D" w14:textId="77777777" w:rsidR="00222C06" w:rsidRPr="00AB4859" w:rsidRDefault="00BD33C8">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d</w:t>
      </w:r>
      <w:r w:rsidR="00607CEB" w:rsidRPr="00222C06">
        <w:rPr>
          <w:rFonts w:ascii="Times New Roman" w:hAnsi="Times New Roman" w:cs="Times New Roman"/>
          <w:sz w:val="24"/>
          <w:szCs w:val="24"/>
        </w:rPr>
        <w:t>escription</w:t>
      </w:r>
      <w:proofErr w:type="gramEnd"/>
      <w:r w:rsidR="00607CEB" w:rsidRPr="00222C06">
        <w:rPr>
          <w:rFonts w:ascii="Times New Roman" w:hAnsi="Times New Roman" w:cs="Times New Roman"/>
          <w:sz w:val="24"/>
          <w:szCs w:val="24"/>
        </w:rPr>
        <w:t xml:space="preserve"> des systèmes et procédures mis en place pour s’assurer que le montant et la répartition du capital interne sont adaptés à la nature et au niveau des risques au</w:t>
      </w:r>
      <w:r w:rsidR="00827A87">
        <w:rPr>
          <w:rFonts w:ascii="Times New Roman" w:hAnsi="Times New Roman" w:cs="Times New Roman"/>
          <w:sz w:val="24"/>
          <w:szCs w:val="24"/>
        </w:rPr>
        <w:t>x</w:t>
      </w:r>
      <w:r w:rsidR="00607CEB" w:rsidRPr="00222C06">
        <w:rPr>
          <w:rFonts w:ascii="Times New Roman" w:hAnsi="Times New Roman" w:cs="Times New Roman"/>
          <w:sz w:val="24"/>
          <w:szCs w:val="24"/>
        </w:rPr>
        <w:t>quel</w:t>
      </w:r>
      <w:r w:rsidR="009412C4">
        <w:rPr>
          <w:rFonts w:ascii="Times New Roman" w:hAnsi="Times New Roman" w:cs="Times New Roman"/>
          <w:sz w:val="24"/>
          <w:szCs w:val="24"/>
        </w:rPr>
        <w:t>s</w:t>
      </w:r>
      <w:r w:rsidR="00607CEB" w:rsidRPr="00222C06">
        <w:rPr>
          <w:rFonts w:ascii="Times New Roman" w:hAnsi="Times New Roman" w:cs="Times New Roman"/>
          <w:sz w:val="24"/>
          <w:szCs w:val="24"/>
        </w:rPr>
        <w:t xml:space="preserve"> l’entreprise est exposée (avec un accent particulier sur les risques non pris en compte par le pilier 1) (cf. article 96 de l’arrêté du 3 novembre 2014 modifié)</w:t>
      </w:r>
      <w:r>
        <w:rPr>
          <w:rFonts w:ascii="Times New Roman" w:hAnsi="Times New Roman" w:cs="Times New Roman"/>
          <w:sz w:val="24"/>
          <w:szCs w:val="24"/>
        </w:rPr>
        <w:t>.</w:t>
      </w:r>
      <w:r w:rsidR="00607CEB" w:rsidRPr="00222C06">
        <w:rPr>
          <w:rFonts w:ascii="Times New Roman" w:hAnsi="Times New Roman" w:cs="Times New Roman"/>
          <w:sz w:val="24"/>
          <w:szCs w:val="24"/>
        </w:rPr>
        <w:t xml:space="preserve"> </w:t>
      </w:r>
    </w:p>
    <w:p w14:paraId="3116F559" w14:textId="77777777" w:rsidR="00607CEB" w:rsidRPr="0013207E" w:rsidRDefault="00607CEB">
      <w:pPr>
        <w:pStyle w:val="Titre2"/>
      </w:pPr>
      <w:bookmarkStart w:id="12" w:name="_Toc145687418"/>
      <w:r w:rsidRPr="0013207E">
        <w:t xml:space="preserve">Exercice de </w:t>
      </w:r>
      <w:r w:rsidR="00935B47">
        <w:t>tests de résistance</w:t>
      </w:r>
      <w:r w:rsidRPr="0013207E">
        <w:t xml:space="preserve"> </w:t>
      </w:r>
      <w:r w:rsidR="0098740C">
        <w:t xml:space="preserve">/ analyse de sensibilité </w:t>
      </w:r>
      <w:r w:rsidRPr="0013207E">
        <w:t>sur les fonds propres</w:t>
      </w:r>
      <w:r w:rsidR="00B662F2">
        <w:rPr>
          <w:rStyle w:val="Appelnotedebasdep"/>
        </w:rPr>
        <w:footnoteReference w:id="8"/>
      </w:r>
      <w:bookmarkEnd w:id="12"/>
    </w:p>
    <w:p w14:paraId="58CF3810" w14:textId="3404D330" w:rsidR="00607CEB" w:rsidRPr="00BA4116" w:rsidRDefault="00607CEB" w:rsidP="00640178">
      <w:pPr>
        <w:spacing w:after="0"/>
        <w:jc w:val="both"/>
        <w:rPr>
          <w:rFonts w:ascii="Times New Roman" w:hAnsi="Times New Roman" w:cs="Times New Roman"/>
          <w:i/>
          <w:iCs/>
          <w:sz w:val="24"/>
          <w:szCs w:val="24"/>
        </w:rPr>
      </w:pPr>
      <w:r w:rsidRPr="00BA4116">
        <w:rPr>
          <w:rFonts w:ascii="Times New Roman" w:hAnsi="Times New Roman" w:cs="Times New Roman"/>
          <w:i/>
          <w:iCs/>
          <w:sz w:val="24"/>
          <w:szCs w:val="24"/>
        </w:rPr>
        <w:t xml:space="preserve">Cette section présente les </w:t>
      </w:r>
      <w:r w:rsidR="00935B47">
        <w:rPr>
          <w:rFonts w:ascii="Times New Roman" w:hAnsi="Times New Roman" w:cs="Times New Roman"/>
          <w:i/>
          <w:iCs/>
          <w:sz w:val="24"/>
          <w:szCs w:val="24"/>
        </w:rPr>
        <w:t>tests de résistance</w:t>
      </w:r>
      <w:r w:rsidR="000174E2">
        <w:rPr>
          <w:rFonts w:ascii="Times New Roman" w:hAnsi="Times New Roman" w:cs="Times New Roman"/>
          <w:i/>
          <w:iCs/>
          <w:sz w:val="24"/>
          <w:szCs w:val="24"/>
        </w:rPr>
        <w:t>,</w:t>
      </w:r>
      <w:r w:rsidRPr="00BA4116">
        <w:rPr>
          <w:rFonts w:ascii="Times New Roman" w:hAnsi="Times New Roman" w:cs="Times New Roman"/>
          <w:i/>
          <w:iCs/>
          <w:sz w:val="24"/>
          <w:szCs w:val="24"/>
        </w:rPr>
        <w:t xml:space="preserve"> </w:t>
      </w:r>
      <w:r w:rsidR="007F2336">
        <w:rPr>
          <w:rFonts w:ascii="Times New Roman" w:hAnsi="Times New Roman" w:cs="Times New Roman"/>
          <w:i/>
          <w:iCs/>
          <w:sz w:val="24"/>
          <w:szCs w:val="24"/>
        </w:rPr>
        <w:t>ou analyses de sensibilité</w:t>
      </w:r>
      <w:r w:rsidR="000174E2">
        <w:rPr>
          <w:rFonts w:ascii="Times New Roman" w:hAnsi="Times New Roman" w:cs="Times New Roman"/>
          <w:i/>
          <w:iCs/>
          <w:sz w:val="24"/>
          <w:szCs w:val="24"/>
        </w:rPr>
        <w:t xml:space="preserve"> </w:t>
      </w:r>
      <w:r w:rsidR="00097489">
        <w:rPr>
          <w:rFonts w:ascii="Times New Roman" w:hAnsi="Times New Roman" w:cs="Times New Roman"/>
          <w:i/>
          <w:iCs/>
          <w:sz w:val="24"/>
          <w:szCs w:val="24"/>
        </w:rPr>
        <w:t>pour les entreprises d’investissement qui ne sont pas agréées pour les services de négociation pour compte et/ou la prise ferme,</w:t>
      </w:r>
      <w:r w:rsidR="007F2336">
        <w:rPr>
          <w:rFonts w:ascii="Times New Roman" w:hAnsi="Times New Roman" w:cs="Times New Roman"/>
          <w:i/>
          <w:iCs/>
          <w:sz w:val="24"/>
          <w:szCs w:val="24"/>
        </w:rPr>
        <w:t xml:space="preserve"> </w:t>
      </w:r>
      <w:r w:rsidRPr="00BA4116">
        <w:rPr>
          <w:rFonts w:ascii="Times New Roman" w:hAnsi="Times New Roman" w:cs="Times New Roman"/>
          <w:i/>
          <w:iCs/>
          <w:sz w:val="24"/>
          <w:szCs w:val="24"/>
        </w:rPr>
        <w:t xml:space="preserve">mis en place par l’entreprise d’investissement dans le cadre de son dispositif d’évaluation du capital interne. Pour l’examen de ses vulnérabilités, l’entreprise d’investissement </w:t>
      </w:r>
      <w:r w:rsidR="007F2336">
        <w:rPr>
          <w:rFonts w:ascii="Times New Roman" w:hAnsi="Times New Roman" w:cs="Times New Roman"/>
          <w:i/>
          <w:iCs/>
          <w:sz w:val="24"/>
          <w:szCs w:val="24"/>
        </w:rPr>
        <w:t>devrait tenir</w:t>
      </w:r>
      <w:r w:rsidRPr="00BA4116">
        <w:rPr>
          <w:rFonts w:ascii="Times New Roman" w:hAnsi="Times New Roman" w:cs="Times New Roman"/>
          <w:i/>
          <w:iCs/>
          <w:sz w:val="24"/>
          <w:szCs w:val="24"/>
        </w:rPr>
        <w:t xml:space="preserve"> compte de l’ensemble des risques significatifs à son échelle, qui découlent de son modèle d’activité et de son environnement opérationnel, dans un contexte caractérisé par des conditions macroéconomiques et financières tendues. Cet examen d</w:t>
      </w:r>
      <w:r w:rsidR="007F2336">
        <w:rPr>
          <w:rFonts w:ascii="Times New Roman" w:hAnsi="Times New Roman" w:cs="Times New Roman"/>
          <w:i/>
          <w:iCs/>
          <w:sz w:val="24"/>
          <w:szCs w:val="24"/>
        </w:rPr>
        <w:t>evrait</w:t>
      </w:r>
      <w:r w:rsidRPr="00BA4116">
        <w:rPr>
          <w:rFonts w:ascii="Times New Roman" w:hAnsi="Times New Roman" w:cs="Times New Roman"/>
          <w:i/>
          <w:iCs/>
          <w:sz w:val="24"/>
          <w:szCs w:val="24"/>
        </w:rPr>
        <w:t xml:space="preserve"> également recenser les nouvelles menaces, vulnérabilités et évolutions de l’environnement de l’entreprise d’investissement.</w:t>
      </w:r>
    </w:p>
    <w:p w14:paraId="20A6AAC3" w14:textId="77777777" w:rsidR="00607CEB" w:rsidRPr="00BA4116" w:rsidRDefault="00607CEB" w:rsidP="00640178">
      <w:pPr>
        <w:spacing w:after="0"/>
        <w:jc w:val="both"/>
        <w:rPr>
          <w:rFonts w:ascii="Times New Roman" w:hAnsi="Times New Roman" w:cs="Times New Roman"/>
          <w:i/>
          <w:iCs/>
          <w:sz w:val="24"/>
          <w:szCs w:val="24"/>
        </w:rPr>
      </w:pPr>
    </w:p>
    <w:p w14:paraId="34F1B25D" w14:textId="77777777" w:rsidR="00607CEB" w:rsidRPr="00BA4116" w:rsidRDefault="00607CEB" w:rsidP="00640178">
      <w:pPr>
        <w:spacing w:after="0"/>
        <w:jc w:val="both"/>
        <w:rPr>
          <w:rFonts w:ascii="Times New Roman" w:hAnsi="Times New Roman" w:cs="Times New Roman"/>
          <w:i/>
          <w:iCs/>
          <w:sz w:val="24"/>
          <w:szCs w:val="24"/>
        </w:rPr>
      </w:pPr>
      <w:r w:rsidRPr="00BA4116">
        <w:rPr>
          <w:rFonts w:ascii="Times New Roman" w:hAnsi="Times New Roman" w:cs="Times New Roman"/>
          <w:i/>
          <w:iCs/>
          <w:sz w:val="24"/>
          <w:szCs w:val="24"/>
        </w:rPr>
        <w:t xml:space="preserve">Les scénarios adverses ont vocation à appliquer des hypothèses macroéconomiques extrêmes et ou exceptionnelles, mais plausibles. Ils ont également vocation à se concentrer sur les vulnérabilités identifiées par l’entreprise d’investissement. La conjugaison de ces deux principes devrait conduire </w:t>
      </w:r>
      <w:r w:rsidRPr="00BA4116">
        <w:rPr>
          <w:rFonts w:ascii="Times New Roman" w:hAnsi="Times New Roman" w:cs="Times New Roman"/>
          <w:i/>
          <w:iCs/>
          <w:sz w:val="24"/>
          <w:szCs w:val="24"/>
        </w:rPr>
        <w:lastRenderedPageBreak/>
        <w:t>à ce que les scénarios adverses retenus aient une incidence significative sur les fonds propres ou les fonds propres réglementaires de l’entreprise d’investissement, par exemple eu égard au ratio CET1.</w:t>
      </w:r>
    </w:p>
    <w:p w14:paraId="3754641D" w14:textId="77777777" w:rsidR="00607CEB" w:rsidRPr="00BA4116" w:rsidRDefault="00607CEB" w:rsidP="00640178">
      <w:pPr>
        <w:spacing w:after="0"/>
        <w:jc w:val="both"/>
        <w:rPr>
          <w:rFonts w:ascii="Times New Roman" w:hAnsi="Times New Roman" w:cs="Times New Roman"/>
          <w:i/>
          <w:iCs/>
          <w:sz w:val="24"/>
          <w:szCs w:val="24"/>
        </w:rPr>
      </w:pPr>
    </w:p>
    <w:p w14:paraId="3B918D91" w14:textId="77777777" w:rsidR="00607CEB" w:rsidRDefault="00607CEB" w:rsidP="00640178">
      <w:pPr>
        <w:spacing w:after="0"/>
        <w:jc w:val="both"/>
        <w:rPr>
          <w:rFonts w:ascii="Times New Roman" w:hAnsi="Times New Roman" w:cs="Times New Roman"/>
          <w:i/>
          <w:iCs/>
          <w:sz w:val="24"/>
          <w:szCs w:val="24"/>
        </w:rPr>
      </w:pPr>
      <w:r w:rsidRPr="00BA4116">
        <w:rPr>
          <w:rFonts w:ascii="Times New Roman" w:hAnsi="Times New Roman" w:cs="Times New Roman"/>
          <w:i/>
          <w:iCs/>
          <w:sz w:val="24"/>
          <w:szCs w:val="24"/>
        </w:rPr>
        <w:t>Les horizons des scénarios doivent être cohérents avec les hypothèses retenues. En règle générale, un horizon de 3 à 5 ans est une bonne pratique. Toutefois, certains scénarios basés sur des évènements particuliers et exceptionnels pourraient être analysés sur un horizon plus court. De même, pour d’autres scénarios, basés par exemple sur des tendances macroéconomiques spécifiques, un horizon de plus long terme pourrait être plus pertinent.</w:t>
      </w:r>
    </w:p>
    <w:p w14:paraId="59F0D621" w14:textId="77777777" w:rsidR="00E41307" w:rsidRPr="00BA4116" w:rsidRDefault="00E41307" w:rsidP="00640178">
      <w:pPr>
        <w:spacing w:after="0"/>
        <w:jc w:val="both"/>
        <w:rPr>
          <w:rFonts w:ascii="Times New Roman" w:hAnsi="Times New Roman" w:cs="Times New Roman"/>
          <w:i/>
          <w:iCs/>
          <w:sz w:val="24"/>
          <w:szCs w:val="24"/>
        </w:rPr>
      </w:pPr>
    </w:p>
    <w:p w14:paraId="0753A3C2" w14:textId="77777777" w:rsidR="00607CEB" w:rsidRDefault="00607CEB" w:rsidP="00640178">
      <w:pPr>
        <w:spacing w:after="0"/>
        <w:jc w:val="both"/>
        <w:rPr>
          <w:rFonts w:ascii="Times New Roman" w:hAnsi="Times New Roman" w:cs="Times New Roman"/>
          <w:i/>
          <w:iCs/>
          <w:sz w:val="24"/>
          <w:szCs w:val="24"/>
        </w:rPr>
      </w:pPr>
      <w:r w:rsidRPr="00BA4116">
        <w:rPr>
          <w:rFonts w:ascii="Times New Roman" w:hAnsi="Times New Roman" w:cs="Times New Roman"/>
          <w:i/>
          <w:iCs/>
          <w:sz w:val="24"/>
          <w:szCs w:val="24"/>
        </w:rPr>
        <w:t xml:space="preserve">Les </w:t>
      </w:r>
      <w:r w:rsidR="00935B47">
        <w:rPr>
          <w:rFonts w:ascii="Times New Roman" w:hAnsi="Times New Roman" w:cs="Times New Roman"/>
          <w:i/>
          <w:iCs/>
          <w:sz w:val="24"/>
          <w:szCs w:val="24"/>
        </w:rPr>
        <w:t>tests de résistance</w:t>
      </w:r>
      <w:r w:rsidRPr="00BA4116">
        <w:rPr>
          <w:rFonts w:ascii="Times New Roman" w:hAnsi="Times New Roman" w:cs="Times New Roman"/>
          <w:i/>
          <w:iCs/>
          <w:sz w:val="24"/>
          <w:szCs w:val="24"/>
        </w:rPr>
        <w:t xml:space="preserve"> inversés utilisent comme point de départ la détermination d’un résultat prédéfini, par exemple le cas de figure où le modèle d’activité ne s’avère plus viable, ou encore une situation d’infraction d’un ratio de solvabilité ou d’une limite du cadre d’appétence et de tolérance. Il est utile de viser également une situation de « quasi-défaillance » pour l’entreprise d’investissement, c’est-à-dire une situation dans laquelle le modèle d’activité de l’entité perdrait sa viabilité à moins que des actions de redressement ne soient mises en œuvre avec succès. À partir de ce résultat prédéfini, l’entreprise d’investissement d</w:t>
      </w:r>
      <w:r w:rsidR="002E7EAB">
        <w:rPr>
          <w:rFonts w:ascii="Times New Roman" w:hAnsi="Times New Roman" w:cs="Times New Roman"/>
          <w:i/>
          <w:iCs/>
          <w:sz w:val="24"/>
          <w:szCs w:val="24"/>
        </w:rPr>
        <w:t>evrai</w:t>
      </w:r>
      <w:r w:rsidRPr="00BA4116">
        <w:rPr>
          <w:rFonts w:ascii="Times New Roman" w:hAnsi="Times New Roman" w:cs="Times New Roman"/>
          <w:i/>
          <w:iCs/>
          <w:sz w:val="24"/>
          <w:szCs w:val="24"/>
        </w:rPr>
        <w:t xml:space="preserve">t identifier les conditions de stress qui engendreraient ces résultats. </w:t>
      </w:r>
    </w:p>
    <w:p w14:paraId="2EBDEEF1" w14:textId="77777777" w:rsidR="00E41307" w:rsidRDefault="00E41307" w:rsidP="00640178">
      <w:pPr>
        <w:spacing w:after="0"/>
        <w:jc w:val="both"/>
        <w:rPr>
          <w:rFonts w:ascii="Times New Roman" w:hAnsi="Times New Roman" w:cs="Times New Roman"/>
          <w:i/>
          <w:iCs/>
          <w:sz w:val="24"/>
          <w:szCs w:val="24"/>
        </w:rPr>
      </w:pPr>
    </w:p>
    <w:p w14:paraId="4784667F" w14:textId="77777777" w:rsidR="00E41307" w:rsidRPr="00BA4116" w:rsidRDefault="00E41307" w:rsidP="00C80B81">
      <w:pPr>
        <w:widowControl w:val="0"/>
        <w:autoSpaceDE w:val="0"/>
        <w:autoSpaceDN w:val="0"/>
        <w:adjustRightInd w:val="0"/>
        <w:spacing w:after="0" w:line="240" w:lineRule="auto"/>
        <w:jc w:val="both"/>
        <w:rPr>
          <w:rFonts w:ascii="Times New Roman" w:hAnsi="Times New Roman" w:cs="Times New Roman"/>
          <w:i/>
          <w:iCs/>
          <w:sz w:val="24"/>
          <w:szCs w:val="24"/>
        </w:rPr>
      </w:pPr>
      <w:r>
        <w:rPr>
          <w:rFonts w:ascii="Times New Roman" w:eastAsia="Batang" w:hAnsi="Times New Roman" w:cs="Times New Roman"/>
          <w:i/>
          <w:sz w:val="24"/>
          <w:szCs w:val="24"/>
        </w:rPr>
        <w:t xml:space="preserve">Le programme de </w:t>
      </w:r>
      <w:r w:rsidR="00935B47">
        <w:rPr>
          <w:rFonts w:ascii="Times New Roman" w:eastAsia="Batang" w:hAnsi="Times New Roman" w:cs="Times New Roman"/>
          <w:i/>
          <w:sz w:val="24"/>
          <w:szCs w:val="24"/>
        </w:rPr>
        <w:t>tests de résistance</w:t>
      </w:r>
      <w:r>
        <w:rPr>
          <w:rFonts w:ascii="Times New Roman" w:eastAsia="Batang" w:hAnsi="Times New Roman" w:cs="Times New Roman"/>
          <w:i/>
          <w:sz w:val="24"/>
          <w:szCs w:val="24"/>
        </w:rPr>
        <w:t xml:space="preserve"> du dispositif ICAAP est complémentaire et ne se substitue pas à tout autre programme ou processus de </w:t>
      </w:r>
      <w:r w:rsidR="00935B47">
        <w:rPr>
          <w:rFonts w:ascii="Times New Roman" w:eastAsia="Batang" w:hAnsi="Times New Roman" w:cs="Times New Roman"/>
          <w:i/>
          <w:sz w:val="24"/>
          <w:szCs w:val="24"/>
        </w:rPr>
        <w:t>tests de résistance</w:t>
      </w:r>
      <w:r>
        <w:rPr>
          <w:rFonts w:ascii="Times New Roman" w:eastAsia="Batang" w:hAnsi="Times New Roman" w:cs="Times New Roman"/>
          <w:i/>
          <w:sz w:val="24"/>
          <w:szCs w:val="24"/>
        </w:rPr>
        <w:t xml:space="preserve"> ou de simulations de crise mis en place par l’entreprise d’investissement</w:t>
      </w:r>
      <w:r w:rsidR="0067042A">
        <w:rPr>
          <w:rFonts w:ascii="Times New Roman" w:eastAsia="Batang" w:hAnsi="Times New Roman" w:cs="Times New Roman"/>
          <w:i/>
          <w:sz w:val="24"/>
          <w:szCs w:val="24"/>
        </w:rPr>
        <w:t xml:space="preserve"> pour d’autres besoins</w:t>
      </w:r>
      <w:r>
        <w:rPr>
          <w:rFonts w:ascii="Times New Roman" w:eastAsia="Batang" w:hAnsi="Times New Roman" w:cs="Times New Roman"/>
          <w:i/>
          <w:sz w:val="24"/>
          <w:szCs w:val="24"/>
        </w:rPr>
        <w:t>.</w:t>
      </w:r>
    </w:p>
    <w:p w14:paraId="3D5CF2E6" w14:textId="77777777" w:rsidR="00607CEB" w:rsidRPr="00640178" w:rsidRDefault="00607CEB" w:rsidP="00640178">
      <w:pPr>
        <w:spacing w:after="0"/>
        <w:jc w:val="both"/>
        <w:rPr>
          <w:rFonts w:ascii="Times New Roman" w:hAnsi="Times New Roman" w:cs="Times New Roman"/>
          <w:sz w:val="24"/>
          <w:szCs w:val="24"/>
        </w:rPr>
      </w:pPr>
    </w:p>
    <w:p w14:paraId="31DF3673" w14:textId="77777777" w:rsidR="00607CEB" w:rsidRPr="00222C06" w:rsidRDefault="00BD33C8">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e</w:t>
      </w:r>
      <w:r w:rsidR="00607CEB" w:rsidRPr="00222C06">
        <w:rPr>
          <w:rFonts w:ascii="Times New Roman" w:hAnsi="Times New Roman" w:cs="Times New Roman"/>
          <w:sz w:val="24"/>
          <w:szCs w:val="24"/>
        </w:rPr>
        <w:t>xamen</w:t>
      </w:r>
      <w:proofErr w:type="gramEnd"/>
      <w:r w:rsidR="00607CEB" w:rsidRPr="00222C06">
        <w:rPr>
          <w:rFonts w:ascii="Times New Roman" w:hAnsi="Times New Roman" w:cs="Times New Roman"/>
          <w:sz w:val="24"/>
          <w:szCs w:val="24"/>
        </w:rPr>
        <w:t xml:space="preserve"> des principales vulnérabilités découlant du modèle d'activité de l’entreprise d’investissement et de son environnement opérationnel dans des conditions stressées</w:t>
      </w:r>
      <w:r>
        <w:rPr>
          <w:rFonts w:ascii="Times New Roman" w:hAnsi="Times New Roman" w:cs="Times New Roman"/>
          <w:sz w:val="24"/>
          <w:szCs w:val="24"/>
        </w:rPr>
        <w:t> ;</w:t>
      </w:r>
    </w:p>
    <w:p w14:paraId="5B38ABE6" w14:textId="77777777" w:rsidR="00607CEB" w:rsidRPr="00222C06" w:rsidRDefault="00BD33C8">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d</w:t>
      </w:r>
      <w:r w:rsidR="00607CEB" w:rsidRPr="00222C06">
        <w:rPr>
          <w:rFonts w:ascii="Times New Roman" w:hAnsi="Times New Roman" w:cs="Times New Roman"/>
          <w:sz w:val="24"/>
          <w:szCs w:val="24"/>
        </w:rPr>
        <w:t>escription</w:t>
      </w:r>
      <w:proofErr w:type="gramEnd"/>
      <w:r w:rsidR="00607CEB" w:rsidRPr="00222C06">
        <w:rPr>
          <w:rFonts w:ascii="Times New Roman" w:hAnsi="Times New Roman" w:cs="Times New Roman"/>
          <w:sz w:val="24"/>
          <w:szCs w:val="24"/>
        </w:rPr>
        <w:t xml:space="preserve"> des tests de résistance réalisés comportant une description des scénarios, des paramètres utilisés et du calibrage des tests de résistance, ainsi qu’une explication de la pertinence des scénarios pour l’entreprise d’investissement</w:t>
      </w:r>
      <w:r>
        <w:rPr>
          <w:rFonts w:ascii="Times New Roman" w:hAnsi="Times New Roman" w:cs="Times New Roman"/>
          <w:sz w:val="24"/>
          <w:szCs w:val="24"/>
        </w:rPr>
        <w:t> ;</w:t>
      </w:r>
    </w:p>
    <w:p w14:paraId="28277365" w14:textId="77777777" w:rsidR="00607CEB" w:rsidRPr="00222C06" w:rsidRDefault="00BD33C8">
      <w:pPr>
        <w:pStyle w:val="Paragraphedeliste"/>
        <w:numPr>
          <w:ilvl w:val="0"/>
          <w:numId w:val="1"/>
        </w:numPr>
        <w:spacing w:after="0"/>
        <w:ind w:left="567" w:hanging="348"/>
        <w:jc w:val="both"/>
        <w:rPr>
          <w:rFonts w:ascii="Times New Roman" w:hAnsi="Times New Roman" w:cs="Times New Roman"/>
          <w:sz w:val="24"/>
          <w:szCs w:val="24"/>
        </w:rPr>
      </w:pPr>
      <w:r>
        <w:rPr>
          <w:rFonts w:ascii="Times New Roman" w:hAnsi="Times New Roman" w:cs="Times New Roman"/>
          <w:sz w:val="24"/>
          <w:szCs w:val="24"/>
        </w:rPr>
        <w:t>p</w:t>
      </w:r>
      <w:r w:rsidR="00607CEB" w:rsidRPr="00222C06">
        <w:rPr>
          <w:rFonts w:ascii="Times New Roman" w:hAnsi="Times New Roman" w:cs="Times New Roman"/>
          <w:sz w:val="24"/>
          <w:szCs w:val="24"/>
        </w:rPr>
        <w:t xml:space="preserve">résentation des résultats des tests de résistance et leur impact sur les indicateurs-clés, notamment le produit net bancaire, le niveau de frais généraux, le niveau des facteurs k, le ratio de solvabilité, le résultat financier, le capital interne, les fonds propres réglementaires et d’autres indicateurs prudentiels pertinents, ainsi que les actions entreprises en conséquence par l’entité, dont la détention de coussins supplémentaires, le renforcement des limites, l’adaptation du </w:t>
      </w:r>
      <w:proofErr w:type="spellStart"/>
      <w:r w:rsidR="00607CEB" w:rsidRPr="00C5135E">
        <w:rPr>
          <w:rFonts w:ascii="Times New Roman" w:hAnsi="Times New Roman" w:cs="Times New Roman"/>
          <w:i/>
          <w:sz w:val="24"/>
          <w:szCs w:val="24"/>
        </w:rPr>
        <w:t>reporting</w:t>
      </w:r>
      <w:proofErr w:type="spellEnd"/>
      <w:r w:rsidR="00607CEB" w:rsidRPr="00222C06">
        <w:rPr>
          <w:rFonts w:ascii="Times New Roman" w:hAnsi="Times New Roman" w:cs="Times New Roman"/>
          <w:sz w:val="24"/>
          <w:szCs w:val="24"/>
        </w:rPr>
        <w:t>, des modèles ou de l’appétit au risque, ou l’ajustement du modèle d’entreprise ou de sa stratégie</w:t>
      </w:r>
      <w:r>
        <w:rPr>
          <w:rFonts w:ascii="Times New Roman" w:hAnsi="Times New Roman" w:cs="Times New Roman"/>
          <w:sz w:val="24"/>
          <w:szCs w:val="24"/>
        </w:rPr>
        <w:t> ;</w:t>
      </w:r>
    </w:p>
    <w:p w14:paraId="0C829F32" w14:textId="77777777" w:rsidR="00222C06" w:rsidRPr="00AB4859" w:rsidRDefault="00BD33C8">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d</w:t>
      </w:r>
      <w:r w:rsidR="00607CEB" w:rsidRPr="00222C06">
        <w:rPr>
          <w:rFonts w:ascii="Times New Roman" w:hAnsi="Times New Roman" w:cs="Times New Roman"/>
          <w:sz w:val="24"/>
          <w:szCs w:val="24"/>
        </w:rPr>
        <w:t>escription</w:t>
      </w:r>
      <w:proofErr w:type="gramEnd"/>
      <w:r w:rsidR="00607CEB" w:rsidRPr="00222C06">
        <w:rPr>
          <w:rFonts w:ascii="Times New Roman" w:hAnsi="Times New Roman" w:cs="Times New Roman"/>
          <w:sz w:val="24"/>
          <w:szCs w:val="24"/>
        </w:rPr>
        <w:t xml:space="preserve"> du processus de prise en compte des simulations de crise dans les processus de décision managériale notamment en matière d’appétence pour les risques, de planification du capital et de fixation des limites</w:t>
      </w:r>
      <w:r w:rsidR="007D40D2">
        <w:rPr>
          <w:rFonts w:ascii="Times New Roman" w:hAnsi="Times New Roman" w:cs="Times New Roman"/>
          <w:sz w:val="24"/>
          <w:szCs w:val="24"/>
        </w:rPr>
        <w:t>.</w:t>
      </w:r>
      <w:r w:rsidR="00607CEB" w:rsidRPr="00222C06">
        <w:rPr>
          <w:rFonts w:ascii="Times New Roman" w:hAnsi="Times New Roman" w:cs="Times New Roman"/>
          <w:sz w:val="24"/>
          <w:szCs w:val="24"/>
        </w:rPr>
        <w:t xml:space="preserve"> </w:t>
      </w:r>
    </w:p>
    <w:p w14:paraId="0A21E8CE" w14:textId="77777777" w:rsidR="00607CEB" w:rsidRPr="005B1144" w:rsidRDefault="00607CEB">
      <w:pPr>
        <w:pStyle w:val="Titre2"/>
      </w:pPr>
      <w:bookmarkStart w:id="13" w:name="_Toc145687419"/>
      <w:r w:rsidRPr="005B1144">
        <w:t xml:space="preserve">Planification des fonds propres </w:t>
      </w:r>
      <w:r w:rsidR="00EC5343">
        <w:t>garantissant</w:t>
      </w:r>
      <w:r w:rsidRPr="005B1144">
        <w:t xml:space="preserve"> un niveau suffisant </w:t>
      </w:r>
      <w:r w:rsidR="00EC5343">
        <w:t>pour</w:t>
      </w:r>
      <w:r w:rsidR="0011398B">
        <w:t xml:space="preserve"> </w:t>
      </w:r>
      <w:r w:rsidRPr="005B1144">
        <w:t>couvrir les risques</w:t>
      </w:r>
      <w:bookmarkEnd w:id="13"/>
      <w:r w:rsidR="00FE5B03">
        <w:rPr>
          <w:rStyle w:val="Appelnotedebasdep"/>
        </w:rPr>
        <w:footnoteReference w:id="9"/>
      </w:r>
    </w:p>
    <w:p w14:paraId="51ECDDAF" w14:textId="77777777" w:rsidR="00607CEB" w:rsidRPr="004C6305" w:rsidRDefault="00607CEB" w:rsidP="00640178">
      <w:pPr>
        <w:spacing w:after="0"/>
        <w:jc w:val="both"/>
        <w:rPr>
          <w:rFonts w:ascii="Times New Roman" w:hAnsi="Times New Roman" w:cs="Times New Roman"/>
          <w:i/>
          <w:iCs/>
          <w:sz w:val="24"/>
          <w:szCs w:val="24"/>
        </w:rPr>
      </w:pPr>
      <w:r w:rsidRPr="004C6305">
        <w:rPr>
          <w:rFonts w:ascii="Times New Roman" w:hAnsi="Times New Roman" w:cs="Times New Roman"/>
          <w:i/>
          <w:iCs/>
          <w:sz w:val="24"/>
          <w:szCs w:val="24"/>
        </w:rPr>
        <w:t xml:space="preserve">Cette section présente la planification des fonds propres à la fois sous l’approche économique interne et sous l’approche réglementaire. Les projections présentées par l’entreprise d’investissement dans cette partie doivent être cohérentes notamment avec le plan d’affaires, les budgets prévisionnels, la politique de distribution de dividendes, le profil de risque de l’entreprise d’investissement et son appétence au risque, ainsi que ses prévisions sectorielles et macroéconomiques. Doivent également </w:t>
      </w:r>
      <w:r w:rsidRPr="004C6305">
        <w:rPr>
          <w:rFonts w:ascii="Times New Roman" w:hAnsi="Times New Roman" w:cs="Times New Roman"/>
          <w:i/>
          <w:iCs/>
          <w:sz w:val="24"/>
          <w:szCs w:val="24"/>
        </w:rPr>
        <w:lastRenderedPageBreak/>
        <w:t xml:space="preserve">être intégrés, entre autres facteurs : les risques et pertes considérés comme probables </w:t>
      </w:r>
      <w:r w:rsidR="008723D3">
        <w:rPr>
          <w:rFonts w:ascii="Times New Roman" w:hAnsi="Times New Roman" w:cs="Times New Roman"/>
          <w:i/>
          <w:iCs/>
          <w:sz w:val="24"/>
          <w:szCs w:val="24"/>
        </w:rPr>
        <w:t>et non intégralement provisionnés</w:t>
      </w:r>
      <w:r w:rsidRPr="004C6305">
        <w:rPr>
          <w:rFonts w:ascii="Times New Roman" w:hAnsi="Times New Roman" w:cs="Times New Roman"/>
          <w:i/>
          <w:iCs/>
          <w:sz w:val="24"/>
          <w:szCs w:val="24"/>
        </w:rPr>
        <w:t>; le programme des investissements importants ; les projets de fusions, acquisitions et cessions ; les financements de nouvelles activités ; les nouvelles sources de financements ; les attentes des marchés, des investisseurs en matière de rémunération des instruments de fonds propres.</w:t>
      </w:r>
    </w:p>
    <w:p w14:paraId="07015AEB" w14:textId="77777777" w:rsidR="00607CEB" w:rsidRPr="00640178" w:rsidRDefault="00607CEB" w:rsidP="00640178">
      <w:pPr>
        <w:spacing w:after="0"/>
        <w:jc w:val="both"/>
        <w:rPr>
          <w:rFonts w:ascii="Times New Roman" w:hAnsi="Times New Roman" w:cs="Times New Roman"/>
          <w:sz w:val="24"/>
          <w:szCs w:val="24"/>
        </w:rPr>
      </w:pPr>
    </w:p>
    <w:p w14:paraId="5A09A2C4" w14:textId="77777777" w:rsidR="00607CEB" w:rsidRPr="00222C06" w:rsidRDefault="007D40D2">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d</w:t>
      </w:r>
      <w:r w:rsidR="00607CEB" w:rsidRPr="00222C06">
        <w:rPr>
          <w:rFonts w:ascii="Times New Roman" w:hAnsi="Times New Roman" w:cs="Times New Roman"/>
          <w:sz w:val="24"/>
          <w:szCs w:val="24"/>
        </w:rPr>
        <w:t>escription</w:t>
      </w:r>
      <w:proofErr w:type="gramEnd"/>
      <w:r w:rsidR="00607CEB" w:rsidRPr="00222C06">
        <w:rPr>
          <w:rFonts w:ascii="Times New Roman" w:hAnsi="Times New Roman" w:cs="Times New Roman"/>
          <w:sz w:val="24"/>
          <w:szCs w:val="24"/>
        </w:rPr>
        <w:t xml:space="preserve"> du processus de planification des fonds propres (élaboration et mise à jour) en vue de s’assurer du maintien d’un montant de capital réglementaire et interne suffisant sur une </w:t>
      </w:r>
      <w:r w:rsidR="00607CEB" w:rsidRPr="004C6305">
        <w:rPr>
          <w:rFonts w:ascii="Times New Roman" w:hAnsi="Times New Roman" w:cs="Times New Roman"/>
          <w:sz w:val="24"/>
          <w:szCs w:val="24"/>
          <w:u w:val="single"/>
        </w:rPr>
        <w:t>durée d’au moins 3 ans,</w:t>
      </w:r>
      <w:r w:rsidR="00607CEB" w:rsidRPr="00222C06">
        <w:rPr>
          <w:rFonts w:ascii="Times New Roman" w:hAnsi="Times New Roman" w:cs="Times New Roman"/>
          <w:sz w:val="24"/>
          <w:szCs w:val="24"/>
        </w:rPr>
        <w:t xml:space="preserve"> même dans des circonstances adverses (simulation de crise), y compris les principales hypothèses sous-jacentes, les horizons de projections ainsi que les composantes de fonds propres</w:t>
      </w:r>
      <w:r>
        <w:rPr>
          <w:rFonts w:ascii="Times New Roman" w:hAnsi="Times New Roman" w:cs="Times New Roman"/>
          <w:sz w:val="24"/>
          <w:szCs w:val="24"/>
        </w:rPr>
        <w:t> ;</w:t>
      </w:r>
    </w:p>
    <w:p w14:paraId="3EB6184A" w14:textId="77777777" w:rsidR="00607CEB" w:rsidRPr="00222C06" w:rsidRDefault="007D40D2">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a</w:t>
      </w:r>
      <w:r w:rsidR="00607CEB" w:rsidRPr="00222C06">
        <w:rPr>
          <w:rFonts w:ascii="Times New Roman" w:hAnsi="Times New Roman" w:cs="Times New Roman"/>
          <w:sz w:val="24"/>
          <w:szCs w:val="24"/>
        </w:rPr>
        <w:t>nalyse</w:t>
      </w:r>
      <w:proofErr w:type="gramEnd"/>
      <w:r w:rsidR="00607CEB" w:rsidRPr="00222C06">
        <w:rPr>
          <w:rFonts w:ascii="Times New Roman" w:hAnsi="Times New Roman" w:cs="Times New Roman"/>
          <w:sz w:val="24"/>
          <w:szCs w:val="24"/>
        </w:rPr>
        <w:t xml:space="preserve"> prospective de l'évolution des risques et des besoins en fonds propres, par rapport au </w:t>
      </w:r>
      <w:r w:rsidR="003A7562">
        <w:rPr>
          <w:rFonts w:ascii="Times New Roman" w:hAnsi="Times New Roman" w:cs="Times New Roman"/>
          <w:sz w:val="24"/>
          <w:szCs w:val="24"/>
        </w:rPr>
        <w:t>capital interne</w:t>
      </w:r>
      <w:r w:rsidR="00607CEB" w:rsidRPr="00222C06">
        <w:rPr>
          <w:rFonts w:ascii="Times New Roman" w:hAnsi="Times New Roman" w:cs="Times New Roman"/>
          <w:sz w:val="24"/>
          <w:szCs w:val="24"/>
        </w:rPr>
        <w:t xml:space="preserve"> et </w:t>
      </w:r>
      <w:r w:rsidR="006C3249">
        <w:rPr>
          <w:rFonts w:ascii="Times New Roman" w:hAnsi="Times New Roman" w:cs="Times New Roman"/>
          <w:sz w:val="24"/>
          <w:szCs w:val="24"/>
        </w:rPr>
        <w:t xml:space="preserve">aux fonds propres </w:t>
      </w:r>
      <w:r w:rsidR="00607CEB" w:rsidRPr="00222C06">
        <w:rPr>
          <w:rFonts w:ascii="Times New Roman" w:hAnsi="Times New Roman" w:cs="Times New Roman"/>
          <w:sz w:val="24"/>
          <w:szCs w:val="24"/>
        </w:rPr>
        <w:t>réglementaires : prévision des fonds propres futurs et des besoins futurs en fonds propres sur 3 ans</w:t>
      </w:r>
      <w:r>
        <w:rPr>
          <w:rFonts w:ascii="Times New Roman" w:hAnsi="Times New Roman" w:cs="Times New Roman"/>
          <w:sz w:val="24"/>
          <w:szCs w:val="24"/>
        </w:rPr>
        <w:t> ;</w:t>
      </w:r>
      <w:r w:rsidR="00607CEB" w:rsidRPr="00222C06">
        <w:rPr>
          <w:rFonts w:ascii="Times New Roman" w:hAnsi="Times New Roman" w:cs="Times New Roman"/>
          <w:sz w:val="24"/>
          <w:szCs w:val="24"/>
        </w:rPr>
        <w:t xml:space="preserve"> </w:t>
      </w:r>
    </w:p>
    <w:p w14:paraId="6ACE959D" w14:textId="77777777" w:rsidR="00607CEB" w:rsidRPr="00222C06" w:rsidRDefault="007D40D2">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p</w:t>
      </w:r>
      <w:r w:rsidR="00607CEB" w:rsidRPr="00222C06">
        <w:rPr>
          <w:rFonts w:ascii="Times New Roman" w:hAnsi="Times New Roman" w:cs="Times New Roman"/>
          <w:sz w:val="24"/>
          <w:szCs w:val="24"/>
        </w:rPr>
        <w:t>résentation</w:t>
      </w:r>
      <w:proofErr w:type="gramEnd"/>
      <w:r w:rsidR="00607CEB" w:rsidRPr="00222C06">
        <w:rPr>
          <w:rFonts w:ascii="Times New Roman" w:hAnsi="Times New Roman" w:cs="Times New Roman"/>
          <w:sz w:val="24"/>
          <w:szCs w:val="24"/>
        </w:rPr>
        <w:t xml:space="preserve"> de la politique globale de gestion des fonds propres, comprenant les actions planifiées pour remédier aux manquements ou changements dans les besoins en fonds propres (ex : l’ajustement de la politique de dividendes, la stratégie et la structure bilancielle futures ou l’émission d’instruments de capital) et les niveaux des seuils actuels et cibles des fonds propres. Indiquer notamment les sources, la qualité et la composition des fonds propres issus des actions possibles de renforcement des fonds propres</w:t>
      </w:r>
      <w:r>
        <w:rPr>
          <w:rFonts w:ascii="Times New Roman" w:hAnsi="Times New Roman" w:cs="Times New Roman"/>
          <w:sz w:val="24"/>
          <w:szCs w:val="24"/>
        </w:rPr>
        <w:t> :</w:t>
      </w:r>
    </w:p>
    <w:p w14:paraId="124E93DC" w14:textId="77777777" w:rsidR="00AB4859" w:rsidRPr="00FE5B03" w:rsidRDefault="007D40D2" w:rsidP="007D2AAB">
      <w:pPr>
        <w:pStyle w:val="Paragraphedeliste"/>
        <w:numPr>
          <w:ilvl w:val="0"/>
          <w:numId w:val="1"/>
        </w:numPr>
        <w:spacing w:after="0"/>
        <w:ind w:left="567" w:hanging="348"/>
        <w:jc w:val="both"/>
        <w:rPr>
          <w:rFonts w:ascii="Arial" w:eastAsiaTheme="majorEastAsia" w:hAnsi="Arial" w:cstheme="majorBidi"/>
          <w:b/>
          <w:color w:val="000000" w:themeColor="text1"/>
          <w:sz w:val="32"/>
          <w:szCs w:val="32"/>
        </w:rPr>
      </w:pPr>
      <w:proofErr w:type="gramStart"/>
      <w:r>
        <w:rPr>
          <w:rFonts w:ascii="Times New Roman" w:hAnsi="Times New Roman" w:cs="Times New Roman"/>
          <w:sz w:val="24"/>
          <w:szCs w:val="24"/>
        </w:rPr>
        <w:t>e</w:t>
      </w:r>
      <w:r w:rsidR="00607CEB" w:rsidRPr="00222C06">
        <w:rPr>
          <w:rFonts w:ascii="Times New Roman" w:hAnsi="Times New Roman" w:cs="Times New Roman"/>
          <w:sz w:val="24"/>
          <w:szCs w:val="24"/>
        </w:rPr>
        <w:t>xamen</w:t>
      </w:r>
      <w:proofErr w:type="gramEnd"/>
      <w:r w:rsidR="00607CEB" w:rsidRPr="00222C06">
        <w:rPr>
          <w:rFonts w:ascii="Times New Roman" w:hAnsi="Times New Roman" w:cs="Times New Roman"/>
          <w:sz w:val="24"/>
          <w:szCs w:val="24"/>
        </w:rPr>
        <w:t xml:space="preserve"> et conclusions de la planification du capital par l’organe de surveillance et </w:t>
      </w:r>
      <w:r w:rsidR="004224EF">
        <w:rPr>
          <w:rFonts w:ascii="Times New Roman" w:hAnsi="Times New Roman" w:cs="Times New Roman"/>
          <w:sz w:val="24"/>
          <w:szCs w:val="24"/>
        </w:rPr>
        <w:t>les dirigeants effectifs</w:t>
      </w:r>
      <w:r w:rsidR="00607CEB" w:rsidRPr="00222C06">
        <w:rPr>
          <w:rFonts w:ascii="Times New Roman" w:hAnsi="Times New Roman" w:cs="Times New Roman"/>
          <w:sz w:val="24"/>
          <w:szCs w:val="24"/>
        </w:rPr>
        <w:t xml:space="preserve"> afin d’évaluer l’adéquation des fonds propres</w:t>
      </w:r>
      <w:r>
        <w:rPr>
          <w:rFonts w:ascii="Times New Roman" w:hAnsi="Times New Roman" w:cs="Times New Roman"/>
          <w:sz w:val="24"/>
          <w:szCs w:val="24"/>
        </w:rPr>
        <w:t>.</w:t>
      </w:r>
    </w:p>
    <w:p w14:paraId="6B8B2115" w14:textId="77777777" w:rsidR="00607CEB" w:rsidRPr="00640178" w:rsidRDefault="004224EF">
      <w:pPr>
        <w:pStyle w:val="Titre1"/>
      </w:pPr>
      <w:bookmarkStart w:id="14" w:name="_Toc145687420"/>
      <w:r w:rsidRPr="00640178">
        <w:t>Évaluation</w:t>
      </w:r>
      <w:r w:rsidR="00607CEB" w:rsidRPr="00640178">
        <w:t xml:space="preserve"> de l’</w:t>
      </w:r>
      <w:r w:rsidR="00222C06" w:rsidRPr="00640178">
        <w:t>adéquation</w:t>
      </w:r>
      <w:r w:rsidR="00607CEB" w:rsidRPr="00640178">
        <w:t xml:space="preserve"> du niveau de liquidités (ILAAP)</w:t>
      </w:r>
      <w:bookmarkEnd w:id="14"/>
      <w:r w:rsidR="00F52E86">
        <w:rPr>
          <w:rStyle w:val="Appelnotedebasdep"/>
        </w:rPr>
        <w:footnoteReference w:id="10"/>
      </w:r>
    </w:p>
    <w:p w14:paraId="53810B61" w14:textId="77777777" w:rsidR="00607CEB" w:rsidRPr="004C6305" w:rsidRDefault="00607CEB" w:rsidP="00640178">
      <w:pPr>
        <w:spacing w:after="0"/>
        <w:jc w:val="both"/>
        <w:rPr>
          <w:rFonts w:ascii="Times New Roman" w:hAnsi="Times New Roman" w:cs="Times New Roman"/>
          <w:i/>
          <w:iCs/>
          <w:sz w:val="24"/>
          <w:szCs w:val="24"/>
        </w:rPr>
      </w:pPr>
      <w:r w:rsidRPr="004C6305">
        <w:rPr>
          <w:rFonts w:ascii="Times New Roman" w:hAnsi="Times New Roman" w:cs="Times New Roman"/>
          <w:i/>
          <w:iCs/>
          <w:sz w:val="24"/>
          <w:szCs w:val="24"/>
        </w:rPr>
        <w:t>Cette section présente l’évaluation critique du niveau de liquidités de l’entreprise et de ses besoins futurs en la matière en fonction de son profil de risque et de son plan d’activités. La mise en place d’un processus interne d’évaluation de l’adéquation de la liquidité est nécessaire afin de garantir le maintien de façon permanente des liquidités à des niveaux suffisants permettant d’améliorer la discipline de marché et de renforcer l’encadrement du risque d’insolvabilité.</w:t>
      </w:r>
    </w:p>
    <w:p w14:paraId="189E5FAF" w14:textId="77777777" w:rsidR="00222C06" w:rsidRPr="004C6305" w:rsidRDefault="00607CEB" w:rsidP="00640178">
      <w:pPr>
        <w:spacing w:after="0"/>
        <w:jc w:val="both"/>
        <w:rPr>
          <w:rFonts w:ascii="Times New Roman" w:hAnsi="Times New Roman" w:cs="Times New Roman"/>
          <w:i/>
          <w:iCs/>
          <w:sz w:val="24"/>
          <w:szCs w:val="24"/>
        </w:rPr>
      </w:pPr>
      <w:r w:rsidRPr="004C6305">
        <w:rPr>
          <w:rFonts w:ascii="Times New Roman" w:hAnsi="Times New Roman" w:cs="Times New Roman"/>
          <w:i/>
          <w:iCs/>
          <w:sz w:val="24"/>
          <w:szCs w:val="24"/>
        </w:rPr>
        <w:t>Cette partie présente</w:t>
      </w:r>
      <w:r w:rsidR="00DB75EA">
        <w:rPr>
          <w:rFonts w:ascii="Times New Roman" w:hAnsi="Times New Roman" w:cs="Times New Roman"/>
          <w:i/>
          <w:iCs/>
          <w:sz w:val="24"/>
          <w:szCs w:val="24"/>
        </w:rPr>
        <w:t>, à titre indicatif, les éléments que les entreprises d’investissement</w:t>
      </w:r>
      <w:r w:rsidRPr="004C6305">
        <w:rPr>
          <w:rFonts w:ascii="Times New Roman" w:hAnsi="Times New Roman" w:cs="Times New Roman"/>
          <w:i/>
          <w:iCs/>
          <w:sz w:val="24"/>
          <w:szCs w:val="24"/>
        </w:rPr>
        <w:t xml:space="preserve"> </w:t>
      </w:r>
      <w:r w:rsidR="00906479">
        <w:rPr>
          <w:rFonts w:ascii="Times New Roman" w:hAnsi="Times New Roman" w:cs="Times New Roman"/>
          <w:i/>
          <w:iCs/>
          <w:sz w:val="24"/>
          <w:szCs w:val="24"/>
        </w:rPr>
        <w:t xml:space="preserve">peuvent </w:t>
      </w:r>
      <w:r w:rsidR="00DB75EA">
        <w:rPr>
          <w:rFonts w:ascii="Times New Roman" w:hAnsi="Times New Roman" w:cs="Times New Roman"/>
          <w:i/>
          <w:iCs/>
          <w:sz w:val="24"/>
          <w:szCs w:val="24"/>
        </w:rPr>
        <w:t>considérer dans leur</w:t>
      </w:r>
      <w:r w:rsidRPr="004C6305">
        <w:rPr>
          <w:rFonts w:ascii="Times New Roman" w:hAnsi="Times New Roman" w:cs="Times New Roman"/>
          <w:i/>
          <w:iCs/>
          <w:sz w:val="24"/>
          <w:szCs w:val="24"/>
        </w:rPr>
        <w:t xml:space="preserve"> stratégie de gestion du risque de liquidité, comportant à la fois des aspects qualitatifs et quantitatifs basés sur les exigences énoncées dans le </w:t>
      </w:r>
      <w:r w:rsidR="00E23554">
        <w:rPr>
          <w:rFonts w:ascii="Times New Roman" w:hAnsi="Times New Roman" w:cs="Times New Roman"/>
          <w:i/>
          <w:iCs/>
          <w:sz w:val="24"/>
          <w:szCs w:val="24"/>
        </w:rPr>
        <w:t>Règlement délégué (UE) 2023/1651</w:t>
      </w:r>
      <w:r w:rsidR="00FA060B">
        <w:rPr>
          <w:rStyle w:val="Appelnotedebasdep"/>
          <w:rFonts w:ascii="Times New Roman" w:hAnsi="Times New Roman" w:cs="Times New Roman"/>
          <w:i/>
          <w:iCs/>
          <w:sz w:val="24"/>
          <w:szCs w:val="24"/>
        </w:rPr>
        <w:footnoteReference w:id="11"/>
      </w:r>
      <w:r w:rsidR="00E23554" w:rsidRPr="004C6305">
        <w:rPr>
          <w:rFonts w:ascii="Times New Roman" w:hAnsi="Times New Roman" w:cs="Times New Roman"/>
          <w:i/>
          <w:iCs/>
          <w:sz w:val="24"/>
          <w:szCs w:val="24"/>
        </w:rPr>
        <w:t xml:space="preserve"> </w:t>
      </w:r>
      <w:r w:rsidRPr="004C6305">
        <w:rPr>
          <w:rFonts w:ascii="Times New Roman" w:hAnsi="Times New Roman" w:cs="Times New Roman"/>
          <w:i/>
          <w:iCs/>
          <w:sz w:val="24"/>
          <w:szCs w:val="24"/>
        </w:rPr>
        <w:t>sur la mesure du risque de liquidité (cf. Annexe 2).</w:t>
      </w:r>
    </w:p>
    <w:p w14:paraId="0EC96F14" w14:textId="77777777" w:rsidR="00607CEB" w:rsidRPr="005B1144" w:rsidRDefault="00607CEB">
      <w:pPr>
        <w:pStyle w:val="Titre2"/>
      </w:pPr>
      <w:bookmarkStart w:id="15" w:name="_Toc145687421"/>
      <w:r w:rsidRPr="005B1144">
        <w:t>Identification des sources du risque de liquidité</w:t>
      </w:r>
      <w:bookmarkEnd w:id="15"/>
      <w:r w:rsidRPr="005B1144">
        <w:t xml:space="preserve"> </w:t>
      </w:r>
    </w:p>
    <w:p w14:paraId="60B71613" w14:textId="77777777" w:rsidR="00607CEB" w:rsidRPr="004C6305" w:rsidRDefault="00607CEB" w:rsidP="00640178">
      <w:pPr>
        <w:spacing w:after="0"/>
        <w:jc w:val="both"/>
        <w:rPr>
          <w:rFonts w:ascii="Times New Roman" w:hAnsi="Times New Roman" w:cs="Times New Roman"/>
          <w:i/>
          <w:iCs/>
          <w:sz w:val="24"/>
          <w:szCs w:val="24"/>
        </w:rPr>
      </w:pPr>
      <w:r w:rsidRPr="004C6305">
        <w:rPr>
          <w:rFonts w:ascii="Times New Roman" w:hAnsi="Times New Roman" w:cs="Times New Roman"/>
          <w:i/>
          <w:iCs/>
          <w:sz w:val="24"/>
          <w:szCs w:val="24"/>
        </w:rPr>
        <w:t>Dans son inventaire des sources de risque de liquidité, l’entreprise ne d</w:t>
      </w:r>
      <w:r w:rsidR="00947B73">
        <w:rPr>
          <w:rFonts w:ascii="Times New Roman" w:hAnsi="Times New Roman" w:cs="Times New Roman"/>
          <w:i/>
          <w:iCs/>
          <w:sz w:val="24"/>
          <w:szCs w:val="24"/>
        </w:rPr>
        <w:t>evra</w:t>
      </w:r>
      <w:r w:rsidRPr="004C6305">
        <w:rPr>
          <w:rFonts w:ascii="Times New Roman" w:hAnsi="Times New Roman" w:cs="Times New Roman"/>
          <w:i/>
          <w:iCs/>
          <w:sz w:val="24"/>
          <w:szCs w:val="24"/>
        </w:rPr>
        <w:t>it négliger aucune source potentielle de risque de liquidité, que ce soit au niveau de sa structure du bilan (coûts, disponibilité, maturité des instruments), de ses activités hors bilan (transférabilité des risques), de son exposition aux autres risques (corrélation/contagion avec le risque de marché ,le risque opérationnel, le risque de réputation, etc.) ou des conditions de marché (conditions macroéconomiques impactant les ressources disponibles et la liquidité des marchés).</w:t>
      </w:r>
    </w:p>
    <w:p w14:paraId="6AD6BF80" w14:textId="77777777" w:rsidR="00607CEB" w:rsidRPr="00640178" w:rsidRDefault="00607CEB" w:rsidP="00640178">
      <w:pPr>
        <w:spacing w:after="0"/>
        <w:jc w:val="both"/>
        <w:rPr>
          <w:rFonts w:ascii="Times New Roman" w:hAnsi="Times New Roman" w:cs="Times New Roman"/>
          <w:sz w:val="24"/>
          <w:szCs w:val="24"/>
        </w:rPr>
      </w:pPr>
    </w:p>
    <w:p w14:paraId="4B7D8138" w14:textId="77777777" w:rsidR="00607CEB" w:rsidRPr="00222C06" w:rsidRDefault="00CD1121">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p</w:t>
      </w:r>
      <w:r w:rsidR="00607CEB" w:rsidRPr="00222C06">
        <w:rPr>
          <w:rFonts w:ascii="Times New Roman" w:hAnsi="Times New Roman" w:cs="Times New Roman"/>
          <w:sz w:val="24"/>
          <w:szCs w:val="24"/>
        </w:rPr>
        <w:t>résentation</w:t>
      </w:r>
      <w:proofErr w:type="gramEnd"/>
      <w:r w:rsidR="00607CEB" w:rsidRPr="00222C06">
        <w:rPr>
          <w:rFonts w:ascii="Times New Roman" w:hAnsi="Times New Roman" w:cs="Times New Roman"/>
          <w:sz w:val="24"/>
          <w:szCs w:val="24"/>
        </w:rPr>
        <w:t xml:space="preserve"> des indicateurs et des limites</w:t>
      </w:r>
      <w:r w:rsidR="00906479">
        <w:rPr>
          <w:rFonts w:ascii="Times New Roman" w:hAnsi="Times New Roman" w:cs="Times New Roman"/>
          <w:sz w:val="24"/>
          <w:szCs w:val="24"/>
        </w:rPr>
        <w:t xml:space="preserve"> </w:t>
      </w:r>
      <w:r w:rsidR="00607CEB" w:rsidRPr="00222C06">
        <w:rPr>
          <w:rFonts w:ascii="Times New Roman" w:hAnsi="Times New Roman" w:cs="Times New Roman"/>
          <w:sz w:val="24"/>
          <w:szCs w:val="24"/>
        </w:rPr>
        <w:t>en place</w:t>
      </w:r>
      <w:r>
        <w:rPr>
          <w:rFonts w:ascii="Times New Roman" w:hAnsi="Times New Roman" w:cs="Times New Roman"/>
          <w:sz w:val="24"/>
          <w:szCs w:val="24"/>
        </w:rPr>
        <w:t> ;</w:t>
      </w:r>
      <w:r w:rsidR="00607CEB" w:rsidRPr="00222C06">
        <w:rPr>
          <w:rFonts w:ascii="Times New Roman" w:hAnsi="Times New Roman" w:cs="Times New Roman"/>
          <w:sz w:val="24"/>
          <w:szCs w:val="24"/>
        </w:rPr>
        <w:t xml:space="preserve"> </w:t>
      </w:r>
    </w:p>
    <w:p w14:paraId="28D31497" w14:textId="77777777" w:rsidR="00222C06" w:rsidRPr="00526E91" w:rsidRDefault="00CD1121">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i</w:t>
      </w:r>
      <w:r w:rsidR="00607CEB" w:rsidRPr="00222C06">
        <w:rPr>
          <w:rFonts w:ascii="Times New Roman" w:hAnsi="Times New Roman" w:cs="Times New Roman"/>
          <w:sz w:val="24"/>
          <w:szCs w:val="24"/>
        </w:rPr>
        <w:t>nventaire</w:t>
      </w:r>
      <w:proofErr w:type="gramEnd"/>
      <w:r w:rsidR="00607CEB" w:rsidRPr="00222C06">
        <w:rPr>
          <w:rFonts w:ascii="Times New Roman" w:hAnsi="Times New Roman" w:cs="Times New Roman"/>
          <w:sz w:val="24"/>
          <w:szCs w:val="24"/>
        </w:rPr>
        <w:t xml:space="preserve"> des risques identifiés et description de l’approche utilisée pour déterminer </w:t>
      </w:r>
      <w:r w:rsidR="00C26B1A">
        <w:rPr>
          <w:rFonts w:ascii="Times New Roman" w:hAnsi="Times New Roman" w:cs="Times New Roman"/>
          <w:sz w:val="24"/>
          <w:szCs w:val="24"/>
        </w:rPr>
        <w:t>le caractère significatif</w:t>
      </w:r>
      <w:r w:rsidR="00607CEB" w:rsidRPr="00222C06">
        <w:rPr>
          <w:rFonts w:ascii="Times New Roman" w:hAnsi="Times New Roman" w:cs="Times New Roman"/>
          <w:sz w:val="24"/>
          <w:szCs w:val="24"/>
        </w:rPr>
        <w:t xml:space="preserve"> des risques présentés</w:t>
      </w:r>
      <w:r>
        <w:rPr>
          <w:rFonts w:ascii="Times New Roman" w:hAnsi="Times New Roman" w:cs="Times New Roman"/>
          <w:sz w:val="24"/>
          <w:szCs w:val="24"/>
        </w:rPr>
        <w:t>.</w:t>
      </w:r>
    </w:p>
    <w:p w14:paraId="44C9B720" w14:textId="77777777" w:rsidR="00607CEB" w:rsidRPr="005B1144" w:rsidRDefault="00607CEB">
      <w:pPr>
        <w:pStyle w:val="Titre2"/>
      </w:pPr>
      <w:bookmarkStart w:id="16" w:name="_Toc145687422"/>
      <w:r w:rsidRPr="005B1144">
        <w:t>Mesure du risque de liquidité</w:t>
      </w:r>
      <w:bookmarkEnd w:id="16"/>
      <w:r w:rsidRPr="005B1144">
        <w:t xml:space="preserve"> </w:t>
      </w:r>
    </w:p>
    <w:p w14:paraId="090AE9AE" w14:textId="3826AAB6" w:rsidR="00607CEB" w:rsidRPr="004C6305" w:rsidRDefault="00F5318F" w:rsidP="00640178">
      <w:pPr>
        <w:spacing w:after="0"/>
        <w:jc w:val="both"/>
        <w:rPr>
          <w:rFonts w:ascii="Times New Roman" w:hAnsi="Times New Roman" w:cs="Times New Roman"/>
          <w:i/>
          <w:iCs/>
          <w:sz w:val="24"/>
          <w:szCs w:val="24"/>
        </w:rPr>
      </w:pPr>
      <w:r>
        <w:rPr>
          <w:rFonts w:ascii="Times New Roman" w:hAnsi="Times New Roman" w:cs="Times New Roman"/>
          <w:i/>
          <w:iCs/>
          <w:sz w:val="24"/>
          <w:szCs w:val="24"/>
        </w:rPr>
        <w:t>Il est attendu que l</w:t>
      </w:r>
      <w:r w:rsidR="00607CEB" w:rsidRPr="004C6305">
        <w:rPr>
          <w:rFonts w:ascii="Times New Roman" w:hAnsi="Times New Roman" w:cs="Times New Roman"/>
          <w:i/>
          <w:iCs/>
          <w:sz w:val="24"/>
          <w:szCs w:val="24"/>
        </w:rPr>
        <w:t xml:space="preserve">’entreprise d’investissement </w:t>
      </w:r>
      <w:r>
        <w:rPr>
          <w:rFonts w:ascii="Times New Roman" w:hAnsi="Times New Roman" w:cs="Times New Roman"/>
          <w:i/>
          <w:iCs/>
          <w:sz w:val="24"/>
          <w:szCs w:val="24"/>
        </w:rPr>
        <w:t>mette</w:t>
      </w:r>
      <w:r w:rsidR="00607CEB" w:rsidRPr="004C6305">
        <w:rPr>
          <w:rFonts w:ascii="Times New Roman" w:hAnsi="Times New Roman" w:cs="Times New Roman"/>
          <w:i/>
          <w:iCs/>
          <w:sz w:val="24"/>
          <w:szCs w:val="24"/>
        </w:rPr>
        <w:t xml:space="preserve"> en place un dispositif de mesure et de quantification du risque de liquidité fondé sur une méthodologie cohérente et robuste compte tenu de son profil de risque, de sa taille, de sa nature et de la complexité de ses activités.  </w:t>
      </w:r>
    </w:p>
    <w:p w14:paraId="02B3609A" w14:textId="77777777" w:rsidR="00607CEB" w:rsidRPr="00640178" w:rsidRDefault="00607CEB" w:rsidP="00640178">
      <w:pPr>
        <w:spacing w:after="0"/>
        <w:jc w:val="both"/>
        <w:rPr>
          <w:rFonts w:ascii="Times New Roman" w:hAnsi="Times New Roman" w:cs="Times New Roman"/>
          <w:sz w:val="24"/>
          <w:szCs w:val="24"/>
        </w:rPr>
      </w:pPr>
    </w:p>
    <w:p w14:paraId="368DA3C0" w14:textId="77777777" w:rsidR="00607CEB" w:rsidRPr="00222C06" w:rsidRDefault="00CD1121">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p</w:t>
      </w:r>
      <w:r w:rsidR="00607CEB" w:rsidRPr="00222C06">
        <w:rPr>
          <w:rFonts w:ascii="Times New Roman" w:hAnsi="Times New Roman" w:cs="Times New Roman"/>
          <w:sz w:val="24"/>
          <w:szCs w:val="24"/>
        </w:rPr>
        <w:t>résentation</w:t>
      </w:r>
      <w:proofErr w:type="gramEnd"/>
      <w:r w:rsidR="00607CEB" w:rsidRPr="00222C06">
        <w:rPr>
          <w:rFonts w:ascii="Times New Roman" w:hAnsi="Times New Roman" w:cs="Times New Roman"/>
          <w:sz w:val="24"/>
          <w:szCs w:val="24"/>
        </w:rPr>
        <w:t xml:space="preserve"> du modèle de prévision des besoins de liquidité, tenant compte des tendances (court, moyen et long terme) et des cycles (hebdomadaires, mensuels et annuels) affectant la liquidité, qu’ils soient relatifs à ses propres activités ou aux conditions de marché</w:t>
      </w:r>
      <w:r>
        <w:rPr>
          <w:rFonts w:ascii="Times New Roman" w:hAnsi="Times New Roman" w:cs="Times New Roman"/>
          <w:sz w:val="24"/>
          <w:szCs w:val="24"/>
        </w:rPr>
        <w:t> ;</w:t>
      </w:r>
    </w:p>
    <w:p w14:paraId="72CFD23E" w14:textId="77777777" w:rsidR="00607CEB" w:rsidRPr="00222C06" w:rsidRDefault="00CD1121">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d</w:t>
      </w:r>
      <w:r w:rsidR="00607CEB" w:rsidRPr="00222C06">
        <w:rPr>
          <w:rFonts w:ascii="Times New Roman" w:hAnsi="Times New Roman" w:cs="Times New Roman"/>
          <w:sz w:val="24"/>
          <w:szCs w:val="24"/>
        </w:rPr>
        <w:t>escription</w:t>
      </w:r>
      <w:proofErr w:type="gramEnd"/>
      <w:r w:rsidR="00607CEB" w:rsidRPr="00222C06">
        <w:rPr>
          <w:rFonts w:ascii="Times New Roman" w:hAnsi="Times New Roman" w:cs="Times New Roman"/>
          <w:sz w:val="24"/>
          <w:szCs w:val="24"/>
        </w:rPr>
        <w:t xml:space="preserve"> et justification des hypothèses utilisées pour l’estimation du risque de liquidité, de leur formalisation ainsi que de leur processus de révision et de validation</w:t>
      </w:r>
      <w:r>
        <w:rPr>
          <w:rFonts w:ascii="Times New Roman" w:hAnsi="Times New Roman" w:cs="Times New Roman"/>
          <w:sz w:val="24"/>
          <w:szCs w:val="24"/>
        </w:rPr>
        <w:t> ;</w:t>
      </w:r>
    </w:p>
    <w:p w14:paraId="29C18F08" w14:textId="77777777" w:rsidR="00607CEB" w:rsidRPr="00222C06" w:rsidRDefault="00CD1121">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p</w:t>
      </w:r>
      <w:r w:rsidR="00607CEB" w:rsidRPr="00222C06">
        <w:rPr>
          <w:rFonts w:ascii="Times New Roman" w:hAnsi="Times New Roman" w:cs="Times New Roman"/>
          <w:sz w:val="24"/>
          <w:szCs w:val="24"/>
        </w:rPr>
        <w:t>résentation</w:t>
      </w:r>
      <w:proofErr w:type="gramEnd"/>
      <w:r w:rsidR="00607CEB" w:rsidRPr="00222C06">
        <w:rPr>
          <w:rFonts w:ascii="Times New Roman" w:hAnsi="Times New Roman" w:cs="Times New Roman"/>
          <w:sz w:val="24"/>
          <w:szCs w:val="24"/>
        </w:rPr>
        <w:t xml:space="preserve"> des projections des flux de trésorerie et des positions futures de liquidité sur une série déterminée d’échéances</w:t>
      </w:r>
      <w:r>
        <w:rPr>
          <w:rFonts w:ascii="Times New Roman" w:hAnsi="Times New Roman" w:cs="Times New Roman"/>
          <w:sz w:val="24"/>
          <w:szCs w:val="24"/>
        </w:rPr>
        <w:t> ;</w:t>
      </w:r>
    </w:p>
    <w:p w14:paraId="0198FF26" w14:textId="77777777" w:rsidR="00607CEB" w:rsidRPr="00222C06" w:rsidRDefault="00CD1121">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d</w:t>
      </w:r>
      <w:r w:rsidR="00607CEB" w:rsidRPr="00222C06">
        <w:rPr>
          <w:rFonts w:ascii="Times New Roman" w:hAnsi="Times New Roman" w:cs="Times New Roman"/>
          <w:sz w:val="24"/>
          <w:szCs w:val="24"/>
        </w:rPr>
        <w:t>escription</w:t>
      </w:r>
      <w:proofErr w:type="gramEnd"/>
      <w:r w:rsidR="00607CEB" w:rsidRPr="00222C06">
        <w:rPr>
          <w:rFonts w:ascii="Times New Roman" w:hAnsi="Times New Roman" w:cs="Times New Roman"/>
          <w:sz w:val="24"/>
          <w:szCs w:val="24"/>
        </w:rPr>
        <w:t xml:space="preserve"> de la disponibilité des différentes sources de financement à moyen et long terme, y compris le process</w:t>
      </w:r>
      <w:r w:rsidR="00F109FA">
        <w:rPr>
          <w:rFonts w:ascii="Times New Roman" w:hAnsi="Times New Roman" w:cs="Times New Roman"/>
          <w:sz w:val="24"/>
          <w:szCs w:val="24"/>
        </w:rPr>
        <w:t>us</w:t>
      </w:r>
      <w:r w:rsidR="00607CEB" w:rsidRPr="00222C06">
        <w:rPr>
          <w:rFonts w:ascii="Times New Roman" w:hAnsi="Times New Roman" w:cs="Times New Roman"/>
          <w:sz w:val="24"/>
          <w:szCs w:val="24"/>
        </w:rPr>
        <w:t xml:space="preserve"> de déblocage le cas échéant, et ce peu importe les situations (période normale et période de tensions).</w:t>
      </w:r>
    </w:p>
    <w:p w14:paraId="65811517" w14:textId="77777777" w:rsidR="00607CEB" w:rsidRPr="00640178" w:rsidRDefault="00607CEB" w:rsidP="00640178">
      <w:pPr>
        <w:spacing w:after="0"/>
        <w:jc w:val="both"/>
        <w:rPr>
          <w:rFonts w:ascii="Times New Roman" w:hAnsi="Times New Roman" w:cs="Times New Roman"/>
          <w:sz w:val="24"/>
          <w:szCs w:val="24"/>
        </w:rPr>
      </w:pPr>
    </w:p>
    <w:p w14:paraId="24130DB7" w14:textId="77777777" w:rsidR="005B752C" w:rsidRDefault="00607CEB" w:rsidP="005B752C">
      <w:pPr>
        <w:pStyle w:val="Titre2"/>
      </w:pPr>
      <w:bookmarkStart w:id="17" w:name="_Toc145687423"/>
      <w:r w:rsidRPr="005B1144">
        <w:t>Présentation des aspects spécifiques identifiés dans le</w:t>
      </w:r>
      <w:r w:rsidR="00947B73">
        <w:t xml:space="preserve"> </w:t>
      </w:r>
      <w:r w:rsidR="00A9160F">
        <w:t>règlement d</w:t>
      </w:r>
      <w:r w:rsidR="00947B73">
        <w:t>élégué</w:t>
      </w:r>
      <w:r w:rsidRPr="005B1144">
        <w:t xml:space="preserve">  sur le risque de liquidité</w:t>
      </w:r>
      <w:r w:rsidR="00AF4BF4">
        <w:rPr>
          <w:rStyle w:val="Appelnotedebasdep"/>
        </w:rPr>
        <w:footnoteReference w:id="12"/>
      </w:r>
      <w:r w:rsidRPr="005B1144">
        <w:t xml:space="preserve">   </w:t>
      </w:r>
      <w:bookmarkEnd w:id="17"/>
    </w:p>
    <w:p w14:paraId="0A01FC2D" w14:textId="77777777" w:rsidR="005B752C" w:rsidRDefault="005B752C" w:rsidP="0011398B">
      <w:pPr>
        <w:spacing w:after="0"/>
        <w:jc w:val="both"/>
        <w:rPr>
          <w:rFonts w:ascii="Times New Roman" w:hAnsi="Times New Roman" w:cs="Times New Roman"/>
          <w:i/>
          <w:iCs/>
          <w:sz w:val="24"/>
          <w:szCs w:val="24"/>
        </w:rPr>
      </w:pPr>
      <w:r w:rsidRPr="0011398B">
        <w:rPr>
          <w:rFonts w:ascii="Times New Roman" w:hAnsi="Times New Roman" w:cs="Times New Roman"/>
          <w:i/>
          <w:iCs/>
          <w:sz w:val="24"/>
          <w:szCs w:val="24"/>
        </w:rPr>
        <w:t xml:space="preserve">Dans cette partie, il est attendu que l’entreprise d’investissement détaille plus précisément les trois principaux risques énoncés dans le </w:t>
      </w:r>
      <w:r w:rsidR="003E1F10">
        <w:rPr>
          <w:rFonts w:ascii="Times New Roman" w:hAnsi="Times New Roman" w:cs="Times New Roman"/>
          <w:i/>
          <w:iCs/>
          <w:sz w:val="24"/>
          <w:szCs w:val="24"/>
        </w:rPr>
        <w:t xml:space="preserve">règlement délégué </w:t>
      </w:r>
      <w:r w:rsidR="003E1F10" w:rsidRPr="003E1F10">
        <w:rPr>
          <w:rFonts w:ascii="Times New Roman" w:hAnsi="Times New Roman" w:cs="Times New Roman"/>
          <w:i/>
          <w:iCs/>
          <w:sz w:val="24"/>
          <w:szCs w:val="24"/>
        </w:rPr>
        <w:t>(UE) 2023/1651</w:t>
      </w:r>
      <w:r w:rsidRPr="0011398B">
        <w:rPr>
          <w:rFonts w:ascii="Times New Roman" w:hAnsi="Times New Roman" w:cs="Times New Roman"/>
          <w:i/>
          <w:iCs/>
          <w:sz w:val="24"/>
          <w:szCs w:val="24"/>
        </w:rPr>
        <w:t xml:space="preserve"> sur le risque de liquidité. En effet, </w:t>
      </w:r>
      <w:r w:rsidR="00ED6875">
        <w:rPr>
          <w:rFonts w:ascii="Times New Roman" w:hAnsi="Times New Roman" w:cs="Times New Roman"/>
          <w:i/>
          <w:iCs/>
          <w:sz w:val="24"/>
          <w:szCs w:val="24"/>
        </w:rPr>
        <w:t>en fonction</w:t>
      </w:r>
      <w:r w:rsidRPr="0011398B">
        <w:rPr>
          <w:rFonts w:ascii="Times New Roman" w:hAnsi="Times New Roman" w:cs="Times New Roman"/>
          <w:i/>
          <w:iCs/>
          <w:sz w:val="24"/>
          <w:szCs w:val="24"/>
        </w:rPr>
        <w:t xml:space="preserve"> de son </w:t>
      </w:r>
      <w:r w:rsidR="00ED6875">
        <w:rPr>
          <w:rFonts w:ascii="Times New Roman" w:hAnsi="Times New Roman" w:cs="Times New Roman"/>
          <w:i/>
          <w:iCs/>
          <w:sz w:val="24"/>
          <w:szCs w:val="24"/>
        </w:rPr>
        <w:t>modèle d’affaires</w:t>
      </w:r>
      <w:r w:rsidRPr="0011398B">
        <w:rPr>
          <w:rFonts w:ascii="Times New Roman" w:hAnsi="Times New Roman" w:cs="Times New Roman"/>
          <w:i/>
          <w:iCs/>
          <w:sz w:val="24"/>
          <w:szCs w:val="24"/>
        </w:rPr>
        <w:t xml:space="preserve">, </w:t>
      </w:r>
      <w:r w:rsidR="0099097E" w:rsidRPr="0011398B">
        <w:rPr>
          <w:rFonts w:ascii="Times New Roman" w:hAnsi="Times New Roman" w:cs="Times New Roman"/>
          <w:i/>
          <w:iCs/>
          <w:sz w:val="24"/>
          <w:szCs w:val="24"/>
        </w:rPr>
        <w:t xml:space="preserve">la gestion des flux de liquidités intra journaliers, la gestion de l’équilibre actif-passif mais également l’impact de dispositifs de gestion centralisée dans le cadre de groupe, </w:t>
      </w:r>
      <w:r w:rsidR="00ED6875">
        <w:rPr>
          <w:rFonts w:ascii="Times New Roman" w:hAnsi="Times New Roman" w:cs="Times New Roman"/>
          <w:i/>
          <w:iCs/>
          <w:sz w:val="24"/>
          <w:szCs w:val="24"/>
        </w:rPr>
        <w:t xml:space="preserve">peuvent être </w:t>
      </w:r>
      <w:r w:rsidR="0099097E" w:rsidRPr="0011398B">
        <w:rPr>
          <w:rFonts w:ascii="Times New Roman" w:hAnsi="Times New Roman" w:cs="Times New Roman"/>
          <w:i/>
          <w:iCs/>
          <w:sz w:val="24"/>
          <w:szCs w:val="24"/>
        </w:rPr>
        <w:t>fondamentaux dans la gestion du risque de liquidité.</w:t>
      </w:r>
    </w:p>
    <w:p w14:paraId="093403E5" w14:textId="77777777" w:rsidR="0011398B" w:rsidRPr="0011398B" w:rsidRDefault="0011398B" w:rsidP="0011398B">
      <w:pPr>
        <w:spacing w:after="0"/>
        <w:jc w:val="both"/>
        <w:rPr>
          <w:rFonts w:ascii="Times New Roman" w:hAnsi="Times New Roman" w:cs="Times New Roman"/>
          <w:i/>
          <w:iCs/>
          <w:sz w:val="24"/>
          <w:szCs w:val="24"/>
        </w:rPr>
      </w:pPr>
    </w:p>
    <w:p w14:paraId="2B862EDA" w14:textId="77777777" w:rsidR="00607CEB" w:rsidRPr="00640178" w:rsidRDefault="00607CEB" w:rsidP="00990291">
      <w:pPr>
        <w:pStyle w:val="Titre3"/>
        <w:numPr>
          <w:ilvl w:val="2"/>
          <w:numId w:val="8"/>
        </w:numPr>
      </w:pPr>
      <w:bookmarkStart w:id="18" w:name="_Toc145687424"/>
      <w:r w:rsidRPr="00640178">
        <w:t>Gestion de risques intra journaliers et gestion des sûretés</w:t>
      </w:r>
      <w:bookmarkEnd w:id="18"/>
      <w:r w:rsidRPr="00640178">
        <w:t xml:space="preserve"> </w:t>
      </w:r>
    </w:p>
    <w:p w14:paraId="55C01FAF" w14:textId="77777777" w:rsidR="00607CEB" w:rsidRPr="004C6305" w:rsidRDefault="00607CEB" w:rsidP="00640178">
      <w:pPr>
        <w:spacing w:after="0"/>
        <w:jc w:val="both"/>
        <w:rPr>
          <w:rFonts w:ascii="Times New Roman" w:hAnsi="Times New Roman" w:cs="Times New Roman"/>
          <w:i/>
          <w:iCs/>
          <w:sz w:val="24"/>
          <w:szCs w:val="24"/>
        </w:rPr>
      </w:pPr>
      <w:r w:rsidRPr="004C6305">
        <w:rPr>
          <w:rFonts w:ascii="Times New Roman" w:hAnsi="Times New Roman" w:cs="Times New Roman"/>
          <w:i/>
          <w:iCs/>
          <w:sz w:val="24"/>
          <w:szCs w:val="24"/>
        </w:rPr>
        <w:t>Considérant son exposition au risque, l’entreprise d’investissement d</w:t>
      </w:r>
      <w:r w:rsidR="00480ECF">
        <w:rPr>
          <w:rFonts w:ascii="Times New Roman" w:hAnsi="Times New Roman" w:cs="Times New Roman"/>
          <w:i/>
          <w:iCs/>
          <w:sz w:val="24"/>
          <w:szCs w:val="24"/>
        </w:rPr>
        <w:t>evra</w:t>
      </w:r>
      <w:r w:rsidRPr="004C6305">
        <w:rPr>
          <w:rFonts w:ascii="Times New Roman" w:hAnsi="Times New Roman" w:cs="Times New Roman"/>
          <w:i/>
          <w:iCs/>
          <w:sz w:val="24"/>
          <w:szCs w:val="24"/>
        </w:rPr>
        <w:t>it gérer activement ses positions de liquidité intra journalières afin de remplir ses obligations de paiement et de règlement en temps opportun, en périodes normales et de crise.</w:t>
      </w:r>
    </w:p>
    <w:p w14:paraId="468C6925" w14:textId="77777777" w:rsidR="00607CEB" w:rsidRPr="00640178" w:rsidRDefault="00607CEB" w:rsidP="00640178">
      <w:pPr>
        <w:spacing w:after="0"/>
        <w:jc w:val="both"/>
        <w:rPr>
          <w:rFonts w:ascii="Times New Roman" w:hAnsi="Times New Roman" w:cs="Times New Roman"/>
          <w:sz w:val="24"/>
          <w:szCs w:val="24"/>
        </w:rPr>
      </w:pPr>
    </w:p>
    <w:p w14:paraId="13AA91DA" w14:textId="77777777" w:rsidR="00607CEB" w:rsidRPr="00222C06" w:rsidRDefault="00CD1121">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p</w:t>
      </w:r>
      <w:r w:rsidR="00607CEB" w:rsidRPr="00222C06">
        <w:rPr>
          <w:rFonts w:ascii="Times New Roman" w:hAnsi="Times New Roman" w:cs="Times New Roman"/>
          <w:sz w:val="24"/>
          <w:szCs w:val="24"/>
        </w:rPr>
        <w:t>résentation</w:t>
      </w:r>
      <w:proofErr w:type="gramEnd"/>
      <w:r w:rsidR="00607CEB" w:rsidRPr="00222C06">
        <w:rPr>
          <w:rFonts w:ascii="Times New Roman" w:hAnsi="Times New Roman" w:cs="Times New Roman"/>
          <w:sz w:val="24"/>
          <w:szCs w:val="24"/>
        </w:rPr>
        <w:t xml:space="preserve"> du dispositif de gestion et de suivi des positions de liquidité sur une base intra journalière, au jour le jour pour les horizons à court terme et sur une série de périodes plus longues ensuite</w:t>
      </w:r>
      <w:r>
        <w:rPr>
          <w:rFonts w:ascii="Times New Roman" w:hAnsi="Times New Roman" w:cs="Times New Roman"/>
          <w:sz w:val="24"/>
          <w:szCs w:val="24"/>
        </w:rPr>
        <w:t> ;</w:t>
      </w:r>
    </w:p>
    <w:p w14:paraId="11AA10C5" w14:textId="77777777" w:rsidR="00607CEB" w:rsidRPr="00222C06" w:rsidRDefault="00CD1121">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d</w:t>
      </w:r>
      <w:r w:rsidR="00607CEB" w:rsidRPr="00222C06">
        <w:rPr>
          <w:rFonts w:ascii="Times New Roman" w:hAnsi="Times New Roman" w:cs="Times New Roman"/>
          <w:sz w:val="24"/>
          <w:szCs w:val="24"/>
        </w:rPr>
        <w:t>escription</w:t>
      </w:r>
      <w:proofErr w:type="gramEnd"/>
      <w:r w:rsidR="00607CEB" w:rsidRPr="00222C06">
        <w:rPr>
          <w:rFonts w:ascii="Times New Roman" w:hAnsi="Times New Roman" w:cs="Times New Roman"/>
          <w:sz w:val="24"/>
          <w:szCs w:val="24"/>
        </w:rPr>
        <w:t xml:space="preserve"> du dispositif de suivi des sorties des fonds, de surveillance de l’utilisation du crédit intra journalier et de l’accès aux fonds</w:t>
      </w:r>
      <w:r>
        <w:rPr>
          <w:rFonts w:ascii="Times New Roman" w:hAnsi="Times New Roman" w:cs="Times New Roman"/>
          <w:sz w:val="24"/>
          <w:szCs w:val="24"/>
        </w:rPr>
        <w:t> ;</w:t>
      </w:r>
    </w:p>
    <w:p w14:paraId="44520E5D" w14:textId="77777777" w:rsidR="00607CEB" w:rsidRPr="00222C06" w:rsidRDefault="00CD1121">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d</w:t>
      </w:r>
      <w:r w:rsidR="00607CEB" w:rsidRPr="00222C06">
        <w:rPr>
          <w:rFonts w:ascii="Times New Roman" w:hAnsi="Times New Roman" w:cs="Times New Roman"/>
          <w:sz w:val="24"/>
          <w:szCs w:val="24"/>
        </w:rPr>
        <w:t>escription</w:t>
      </w:r>
      <w:proofErr w:type="gramEnd"/>
      <w:r w:rsidR="00607CEB" w:rsidRPr="00222C06">
        <w:rPr>
          <w:rFonts w:ascii="Times New Roman" w:hAnsi="Times New Roman" w:cs="Times New Roman"/>
          <w:sz w:val="24"/>
          <w:szCs w:val="24"/>
        </w:rPr>
        <w:t xml:space="preserve"> du dispositif de calibrage des sûretés et de surveillance de leur valeur et de leur liquidité afin d’anticiper les situations où des sûretés supplémentaires pourraient être exigées, notamment du fait des évolutions des marchés</w:t>
      </w:r>
      <w:r>
        <w:rPr>
          <w:rFonts w:ascii="Times New Roman" w:hAnsi="Times New Roman" w:cs="Times New Roman"/>
          <w:sz w:val="24"/>
          <w:szCs w:val="24"/>
        </w:rPr>
        <w:t> ;</w:t>
      </w:r>
    </w:p>
    <w:p w14:paraId="1AFDD37D" w14:textId="77777777" w:rsidR="00607CEB" w:rsidRPr="00222C06" w:rsidRDefault="00CD1121">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p</w:t>
      </w:r>
      <w:r w:rsidR="00607CEB" w:rsidRPr="00222C06">
        <w:rPr>
          <w:rFonts w:ascii="Times New Roman" w:hAnsi="Times New Roman" w:cs="Times New Roman"/>
          <w:sz w:val="24"/>
          <w:szCs w:val="24"/>
        </w:rPr>
        <w:t>résentation</w:t>
      </w:r>
      <w:proofErr w:type="gramEnd"/>
      <w:r w:rsidR="00607CEB" w:rsidRPr="00222C06">
        <w:rPr>
          <w:rFonts w:ascii="Times New Roman" w:hAnsi="Times New Roman" w:cs="Times New Roman"/>
          <w:sz w:val="24"/>
          <w:szCs w:val="24"/>
        </w:rPr>
        <w:t xml:space="preserve"> des sources de sûretés, des règles de diversification mises en place ainsi que des délais de mobilisation associés (en toutes circonstances). </w:t>
      </w:r>
    </w:p>
    <w:p w14:paraId="16A723C0" w14:textId="77777777" w:rsidR="00607CEB" w:rsidRPr="00640178" w:rsidRDefault="00607CEB" w:rsidP="00640178">
      <w:pPr>
        <w:spacing w:after="0"/>
        <w:jc w:val="both"/>
        <w:rPr>
          <w:rFonts w:ascii="Times New Roman" w:hAnsi="Times New Roman" w:cs="Times New Roman"/>
          <w:sz w:val="24"/>
          <w:szCs w:val="24"/>
        </w:rPr>
      </w:pPr>
    </w:p>
    <w:p w14:paraId="25133F37" w14:textId="77777777" w:rsidR="00607CEB" w:rsidRPr="00990291" w:rsidRDefault="00607CEB" w:rsidP="00990291">
      <w:pPr>
        <w:pStyle w:val="Titre3"/>
        <w:numPr>
          <w:ilvl w:val="2"/>
          <w:numId w:val="8"/>
        </w:numPr>
      </w:pPr>
      <w:bookmarkStart w:id="19" w:name="_Toc145687425"/>
      <w:r w:rsidRPr="00990291">
        <w:t>Gestion du risque de liquidité par la gestion actif-passif</w:t>
      </w:r>
      <w:bookmarkEnd w:id="19"/>
      <w:r w:rsidRPr="00990291">
        <w:t xml:space="preserve"> </w:t>
      </w:r>
    </w:p>
    <w:p w14:paraId="6E6CD8E0" w14:textId="77777777" w:rsidR="00607CEB" w:rsidRPr="004C6305" w:rsidRDefault="00607CEB" w:rsidP="00640178">
      <w:pPr>
        <w:spacing w:after="0"/>
        <w:jc w:val="both"/>
        <w:rPr>
          <w:rFonts w:ascii="Times New Roman" w:hAnsi="Times New Roman" w:cs="Times New Roman"/>
          <w:i/>
          <w:iCs/>
          <w:sz w:val="24"/>
          <w:szCs w:val="24"/>
        </w:rPr>
      </w:pPr>
      <w:r w:rsidRPr="004C6305">
        <w:rPr>
          <w:rFonts w:ascii="Times New Roman" w:hAnsi="Times New Roman" w:cs="Times New Roman"/>
          <w:i/>
          <w:iCs/>
          <w:sz w:val="24"/>
          <w:szCs w:val="24"/>
        </w:rPr>
        <w:t>La gestion du risque de liquidité implique également que l’entreprise d’investissement structure ses actifs de façon à disposer de liquidités suffisantes afin de respecter ses engagements à leur échéance.</w:t>
      </w:r>
    </w:p>
    <w:p w14:paraId="60C8F68B" w14:textId="77777777" w:rsidR="00607CEB" w:rsidRPr="00640178" w:rsidRDefault="00607CEB" w:rsidP="00640178">
      <w:pPr>
        <w:spacing w:after="0"/>
        <w:jc w:val="both"/>
        <w:rPr>
          <w:rFonts w:ascii="Times New Roman" w:hAnsi="Times New Roman" w:cs="Times New Roman"/>
          <w:sz w:val="24"/>
          <w:szCs w:val="24"/>
        </w:rPr>
      </w:pPr>
    </w:p>
    <w:p w14:paraId="18A7255D" w14:textId="77777777" w:rsidR="00607CEB" w:rsidRPr="00222C06" w:rsidRDefault="00CD1121">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d</w:t>
      </w:r>
      <w:r w:rsidR="00607CEB" w:rsidRPr="00222C06">
        <w:rPr>
          <w:rFonts w:ascii="Times New Roman" w:hAnsi="Times New Roman" w:cs="Times New Roman"/>
          <w:sz w:val="24"/>
          <w:szCs w:val="24"/>
        </w:rPr>
        <w:t>escription</w:t>
      </w:r>
      <w:proofErr w:type="gramEnd"/>
      <w:r w:rsidR="00607CEB" w:rsidRPr="00222C06">
        <w:rPr>
          <w:rFonts w:ascii="Times New Roman" w:hAnsi="Times New Roman" w:cs="Times New Roman"/>
          <w:sz w:val="24"/>
          <w:szCs w:val="24"/>
        </w:rPr>
        <w:t xml:space="preserve"> de la stratégie de gestion actif-passif (ALM) mise en place, en tenant compte de la nature et l’étendue des activités ainsi que de l’impact des variations potentielles des conditions de marché</w:t>
      </w:r>
      <w:r>
        <w:rPr>
          <w:rFonts w:ascii="Times New Roman" w:hAnsi="Times New Roman" w:cs="Times New Roman"/>
          <w:sz w:val="24"/>
          <w:szCs w:val="24"/>
        </w:rPr>
        <w:t> ;</w:t>
      </w:r>
      <w:r w:rsidR="00607CEB" w:rsidRPr="00222C06">
        <w:rPr>
          <w:rFonts w:ascii="Times New Roman" w:hAnsi="Times New Roman" w:cs="Times New Roman"/>
          <w:sz w:val="24"/>
          <w:szCs w:val="24"/>
        </w:rPr>
        <w:t xml:space="preserve"> </w:t>
      </w:r>
    </w:p>
    <w:p w14:paraId="5F5125B8" w14:textId="77777777" w:rsidR="00607CEB" w:rsidRPr="00222C06" w:rsidRDefault="00CD1121">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p</w:t>
      </w:r>
      <w:r w:rsidR="00607CEB" w:rsidRPr="00222C06">
        <w:rPr>
          <w:rFonts w:ascii="Times New Roman" w:hAnsi="Times New Roman" w:cs="Times New Roman"/>
          <w:sz w:val="24"/>
          <w:szCs w:val="24"/>
        </w:rPr>
        <w:t>résentation</w:t>
      </w:r>
      <w:proofErr w:type="gramEnd"/>
      <w:r w:rsidR="00607CEB" w:rsidRPr="00222C06">
        <w:rPr>
          <w:rFonts w:ascii="Times New Roman" w:hAnsi="Times New Roman" w:cs="Times New Roman"/>
          <w:sz w:val="24"/>
          <w:szCs w:val="24"/>
        </w:rPr>
        <w:t xml:space="preserve"> de l’adéquation de la structure des actifs avec les flux de trésorerie sortants ainsi que des sources de liquidités rapidement mobilisables en cas de déséquilibres.  </w:t>
      </w:r>
    </w:p>
    <w:p w14:paraId="4720E1E1" w14:textId="77777777" w:rsidR="00607CEB" w:rsidRPr="00640178" w:rsidRDefault="00607CEB" w:rsidP="00640178">
      <w:pPr>
        <w:spacing w:after="0"/>
        <w:jc w:val="both"/>
        <w:rPr>
          <w:rFonts w:ascii="Times New Roman" w:hAnsi="Times New Roman" w:cs="Times New Roman"/>
          <w:sz w:val="24"/>
          <w:szCs w:val="24"/>
        </w:rPr>
      </w:pPr>
    </w:p>
    <w:p w14:paraId="53864D01" w14:textId="77777777" w:rsidR="00607CEB" w:rsidRPr="00990291" w:rsidRDefault="00607CEB" w:rsidP="00990291">
      <w:pPr>
        <w:pStyle w:val="Titre3"/>
        <w:numPr>
          <w:ilvl w:val="2"/>
          <w:numId w:val="8"/>
        </w:numPr>
      </w:pPr>
      <w:bookmarkStart w:id="20" w:name="_Toc145687426"/>
      <w:r w:rsidRPr="00990291">
        <w:t>Gestion intragroupe</w:t>
      </w:r>
      <w:bookmarkEnd w:id="20"/>
      <w:r w:rsidRPr="00990291">
        <w:t xml:space="preserve"> </w:t>
      </w:r>
    </w:p>
    <w:p w14:paraId="6244F827" w14:textId="77777777" w:rsidR="00607CEB" w:rsidRPr="004C6305" w:rsidRDefault="00607CEB" w:rsidP="00640178">
      <w:pPr>
        <w:spacing w:after="0"/>
        <w:jc w:val="both"/>
        <w:rPr>
          <w:rFonts w:ascii="Times New Roman" w:hAnsi="Times New Roman" w:cs="Times New Roman"/>
          <w:i/>
          <w:iCs/>
          <w:sz w:val="24"/>
          <w:szCs w:val="24"/>
        </w:rPr>
      </w:pPr>
      <w:r w:rsidRPr="004C6305">
        <w:rPr>
          <w:rFonts w:ascii="Times New Roman" w:hAnsi="Times New Roman" w:cs="Times New Roman"/>
          <w:i/>
          <w:iCs/>
          <w:sz w:val="24"/>
          <w:szCs w:val="24"/>
        </w:rPr>
        <w:t>Pour rappel, dans le cas où l’entreprise d’investissement fait partie d’un groupe, celle-ci demeure responsable de sa propre gestion du risque de liquidité même si cette gestion s’effectue au niveau du groupe.</w:t>
      </w:r>
    </w:p>
    <w:p w14:paraId="0AF0D360" w14:textId="77777777" w:rsidR="00607CEB" w:rsidRPr="004C6305" w:rsidRDefault="00607CEB" w:rsidP="00640178">
      <w:pPr>
        <w:spacing w:after="0"/>
        <w:jc w:val="both"/>
        <w:rPr>
          <w:rFonts w:ascii="Times New Roman" w:hAnsi="Times New Roman" w:cs="Times New Roman"/>
          <w:i/>
          <w:iCs/>
          <w:sz w:val="24"/>
          <w:szCs w:val="24"/>
        </w:rPr>
      </w:pPr>
      <w:r w:rsidRPr="004C6305">
        <w:rPr>
          <w:rFonts w:ascii="Times New Roman" w:hAnsi="Times New Roman" w:cs="Times New Roman"/>
          <w:i/>
          <w:iCs/>
          <w:sz w:val="24"/>
          <w:szCs w:val="24"/>
        </w:rPr>
        <w:t>Dans ces conditions, l’entreprise d’investissement d</w:t>
      </w:r>
      <w:r w:rsidR="00480ECF">
        <w:rPr>
          <w:rFonts w:ascii="Times New Roman" w:hAnsi="Times New Roman" w:cs="Times New Roman"/>
          <w:i/>
          <w:iCs/>
          <w:sz w:val="24"/>
          <w:szCs w:val="24"/>
        </w:rPr>
        <w:t>evrai</w:t>
      </w:r>
      <w:r w:rsidRPr="004C6305">
        <w:rPr>
          <w:rFonts w:ascii="Times New Roman" w:hAnsi="Times New Roman" w:cs="Times New Roman"/>
          <w:i/>
          <w:iCs/>
          <w:sz w:val="24"/>
          <w:szCs w:val="24"/>
        </w:rPr>
        <w:t>t prendre en considération les accords de gestion des liquidités en vigueur au sein de son groupe (ex : convention de centralisation type cash-</w:t>
      </w:r>
      <w:proofErr w:type="spellStart"/>
      <w:r w:rsidRPr="004C6305">
        <w:rPr>
          <w:rFonts w:ascii="Times New Roman" w:hAnsi="Times New Roman" w:cs="Times New Roman"/>
          <w:i/>
          <w:iCs/>
          <w:sz w:val="24"/>
          <w:szCs w:val="24"/>
        </w:rPr>
        <w:t>pooling</w:t>
      </w:r>
      <w:proofErr w:type="spellEnd"/>
      <w:r w:rsidRPr="004C6305">
        <w:rPr>
          <w:rFonts w:ascii="Times New Roman" w:hAnsi="Times New Roman" w:cs="Times New Roman"/>
          <w:i/>
          <w:iCs/>
          <w:sz w:val="24"/>
          <w:szCs w:val="24"/>
        </w:rPr>
        <w:t>) qui seraient susceptibles d’avoir un impact sur la gestion de son risque de liquidité.</w:t>
      </w:r>
    </w:p>
    <w:p w14:paraId="53E9D03B" w14:textId="77777777" w:rsidR="00607CEB" w:rsidRPr="00640178" w:rsidRDefault="00607CEB" w:rsidP="00640178">
      <w:pPr>
        <w:spacing w:after="0"/>
        <w:jc w:val="both"/>
        <w:rPr>
          <w:rFonts w:ascii="Times New Roman" w:hAnsi="Times New Roman" w:cs="Times New Roman"/>
          <w:sz w:val="24"/>
          <w:szCs w:val="24"/>
        </w:rPr>
      </w:pPr>
    </w:p>
    <w:p w14:paraId="4BE656C7" w14:textId="77777777" w:rsidR="00607CEB" w:rsidRPr="00222C06" w:rsidRDefault="00CD1121">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p</w:t>
      </w:r>
      <w:r w:rsidR="00607CEB" w:rsidRPr="00222C06">
        <w:rPr>
          <w:rFonts w:ascii="Times New Roman" w:hAnsi="Times New Roman" w:cs="Times New Roman"/>
          <w:sz w:val="24"/>
          <w:szCs w:val="24"/>
        </w:rPr>
        <w:t>résentation</w:t>
      </w:r>
      <w:proofErr w:type="gramEnd"/>
      <w:r w:rsidR="00607CEB" w:rsidRPr="00222C06">
        <w:rPr>
          <w:rFonts w:ascii="Times New Roman" w:hAnsi="Times New Roman" w:cs="Times New Roman"/>
          <w:sz w:val="24"/>
          <w:szCs w:val="24"/>
        </w:rPr>
        <w:t xml:space="preserve"> du dispositif de gestion centralisée des liquidités intragroupe, en précisant les points suivants :  </w:t>
      </w:r>
    </w:p>
    <w:p w14:paraId="5E9BE6FC" w14:textId="77777777" w:rsidR="00607CEB" w:rsidRPr="00222C06" w:rsidRDefault="00607CEB">
      <w:pPr>
        <w:pStyle w:val="Paragraphedeliste"/>
        <w:numPr>
          <w:ilvl w:val="0"/>
          <w:numId w:val="2"/>
        </w:numPr>
        <w:spacing w:after="0"/>
        <w:ind w:left="993"/>
        <w:jc w:val="both"/>
        <w:rPr>
          <w:rFonts w:ascii="Times New Roman" w:hAnsi="Times New Roman" w:cs="Times New Roman"/>
          <w:sz w:val="24"/>
          <w:szCs w:val="24"/>
        </w:rPr>
      </w:pPr>
      <w:proofErr w:type="gramStart"/>
      <w:r w:rsidRPr="00222C06">
        <w:rPr>
          <w:rFonts w:ascii="Times New Roman" w:hAnsi="Times New Roman" w:cs="Times New Roman"/>
          <w:sz w:val="24"/>
          <w:szCs w:val="24"/>
        </w:rPr>
        <w:t>les</w:t>
      </w:r>
      <w:proofErr w:type="gramEnd"/>
      <w:r w:rsidRPr="00222C06">
        <w:rPr>
          <w:rFonts w:ascii="Times New Roman" w:hAnsi="Times New Roman" w:cs="Times New Roman"/>
          <w:sz w:val="24"/>
          <w:szCs w:val="24"/>
        </w:rPr>
        <w:t xml:space="preserve"> interdépendances entre les différentes entités du groupe en termes de liquidités et les impacts de ces liens sur le risque de liquidité de l’entreprise d’investissement ;</w:t>
      </w:r>
    </w:p>
    <w:p w14:paraId="1DF93175" w14:textId="77777777" w:rsidR="00607CEB" w:rsidRPr="00222C06" w:rsidRDefault="00607CEB">
      <w:pPr>
        <w:pStyle w:val="Paragraphedeliste"/>
        <w:numPr>
          <w:ilvl w:val="0"/>
          <w:numId w:val="2"/>
        </w:numPr>
        <w:spacing w:after="0"/>
        <w:ind w:left="993"/>
        <w:jc w:val="both"/>
        <w:rPr>
          <w:rFonts w:ascii="Times New Roman" w:hAnsi="Times New Roman" w:cs="Times New Roman"/>
          <w:sz w:val="24"/>
          <w:szCs w:val="24"/>
        </w:rPr>
      </w:pPr>
      <w:proofErr w:type="gramStart"/>
      <w:r w:rsidRPr="00222C06">
        <w:rPr>
          <w:rFonts w:ascii="Times New Roman" w:hAnsi="Times New Roman" w:cs="Times New Roman"/>
          <w:sz w:val="24"/>
          <w:szCs w:val="24"/>
        </w:rPr>
        <w:t>les</w:t>
      </w:r>
      <w:proofErr w:type="gramEnd"/>
      <w:r w:rsidRPr="00222C06">
        <w:rPr>
          <w:rFonts w:ascii="Times New Roman" w:hAnsi="Times New Roman" w:cs="Times New Roman"/>
          <w:sz w:val="24"/>
          <w:szCs w:val="24"/>
        </w:rPr>
        <w:t xml:space="preserve"> critères et les modalités de calibrage des niveaux de liquidités octroyés aux entités ; </w:t>
      </w:r>
    </w:p>
    <w:p w14:paraId="7BEB1C28" w14:textId="77777777" w:rsidR="00607CEB" w:rsidRPr="00222C06" w:rsidRDefault="00607CEB">
      <w:pPr>
        <w:pStyle w:val="Paragraphedeliste"/>
        <w:numPr>
          <w:ilvl w:val="0"/>
          <w:numId w:val="2"/>
        </w:numPr>
        <w:spacing w:after="0"/>
        <w:ind w:left="993"/>
        <w:jc w:val="both"/>
        <w:rPr>
          <w:rFonts w:ascii="Times New Roman" w:hAnsi="Times New Roman" w:cs="Times New Roman"/>
          <w:sz w:val="24"/>
          <w:szCs w:val="24"/>
        </w:rPr>
      </w:pPr>
      <w:proofErr w:type="gramStart"/>
      <w:r w:rsidRPr="00222C06">
        <w:rPr>
          <w:rFonts w:ascii="Times New Roman" w:hAnsi="Times New Roman" w:cs="Times New Roman"/>
          <w:sz w:val="24"/>
          <w:szCs w:val="24"/>
        </w:rPr>
        <w:t>les</w:t>
      </w:r>
      <w:proofErr w:type="gramEnd"/>
      <w:r w:rsidRPr="00222C06">
        <w:rPr>
          <w:rFonts w:ascii="Times New Roman" w:hAnsi="Times New Roman" w:cs="Times New Roman"/>
          <w:sz w:val="24"/>
          <w:szCs w:val="24"/>
        </w:rPr>
        <w:t xml:space="preserve"> différentes limites internes (au sein du groupe et au niveau de l’entreprise d’investissement), notamment le seuil minimal de liquidités, le matelas de sécurité mis en place pour anticiper les besoins de liquidités, les stocks de devises</w:t>
      </w:r>
      <w:r w:rsidR="00D811F1">
        <w:rPr>
          <w:rFonts w:ascii="Times New Roman" w:hAnsi="Times New Roman" w:cs="Times New Roman"/>
          <w:sz w:val="24"/>
          <w:szCs w:val="24"/>
        </w:rPr>
        <w:t>,</w:t>
      </w:r>
      <w:r w:rsidRPr="00222C06">
        <w:rPr>
          <w:rFonts w:ascii="Times New Roman" w:hAnsi="Times New Roman" w:cs="Times New Roman"/>
          <w:sz w:val="24"/>
          <w:szCs w:val="24"/>
        </w:rPr>
        <w:t xml:space="preserve"> etc. ; </w:t>
      </w:r>
    </w:p>
    <w:p w14:paraId="05A435C0" w14:textId="77777777" w:rsidR="00607CEB" w:rsidRPr="00222C06" w:rsidRDefault="00607CEB">
      <w:pPr>
        <w:pStyle w:val="Paragraphedeliste"/>
        <w:numPr>
          <w:ilvl w:val="0"/>
          <w:numId w:val="2"/>
        </w:numPr>
        <w:spacing w:after="0"/>
        <w:ind w:left="993"/>
        <w:jc w:val="both"/>
        <w:rPr>
          <w:rFonts w:ascii="Times New Roman" w:hAnsi="Times New Roman" w:cs="Times New Roman"/>
          <w:sz w:val="24"/>
          <w:szCs w:val="24"/>
        </w:rPr>
      </w:pPr>
      <w:proofErr w:type="gramStart"/>
      <w:r w:rsidRPr="00222C06">
        <w:rPr>
          <w:rFonts w:ascii="Times New Roman" w:hAnsi="Times New Roman" w:cs="Times New Roman"/>
          <w:sz w:val="24"/>
          <w:szCs w:val="24"/>
        </w:rPr>
        <w:t>le</w:t>
      </w:r>
      <w:proofErr w:type="gramEnd"/>
      <w:r w:rsidRPr="00222C06">
        <w:rPr>
          <w:rFonts w:ascii="Times New Roman" w:hAnsi="Times New Roman" w:cs="Times New Roman"/>
          <w:sz w:val="24"/>
          <w:szCs w:val="24"/>
        </w:rPr>
        <w:t xml:space="preserve"> suivi des expositions sur les différentes entités en identifiant les cas de dépendance ;</w:t>
      </w:r>
    </w:p>
    <w:p w14:paraId="07AECD1D" w14:textId="77777777" w:rsidR="00607CEB" w:rsidRPr="00222C06" w:rsidRDefault="00607CEB">
      <w:pPr>
        <w:pStyle w:val="Paragraphedeliste"/>
        <w:numPr>
          <w:ilvl w:val="0"/>
          <w:numId w:val="2"/>
        </w:numPr>
        <w:spacing w:after="0"/>
        <w:ind w:left="993"/>
        <w:jc w:val="both"/>
        <w:rPr>
          <w:rFonts w:ascii="Times New Roman" w:hAnsi="Times New Roman" w:cs="Times New Roman"/>
          <w:sz w:val="24"/>
          <w:szCs w:val="24"/>
        </w:rPr>
      </w:pPr>
      <w:proofErr w:type="gramStart"/>
      <w:r w:rsidRPr="00222C06">
        <w:rPr>
          <w:rFonts w:ascii="Times New Roman" w:hAnsi="Times New Roman" w:cs="Times New Roman"/>
          <w:sz w:val="24"/>
          <w:szCs w:val="24"/>
        </w:rPr>
        <w:t>les</w:t>
      </w:r>
      <w:proofErr w:type="gramEnd"/>
      <w:r w:rsidRPr="00222C06">
        <w:rPr>
          <w:rFonts w:ascii="Times New Roman" w:hAnsi="Times New Roman" w:cs="Times New Roman"/>
          <w:sz w:val="24"/>
          <w:szCs w:val="24"/>
        </w:rPr>
        <w:t xml:space="preserve"> modalités de transfert de liquidité (process</w:t>
      </w:r>
      <w:r w:rsidR="00F109FA">
        <w:rPr>
          <w:rFonts w:ascii="Times New Roman" w:hAnsi="Times New Roman" w:cs="Times New Roman"/>
          <w:sz w:val="24"/>
          <w:szCs w:val="24"/>
        </w:rPr>
        <w:t>us</w:t>
      </w:r>
      <w:r w:rsidRPr="00222C06">
        <w:rPr>
          <w:rFonts w:ascii="Times New Roman" w:hAnsi="Times New Roman" w:cs="Times New Roman"/>
          <w:sz w:val="24"/>
          <w:szCs w:val="24"/>
        </w:rPr>
        <w:t xml:space="preserve"> et délais) ;</w:t>
      </w:r>
    </w:p>
    <w:p w14:paraId="57FF7427" w14:textId="77777777" w:rsidR="00222C06" w:rsidRPr="00526E91" w:rsidRDefault="00607CEB">
      <w:pPr>
        <w:pStyle w:val="Paragraphedeliste"/>
        <w:numPr>
          <w:ilvl w:val="0"/>
          <w:numId w:val="2"/>
        </w:numPr>
        <w:spacing w:after="0"/>
        <w:ind w:left="993"/>
        <w:jc w:val="both"/>
        <w:rPr>
          <w:rFonts w:ascii="Times New Roman" w:hAnsi="Times New Roman" w:cs="Times New Roman"/>
          <w:sz w:val="24"/>
          <w:szCs w:val="24"/>
        </w:rPr>
      </w:pPr>
      <w:proofErr w:type="gramStart"/>
      <w:r w:rsidRPr="00222C06">
        <w:rPr>
          <w:rFonts w:ascii="Times New Roman" w:hAnsi="Times New Roman" w:cs="Times New Roman"/>
          <w:sz w:val="24"/>
          <w:szCs w:val="24"/>
        </w:rPr>
        <w:t>les</w:t>
      </w:r>
      <w:proofErr w:type="gramEnd"/>
      <w:r w:rsidRPr="00222C06">
        <w:rPr>
          <w:rFonts w:ascii="Times New Roman" w:hAnsi="Times New Roman" w:cs="Times New Roman"/>
          <w:sz w:val="24"/>
          <w:szCs w:val="24"/>
        </w:rPr>
        <w:t xml:space="preserve"> dispositions particulières permises en période de tension.</w:t>
      </w:r>
    </w:p>
    <w:p w14:paraId="7E17D2DB" w14:textId="77777777" w:rsidR="00607CEB" w:rsidRPr="005B1144" w:rsidRDefault="00607CEB">
      <w:pPr>
        <w:pStyle w:val="Titre2"/>
      </w:pPr>
      <w:bookmarkStart w:id="21" w:name="_Toc145687427"/>
      <w:r w:rsidRPr="005B1144">
        <w:t>Évaluation des actifs liquides disponibles et de leur adéquation aux risques identifiés selon l’approche économique interne</w:t>
      </w:r>
      <w:bookmarkEnd w:id="21"/>
      <w:r w:rsidRPr="005B1144">
        <w:t xml:space="preserve"> </w:t>
      </w:r>
    </w:p>
    <w:p w14:paraId="730121D4" w14:textId="77777777" w:rsidR="00607CEB" w:rsidRPr="004C6305" w:rsidRDefault="00607CEB" w:rsidP="00640178">
      <w:pPr>
        <w:spacing w:after="0"/>
        <w:jc w:val="both"/>
        <w:rPr>
          <w:rFonts w:ascii="Times New Roman" w:hAnsi="Times New Roman" w:cs="Times New Roman"/>
          <w:i/>
          <w:iCs/>
          <w:sz w:val="24"/>
          <w:szCs w:val="24"/>
        </w:rPr>
      </w:pPr>
      <w:r w:rsidRPr="004C6305">
        <w:rPr>
          <w:rFonts w:ascii="Times New Roman" w:hAnsi="Times New Roman" w:cs="Times New Roman"/>
          <w:i/>
          <w:iCs/>
          <w:sz w:val="24"/>
          <w:szCs w:val="24"/>
        </w:rPr>
        <w:t>Cette section présente également un rapprochement des liquidités disponibles, des risques internes et des exigences réglementaires (au titre du pilier 1) en vue de vérifier la correcte adéquation des actifs liquid</w:t>
      </w:r>
      <w:r w:rsidR="00770FFD">
        <w:rPr>
          <w:rFonts w:ascii="Times New Roman" w:hAnsi="Times New Roman" w:cs="Times New Roman"/>
          <w:i/>
          <w:iCs/>
          <w:sz w:val="24"/>
          <w:szCs w:val="24"/>
        </w:rPr>
        <w:t>és avec les risques identifiés.</w:t>
      </w:r>
    </w:p>
    <w:p w14:paraId="0D7BAF0A" w14:textId="77777777" w:rsidR="00607CEB" w:rsidRPr="00640178" w:rsidRDefault="00607CEB" w:rsidP="00640178">
      <w:pPr>
        <w:spacing w:after="0"/>
        <w:jc w:val="both"/>
        <w:rPr>
          <w:rFonts w:ascii="Times New Roman" w:hAnsi="Times New Roman" w:cs="Times New Roman"/>
          <w:sz w:val="24"/>
          <w:szCs w:val="24"/>
        </w:rPr>
      </w:pPr>
    </w:p>
    <w:p w14:paraId="5CF6D132" w14:textId="77777777" w:rsidR="00607CEB" w:rsidRPr="00222C06" w:rsidRDefault="00CD1121">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d</w:t>
      </w:r>
      <w:r w:rsidR="00607CEB" w:rsidRPr="00222C06">
        <w:rPr>
          <w:rFonts w:ascii="Times New Roman" w:hAnsi="Times New Roman" w:cs="Times New Roman"/>
          <w:sz w:val="24"/>
          <w:szCs w:val="24"/>
        </w:rPr>
        <w:t>escription</w:t>
      </w:r>
      <w:proofErr w:type="gramEnd"/>
      <w:r w:rsidR="00607CEB" w:rsidRPr="00222C06">
        <w:rPr>
          <w:rFonts w:ascii="Times New Roman" w:hAnsi="Times New Roman" w:cs="Times New Roman"/>
          <w:sz w:val="24"/>
          <w:szCs w:val="24"/>
        </w:rPr>
        <w:t xml:space="preserve"> de la composition des actifs liquides (qualité et liquidité) : niveau actuel et projections à 3 ans</w:t>
      </w:r>
      <w:r>
        <w:rPr>
          <w:rFonts w:ascii="Times New Roman" w:hAnsi="Times New Roman" w:cs="Times New Roman"/>
          <w:sz w:val="24"/>
          <w:szCs w:val="24"/>
        </w:rPr>
        <w:t> ;</w:t>
      </w:r>
    </w:p>
    <w:p w14:paraId="03C45EB5" w14:textId="77777777" w:rsidR="00607CEB" w:rsidRPr="00222C06" w:rsidRDefault="00CD1121">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a</w:t>
      </w:r>
      <w:r w:rsidR="00607CEB" w:rsidRPr="00222C06">
        <w:rPr>
          <w:rFonts w:ascii="Times New Roman" w:hAnsi="Times New Roman" w:cs="Times New Roman"/>
          <w:sz w:val="24"/>
          <w:szCs w:val="24"/>
        </w:rPr>
        <w:t>nalyse</w:t>
      </w:r>
      <w:proofErr w:type="gramEnd"/>
      <w:r w:rsidR="00607CEB" w:rsidRPr="00222C06">
        <w:rPr>
          <w:rFonts w:ascii="Times New Roman" w:hAnsi="Times New Roman" w:cs="Times New Roman"/>
          <w:sz w:val="24"/>
          <w:szCs w:val="24"/>
        </w:rPr>
        <w:t xml:space="preserve"> des obstacles à la transférabilité des liquidités au sein du groupe</w:t>
      </w:r>
      <w:r>
        <w:rPr>
          <w:rFonts w:ascii="Times New Roman" w:hAnsi="Times New Roman" w:cs="Times New Roman"/>
          <w:sz w:val="24"/>
          <w:szCs w:val="24"/>
        </w:rPr>
        <w:t> ;</w:t>
      </w:r>
      <w:r w:rsidR="00607CEB" w:rsidRPr="00222C06">
        <w:rPr>
          <w:rFonts w:ascii="Times New Roman" w:hAnsi="Times New Roman" w:cs="Times New Roman"/>
          <w:sz w:val="24"/>
          <w:szCs w:val="24"/>
        </w:rPr>
        <w:t xml:space="preserve"> </w:t>
      </w:r>
    </w:p>
    <w:p w14:paraId="1F71FCAE" w14:textId="77777777" w:rsidR="00607CEB" w:rsidRPr="00222C06" w:rsidRDefault="00CD1121">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r</w:t>
      </w:r>
      <w:r w:rsidR="00607CEB" w:rsidRPr="00222C06">
        <w:rPr>
          <w:rFonts w:ascii="Times New Roman" w:hAnsi="Times New Roman" w:cs="Times New Roman"/>
          <w:sz w:val="24"/>
          <w:szCs w:val="24"/>
        </w:rPr>
        <w:t>approchement</w:t>
      </w:r>
      <w:proofErr w:type="gramEnd"/>
      <w:r w:rsidR="00607CEB" w:rsidRPr="00222C06">
        <w:rPr>
          <w:rFonts w:ascii="Times New Roman" w:hAnsi="Times New Roman" w:cs="Times New Roman"/>
          <w:sz w:val="24"/>
          <w:szCs w:val="24"/>
        </w:rPr>
        <w:t xml:space="preserve"> des risques identifiés selon l’approche économique interne, le niveau d’actifs liquides détenus et les exigences réglementaires (au titre du pilier 1) et analyse des écarts constatés</w:t>
      </w:r>
      <w:r>
        <w:rPr>
          <w:rFonts w:ascii="Times New Roman" w:hAnsi="Times New Roman" w:cs="Times New Roman"/>
          <w:sz w:val="24"/>
          <w:szCs w:val="24"/>
        </w:rPr>
        <w:t> ;</w:t>
      </w:r>
      <w:r w:rsidR="00607CEB" w:rsidRPr="00222C06">
        <w:rPr>
          <w:rFonts w:ascii="Times New Roman" w:hAnsi="Times New Roman" w:cs="Times New Roman"/>
          <w:sz w:val="24"/>
          <w:szCs w:val="24"/>
        </w:rPr>
        <w:t xml:space="preserve"> </w:t>
      </w:r>
    </w:p>
    <w:p w14:paraId="72F75827" w14:textId="77777777" w:rsidR="00222C06" w:rsidRPr="00526E91" w:rsidRDefault="00CD1121">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d</w:t>
      </w:r>
      <w:r w:rsidR="00607CEB" w:rsidRPr="00222C06">
        <w:rPr>
          <w:rFonts w:ascii="Times New Roman" w:hAnsi="Times New Roman" w:cs="Times New Roman"/>
          <w:sz w:val="24"/>
          <w:szCs w:val="24"/>
        </w:rPr>
        <w:t>escription</w:t>
      </w:r>
      <w:proofErr w:type="gramEnd"/>
      <w:r w:rsidR="00607CEB" w:rsidRPr="00222C06">
        <w:rPr>
          <w:rFonts w:ascii="Times New Roman" w:hAnsi="Times New Roman" w:cs="Times New Roman"/>
          <w:sz w:val="24"/>
          <w:szCs w:val="24"/>
        </w:rPr>
        <w:t xml:space="preserve"> des systèmes et procédures mis en place pour s’assurer que le montant et la répartition des actifs liquides sont adaptés à la nature et au niveau des risques auquel l’entreprise </w:t>
      </w:r>
      <w:r w:rsidR="00607CEB" w:rsidRPr="00222C06">
        <w:rPr>
          <w:rFonts w:ascii="Times New Roman" w:hAnsi="Times New Roman" w:cs="Times New Roman"/>
          <w:sz w:val="24"/>
          <w:szCs w:val="24"/>
        </w:rPr>
        <w:lastRenderedPageBreak/>
        <w:t>est exposée (avec un accent particulier sur les risques non pris en compte par le pilier 1) (cf. article 96 de l’arrêté du 3 novembre 2014 modifié)</w:t>
      </w:r>
      <w:r>
        <w:rPr>
          <w:rFonts w:ascii="Times New Roman" w:hAnsi="Times New Roman" w:cs="Times New Roman"/>
          <w:sz w:val="24"/>
          <w:szCs w:val="24"/>
        </w:rPr>
        <w:t>.</w:t>
      </w:r>
      <w:r w:rsidR="00607CEB" w:rsidRPr="00222C06">
        <w:rPr>
          <w:rFonts w:ascii="Times New Roman" w:hAnsi="Times New Roman" w:cs="Times New Roman"/>
          <w:sz w:val="24"/>
          <w:szCs w:val="24"/>
        </w:rPr>
        <w:t xml:space="preserve"> </w:t>
      </w:r>
    </w:p>
    <w:p w14:paraId="15FDD22C" w14:textId="77777777" w:rsidR="00607CEB" w:rsidRPr="005B1144" w:rsidRDefault="00607CEB">
      <w:pPr>
        <w:pStyle w:val="Titre2"/>
      </w:pPr>
      <w:bookmarkStart w:id="22" w:name="_Toc145687428"/>
      <w:r w:rsidRPr="005B1144">
        <w:t xml:space="preserve">Exercice de </w:t>
      </w:r>
      <w:r w:rsidR="00351FC2">
        <w:t xml:space="preserve">test de </w:t>
      </w:r>
      <w:r w:rsidR="0058248B">
        <w:t>résistance</w:t>
      </w:r>
      <w:r w:rsidR="005F4B62">
        <w:t>/ analyse de sensibilité</w:t>
      </w:r>
      <w:r w:rsidRPr="005B1144">
        <w:t xml:space="preserve"> sur la liquidité</w:t>
      </w:r>
      <w:bookmarkEnd w:id="22"/>
      <w:r w:rsidR="00245511">
        <w:rPr>
          <w:rStyle w:val="Appelnotedebasdep"/>
        </w:rPr>
        <w:footnoteReference w:id="13"/>
      </w:r>
    </w:p>
    <w:p w14:paraId="45749B28" w14:textId="1D1BF664" w:rsidR="00607CEB" w:rsidRPr="004C6305" w:rsidRDefault="00607CEB" w:rsidP="00640178">
      <w:pPr>
        <w:spacing w:after="0"/>
        <w:jc w:val="both"/>
        <w:rPr>
          <w:rFonts w:ascii="Times New Roman" w:hAnsi="Times New Roman" w:cs="Times New Roman"/>
          <w:i/>
          <w:iCs/>
          <w:sz w:val="24"/>
          <w:szCs w:val="24"/>
        </w:rPr>
      </w:pPr>
      <w:r w:rsidRPr="004C6305">
        <w:rPr>
          <w:rFonts w:ascii="Times New Roman" w:hAnsi="Times New Roman" w:cs="Times New Roman"/>
          <w:i/>
          <w:iCs/>
          <w:sz w:val="24"/>
          <w:szCs w:val="24"/>
        </w:rPr>
        <w:t xml:space="preserve">Cette section présente les </w:t>
      </w:r>
      <w:r w:rsidR="00935B47">
        <w:rPr>
          <w:rFonts w:ascii="Times New Roman" w:hAnsi="Times New Roman" w:cs="Times New Roman"/>
          <w:i/>
          <w:iCs/>
          <w:sz w:val="24"/>
          <w:szCs w:val="24"/>
        </w:rPr>
        <w:t>tests de résistance</w:t>
      </w:r>
      <w:r w:rsidR="00EB0DFE">
        <w:rPr>
          <w:rFonts w:ascii="Times New Roman" w:hAnsi="Times New Roman" w:cs="Times New Roman"/>
          <w:i/>
          <w:iCs/>
          <w:sz w:val="24"/>
          <w:szCs w:val="24"/>
        </w:rPr>
        <w:t>,</w:t>
      </w:r>
      <w:r w:rsidRPr="004C6305">
        <w:rPr>
          <w:rFonts w:ascii="Times New Roman" w:hAnsi="Times New Roman" w:cs="Times New Roman"/>
          <w:i/>
          <w:iCs/>
          <w:sz w:val="24"/>
          <w:szCs w:val="24"/>
        </w:rPr>
        <w:t xml:space="preserve"> </w:t>
      </w:r>
      <w:r w:rsidR="00EB0DFE">
        <w:rPr>
          <w:rFonts w:ascii="Times New Roman" w:hAnsi="Times New Roman" w:cs="Times New Roman"/>
          <w:i/>
          <w:iCs/>
          <w:sz w:val="24"/>
          <w:szCs w:val="24"/>
        </w:rPr>
        <w:t xml:space="preserve">ou analyses de sensibilité pour les entreprises d’investissement qui ne sont pas agréées pour les services de négociation pour compte et/ou la prise ferme, </w:t>
      </w:r>
      <w:r w:rsidRPr="004C6305">
        <w:rPr>
          <w:rFonts w:ascii="Times New Roman" w:hAnsi="Times New Roman" w:cs="Times New Roman"/>
          <w:i/>
          <w:iCs/>
          <w:sz w:val="24"/>
          <w:szCs w:val="24"/>
        </w:rPr>
        <w:t xml:space="preserve">mis en place par l’entreprise d’investissement dans le cadre de son dispositif d’évaluation de ses liquidités. En effet, </w:t>
      </w:r>
      <w:r w:rsidR="00480ECF">
        <w:rPr>
          <w:rFonts w:ascii="Times New Roman" w:hAnsi="Times New Roman" w:cs="Times New Roman"/>
          <w:i/>
          <w:iCs/>
          <w:sz w:val="24"/>
          <w:szCs w:val="24"/>
        </w:rPr>
        <w:t xml:space="preserve">il est attendu que l’entité </w:t>
      </w:r>
      <w:r w:rsidRPr="004C6305">
        <w:rPr>
          <w:rFonts w:ascii="Times New Roman" w:hAnsi="Times New Roman" w:cs="Times New Roman"/>
          <w:i/>
          <w:iCs/>
          <w:sz w:val="24"/>
          <w:szCs w:val="24"/>
        </w:rPr>
        <w:t xml:space="preserve">analyse son risque de liquidité en considérant différents scénarios de tension l’affectant spécifiquement ou plus généralement l’ensemble du marché, afin de s’assurer que ses expositions courantes au risque de liquidité restent conformes au niveau de tolérance qu’elle s’est fixée. </w:t>
      </w:r>
    </w:p>
    <w:p w14:paraId="257117B6" w14:textId="77777777" w:rsidR="00607CEB" w:rsidRPr="004C6305" w:rsidRDefault="00607CEB" w:rsidP="00640178">
      <w:pPr>
        <w:spacing w:after="0"/>
        <w:jc w:val="both"/>
        <w:rPr>
          <w:rFonts w:ascii="Times New Roman" w:hAnsi="Times New Roman" w:cs="Times New Roman"/>
          <w:i/>
          <w:iCs/>
          <w:sz w:val="24"/>
          <w:szCs w:val="24"/>
        </w:rPr>
      </w:pPr>
      <w:r w:rsidRPr="004C6305">
        <w:rPr>
          <w:rFonts w:ascii="Times New Roman" w:hAnsi="Times New Roman" w:cs="Times New Roman"/>
          <w:i/>
          <w:iCs/>
          <w:sz w:val="24"/>
          <w:szCs w:val="24"/>
        </w:rPr>
        <w:t>L’entreprise d’investissement d</w:t>
      </w:r>
      <w:r w:rsidR="00480ECF">
        <w:rPr>
          <w:rFonts w:ascii="Times New Roman" w:hAnsi="Times New Roman" w:cs="Times New Roman"/>
          <w:i/>
          <w:iCs/>
          <w:sz w:val="24"/>
          <w:szCs w:val="24"/>
        </w:rPr>
        <w:t>evra</w:t>
      </w:r>
      <w:r w:rsidRPr="004C6305">
        <w:rPr>
          <w:rFonts w:ascii="Times New Roman" w:hAnsi="Times New Roman" w:cs="Times New Roman"/>
          <w:i/>
          <w:iCs/>
          <w:sz w:val="24"/>
          <w:szCs w:val="24"/>
        </w:rPr>
        <w:t xml:space="preserve">it également procéder à des </w:t>
      </w:r>
      <w:r w:rsidR="004224EF">
        <w:rPr>
          <w:rFonts w:ascii="Times New Roman" w:hAnsi="Times New Roman" w:cs="Times New Roman"/>
          <w:i/>
          <w:iCs/>
          <w:sz w:val="24"/>
          <w:szCs w:val="24"/>
        </w:rPr>
        <w:t>tests de résistance</w:t>
      </w:r>
      <w:r w:rsidRPr="004C6305">
        <w:rPr>
          <w:rFonts w:ascii="Times New Roman" w:hAnsi="Times New Roman" w:cs="Times New Roman"/>
          <w:i/>
          <w:iCs/>
          <w:sz w:val="24"/>
          <w:szCs w:val="24"/>
        </w:rPr>
        <w:t xml:space="preserve"> pour s’assurer de la robustesse de sa stratégie de gestion du risque de liquidité, ses politiques et ses positions et pour mettre au point le cas échéant des plans de contingence efficaces.</w:t>
      </w:r>
    </w:p>
    <w:p w14:paraId="7EA77436" w14:textId="77777777" w:rsidR="00607CEB" w:rsidRPr="00640178" w:rsidRDefault="00607CEB" w:rsidP="00640178">
      <w:pPr>
        <w:spacing w:after="0"/>
        <w:jc w:val="both"/>
        <w:rPr>
          <w:rFonts w:ascii="Times New Roman" w:hAnsi="Times New Roman" w:cs="Times New Roman"/>
          <w:sz w:val="24"/>
          <w:szCs w:val="24"/>
        </w:rPr>
      </w:pPr>
    </w:p>
    <w:p w14:paraId="79222650" w14:textId="77777777" w:rsidR="00607CEB" w:rsidRPr="00222C06" w:rsidRDefault="00CD1121">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d</w:t>
      </w:r>
      <w:r w:rsidR="00607CEB" w:rsidRPr="00222C06">
        <w:rPr>
          <w:rFonts w:ascii="Times New Roman" w:hAnsi="Times New Roman" w:cs="Times New Roman"/>
          <w:sz w:val="24"/>
          <w:szCs w:val="24"/>
        </w:rPr>
        <w:t>escription</w:t>
      </w:r>
      <w:proofErr w:type="gramEnd"/>
      <w:r w:rsidR="00607CEB" w:rsidRPr="00222C06">
        <w:rPr>
          <w:rFonts w:ascii="Times New Roman" w:hAnsi="Times New Roman" w:cs="Times New Roman"/>
          <w:sz w:val="24"/>
          <w:szCs w:val="24"/>
        </w:rPr>
        <w:t xml:space="preserve"> des scénarios de tensions / situations de crise utilisés, en tenant compte notamment des cas de figures suivants :</w:t>
      </w:r>
    </w:p>
    <w:p w14:paraId="2E24BE14" w14:textId="77777777" w:rsidR="00607CEB" w:rsidRPr="00222C06" w:rsidRDefault="00607CEB">
      <w:pPr>
        <w:pStyle w:val="Paragraphedeliste"/>
        <w:numPr>
          <w:ilvl w:val="1"/>
          <w:numId w:val="3"/>
        </w:numPr>
        <w:spacing w:after="0"/>
        <w:ind w:left="993" w:hanging="338"/>
        <w:jc w:val="both"/>
        <w:rPr>
          <w:rFonts w:ascii="Times New Roman" w:hAnsi="Times New Roman" w:cs="Times New Roman"/>
          <w:sz w:val="24"/>
          <w:szCs w:val="24"/>
        </w:rPr>
      </w:pPr>
      <w:proofErr w:type="gramStart"/>
      <w:r w:rsidRPr="00222C06">
        <w:rPr>
          <w:rFonts w:ascii="Times New Roman" w:hAnsi="Times New Roman" w:cs="Times New Roman"/>
          <w:sz w:val="24"/>
          <w:szCs w:val="24"/>
        </w:rPr>
        <w:t>l’inaccessibilité</w:t>
      </w:r>
      <w:proofErr w:type="gramEnd"/>
      <w:r w:rsidRPr="00222C06">
        <w:rPr>
          <w:rFonts w:ascii="Times New Roman" w:hAnsi="Times New Roman" w:cs="Times New Roman"/>
          <w:sz w:val="24"/>
          <w:szCs w:val="24"/>
        </w:rPr>
        <w:t xml:space="preserve"> prolongée aux sources de financement à moyen et long terme (la titrisation, l’émission de titres de moyen à long terme, la dette obligataire, etc.) ;</w:t>
      </w:r>
    </w:p>
    <w:p w14:paraId="529CD836" w14:textId="77777777" w:rsidR="00607CEB" w:rsidRPr="00222C06" w:rsidRDefault="00607CEB">
      <w:pPr>
        <w:pStyle w:val="Paragraphedeliste"/>
        <w:numPr>
          <w:ilvl w:val="1"/>
          <w:numId w:val="3"/>
        </w:numPr>
        <w:spacing w:after="0"/>
        <w:ind w:left="993" w:hanging="338"/>
        <w:jc w:val="both"/>
        <w:rPr>
          <w:rFonts w:ascii="Times New Roman" w:hAnsi="Times New Roman" w:cs="Times New Roman"/>
          <w:sz w:val="24"/>
          <w:szCs w:val="24"/>
        </w:rPr>
      </w:pPr>
      <w:proofErr w:type="gramStart"/>
      <w:r w:rsidRPr="00222C06">
        <w:rPr>
          <w:rFonts w:ascii="Times New Roman" w:hAnsi="Times New Roman" w:cs="Times New Roman"/>
          <w:sz w:val="24"/>
          <w:szCs w:val="24"/>
        </w:rPr>
        <w:t>des</w:t>
      </w:r>
      <w:proofErr w:type="gramEnd"/>
      <w:r w:rsidRPr="00222C06">
        <w:rPr>
          <w:rFonts w:ascii="Times New Roman" w:hAnsi="Times New Roman" w:cs="Times New Roman"/>
          <w:sz w:val="24"/>
          <w:szCs w:val="24"/>
        </w:rPr>
        <w:t xml:space="preserve"> perturbations affectant fortement le fonctionnement des systèmes de règlement de paiement et engendrant des difficultés pour l’entreprise à calculer les positions de liquidités sur une base intra journalière et à satisfaire à ses obligations ;</w:t>
      </w:r>
    </w:p>
    <w:p w14:paraId="661F6C60" w14:textId="77777777" w:rsidR="00607CEB" w:rsidRPr="00222C06" w:rsidRDefault="00607CEB">
      <w:pPr>
        <w:pStyle w:val="Paragraphedeliste"/>
        <w:numPr>
          <w:ilvl w:val="1"/>
          <w:numId w:val="3"/>
        </w:numPr>
        <w:spacing w:after="0"/>
        <w:ind w:left="993" w:hanging="338"/>
        <w:jc w:val="both"/>
        <w:rPr>
          <w:rFonts w:ascii="Times New Roman" w:hAnsi="Times New Roman" w:cs="Times New Roman"/>
          <w:sz w:val="24"/>
          <w:szCs w:val="24"/>
        </w:rPr>
      </w:pPr>
      <w:proofErr w:type="gramStart"/>
      <w:r w:rsidRPr="00222C06">
        <w:rPr>
          <w:rFonts w:ascii="Times New Roman" w:hAnsi="Times New Roman" w:cs="Times New Roman"/>
          <w:sz w:val="24"/>
          <w:szCs w:val="24"/>
        </w:rPr>
        <w:t>des</w:t>
      </w:r>
      <w:proofErr w:type="gramEnd"/>
      <w:r w:rsidRPr="00222C06">
        <w:rPr>
          <w:rFonts w:ascii="Times New Roman" w:hAnsi="Times New Roman" w:cs="Times New Roman"/>
          <w:sz w:val="24"/>
          <w:szCs w:val="24"/>
        </w:rPr>
        <w:t xml:space="preserve"> difficultés à diversifier ses sources de financement ;</w:t>
      </w:r>
    </w:p>
    <w:p w14:paraId="5E8D9A21" w14:textId="77777777" w:rsidR="00607CEB" w:rsidRPr="00222C06" w:rsidRDefault="00607CEB">
      <w:pPr>
        <w:pStyle w:val="Paragraphedeliste"/>
        <w:numPr>
          <w:ilvl w:val="1"/>
          <w:numId w:val="3"/>
        </w:numPr>
        <w:spacing w:after="0"/>
        <w:ind w:left="993" w:hanging="338"/>
        <w:jc w:val="both"/>
        <w:rPr>
          <w:rFonts w:ascii="Times New Roman" w:hAnsi="Times New Roman" w:cs="Times New Roman"/>
          <w:sz w:val="24"/>
          <w:szCs w:val="24"/>
        </w:rPr>
      </w:pPr>
      <w:proofErr w:type="gramStart"/>
      <w:r w:rsidRPr="00222C06">
        <w:rPr>
          <w:rFonts w:ascii="Times New Roman" w:hAnsi="Times New Roman" w:cs="Times New Roman"/>
          <w:sz w:val="24"/>
          <w:szCs w:val="24"/>
        </w:rPr>
        <w:t>des</w:t>
      </w:r>
      <w:proofErr w:type="gramEnd"/>
      <w:r w:rsidRPr="00222C06">
        <w:rPr>
          <w:rFonts w:ascii="Times New Roman" w:hAnsi="Times New Roman" w:cs="Times New Roman"/>
          <w:sz w:val="24"/>
          <w:szCs w:val="24"/>
        </w:rPr>
        <w:t xml:space="preserve"> problèmes de conversions des liquidités en devises ;</w:t>
      </w:r>
    </w:p>
    <w:p w14:paraId="795EDC78" w14:textId="77777777" w:rsidR="00607CEB" w:rsidRPr="00222C06" w:rsidRDefault="00607CEB">
      <w:pPr>
        <w:pStyle w:val="Paragraphedeliste"/>
        <w:numPr>
          <w:ilvl w:val="1"/>
          <w:numId w:val="3"/>
        </w:numPr>
        <w:spacing w:after="0"/>
        <w:ind w:left="993" w:hanging="338"/>
        <w:jc w:val="both"/>
        <w:rPr>
          <w:rFonts w:ascii="Times New Roman" w:hAnsi="Times New Roman" w:cs="Times New Roman"/>
          <w:sz w:val="24"/>
          <w:szCs w:val="24"/>
        </w:rPr>
      </w:pPr>
      <w:proofErr w:type="gramStart"/>
      <w:r w:rsidRPr="00222C06">
        <w:rPr>
          <w:rFonts w:ascii="Times New Roman" w:hAnsi="Times New Roman" w:cs="Times New Roman"/>
          <w:sz w:val="24"/>
          <w:szCs w:val="24"/>
        </w:rPr>
        <w:t>les</w:t>
      </w:r>
      <w:proofErr w:type="gramEnd"/>
      <w:r w:rsidRPr="00222C06">
        <w:rPr>
          <w:rFonts w:ascii="Times New Roman" w:hAnsi="Times New Roman" w:cs="Times New Roman"/>
          <w:sz w:val="24"/>
          <w:szCs w:val="24"/>
        </w:rPr>
        <w:t xml:space="preserve"> risques liés aux produits/instruments utilisés.</w:t>
      </w:r>
    </w:p>
    <w:p w14:paraId="473CEACB" w14:textId="77777777" w:rsidR="00607CEB" w:rsidRPr="00640178" w:rsidRDefault="00607CEB" w:rsidP="00640178">
      <w:pPr>
        <w:spacing w:after="0"/>
        <w:jc w:val="both"/>
        <w:rPr>
          <w:rFonts w:ascii="Times New Roman" w:hAnsi="Times New Roman" w:cs="Times New Roman"/>
          <w:sz w:val="24"/>
          <w:szCs w:val="24"/>
        </w:rPr>
      </w:pPr>
    </w:p>
    <w:p w14:paraId="070849B0" w14:textId="77777777" w:rsidR="00607CEB" w:rsidRPr="00640178" w:rsidRDefault="00CD1121">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p</w:t>
      </w:r>
      <w:r w:rsidR="00607CEB" w:rsidRPr="00640178">
        <w:rPr>
          <w:rFonts w:ascii="Times New Roman" w:hAnsi="Times New Roman" w:cs="Times New Roman"/>
          <w:sz w:val="24"/>
          <w:szCs w:val="24"/>
        </w:rPr>
        <w:t>résentation</w:t>
      </w:r>
      <w:proofErr w:type="gramEnd"/>
      <w:r w:rsidR="00607CEB" w:rsidRPr="00640178">
        <w:rPr>
          <w:rFonts w:ascii="Times New Roman" w:hAnsi="Times New Roman" w:cs="Times New Roman"/>
          <w:sz w:val="24"/>
          <w:szCs w:val="24"/>
        </w:rPr>
        <w:t xml:space="preserve"> des résultats des analyses par scénarios et des simulations de crise</w:t>
      </w:r>
      <w:r>
        <w:rPr>
          <w:rFonts w:ascii="Times New Roman" w:hAnsi="Times New Roman" w:cs="Times New Roman"/>
          <w:sz w:val="24"/>
          <w:szCs w:val="24"/>
        </w:rPr>
        <w:t> ;</w:t>
      </w:r>
    </w:p>
    <w:p w14:paraId="63FF938B" w14:textId="77777777" w:rsidR="00607CEB" w:rsidRPr="00640178" w:rsidRDefault="00CD1121">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i</w:t>
      </w:r>
      <w:r w:rsidR="00607CEB" w:rsidRPr="00640178">
        <w:rPr>
          <w:rFonts w:ascii="Times New Roman" w:hAnsi="Times New Roman" w:cs="Times New Roman"/>
          <w:sz w:val="24"/>
          <w:szCs w:val="24"/>
        </w:rPr>
        <w:t>dentification</w:t>
      </w:r>
      <w:proofErr w:type="gramEnd"/>
      <w:r w:rsidR="00607CEB" w:rsidRPr="00640178">
        <w:rPr>
          <w:rFonts w:ascii="Times New Roman" w:hAnsi="Times New Roman" w:cs="Times New Roman"/>
          <w:sz w:val="24"/>
          <w:szCs w:val="24"/>
        </w:rPr>
        <w:t xml:space="preserve"> et évaluation des besoins de financement potentiels pouvant apparaitre et les écarts avec les exigences prudentielles en termes de liquidité</w:t>
      </w:r>
      <w:r>
        <w:rPr>
          <w:rFonts w:ascii="Times New Roman" w:hAnsi="Times New Roman" w:cs="Times New Roman"/>
          <w:sz w:val="24"/>
          <w:szCs w:val="24"/>
        </w:rPr>
        <w:t> ;</w:t>
      </w:r>
      <w:r w:rsidR="00607CEB" w:rsidRPr="00640178">
        <w:rPr>
          <w:rFonts w:ascii="Times New Roman" w:hAnsi="Times New Roman" w:cs="Times New Roman"/>
          <w:sz w:val="24"/>
          <w:szCs w:val="24"/>
        </w:rPr>
        <w:t xml:space="preserve"> </w:t>
      </w:r>
    </w:p>
    <w:p w14:paraId="5ECC1496" w14:textId="77777777" w:rsidR="00222C06" w:rsidRPr="00AB4859" w:rsidRDefault="00CD1121">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p</w:t>
      </w:r>
      <w:r w:rsidR="00607CEB" w:rsidRPr="00640178">
        <w:rPr>
          <w:rFonts w:ascii="Times New Roman" w:hAnsi="Times New Roman" w:cs="Times New Roman"/>
          <w:sz w:val="24"/>
          <w:szCs w:val="24"/>
        </w:rPr>
        <w:t>résenter</w:t>
      </w:r>
      <w:proofErr w:type="gramEnd"/>
      <w:r w:rsidR="00607CEB" w:rsidRPr="00640178">
        <w:rPr>
          <w:rFonts w:ascii="Times New Roman" w:hAnsi="Times New Roman" w:cs="Times New Roman"/>
          <w:sz w:val="24"/>
          <w:szCs w:val="24"/>
        </w:rPr>
        <w:t xml:space="preserve"> les modifications envisagées de la stratégie de gestion du risque de liquidité afin d’apporter les mesures correctrices nécessaires pour remédier aux lacunes identifiées par les différents scénarios.</w:t>
      </w:r>
    </w:p>
    <w:p w14:paraId="563E9735" w14:textId="77777777" w:rsidR="00607CEB" w:rsidRPr="005B1144" w:rsidRDefault="00607CEB">
      <w:pPr>
        <w:pStyle w:val="Titre2"/>
      </w:pPr>
      <w:bookmarkStart w:id="23" w:name="_Toc145687429"/>
      <w:r w:rsidRPr="005B1144">
        <w:t>Planification des liquidités garantissant un niveau d’actifs liquides suffisant pour couvrir les risques en toutes circonstances</w:t>
      </w:r>
      <w:bookmarkEnd w:id="23"/>
    </w:p>
    <w:p w14:paraId="3A3BA87E" w14:textId="77777777" w:rsidR="00607CEB" w:rsidRPr="004C6305" w:rsidRDefault="00607CEB" w:rsidP="00640178">
      <w:pPr>
        <w:spacing w:after="0"/>
        <w:jc w:val="both"/>
        <w:rPr>
          <w:rFonts w:ascii="Times New Roman" w:hAnsi="Times New Roman" w:cs="Times New Roman"/>
          <w:i/>
          <w:iCs/>
          <w:sz w:val="24"/>
          <w:szCs w:val="24"/>
        </w:rPr>
      </w:pPr>
      <w:r w:rsidRPr="004C6305">
        <w:rPr>
          <w:rFonts w:ascii="Times New Roman" w:hAnsi="Times New Roman" w:cs="Times New Roman"/>
          <w:i/>
          <w:iCs/>
          <w:sz w:val="24"/>
          <w:szCs w:val="24"/>
        </w:rPr>
        <w:t xml:space="preserve">Cette section présente le processus de planification mis en place par l’entreprise d’investissement ainsi que les projections établies tant en termes de niveau de liquidité attendu en interne (vision économique) qu’en termes d’exigence réglementaire à respecter. </w:t>
      </w:r>
    </w:p>
    <w:p w14:paraId="1DBBB441" w14:textId="77777777" w:rsidR="00607CEB" w:rsidRPr="004C6305" w:rsidRDefault="00607CEB" w:rsidP="00640178">
      <w:pPr>
        <w:spacing w:after="0"/>
        <w:jc w:val="both"/>
        <w:rPr>
          <w:rFonts w:ascii="Times New Roman" w:hAnsi="Times New Roman" w:cs="Times New Roman"/>
          <w:i/>
          <w:iCs/>
          <w:sz w:val="24"/>
          <w:szCs w:val="24"/>
        </w:rPr>
      </w:pPr>
      <w:r w:rsidRPr="004C6305">
        <w:rPr>
          <w:rFonts w:ascii="Times New Roman" w:hAnsi="Times New Roman" w:cs="Times New Roman"/>
          <w:i/>
          <w:iCs/>
          <w:sz w:val="24"/>
          <w:szCs w:val="24"/>
        </w:rPr>
        <w:t xml:space="preserve">Tout comme dans la partie dédiée aux fonds propres, ces projections présentées doivent être cohérentes notamment avec le plan d’affaires, les budgets prévisionnels, la politique de distribution </w:t>
      </w:r>
      <w:r w:rsidRPr="004C6305">
        <w:rPr>
          <w:rFonts w:ascii="Times New Roman" w:hAnsi="Times New Roman" w:cs="Times New Roman"/>
          <w:i/>
          <w:iCs/>
          <w:sz w:val="24"/>
          <w:szCs w:val="24"/>
        </w:rPr>
        <w:lastRenderedPageBreak/>
        <w:t>de dividendes, le profil de risque de l’entreprise d’investissement et son appétence au risque, ainsi que ses prévisions sectorielles et macroéconomiques.</w:t>
      </w:r>
    </w:p>
    <w:p w14:paraId="44FEEA38" w14:textId="77777777" w:rsidR="00607CEB" w:rsidRPr="004C6305" w:rsidRDefault="00792BFE" w:rsidP="00640178">
      <w:pPr>
        <w:spacing w:after="0"/>
        <w:jc w:val="both"/>
        <w:rPr>
          <w:rFonts w:ascii="Times New Roman" w:hAnsi="Times New Roman" w:cs="Times New Roman"/>
          <w:i/>
          <w:iCs/>
          <w:sz w:val="24"/>
          <w:szCs w:val="24"/>
        </w:rPr>
      </w:pPr>
      <w:r>
        <w:rPr>
          <w:rFonts w:ascii="Times New Roman" w:hAnsi="Times New Roman" w:cs="Times New Roman"/>
          <w:i/>
          <w:iCs/>
          <w:sz w:val="24"/>
          <w:szCs w:val="24"/>
        </w:rPr>
        <w:t>D’</w:t>
      </w:r>
      <w:r w:rsidR="00607CEB" w:rsidRPr="004C6305">
        <w:rPr>
          <w:rFonts w:ascii="Times New Roman" w:hAnsi="Times New Roman" w:cs="Times New Roman"/>
          <w:i/>
          <w:iCs/>
          <w:sz w:val="24"/>
          <w:szCs w:val="24"/>
        </w:rPr>
        <w:t>autres facteurs</w:t>
      </w:r>
      <w:r>
        <w:rPr>
          <w:rFonts w:ascii="Times New Roman" w:hAnsi="Times New Roman" w:cs="Times New Roman"/>
          <w:i/>
          <w:iCs/>
          <w:sz w:val="24"/>
          <w:szCs w:val="24"/>
        </w:rPr>
        <w:t xml:space="preserve"> devraient être pris en considération dans cet exercice de projection</w:t>
      </w:r>
      <w:r w:rsidR="00607CEB" w:rsidRPr="004C6305">
        <w:rPr>
          <w:rFonts w:ascii="Times New Roman" w:hAnsi="Times New Roman" w:cs="Times New Roman"/>
          <w:i/>
          <w:iCs/>
          <w:sz w:val="24"/>
          <w:szCs w:val="24"/>
        </w:rPr>
        <w:t xml:space="preserve"> : les risques et pertes considérés comme probables ; le programme des investissements importants ; les projets de fusions, acquisitions et cessions ; les financements de nouvelles activités ; les nouvelles sources de financements ; les attentes des marchés, des investisseurs en matière de rémunération des instruments de fonds propres.</w:t>
      </w:r>
    </w:p>
    <w:p w14:paraId="026C4090" w14:textId="77777777" w:rsidR="00607CEB" w:rsidRPr="004C6305" w:rsidRDefault="00792BFE" w:rsidP="00640178">
      <w:pPr>
        <w:spacing w:after="0"/>
        <w:jc w:val="both"/>
        <w:rPr>
          <w:rFonts w:ascii="Times New Roman" w:hAnsi="Times New Roman" w:cs="Times New Roman"/>
          <w:i/>
          <w:iCs/>
          <w:sz w:val="24"/>
          <w:szCs w:val="24"/>
        </w:rPr>
      </w:pPr>
      <w:r>
        <w:rPr>
          <w:rFonts w:ascii="Times New Roman" w:hAnsi="Times New Roman" w:cs="Times New Roman"/>
          <w:i/>
          <w:iCs/>
          <w:sz w:val="24"/>
          <w:szCs w:val="24"/>
        </w:rPr>
        <w:t>Pour rappel, l</w:t>
      </w:r>
      <w:r w:rsidR="00607CEB" w:rsidRPr="004C6305">
        <w:rPr>
          <w:rFonts w:ascii="Times New Roman" w:hAnsi="Times New Roman" w:cs="Times New Roman"/>
          <w:i/>
          <w:iCs/>
          <w:sz w:val="24"/>
          <w:szCs w:val="24"/>
        </w:rPr>
        <w:t>’entreprise d’investissement d</w:t>
      </w:r>
      <w:r w:rsidR="003E1F10">
        <w:rPr>
          <w:rFonts w:ascii="Times New Roman" w:hAnsi="Times New Roman" w:cs="Times New Roman"/>
          <w:i/>
          <w:iCs/>
          <w:sz w:val="24"/>
          <w:szCs w:val="24"/>
        </w:rPr>
        <w:t>evrait</w:t>
      </w:r>
      <w:r w:rsidR="00607CEB" w:rsidRPr="004C6305">
        <w:rPr>
          <w:rFonts w:ascii="Times New Roman" w:hAnsi="Times New Roman" w:cs="Times New Roman"/>
          <w:i/>
          <w:iCs/>
          <w:sz w:val="24"/>
          <w:szCs w:val="24"/>
        </w:rPr>
        <w:t xml:space="preserve"> détenir un montant approprié d’actifs liquides lui permettant de répondre adéquatement à ses besoins en période normale comme en période de crise. À cette fin, l’entité d</w:t>
      </w:r>
      <w:r w:rsidR="003E1F10">
        <w:rPr>
          <w:rFonts w:ascii="Times New Roman" w:hAnsi="Times New Roman" w:cs="Times New Roman"/>
          <w:i/>
          <w:iCs/>
          <w:sz w:val="24"/>
          <w:szCs w:val="24"/>
        </w:rPr>
        <w:t>evra</w:t>
      </w:r>
      <w:r w:rsidR="00607CEB" w:rsidRPr="004C6305">
        <w:rPr>
          <w:rFonts w:ascii="Times New Roman" w:hAnsi="Times New Roman" w:cs="Times New Roman"/>
          <w:i/>
          <w:iCs/>
          <w:sz w:val="24"/>
          <w:szCs w:val="24"/>
        </w:rPr>
        <w:t>it avoir défini un plan de financement d’urgence (PFU).</w:t>
      </w:r>
    </w:p>
    <w:p w14:paraId="0DF57C1A" w14:textId="77777777" w:rsidR="00607CEB" w:rsidRPr="00640178" w:rsidRDefault="00607CEB" w:rsidP="00640178">
      <w:pPr>
        <w:spacing w:after="0"/>
        <w:jc w:val="both"/>
        <w:rPr>
          <w:rFonts w:ascii="Times New Roman" w:hAnsi="Times New Roman" w:cs="Times New Roman"/>
          <w:sz w:val="24"/>
          <w:szCs w:val="24"/>
        </w:rPr>
      </w:pPr>
    </w:p>
    <w:p w14:paraId="1DA6B63C" w14:textId="77777777" w:rsidR="00607CEB" w:rsidRPr="00222C06" w:rsidRDefault="00CD1121">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d</w:t>
      </w:r>
      <w:r w:rsidR="00607CEB" w:rsidRPr="00222C06">
        <w:rPr>
          <w:rFonts w:ascii="Times New Roman" w:hAnsi="Times New Roman" w:cs="Times New Roman"/>
          <w:sz w:val="24"/>
          <w:szCs w:val="24"/>
        </w:rPr>
        <w:t>escription</w:t>
      </w:r>
      <w:proofErr w:type="gramEnd"/>
      <w:r w:rsidR="00607CEB" w:rsidRPr="00222C06">
        <w:rPr>
          <w:rFonts w:ascii="Times New Roman" w:hAnsi="Times New Roman" w:cs="Times New Roman"/>
          <w:sz w:val="24"/>
          <w:szCs w:val="24"/>
        </w:rPr>
        <w:t xml:space="preserve"> du processus de planification des liquidités (élaboration et mise à jour) en vue de s’assurer du maintien d’un montant d’actifs liquides suffisant sur une durée d’au moins 3 ans, même dans des circonstances adverses (simulation de crise), y compris les principales hypothèses sous-jacentes, les horizons de projections ainsi que les composantes des actifs liquides</w:t>
      </w:r>
      <w:r>
        <w:rPr>
          <w:rFonts w:ascii="Times New Roman" w:hAnsi="Times New Roman" w:cs="Times New Roman"/>
          <w:sz w:val="24"/>
          <w:szCs w:val="24"/>
        </w:rPr>
        <w:t> ;</w:t>
      </w:r>
    </w:p>
    <w:p w14:paraId="1FA9DC8A" w14:textId="77777777" w:rsidR="00607CEB" w:rsidRPr="00222C06" w:rsidRDefault="00CD1121">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a</w:t>
      </w:r>
      <w:r w:rsidR="00607CEB" w:rsidRPr="00222C06">
        <w:rPr>
          <w:rFonts w:ascii="Times New Roman" w:hAnsi="Times New Roman" w:cs="Times New Roman"/>
          <w:sz w:val="24"/>
          <w:szCs w:val="24"/>
        </w:rPr>
        <w:t>nalyse</w:t>
      </w:r>
      <w:proofErr w:type="gramEnd"/>
      <w:r w:rsidR="00607CEB" w:rsidRPr="00222C06">
        <w:rPr>
          <w:rFonts w:ascii="Times New Roman" w:hAnsi="Times New Roman" w:cs="Times New Roman"/>
          <w:sz w:val="24"/>
          <w:szCs w:val="24"/>
        </w:rPr>
        <w:t xml:space="preserve"> prospective de l'évolution des risques et des besoins en liquidités, par rapport au niveau d’actifs liquides détenu et aux exigences réglementaires : prévision des liquidités sur 3 ans et des besoins en liquidités sur la même période</w:t>
      </w:r>
      <w:r>
        <w:rPr>
          <w:rFonts w:ascii="Times New Roman" w:hAnsi="Times New Roman" w:cs="Times New Roman"/>
          <w:sz w:val="24"/>
          <w:szCs w:val="24"/>
        </w:rPr>
        <w:t> ;</w:t>
      </w:r>
    </w:p>
    <w:p w14:paraId="527E4B36" w14:textId="77777777" w:rsidR="00607CEB" w:rsidRPr="00222C06" w:rsidRDefault="00CD1121">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p</w:t>
      </w:r>
      <w:r w:rsidR="00607CEB" w:rsidRPr="00222C06">
        <w:rPr>
          <w:rFonts w:ascii="Times New Roman" w:hAnsi="Times New Roman" w:cs="Times New Roman"/>
          <w:sz w:val="24"/>
          <w:szCs w:val="24"/>
        </w:rPr>
        <w:t>résentation</w:t>
      </w:r>
      <w:proofErr w:type="gramEnd"/>
      <w:r w:rsidR="00607CEB" w:rsidRPr="00222C06">
        <w:rPr>
          <w:rFonts w:ascii="Times New Roman" w:hAnsi="Times New Roman" w:cs="Times New Roman"/>
          <w:sz w:val="24"/>
          <w:szCs w:val="24"/>
        </w:rPr>
        <w:t xml:space="preserve"> de la politique globale de gestion des liquidités, comprenant les actions planifiées pour remédier aux manquements ou changements dans les besoins en liquidités (ex : l’ajustement de la politique de dividendes, la stratégie et la structure bilancielle futures) et les niveaux des seuils actuels et cibles des liquidités internes</w:t>
      </w:r>
      <w:r>
        <w:rPr>
          <w:rFonts w:ascii="Times New Roman" w:hAnsi="Times New Roman" w:cs="Times New Roman"/>
          <w:sz w:val="24"/>
          <w:szCs w:val="24"/>
        </w:rPr>
        <w:t> ;</w:t>
      </w:r>
    </w:p>
    <w:p w14:paraId="52182F7B" w14:textId="77777777" w:rsidR="00607CEB" w:rsidRPr="00222C06" w:rsidRDefault="00CD1121">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p</w:t>
      </w:r>
      <w:r w:rsidR="00607CEB" w:rsidRPr="00222C06">
        <w:rPr>
          <w:rFonts w:ascii="Times New Roman" w:hAnsi="Times New Roman" w:cs="Times New Roman"/>
          <w:sz w:val="24"/>
          <w:szCs w:val="24"/>
        </w:rPr>
        <w:t>résentation</w:t>
      </w:r>
      <w:proofErr w:type="gramEnd"/>
      <w:r w:rsidR="00607CEB" w:rsidRPr="00222C06">
        <w:rPr>
          <w:rFonts w:ascii="Times New Roman" w:hAnsi="Times New Roman" w:cs="Times New Roman"/>
          <w:sz w:val="24"/>
          <w:szCs w:val="24"/>
        </w:rPr>
        <w:t xml:space="preserve"> du plan de financement d’urgence, en exposant clairement la stratégie permettant de faire face aux déficits de liquidité en cas d’urgence. Cette présentation devrait également inclure le dispositif de gouvernance associé à ce plan et notamment les éléments suivants :</w:t>
      </w:r>
    </w:p>
    <w:p w14:paraId="04E26BDC" w14:textId="77777777" w:rsidR="00607CEB" w:rsidRPr="00EE237A" w:rsidRDefault="00607CEB">
      <w:pPr>
        <w:pStyle w:val="Paragraphedeliste"/>
        <w:numPr>
          <w:ilvl w:val="1"/>
          <w:numId w:val="4"/>
        </w:numPr>
        <w:spacing w:after="0"/>
        <w:ind w:left="993" w:hanging="338"/>
        <w:jc w:val="both"/>
        <w:rPr>
          <w:rFonts w:ascii="Times New Roman" w:hAnsi="Times New Roman" w:cs="Times New Roman"/>
          <w:sz w:val="24"/>
          <w:szCs w:val="24"/>
        </w:rPr>
      </w:pPr>
      <w:proofErr w:type="gramStart"/>
      <w:r w:rsidRPr="00EE237A">
        <w:rPr>
          <w:rFonts w:ascii="Times New Roman" w:hAnsi="Times New Roman" w:cs="Times New Roman"/>
          <w:sz w:val="24"/>
          <w:szCs w:val="24"/>
        </w:rPr>
        <w:t>une</w:t>
      </w:r>
      <w:proofErr w:type="gramEnd"/>
      <w:r w:rsidRPr="00EE237A">
        <w:rPr>
          <w:rFonts w:ascii="Times New Roman" w:hAnsi="Times New Roman" w:cs="Times New Roman"/>
          <w:sz w:val="24"/>
          <w:szCs w:val="24"/>
        </w:rPr>
        <w:t xml:space="preserve"> description des politiques à appliquer dans divers environnements de tensions ; </w:t>
      </w:r>
    </w:p>
    <w:p w14:paraId="7D509928" w14:textId="77777777" w:rsidR="00607CEB" w:rsidRPr="00EE237A" w:rsidRDefault="00607CEB">
      <w:pPr>
        <w:pStyle w:val="Paragraphedeliste"/>
        <w:numPr>
          <w:ilvl w:val="1"/>
          <w:numId w:val="4"/>
        </w:numPr>
        <w:spacing w:after="0"/>
        <w:ind w:left="993" w:hanging="338"/>
        <w:jc w:val="both"/>
        <w:rPr>
          <w:rFonts w:ascii="Times New Roman" w:hAnsi="Times New Roman" w:cs="Times New Roman"/>
          <w:sz w:val="24"/>
          <w:szCs w:val="24"/>
        </w:rPr>
      </w:pPr>
      <w:proofErr w:type="gramStart"/>
      <w:r w:rsidRPr="00EE237A">
        <w:rPr>
          <w:rFonts w:ascii="Times New Roman" w:hAnsi="Times New Roman" w:cs="Times New Roman"/>
          <w:sz w:val="24"/>
          <w:szCs w:val="24"/>
        </w:rPr>
        <w:t>la</w:t>
      </w:r>
      <w:proofErr w:type="gramEnd"/>
      <w:r w:rsidRPr="00EE237A">
        <w:rPr>
          <w:rFonts w:ascii="Times New Roman" w:hAnsi="Times New Roman" w:cs="Times New Roman"/>
          <w:sz w:val="24"/>
          <w:szCs w:val="24"/>
        </w:rPr>
        <w:t xml:space="preserve"> définition de la chaîne des responsabilités ; </w:t>
      </w:r>
    </w:p>
    <w:p w14:paraId="18108341" w14:textId="77777777" w:rsidR="00607CEB" w:rsidRPr="00EE237A" w:rsidRDefault="00607CEB">
      <w:pPr>
        <w:pStyle w:val="Paragraphedeliste"/>
        <w:numPr>
          <w:ilvl w:val="1"/>
          <w:numId w:val="4"/>
        </w:numPr>
        <w:spacing w:after="0"/>
        <w:ind w:left="993" w:hanging="338"/>
        <w:jc w:val="both"/>
        <w:rPr>
          <w:rFonts w:ascii="Times New Roman" w:hAnsi="Times New Roman" w:cs="Times New Roman"/>
          <w:sz w:val="24"/>
          <w:szCs w:val="24"/>
        </w:rPr>
      </w:pPr>
      <w:proofErr w:type="gramStart"/>
      <w:r w:rsidRPr="00EE237A">
        <w:rPr>
          <w:rFonts w:ascii="Times New Roman" w:hAnsi="Times New Roman" w:cs="Times New Roman"/>
          <w:sz w:val="24"/>
          <w:szCs w:val="24"/>
        </w:rPr>
        <w:t>le</w:t>
      </w:r>
      <w:proofErr w:type="gramEnd"/>
      <w:r w:rsidRPr="00EE237A">
        <w:rPr>
          <w:rFonts w:ascii="Times New Roman" w:hAnsi="Times New Roman" w:cs="Times New Roman"/>
          <w:sz w:val="24"/>
          <w:szCs w:val="24"/>
        </w:rPr>
        <w:t xml:space="preserve"> descriptif du processus de déclenchement/activation du plan et d’alerte du niveau hiérarchique supérieur ; </w:t>
      </w:r>
    </w:p>
    <w:p w14:paraId="4C88017F" w14:textId="77777777" w:rsidR="00607CEB" w:rsidRPr="00EE237A" w:rsidRDefault="00607CEB">
      <w:pPr>
        <w:pStyle w:val="Paragraphedeliste"/>
        <w:numPr>
          <w:ilvl w:val="1"/>
          <w:numId w:val="4"/>
        </w:numPr>
        <w:spacing w:after="0"/>
        <w:ind w:left="993" w:hanging="338"/>
        <w:jc w:val="both"/>
        <w:rPr>
          <w:rFonts w:ascii="Times New Roman" w:hAnsi="Times New Roman" w:cs="Times New Roman"/>
          <w:sz w:val="24"/>
          <w:szCs w:val="24"/>
        </w:rPr>
      </w:pPr>
      <w:proofErr w:type="gramStart"/>
      <w:r w:rsidRPr="00EE237A">
        <w:rPr>
          <w:rFonts w:ascii="Times New Roman" w:hAnsi="Times New Roman" w:cs="Times New Roman"/>
          <w:sz w:val="24"/>
          <w:szCs w:val="24"/>
        </w:rPr>
        <w:t>la</w:t>
      </w:r>
      <w:proofErr w:type="gramEnd"/>
      <w:r w:rsidRPr="00EE237A">
        <w:rPr>
          <w:rFonts w:ascii="Times New Roman" w:hAnsi="Times New Roman" w:cs="Times New Roman"/>
          <w:sz w:val="24"/>
          <w:szCs w:val="24"/>
        </w:rPr>
        <w:t xml:space="preserve"> fréquence de test et de mise à jour de ce plan, pour garantir qu’il demeure robuste sur le plan opérationnel.</w:t>
      </w:r>
    </w:p>
    <w:p w14:paraId="18AE3769" w14:textId="77777777" w:rsidR="00607CEB" w:rsidRPr="00640178" w:rsidRDefault="00AC54A3">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e</w:t>
      </w:r>
      <w:r w:rsidR="00607CEB" w:rsidRPr="00640178">
        <w:rPr>
          <w:rFonts w:ascii="Times New Roman" w:hAnsi="Times New Roman" w:cs="Times New Roman"/>
          <w:sz w:val="24"/>
          <w:szCs w:val="24"/>
        </w:rPr>
        <w:t>xamen</w:t>
      </w:r>
      <w:proofErr w:type="gramEnd"/>
      <w:r w:rsidR="00607CEB" w:rsidRPr="00640178">
        <w:rPr>
          <w:rFonts w:ascii="Times New Roman" w:hAnsi="Times New Roman" w:cs="Times New Roman"/>
          <w:sz w:val="24"/>
          <w:szCs w:val="24"/>
        </w:rPr>
        <w:t xml:space="preserve"> et conclusions de la planification des liquidités par l’organe de surveillance et la direction générale afin d’évaluer l’adéquation du niveau d’actifs liquides avec les risques.</w:t>
      </w:r>
    </w:p>
    <w:p w14:paraId="6E907B8D" w14:textId="77777777" w:rsidR="00607CEB" w:rsidRPr="00640178" w:rsidRDefault="00607CEB" w:rsidP="00640178">
      <w:pPr>
        <w:spacing w:after="0"/>
        <w:jc w:val="both"/>
        <w:rPr>
          <w:rFonts w:ascii="Times New Roman" w:hAnsi="Times New Roman" w:cs="Times New Roman"/>
          <w:sz w:val="24"/>
          <w:szCs w:val="24"/>
        </w:rPr>
      </w:pPr>
    </w:p>
    <w:p w14:paraId="37E0CA35" w14:textId="77777777" w:rsidR="00607CEB" w:rsidRPr="00640178" w:rsidRDefault="00607CEB">
      <w:pPr>
        <w:pStyle w:val="Titre1"/>
      </w:pPr>
      <w:bookmarkStart w:id="24" w:name="_Toc145687430"/>
      <w:r w:rsidRPr="00640178">
        <w:t xml:space="preserve">Description du Processus de </w:t>
      </w:r>
      <w:r w:rsidR="004224EF">
        <w:t>liquidation ordonnée</w:t>
      </w:r>
      <w:r w:rsidR="004224EF" w:rsidRPr="00640178">
        <w:t xml:space="preserve"> </w:t>
      </w:r>
      <w:bookmarkEnd w:id="24"/>
    </w:p>
    <w:p w14:paraId="45BA2201" w14:textId="77777777" w:rsidR="00607CEB" w:rsidRPr="004C6305" w:rsidRDefault="00607CEB" w:rsidP="00640178">
      <w:pPr>
        <w:spacing w:after="0"/>
        <w:jc w:val="both"/>
        <w:rPr>
          <w:rFonts w:ascii="Times New Roman" w:hAnsi="Times New Roman" w:cs="Times New Roman"/>
          <w:i/>
          <w:iCs/>
          <w:sz w:val="24"/>
          <w:szCs w:val="24"/>
        </w:rPr>
      </w:pPr>
      <w:r w:rsidRPr="004C6305">
        <w:rPr>
          <w:rFonts w:ascii="Times New Roman" w:hAnsi="Times New Roman" w:cs="Times New Roman"/>
          <w:i/>
          <w:iCs/>
          <w:sz w:val="24"/>
          <w:szCs w:val="24"/>
        </w:rPr>
        <w:t xml:space="preserve">Cette section présente les différentes étapes et leur chronologie permettant de cesser l’activité de l’entité. </w:t>
      </w:r>
      <w:r w:rsidR="00B84804">
        <w:rPr>
          <w:rFonts w:ascii="Times New Roman" w:hAnsi="Times New Roman" w:cs="Times New Roman"/>
          <w:i/>
          <w:iCs/>
          <w:sz w:val="24"/>
          <w:szCs w:val="24"/>
        </w:rPr>
        <w:t xml:space="preserve">Dans cet exercice de réflexion, il est attendu que l’entreprise d’investissement développe également </w:t>
      </w:r>
      <w:r w:rsidRPr="004C6305">
        <w:rPr>
          <w:rFonts w:ascii="Times New Roman" w:hAnsi="Times New Roman" w:cs="Times New Roman"/>
          <w:i/>
          <w:iCs/>
          <w:sz w:val="24"/>
          <w:szCs w:val="24"/>
        </w:rPr>
        <w:t>les obstacles potentiels ralentissant le déroulement du process</w:t>
      </w:r>
      <w:r w:rsidR="00DF029A">
        <w:rPr>
          <w:rFonts w:ascii="Times New Roman" w:hAnsi="Times New Roman" w:cs="Times New Roman"/>
          <w:i/>
          <w:iCs/>
          <w:sz w:val="24"/>
          <w:szCs w:val="24"/>
        </w:rPr>
        <w:t>us</w:t>
      </w:r>
      <w:r w:rsidRPr="004C6305">
        <w:rPr>
          <w:rFonts w:ascii="Times New Roman" w:hAnsi="Times New Roman" w:cs="Times New Roman"/>
          <w:i/>
          <w:iCs/>
          <w:sz w:val="24"/>
          <w:szCs w:val="24"/>
        </w:rPr>
        <w:t xml:space="preserve">, le schéma décisionnel permettant d’aboutir à la </w:t>
      </w:r>
      <w:r w:rsidR="007408EB">
        <w:rPr>
          <w:rFonts w:ascii="Times New Roman" w:hAnsi="Times New Roman" w:cs="Times New Roman"/>
          <w:i/>
          <w:iCs/>
          <w:sz w:val="24"/>
          <w:szCs w:val="24"/>
        </w:rPr>
        <w:t>liquidation</w:t>
      </w:r>
      <w:r w:rsidR="001E5301">
        <w:rPr>
          <w:rFonts w:ascii="Times New Roman" w:hAnsi="Times New Roman" w:cs="Times New Roman"/>
          <w:i/>
          <w:iCs/>
          <w:sz w:val="24"/>
          <w:szCs w:val="24"/>
        </w:rPr>
        <w:t xml:space="preserve"> </w:t>
      </w:r>
      <w:r w:rsidRPr="004C6305">
        <w:rPr>
          <w:rFonts w:ascii="Times New Roman" w:hAnsi="Times New Roman" w:cs="Times New Roman"/>
          <w:i/>
          <w:iCs/>
          <w:sz w:val="24"/>
          <w:szCs w:val="24"/>
        </w:rPr>
        <w:t xml:space="preserve">de la société, les coûts financiers engendrés etc. </w:t>
      </w:r>
      <w:r w:rsidR="00BC3152">
        <w:rPr>
          <w:rFonts w:ascii="Times New Roman" w:hAnsi="Times New Roman" w:cs="Times New Roman"/>
          <w:i/>
          <w:iCs/>
          <w:sz w:val="24"/>
          <w:szCs w:val="24"/>
        </w:rPr>
        <w:t>À noter que c</w:t>
      </w:r>
      <w:r w:rsidR="009A5E26">
        <w:rPr>
          <w:rFonts w:ascii="Times New Roman" w:hAnsi="Times New Roman" w:cs="Times New Roman"/>
          <w:i/>
          <w:iCs/>
          <w:sz w:val="24"/>
          <w:szCs w:val="24"/>
        </w:rPr>
        <w:t xml:space="preserve">ette partie synthétique fait </w:t>
      </w:r>
      <w:r w:rsidR="00BC3152">
        <w:rPr>
          <w:rFonts w:ascii="Times New Roman" w:hAnsi="Times New Roman" w:cs="Times New Roman"/>
          <w:i/>
          <w:iCs/>
          <w:sz w:val="24"/>
          <w:szCs w:val="24"/>
        </w:rPr>
        <w:t xml:space="preserve">écho au contenu </w:t>
      </w:r>
      <w:r w:rsidR="009A5E26">
        <w:rPr>
          <w:rFonts w:ascii="Times New Roman" w:hAnsi="Times New Roman" w:cs="Times New Roman"/>
          <w:i/>
          <w:iCs/>
          <w:sz w:val="24"/>
          <w:szCs w:val="24"/>
        </w:rPr>
        <w:t>développé dans le plan préventif de rétablissement</w:t>
      </w:r>
      <w:r w:rsidR="009A5E26">
        <w:rPr>
          <w:rStyle w:val="Appelnotedebasdep"/>
          <w:rFonts w:ascii="Times New Roman" w:hAnsi="Times New Roman" w:cs="Times New Roman"/>
          <w:i/>
          <w:iCs/>
          <w:sz w:val="24"/>
          <w:szCs w:val="24"/>
        </w:rPr>
        <w:footnoteReference w:id="14"/>
      </w:r>
      <w:r w:rsidR="009A5E26">
        <w:rPr>
          <w:rFonts w:ascii="Times New Roman" w:hAnsi="Times New Roman" w:cs="Times New Roman"/>
          <w:i/>
          <w:iCs/>
          <w:sz w:val="24"/>
          <w:szCs w:val="24"/>
        </w:rPr>
        <w:t xml:space="preserve">.  </w:t>
      </w:r>
      <w:r w:rsidRPr="004C6305">
        <w:rPr>
          <w:rFonts w:ascii="Times New Roman" w:hAnsi="Times New Roman" w:cs="Times New Roman"/>
          <w:i/>
          <w:iCs/>
          <w:sz w:val="24"/>
          <w:szCs w:val="24"/>
        </w:rPr>
        <w:t xml:space="preserve">  </w:t>
      </w:r>
    </w:p>
    <w:p w14:paraId="10B75689" w14:textId="77777777" w:rsidR="00607CEB" w:rsidRPr="00640178" w:rsidRDefault="00607CEB" w:rsidP="00640178">
      <w:pPr>
        <w:spacing w:after="0"/>
        <w:jc w:val="both"/>
        <w:rPr>
          <w:rFonts w:ascii="Times New Roman" w:hAnsi="Times New Roman" w:cs="Times New Roman"/>
          <w:sz w:val="24"/>
          <w:szCs w:val="24"/>
        </w:rPr>
      </w:pPr>
    </w:p>
    <w:p w14:paraId="647F74E6" w14:textId="77777777" w:rsidR="00607CEB" w:rsidRPr="00EE237A" w:rsidRDefault="00AC54A3">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d</w:t>
      </w:r>
      <w:r w:rsidR="00607CEB" w:rsidRPr="00EE237A">
        <w:rPr>
          <w:rFonts w:ascii="Times New Roman" w:hAnsi="Times New Roman" w:cs="Times New Roman"/>
          <w:sz w:val="24"/>
          <w:szCs w:val="24"/>
        </w:rPr>
        <w:t>escription</w:t>
      </w:r>
      <w:proofErr w:type="gramEnd"/>
      <w:r w:rsidR="00607CEB" w:rsidRPr="00EE237A">
        <w:rPr>
          <w:rFonts w:ascii="Times New Roman" w:hAnsi="Times New Roman" w:cs="Times New Roman"/>
          <w:sz w:val="24"/>
          <w:szCs w:val="24"/>
        </w:rPr>
        <w:t xml:space="preserve"> du process</w:t>
      </w:r>
      <w:r w:rsidR="00DF029A">
        <w:rPr>
          <w:rFonts w:ascii="Times New Roman" w:hAnsi="Times New Roman" w:cs="Times New Roman"/>
          <w:sz w:val="24"/>
          <w:szCs w:val="24"/>
        </w:rPr>
        <w:t>us</w:t>
      </w:r>
      <w:r w:rsidR="00607CEB" w:rsidRPr="00EE237A">
        <w:rPr>
          <w:rFonts w:ascii="Times New Roman" w:hAnsi="Times New Roman" w:cs="Times New Roman"/>
          <w:sz w:val="24"/>
          <w:szCs w:val="24"/>
        </w:rPr>
        <w:t xml:space="preserve"> décisionnel aboutissant à la mise en œuvre de la </w:t>
      </w:r>
      <w:r w:rsidR="007408EB">
        <w:rPr>
          <w:rFonts w:ascii="Times New Roman" w:hAnsi="Times New Roman" w:cs="Times New Roman"/>
          <w:sz w:val="24"/>
          <w:szCs w:val="24"/>
        </w:rPr>
        <w:t>liquidation</w:t>
      </w:r>
      <w:r w:rsidR="007408EB" w:rsidRPr="00EE237A">
        <w:rPr>
          <w:rFonts w:ascii="Times New Roman" w:hAnsi="Times New Roman" w:cs="Times New Roman"/>
          <w:sz w:val="24"/>
          <w:szCs w:val="24"/>
        </w:rPr>
        <w:t xml:space="preserve"> </w:t>
      </w:r>
      <w:r w:rsidR="00607CEB" w:rsidRPr="00EE237A">
        <w:rPr>
          <w:rFonts w:ascii="Times New Roman" w:hAnsi="Times New Roman" w:cs="Times New Roman"/>
          <w:sz w:val="24"/>
          <w:szCs w:val="24"/>
        </w:rPr>
        <w:t>de l’entité (i.e. : la gouvernance du dispositif jusqu’au moment de la mise en œuvre effective)</w:t>
      </w:r>
      <w:r>
        <w:rPr>
          <w:rFonts w:ascii="Times New Roman" w:hAnsi="Times New Roman" w:cs="Times New Roman"/>
          <w:sz w:val="24"/>
          <w:szCs w:val="24"/>
        </w:rPr>
        <w:t> ;</w:t>
      </w:r>
    </w:p>
    <w:p w14:paraId="08B47F10" w14:textId="77777777" w:rsidR="00607CEB" w:rsidRPr="00EE237A" w:rsidRDefault="00AC54A3">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d</w:t>
      </w:r>
      <w:r w:rsidR="00607CEB" w:rsidRPr="00EE237A">
        <w:rPr>
          <w:rFonts w:ascii="Times New Roman" w:hAnsi="Times New Roman" w:cs="Times New Roman"/>
          <w:sz w:val="24"/>
          <w:szCs w:val="24"/>
        </w:rPr>
        <w:t>escription</w:t>
      </w:r>
      <w:proofErr w:type="gramEnd"/>
      <w:r w:rsidR="00607CEB" w:rsidRPr="00EE237A">
        <w:rPr>
          <w:rFonts w:ascii="Times New Roman" w:hAnsi="Times New Roman" w:cs="Times New Roman"/>
          <w:sz w:val="24"/>
          <w:szCs w:val="24"/>
        </w:rPr>
        <w:t xml:space="preserve"> des étapes opérationnelles avec leur calendrier permettant de cesser l’activité progressivement</w:t>
      </w:r>
      <w:r>
        <w:rPr>
          <w:rFonts w:ascii="Times New Roman" w:hAnsi="Times New Roman" w:cs="Times New Roman"/>
          <w:sz w:val="24"/>
          <w:szCs w:val="24"/>
        </w:rPr>
        <w:t> ;</w:t>
      </w:r>
      <w:r w:rsidR="00607CEB" w:rsidRPr="00EE237A">
        <w:rPr>
          <w:rFonts w:ascii="Times New Roman" w:hAnsi="Times New Roman" w:cs="Times New Roman"/>
          <w:sz w:val="24"/>
          <w:szCs w:val="24"/>
        </w:rPr>
        <w:t xml:space="preserve"> </w:t>
      </w:r>
    </w:p>
    <w:p w14:paraId="0F7B44AF" w14:textId="77777777" w:rsidR="00607CEB" w:rsidRPr="00EE237A" w:rsidRDefault="00AC54A3">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i</w:t>
      </w:r>
      <w:r w:rsidR="00607CEB" w:rsidRPr="00EE237A">
        <w:rPr>
          <w:rFonts w:ascii="Times New Roman" w:hAnsi="Times New Roman" w:cs="Times New Roman"/>
          <w:sz w:val="24"/>
          <w:szCs w:val="24"/>
        </w:rPr>
        <w:t>dentification</w:t>
      </w:r>
      <w:proofErr w:type="gramEnd"/>
      <w:r w:rsidR="00607CEB" w:rsidRPr="00EE237A">
        <w:rPr>
          <w:rFonts w:ascii="Times New Roman" w:hAnsi="Times New Roman" w:cs="Times New Roman"/>
          <w:sz w:val="24"/>
          <w:szCs w:val="24"/>
        </w:rPr>
        <w:t xml:space="preserve"> des obstacles potentiels et/ou des problématiques nécessitant un délai supplémentaire de mise en œuvre</w:t>
      </w:r>
      <w:r>
        <w:rPr>
          <w:rFonts w:ascii="Times New Roman" w:hAnsi="Times New Roman" w:cs="Times New Roman"/>
          <w:sz w:val="24"/>
          <w:szCs w:val="24"/>
        </w:rPr>
        <w:t> ;</w:t>
      </w:r>
      <w:r w:rsidR="00607CEB" w:rsidRPr="00EE237A">
        <w:rPr>
          <w:rFonts w:ascii="Times New Roman" w:hAnsi="Times New Roman" w:cs="Times New Roman"/>
          <w:sz w:val="24"/>
          <w:szCs w:val="24"/>
        </w:rPr>
        <w:t xml:space="preserve"> </w:t>
      </w:r>
    </w:p>
    <w:p w14:paraId="0706A613" w14:textId="77777777" w:rsidR="00607CEB" w:rsidRPr="00EE237A" w:rsidRDefault="00AC54A3">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i</w:t>
      </w:r>
      <w:r w:rsidR="00607CEB" w:rsidRPr="00EE237A">
        <w:rPr>
          <w:rFonts w:ascii="Times New Roman" w:hAnsi="Times New Roman" w:cs="Times New Roman"/>
          <w:sz w:val="24"/>
          <w:szCs w:val="24"/>
        </w:rPr>
        <w:t>dentification</w:t>
      </w:r>
      <w:proofErr w:type="gramEnd"/>
      <w:r w:rsidR="00607CEB" w:rsidRPr="00EE237A">
        <w:rPr>
          <w:rFonts w:ascii="Times New Roman" w:hAnsi="Times New Roman" w:cs="Times New Roman"/>
          <w:sz w:val="24"/>
          <w:szCs w:val="24"/>
        </w:rPr>
        <w:t xml:space="preserve"> et chiffrage des coûts financiers engendrés</w:t>
      </w:r>
      <w:r>
        <w:rPr>
          <w:rFonts w:ascii="Times New Roman" w:hAnsi="Times New Roman" w:cs="Times New Roman"/>
          <w:sz w:val="24"/>
          <w:szCs w:val="24"/>
        </w:rPr>
        <w:t> ;</w:t>
      </w:r>
    </w:p>
    <w:p w14:paraId="251DD8BB" w14:textId="77777777" w:rsidR="00607CEB" w:rsidRPr="00EE237A" w:rsidRDefault="00AC54A3">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é</w:t>
      </w:r>
      <w:r w:rsidR="00607CEB" w:rsidRPr="00EE237A">
        <w:rPr>
          <w:rFonts w:ascii="Times New Roman" w:hAnsi="Times New Roman" w:cs="Times New Roman"/>
          <w:sz w:val="24"/>
          <w:szCs w:val="24"/>
        </w:rPr>
        <w:t>valuation</w:t>
      </w:r>
      <w:proofErr w:type="gramEnd"/>
      <w:r w:rsidR="00607CEB" w:rsidRPr="00EE237A">
        <w:rPr>
          <w:rFonts w:ascii="Times New Roman" w:hAnsi="Times New Roman" w:cs="Times New Roman"/>
          <w:sz w:val="24"/>
          <w:szCs w:val="24"/>
        </w:rPr>
        <w:t xml:space="preserve"> des ressources requises pour la mise en œuvre de la </w:t>
      </w:r>
      <w:r w:rsidR="001E656A">
        <w:rPr>
          <w:rFonts w:ascii="Times New Roman" w:hAnsi="Times New Roman" w:cs="Times New Roman"/>
          <w:sz w:val="24"/>
          <w:szCs w:val="24"/>
        </w:rPr>
        <w:t>liquidation</w:t>
      </w:r>
      <w:r w:rsidR="001E656A" w:rsidRPr="00EE237A">
        <w:rPr>
          <w:rFonts w:ascii="Times New Roman" w:hAnsi="Times New Roman" w:cs="Times New Roman"/>
          <w:sz w:val="24"/>
          <w:szCs w:val="24"/>
        </w:rPr>
        <w:t xml:space="preserve"> </w:t>
      </w:r>
      <w:r w:rsidR="00607CEB" w:rsidRPr="00EE237A">
        <w:rPr>
          <w:rFonts w:ascii="Times New Roman" w:hAnsi="Times New Roman" w:cs="Times New Roman"/>
          <w:sz w:val="24"/>
          <w:szCs w:val="24"/>
        </w:rPr>
        <w:t>ordonnée</w:t>
      </w:r>
      <w:r>
        <w:rPr>
          <w:rFonts w:ascii="Times New Roman" w:hAnsi="Times New Roman" w:cs="Times New Roman"/>
          <w:sz w:val="24"/>
          <w:szCs w:val="24"/>
        </w:rPr>
        <w:t> ;</w:t>
      </w:r>
    </w:p>
    <w:p w14:paraId="05104FC2" w14:textId="77777777" w:rsidR="00607CEB" w:rsidRPr="00EE237A" w:rsidRDefault="00AC54A3">
      <w:pPr>
        <w:pStyle w:val="Paragraphedeliste"/>
        <w:numPr>
          <w:ilvl w:val="0"/>
          <w:numId w:val="1"/>
        </w:numPr>
        <w:spacing w:after="0"/>
        <w:ind w:left="567" w:hanging="348"/>
        <w:jc w:val="both"/>
        <w:rPr>
          <w:rFonts w:ascii="Times New Roman" w:hAnsi="Times New Roman" w:cs="Times New Roman"/>
          <w:sz w:val="24"/>
          <w:szCs w:val="24"/>
        </w:rPr>
      </w:pPr>
      <w:proofErr w:type="gramStart"/>
      <w:r>
        <w:rPr>
          <w:rFonts w:ascii="Times New Roman" w:hAnsi="Times New Roman" w:cs="Times New Roman"/>
          <w:sz w:val="24"/>
          <w:szCs w:val="24"/>
        </w:rPr>
        <w:t>é</w:t>
      </w:r>
      <w:r w:rsidR="00607CEB" w:rsidRPr="00EE237A">
        <w:rPr>
          <w:rFonts w:ascii="Times New Roman" w:hAnsi="Times New Roman" w:cs="Times New Roman"/>
          <w:sz w:val="24"/>
          <w:szCs w:val="24"/>
        </w:rPr>
        <w:t>valuation</w:t>
      </w:r>
      <w:proofErr w:type="gramEnd"/>
      <w:r w:rsidR="00607CEB" w:rsidRPr="00EE237A">
        <w:rPr>
          <w:rFonts w:ascii="Times New Roman" w:hAnsi="Times New Roman" w:cs="Times New Roman"/>
          <w:sz w:val="24"/>
          <w:szCs w:val="24"/>
        </w:rPr>
        <w:t xml:space="preserve"> de l’adéquation des ressources dont dispose l’entité, identification des écarts</w:t>
      </w:r>
      <w:r>
        <w:rPr>
          <w:rFonts w:ascii="Times New Roman" w:hAnsi="Times New Roman" w:cs="Times New Roman"/>
          <w:sz w:val="24"/>
          <w:szCs w:val="24"/>
        </w:rPr>
        <w:t>.</w:t>
      </w:r>
    </w:p>
    <w:p w14:paraId="5DD08670" w14:textId="77777777" w:rsidR="00607CEB" w:rsidRPr="00640178" w:rsidRDefault="00607CEB" w:rsidP="00640178">
      <w:pPr>
        <w:spacing w:after="0"/>
        <w:jc w:val="both"/>
        <w:rPr>
          <w:rFonts w:ascii="Times New Roman" w:hAnsi="Times New Roman" w:cs="Times New Roman"/>
          <w:sz w:val="24"/>
          <w:szCs w:val="24"/>
        </w:rPr>
      </w:pPr>
    </w:p>
    <w:p w14:paraId="23C26309" w14:textId="77777777" w:rsidR="00607CEB" w:rsidRPr="00640178" w:rsidRDefault="00607CEB" w:rsidP="00640178">
      <w:pPr>
        <w:spacing w:after="0"/>
        <w:jc w:val="both"/>
        <w:rPr>
          <w:rFonts w:ascii="Times New Roman" w:hAnsi="Times New Roman" w:cs="Times New Roman"/>
          <w:sz w:val="24"/>
          <w:szCs w:val="24"/>
        </w:rPr>
      </w:pPr>
      <w:r w:rsidRPr="00640178">
        <w:rPr>
          <w:rFonts w:ascii="Times New Roman" w:hAnsi="Times New Roman" w:cs="Times New Roman"/>
          <w:sz w:val="24"/>
          <w:szCs w:val="24"/>
        </w:rPr>
        <w:t xml:space="preserve">  </w:t>
      </w:r>
    </w:p>
    <w:p w14:paraId="735E1CC5" w14:textId="77777777" w:rsidR="00607CEB" w:rsidRPr="00640178" w:rsidRDefault="00607CEB" w:rsidP="00640178">
      <w:pPr>
        <w:spacing w:after="0"/>
        <w:jc w:val="both"/>
        <w:rPr>
          <w:rFonts w:ascii="Times New Roman" w:hAnsi="Times New Roman" w:cs="Times New Roman"/>
          <w:sz w:val="24"/>
          <w:szCs w:val="24"/>
        </w:rPr>
      </w:pPr>
    </w:p>
    <w:p w14:paraId="7C829CDC" w14:textId="77777777" w:rsidR="00607CEB" w:rsidRPr="00640178" w:rsidRDefault="00607CEB" w:rsidP="00640178">
      <w:pPr>
        <w:spacing w:after="0"/>
        <w:jc w:val="both"/>
        <w:rPr>
          <w:rFonts w:ascii="Times New Roman" w:hAnsi="Times New Roman" w:cs="Times New Roman"/>
          <w:sz w:val="24"/>
          <w:szCs w:val="24"/>
        </w:rPr>
      </w:pPr>
      <w:r w:rsidRPr="00640178">
        <w:rPr>
          <w:rFonts w:ascii="Times New Roman" w:hAnsi="Times New Roman" w:cs="Times New Roman"/>
          <w:sz w:val="24"/>
          <w:szCs w:val="24"/>
        </w:rPr>
        <w:t xml:space="preserve"> </w:t>
      </w:r>
    </w:p>
    <w:p w14:paraId="39C8A852" w14:textId="77777777" w:rsidR="00C52895" w:rsidRPr="00640178" w:rsidRDefault="001C6A11" w:rsidP="00C52895">
      <w:pPr>
        <w:rPr>
          <w:rFonts w:ascii="Times New Roman" w:hAnsi="Times New Roman" w:cs="Times New Roman"/>
          <w:sz w:val="24"/>
          <w:szCs w:val="24"/>
        </w:rPr>
      </w:pPr>
      <w:r>
        <w:br w:type="page"/>
      </w:r>
    </w:p>
    <w:p w14:paraId="61EE2A21" w14:textId="77777777" w:rsidR="00C52895" w:rsidRPr="00640178" w:rsidRDefault="00C52895" w:rsidP="00C52895">
      <w:pPr>
        <w:pStyle w:val="Titre1"/>
      </w:pPr>
      <w:bookmarkStart w:id="25" w:name="_Toc145687431"/>
      <w:r w:rsidRPr="00640178">
        <w:lastRenderedPageBreak/>
        <w:t>Annexe 1</w:t>
      </w:r>
      <w:bookmarkEnd w:id="25"/>
      <w:r w:rsidRPr="00640178">
        <w:t xml:space="preserve"> </w:t>
      </w:r>
    </w:p>
    <w:p w14:paraId="08D313C0" w14:textId="77777777" w:rsidR="00C52895" w:rsidRPr="00526E91" w:rsidRDefault="00C52895" w:rsidP="00C52895">
      <w:pPr>
        <w:spacing w:after="0"/>
        <w:jc w:val="both"/>
        <w:rPr>
          <w:rFonts w:ascii="Times New Roman" w:hAnsi="Times New Roman" w:cs="Times New Roman"/>
          <w:b/>
          <w:bCs/>
          <w:sz w:val="24"/>
          <w:szCs w:val="24"/>
        </w:rPr>
      </w:pPr>
      <w:r w:rsidRPr="00526E91">
        <w:rPr>
          <w:rFonts w:ascii="Times New Roman" w:hAnsi="Times New Roman" w:cs="Times New Roman"/>
          <w:b/>
          <w:bCs/>
          <w:sz w:val="24"/>
          <w:szCs w:val="24"/>
        </w:rPr>
        <w:t>Liste non exhaustive des risques pouvant être considérés dans le cadre du processus d’évaluation de l’adéquation d</w:t>
      </w:r>
      <w:r w:rsidR="0055408C">
        <w:rPr>
          <w:rFonts w:ascii="Times New Roman" w:hAnsi="Times New Roman" w:cs="Times New Roman"/>
          <w:b/>
          <w:bCs/>
          <w:sz w:val="24"/>
          <w:szCs w:val="24"/>
        </w:rPr>
        <w:t>u</w:t>
      </w:r>
      <w:r w:rsidRPr="00526E91">
        <w:rPr>
          <w:rFonts w:ascii="Times New Roman" w:hAnsi="Times New Roman" w:cs="Times New Roman"/>
          <w:b/>
          <w:bCs/>
          <w:sz w:val="24"/>
          <w:szCs w:val="24"/>
        </w:rPr>
        <w:t xml:space="preserve"> </w:t>
      </w:r>
      <w:r w:rsidR="003A7562">
        <w:rPr>
          <w:rFonts w:ascii="Times New Roman" w:hAnsi="Times New Roman" w:cs="Times New Roman"/>
          <w:b/>
          <w:bCs/>
          <w:sz w:val="24"/>
          <w:szCs w:val="24"/>
        </w:rPr>
        <w:t>capital interne</w:t>
      </w:r>
    </w:p>
    <w:p w14:paraId="24A96579" w14:textId="77777777" w:rsidR="00C52895" w:rsidRPr="00BE34D2" w:rsidRDefault="00C52895" w:rsidP="00C52895">
      <w:pPr>
        <w:spacing w:after="0"/>
        <w:jc w:val="both"/>
        <w:rPr>
          <w:rFonts w:ascii="Times New Roman" w:hAnsi="Times New Roman" w:cs="Times New Roman"/>
          <w:sz w:val="20"/>
          <w:szCs w:val="20"/>
        </w:rPr>
      </w:pPr>
    </w:p>
    <w:p w14:paraId="11A699B1" w14:textId="77777777" w:rsidR="00C52895" w:rsidRPr="00C531A7" w:rsidRDefault="00C52895" w:rsidP="00C52895">
      <w:pPr>
        <w:pStyle w:val="Paragraphedeliste"/>
        <w:numPr>
          <w:ilvl w:val="0"/>
          <w:numId w:val="1"/>
        </w:numPr>
        <w:spacing w:after="0"/>
        <w:ind w:left="567" w:hanging="348"/>
        <w:jc w:val="both"/>
        <w:rPr>
          <w:rFonts w:ascii="Times New Roman" w:hAnsi="Times New Roman" w:cs="Times New Roman"/>
          <w:sz w:val="23"/>
          <w:szCs w:val="23"/>
        </w:rPr>
      </w:pPr>
      <w:r w:rsidRPr="009B04D4">
        <w:rPr>
          <w:rFonts w:ascii="Times New Roman" w:hAnsi="Times New Roman" w:cs="Times New Roman"/>
          <w:sz w:val="23"/>
          <w:szCs w:val="23"/>
          <w:u w:val="single"/>
        </w:rPr>
        <w:t>Risque de crédit</w:t>
      </w:r>
      <w:r w:rsidRPr="009B04D4">
        <w:rPr>
          <w:rFonts w:ascii="Times New Roman" w:hAnsi="Times New Roman" w:cs="Times New Roman"/>
          <w:sz w:val="23"/>
          <w:szCs w:val="23"/>
        </w:rPr>
        <w:t xml:space="preserve"> (y compris le risque de </w:t>
      </w:r>
      <w:r w:rsidRPr="007A7AC2">
        <w:rPr>
          <w:rFonts w:ascii="Times New Roman" w:hAnsi="Times New Roman" w:cs="Times New Roman"/>
          <w:sz w:val="23"/>
          <w:szCs w:val="23"/>
        </w:rPr>
        <w:t>contrepartie) : l</w:t>
      </w:r>
      <w:r w:rsidRPr="001A3109">
        <w:rPr>
          <w:rFonts w:ascii="Times New Roman" w:hAnsi="Times New Roman" w:cs="Times New Roman"/>
          <w:sz w:val="23"/>
          <w:szCs w:val="23"/>
        </w:rPr>
        <w:t>e risque encouru en cas de défaillance d'une contrepartie ou de contreparties considérées comme un même groupe de clients liés (cf. article 10 point e) de l’arrêté du 3 novembre 2014 relatif au contrôle interne)</w:t>
      </w:r>
      <w:r>
        <w:rPr>
          <w:rFonts w:ascii="Times New Roman" w:hAnsi="Times New Roman" w:cs="Times New Roman"/>
          <w:sz w:val="23"/>
          <w:szCs w:val="23"/>
        </w:rPr>
        <w:t>.</w:t>
      </w:r>
    </w:p>
    <w:p w14:paraId="3F62E0C2" w14:textId="77777777" w:rsidR="00C52895" w:rsidRPr="00BE34D2" w:rsidRDefault="00C52895" w:rsidP="00C52895">
      <w:pPr>
        <w:pStyle w:val="Paragraphedeliste"/>
        <w:numPr>
          <w:ilvl w:val="0"/>
          <w:numId w:val="1"/>
        </w:numPr>
        <w:spacing w:before="120" w:after="120"/>
        <w:ind w:left="567" w:hanging="346"/>
        <w:contextualSpacing w:val="0"/>
        <w:jc w:val="both"/>
        <w:rPr>
          <w:rFonts w:ascii="Times New Roman" w:hAnsi="Times New Roman" w:cs="Times New Roman"/>
          <w:sz w:val="23"/>
          <w:szCs w:val="23"/>
        </w:rPr>
      </w:pPr>
      <w:r w:rsidRPr="001A3109">
        <w:rPr>
          <w:rFonts w:ascii="Times New Roman" w:hAnsi="Times New Roman" w:cs="Times New Roman"/>
          <w:sz w:val="23"/>
          <w:szCs w:val="23"/>
          <w:u w:val="single"/>
        </w:rPr>
        <w:t>Risque de concentration</w:t>
      </w:r>
      <w:r w:rsidRPr="00BE34D2">
        <w:rPr>
          <w:rFonts w:ascii="Times New Roman" w:hAnsi="Times New Roman" w:cs="Times New Roman"/>
          <w:sz w:val="23"/>
          <w:szCs w:val="23"/>
        </w:rPr>
        <w:t xml:space="preserve"> : le risque découlant des expositions sur des contreparties, des groupes de contreparties liées et des contreparties du même secteur économique ou exerçant la même activité ou provenant de la même région géographique</w:t>
      </w:r>
      <w:r>
        <w:rPr>
          <w:rFonts w:ascii="Times New Roman" w:hAnsi="Times New Roman" w:cs="Times New Roman"/>
          <w:sz w:val="23"/>
          <w:szCs w:val="23"/>
        </w:rPr>
        <w:t xml:space="preserve"> </w:t>
      </w:r>
    </w:p>
    <w:p w14:paraId="4F555AED" w14:textId="77777777" w:rsidR="00C52895" w:rsidRPr="001A3109" w:rsidRDefault="00C52895" w:rsidP="00C52895">
      <w:pPr>
        <w:pStyle w:val="Paragraphedeliste"/>
        <w:numPr>
          <w:ilvl w:val="0"/>
          <w:numId w:val="1"/>
        </w:numPr>
        <w:spacing w:after="0"/>
        <w:ind w:left="567" w:hanging="348"/>
        <w:jc w:val="both"/>
        <w:rPr>
          <w:rFonts w:ascii="Times New Roman" w:hAnsi="Times New Roman" w:cs="Times New Roman"/>
          <w:sz w:val="23"/>
          <w:szCs w:val="23"/>
        </w:rPr>
      </w:pPr>
      <w:r w:rsidRPr="00DE4067">
        <w:rPr>
          <w:rFonts w:ascii="Times New Roman" w:hAnsi="Times New Roman" w:cs="Times New Roman"/>
          <w:sz w:val="23"/>
          <w:szCs w:val="23"/>
          <w:u w:val="single"/>
        </w:rPr>
        <w:t>Risque de taux d’intérêt</w:t>
      </w:r>
      <w:r w:rsidRPr="00DE4067">
        <w:rPr>
          <w:rFonts w:ascii="Times New Roman" w:hAnsi="Times New Roman" w:cs="Times New Roman"/>
          <w:sz w:val="23"/>
          <w:szCs w:val="23"/>
        </w:rPr>
        <w:t xml:space="preserve"> : </w:t>
      </w:r>
      <w:r w:rsidRPr="001A3109">
        <w:rPr>
          <w:rFonts w:ascii="Times New Roman" w:hAnsi="Times New Roman" w:cs="Times New Roman"/>
          <w:sz w:val="23"/>
          <w:szCs w:val="23"/>
        </w:rPr>
        <w:t>le risque actuel ou futur que représentent pour les résultats et les fonds propres de l'entreprise d'investissement les mouvements défavorables des taux d'intérêt</w:t>
      </w:r>
      <w:r>
        <w:rPr>
          <w:rFonts w:ascii="Times New Roman" w:hAnsi="Times New Roman" w:cs="Times New Roman"/>
          <w:sz w:val="23"/>
          <w:szCs w:val="23"/>
        </w:rPr>
        <w:t xml:space="preserve"> (cf. paragraphe 11 des Orientations </w:t>
      </w:r>
      <w:r w:rsidRPr="001A3109">
        <w:rPr>
          <w:rFonts w:ascii="Times New Roman" w:hAnsi="Times New Roman" w:cs="Times New Roman"/>
          <w:sz w:val="23"/>
          <w:szCs w:val="23"/>
        </w:rPr>
        <w:t>EBA/GL/2022/09)</w:t>
      </w:r>
      <w:r>
        <w:rPr>
          <w:rFonts w:ascii="Times New Roman" w:hAnsi="Times New Roman" w:cs="Times New Roman"/>
          <w:sz w:val="23"/>
          <w:szCs w:val="23"/>
        </w:rPr>
        <w:t>.</w:t>
      </w:r>
    </w:p>
    <w:p w14:paraId="188E17E2" w14:textId="77777777" w:rsidR="00C52895" w:rsidRPr="001A3109" w:rsidRDefault="00C52895" w:rsidP="00C52895">
      <w:pPr>
        <w:pStyle w:val="Paragraphedeliste"/>
        <w:numPr>
          <w:ilvl w:val="0"/>
          <w:numId w:val="1"/>
        </w:numPr>
        <w:spacing w:before="120" w:after="120"/>
        <w:ind w:left="567" w:hanging="346"/>
        <w:contextualSpacing w:val="0"/>
        <w:jc w:val="both"/>
        <w:rPr>
          <w:rFonts w:ascii="Times New Roman" w:hAnsi="Times New Roman" w:cs="Times New Roman"/>
          <w:sz w:val="23"/>
          <w:szCs w:val="23"/>
        </w:rPr>
      </w:pPr>
      <w:r w:rsidRPr="001A3109">
        <w:rPr>
          <w:rFonts w:ascii="Times New Roman" w:hAnsi="Times New Roman" w:cs="Times New Roman"/>
          <w:sz w:val="23"/>
          <w:szCs w:val="23"/>
          <w:u w:val="single"/>
        </w:rPr>
        <w:t>Risque résiduel</w:t>
      </w:r>
      <w:r w:rsidRPr="001A3109">
        <w:rPr>
          <w:rFonts w:ascii="Times New Roman" w:hAnsi="Times New Roman" w:cs="Times New Roman"/>
          <w:sz w:val="23"/>
          <w:szCs w:val="23"/>
        </w:rPr>
        <w:t xml:space="preserve"> : le risque que les techniques d’atténuation du risque de crédit utilisées par l’entreprise d’investissement s</w:t>
      </w:r>
      <w:r>
        <w:rPr>
          <w:rFonts w:ascii="Times New Roman" w:hAnsi="Times New Roman" w:cs="Times New Roman"/>
          <w:sz w:val="23"/>
          <w:szCs w:val="23"/>
        </w:rPr>
        <w:t>e révèlent</w:t>
      </w:r>
      <w:r w:rsidRPr="001A3109">
        <w:rPr>
          <w:rFonts w:ascii="Times New Roman" w:hAnsi="Times New Roman" w:cs="Times New Roman"/>
          <w:sz w:val="23"/>
          <w:szCs w:val="23"/>
        </w:rPr>
        <w:t xml:space="preserve"> moins efficaces que prévu (cf. article 10 point t) de l’arrêté du 3 novembre 2014 relatif au contrôle interne)</w:t>
      </w:r>
      <w:r>
        <w:rPr>
          <w:rFonts w:ascii="Times New Roman" w:hAnsi="Times New Roman" w:cs="Times New Roman"/>
          <w:sz w:val="23"/>
          <w:szCs w:val="23"/>
        </w:rPr>
        <w:t>.</w:t>
      </w:r>
    </w:p>
    <w:p w14:paraId="1E36EE27" w14:textId="77777777" w:rsidR="00C52895" w:rsidRPr="001A3109" w:rsidRDefault="00C52895" w:rsidP="00C52895">
      <w:pPr>
        <w:pStyle w:val="Paragraphedeliste"/>
        <w:numPr>
          <w:ilvl w:val="0"/>
          <w:numId w:val="1"/>
        </w:numPr>
        <w:spacing w:after="0"/>
        <w:ind w:left="567" w:hanging="348"/>
        <w:jc w:val="both"/>
        <w:rPr>
          <w:rFonts w:ascii="Times New Roman" w:hAnsi="Times New Roman" w:cs="Times New Roman"/>
          <w:sz w:val="23"/>
          <w:szCs w:val="23"/>
        </w:rPr>
      </w:pPr>
      <w:r w:rsidRPr="007E6EB4">
        <w:rPr>
          <w:rFonts w:ascii="Times New Roman" w:hAnsi="Times New Roman" w:cs="Times New Roman"/>
          <w:sz w:val="23"/>
          <w:szCs w:val="23"/>
          <w:u w:val="single"/>
        </w:rPr>
        <w:t>Risques de marché</w:t>
      </w:r>
      <w:r>
        <w:rPr>
          <w:rFonts w:ascii="Times New Roman" w:hAnsi="Times New Roman" w:cs="Times New Roman"/>
          <w:sz w:val="23"/>
          <w:szCs w:val="23"/>
          <w:u w:val="single"/>
        </w:rPr>
        <w:t xml:space="preserve"> : </w:t>
      </w:r>
      <w:r w:rsidRPr="001A3109">
        <w:rPr>
          <w:rFonts w:ascii="Times New Roman" w:hAnsi="Times New Roman" w:cs="Times New Roman"/>
          <w:sz w:val="23"/>
          <w:szCs w:val="23"/>
        </w:rPr>
        <w:t>le risque de pertes découlant de variations des prix sur le marché, y compris des taux de change ou des prix des matières premières</w:t>
      </w:r>
      <w:r>
        <w:rPr>
          <w:rFonts w:ascii="Times New Roman" w:hAnsi="Times New Roman" w:cs="Times New Roman"/>
          <w:sz w:val="23"/>
          <w:szCs w:val="23"/>
        </w:rPr>
        <w:t>.</w:t>
      </w:r>
    </w:p>
    <w:p w14:paraId="3C5B18B9" w14:textId="77777777" w:rsidR="00C52895" w:rsidRPr="00BE34D2" w:rsidRDefault="00C52895" w:rsidP="00C52895">
      <w:pPr>
        <w:pStyle w:val="Paragraphedeliste"/>
        <w:numPr>
          <w:ilvl w:val="0"/>
          <w:numId w:val="1"/>
        </w:numPr>
        <w:spacing w:before="120" w:after="120"/>
        <w:ind w:left="567" w:hanging="346"/>
        <w:contextualSpacing w:val="0"/>
        <w:jc w:val="both"/>
        <w:rPr>
          <w:rFonts w:ascii="Times New Roman" w:hAnsi="Times New Roman" w:cs="Times New Roman"/>
          <w:sz w:val="23"/>
          <w:szCs w:val="23"/>
        </w:rPr>
      </w:pPr>
      <w:r w:rsidRPr="00BE34D2">
        <w:rPr>
          <w:rFonts w:ascii="Times New Roman" w:hAnsi="Times New Roman" w:cs="Times New Roman"/>
          <w:sz w:val="23"/>
          <w:szCs w:val="23"/>
          <w:u w:val="single"/>
        </w:rPr>
        <w:t>Risque de change</w:t>
      </w:r>
      <w:r>
        <w:rPr>
          <w:rFonts w:ascii="Times New Roman" w:hAnsi="Times New Roman" w:cs="Times New Roman"/>
          <w:sz w:val="23"/>
          <w:szCs w:val="23"/>
        </w:rPr>
        <w:t xml:space="preserve"> : </w:t>
      </w:r>
      <w:r w:rsidRPr="001A3109">
        <w:rPr>
          <w:rFonts w:ascii="Times New Roman" w:hAnsi="Times New Roman" w:cs="Times New Roman"/>
          <w:sz w:val="23"/>
          <w:szCs w:val="23"/>
        </w:rPr>
        <w:t>le risque de pertes découlant de variations des taux de change</w:t>
      </w:r>
      <w:r>
        <w:rPr>
          <w:rFonts w:ascii="Times New Roman" w:hAnsi="Times New Roman" w:cs="Times New Roman"/>
          <w:sz w:val="23"/>
          <w:szCs w:val="23"/>
        </w:rPr>
        <w:t>.</w:t>
      </w:r>
      <w:r>
        <w:t xml:space="preserve"> </w:t>
      </w:r>
    </w:p>
    <w:p w14:paraId="0DD040C9" w14:textId="77777777" w:rsidR="00C52895" w:rsidRPr="009B04D4" w:rsidRDefault="00C52895" w:rsidP="00C52895">
      <w:pPr>
        <w:pStyle w:val="Paragraphedeliste"/>
        <w:numPr>
          <w:ilvl w:val="0"/>
          <w:numId w:val="1"/>
        </w:numPr>
        <w:spacing w:after="0" w:line="240" w:lineRule="auto"/>
        <w:ind w:left="567" w:hanging="346"/>
        <w:jc w:val="both"/>
        <w:rPr>
          <w:rFonts w:ascii="Times New Roman" w:hAnsi="Times New Roman" w:cs="Times New Roman"/>
          <w:sz w:val="23"/>
          <w:szCs w:val="23"/>
        </w:rPr>
      </w:pPr>
      <w:r w:rsidRPr="00452B6C">
        <w:rPr>
          <w:rFonts w:ascii="Times New Roman" w:hAnsi="Times New Roman" w:cs="Times New Roman"/>
          <w:sz w:val="23"/>
          <w:szCs w:val="23"/>
          <w:u w:val="single"/>
        </w:rPr>
        <w:t>Risque de titrisation</w:t>
      </w:r>
      <w:r w:rsidRPr="00452B6C">
        <w:rPr>
          <w:rFonts w:ascii="Times New Roman" w:hAnsi="Times New Roman" w:cs="Times New Roman"/>
          <w:sz w:val="23"/>
          <w:szCs w:val="23"/>
        </w:rPr>
        <w:t xml:space="preserve"> : </w:t>
      </w:r>
      <w:r w:rsidRPr="001A3109">
        <w:rPr>
          <w:rFonts w:ascii="Times New Roman" w:hAnsi="Times New Roman" w:cs="Times New Roman"/>
          <w:sz w:val="23"/>
          <w:szCs w:val="23"/>
        </w:rPr>
        <w:t>le risque induit par les opérations de titrisation dans lesquelles l'entreprise d’investissement intervient en qualité d'investisseur, d'initiateur ou de sponsor, y compris les risques de réputation tels que ceux survenant en liaison avec des structures ou des produits complexes (cf. article 10 point y) de l’arrêté du 3 novembre 2014 relatif au contrôle interne)</w:t>
      </w:r>
      <w:r>
        <w:rPr>
          <w:rFonts w:ascii="Times New Roman" w:hAnsi="Times New Roman" w:cs="Times New Roman"/>
          <w:sz w:val="23"/>
          <w:szCs w:val="23"/>
        </w:rPr>
        <w:t>.</w:t>
      </w:r>
    </w:p>
    <w:p w14:paraId="09520EC1" w14:textId="77777777" w:rsidR="00C52895" w:rsidRPr="00C531A7" w:rsidRDefault="00C52895" w:rsidP="00C52895">
      <w:pPr>
        <w:pStyle w:val="Paragraphedeliste"/>
        <w:numPr>
          <w:ilvl w:val="0"/>
          <w:numId w:val="1"/>
        </w:numPr>
        <w:shd w:val="clear" w:color="auto" w:fill="FFFFFF"/>
        <w:spacing w:before="120" w:after="120"/>
        <w:ind w:left="567" w:hanging="346"/>
        <w:contextualSpacing w:val="0"/>
        <w:jc w:val="both"/>
        <w:rPr>
          <w:rFonts w:ascii="Times New Roman" w:hAnsi="Times New Roman" w:cs="Times New Roman"/>
          <w:sz w:val="23"/>
          <w:szCs w:val="23"/>
        </w:rPr>
      </w:pPr>
      <w:r w:rsidRPr="009B04D4">
        <w:rPr>
          <w:rFonts w:ascii="Times New Roman" w:hAnsi="Times New Roman" w:cs="Times New Roman"/>
          <w:sz w:val="23"/>
          <w:szCs w:val="23"/>
          <w:u w:val="single"/>
        </w:rPr>
        <w:t>Risque opérationnel</w:t>
      </w:r>
      <w:r>
        <w:rPr>
          <w:rFonts w:ascii="Times New Roman" w:hAnsi="Times New Roman" w:cs="Times New Roman"/>
          <w:sz w:val="23"/>
          <w:szCs w:val="23"/>
        </w:rPr>
        <w:t xml:space="preserve"> : </w:t>
      </w:r>
      <w:r w:rsidRPr="001A3109">
        <w:rPr>
          <w:rFonts w:ascii="Times New Roman" w:hAnsi="Times New Roman" w:cs="Times New Roman"/>
          <w:sz w:val="23"/>
          <w:szCs w:val="23"/>
        </w:rPr>
        <w:t>le risque de pertes découlant d'une inadéquation ou d'une défaillance des processus, du personnel et des systèmes internes ou d'événements extérieurs, y compris le risque juridique. Le risque opérationnel inclut notamment les risques liés à des événements de faible probabilité d'occurrence mais à fort impact, les risques de fraude interne et externe et les risques liés au modèle (cf. article 10 point j) de l’arrêté du 3 novembre 2014 relatif au contrôle interne)</w:t>
      </w:r>
      <w:r w:rsidR="00CF3480">
        <w:rPr>
          <w:rFonts w:ascii="Times New Roman" w:hAnsi="Times New Roman" w:cs="Times New Roman"/>
          <w:sz w:val="23"/>
          <w:szCs w:val="23"/>
        </w:rPr>
        <w:t xml:space="preserve"> comme définis ci-après :</w:t>
      </w:r>
    </w:p>
    <w:p w14:paraId="2C0CAA47" w14:textId="77777777" w:rsidR="00C52895" w:rsidRPr="00BE34D2" w:rsidRDefault="00C52895" w:rsidP="009F63BD">
      <w:pPr>
        <w:pStyle w:val="Paragraphedeliste"/>
        <w:numPr>
          <w:ilvl w:val="1"/>
          <w:numId w:val="1"/>
        </w:numPr>
        <w:spacing w:after="0"/>
        <w:jc w:val="both"/>
        <w:rPr>
          <w:rFonts w:ascii="Times New Roman" w:hAnsi="Times New Roman" w:cs="Times New Roman"/>
          <w:sz w:val="23"/>
          <w:szCs w:val="23"/>
        </w:rPr>
      </w:pPr>
      <w:r w:rsidRPr="00BE34D2">
        <w:rPr>
          <w:rFonts w:ascii="Times New Roman" w:hAnsi="Times New Roman" w:cs="Times New Roman"/>
          <w:sz w:val="23"/>
          <w:szCs w:val="23"/>
          <w:u w:val="single"/>
        </w:rPr>
        <w:t>Risque de fraude interne</w:t>
      </w:r>
      <w:r w:rsidRPr="00BE34D2">
        <w:rPr>
          <w:rFonts w:ascii="Times New Roman" w:hAnsi="Times New Roman" w:cs="Times New Roman"/>
          <w:sz w:val="23"/>
          <w:szCs w:val="23"/>
        </w:rPr>
        <w:t xml:space="preserve"> : le risque de pertes </w:t>
      </w:r>
      <w:r>
        <w:rPr>
          <w:rFonts w:ascii="Times New Roman" w:hAnsi="Times New Roman" w:cs="Times New Roman"/>
          <w:sz w:val="23"/>
          <w:szCs w:val="23"/>
        </w:rPr>
        <w:t>liées</w:t>
      </w:r>
      <w:r w:rsidRPr="00CF25EE">
        <w:rPr>
          <w:rFonts w:ascii="Times New Roman" w:hAnsi="Times New Roman" w:cs="Times New Roman"/>
          <w:sz w:val="23"/>
          <w:szCs w:val="23"/>
        </w:rPr>
        <w:t xml:space="preserve"> à des actes visant à commettre une fraude ou un détournement d'actif ou à enfreindre une réglementation, une loi ou des règles de l'entreprise, à l'exclusion des cas de discrimination ou d'inapplication des règles en matière de diversité, et impliquant au moins un membre de l'entreprise</w:t>
      </w:r>
      <w:r>
        <w:rPr>
          <w:rFonts w:ascii="Times New Roman" w:hAnsi="Times New Roman" w:cs="Times New Roman"/>
          <w:sz w:val="23"/>
          <w:szCs w:val="23"/>
        </w:rPr>
        <w:t xml:space="preserve"> d’investissement.</w:t>
      </w:r>
    </w:p>
    <w:p w14:paraId="7CED270D" w14:textId="77777777" w:rsidR="00C52895" w:rsidRDefault="00C52895" w:rsidP="009F63BD">
      <w:pPr>
        <w:pStyle w:val="Paragraphedeliste"/>
        <w:numPr>
          <w:ilvl w:val="1"/>
          <w:numId w:val="1"/>
        </w:numPr>
        <w:spacing w:before="120" w:after="120"/>
        <w:contextualSpacing w:val="0"/>
        <w:jc w:val="both"/>
        <w:rPr>
          <w:rFonts w:ascii="Times New Roman" w:hAnsi="Times New Roman" w:cs="Times New Roman"/>
          <w:sz w:val="23"/>
          <w:szCs w:val="23"/>
        </w:rPr>
      </w:pPr>
      <w:r w:rsidRPr="00D07069">
        <w:rPr>
          <w:rFonts w:ascii="Times New Roman" w:hAnsi="Times New Roman" w:cs="Times New Roman"/>
          <w:sz w:val="23"/>
          <w:szCs w:val="23"/>
          <w:u w:val="single"/>
        </w:rPr>
        <w:t>Risque de fraude externe</w:t>
      </w:r>
      <w:r w:rsidRPr="00D07069">
        <w:rPr>
          <w:rFonts w:ascii="Times New Roman" w:hAnsi="Times New Roman" w:cs="Times New Roman"/>
          <w:sz w:val="23"/>
          <w:szCs w:val="23"/>
        </w:rPr>
        <w:t xml:space="preserve"> : le risque de pertes liées à des actes de tiers visant à commettre une fraude ou un détournement d'actif ou à enfreindre la loi.</w:t>
      </w:r>
    </w:p>
    <w:p w14:paraId="310025F2" w14:textId="77777777" w:rsidR="00C52895" w:rsidRPr="00521F2D" w:rsidRDefault="00C52895" w:rsidP="009F63BD">
      <w:pPr>
        <w:pStyle w:val="Paragraphedeliste"/>
        <w:numPr>
          <w:ilvl w:val="1"/>
          <w:numId w:val="1"/>
        </w:numPr>
        <w:spacing w:before="120" w:after="120"/>
        <w:contextualSpacing w:val="0"/>
        <w:jc w:val="both"/>
        <w:rPr>
          <w:rFonts w:ascii="Times New Roman" w:hAnsi="Times New Roman" w:cs="Times New Roman"/>
          <w:sz w:val="23"/>
          <w:szCs w:val="23"/>
        </w:rPr>
      </w:pPr>
      <w:r w:rsidRPr="00521F2D">
        <w:rPr>
          <w:rFonts w:ascii="Times New Roman" w:hAnsi="Times New Roman" w:cs="Times New Roman"/>
          <w:sz w:val="23"/>
          <w:szCs w:val="23"/>
          <w:u w:val="single"/>
        </w:rPr>
        <w:t>Risque lié au modèle</w:t>
      </w:r>
      <w:r>
        <w:rPr>
          <w:rFonts w:ascii="Times New Roman" w:hAnsi="Times New Roman" w:cs="Times New Roman"/>
          <w:sz w:val="23"/>
          <w:szCs w:val="23"/>
        </w:rPr>
        <w:t> : le risque de pertes</w:t>
      </w:r>
      <w:r w:rsidRPr="00521F2D">
        <w:rPr>
          <w:rFonts w:ascii="Times New Roman" w:hAnsi="Times New Roman" w:cs="Times New Roman"/>
          <w:sz w:val="23"/>
          <w:szCs w:val="23"/>
        </w:rPr>
        <w:t xml:space="preserve"> susceptible d'être subi du fait de décisions pouvant être fondées principalement sur les résultats de modèles internes, en raison d'erreurs dans leur mise au point, leur mise en œuvre ou leur utilisation</w:t>
      </w:r>
      <w:r>
        <w:rPr>
          <w:rFonts w:ascii="Times New Roman" w:hAnsi="Times New Roman" w:cs="Times New Roman"/>
          <w:sz w:val="23"/>
          <w:szCs w:val="23"/>
        </w:rPr>
        <w:t xml:space="preserve"> (cf. article 10 point </w:t>
      </w:r>
      <w:proofErr w:type="spellStart"/>
      <w:r>
        <w:rPr>
          <w:rFonts w:ascii="Times New Roman" w:hAnsi="Times New Roman" w:cs="Times New Roman"/>
          <w:sz w:val="23"/>
          <w:szCs w:val="23"/>
        </w:rPr>
        <w:t>aa</w:t>
      </w:r>
      <w:proofErr w:type="spellEnd"/>
      <w:r>
        <w:rPr>
          <w:rFonts w:ascii="Times New Roman" w:hAnsi="Times New Roman" w:cs="Times New Roman"/>
          <w:sz w:val="23"/>
          <w:szCs w:val="23"/>
        </w:rPr>
        <w:t>)</w:t>
      </w:r>
      <w:r w:rsidRPr="00521F2D">
        <w:rPr>
          <w:rFonts w:ascii="Times New Roman" w:hAnsi="Times New Roman" w:cs="Times New Roman"/>
          <w:sz w:val="23"/>
          <w:szCs w:val="23"/>
        </w:rPr>
        <w:t xml:space="preserve"> de l’arrêté du 3 novembre 2014 relatif au contrôle interne).</w:t>
      </w:r>
    </w:p>
    <w:p w14:paraId="6DBC7114" w14:textId="77777777" w:rsidR="00C52895" w:rsidRPr="00C531A7" w:rsidRDefault="00C52895" w:rsidP="00C52895">
      <w:pPr>
        <w:pStyle w:val="Paragraphedeliste"/>
        <w:numPr>
          <w:ilvl w:val="0"/>
          <w:numId w:val="1"/>
        </w:numPr>
        <w:spacing w:before="120" w:after="120"/>
        <w:ind w:left="567" w:hanging="346"/>
        <w:contextualSpacing w:val="0"/>
        <w:jc w:val="both"/>
        <w:rPr>
          <w:rFonts w:ascii="Times New Roman" w:hAnsi="Times New Roman" w:cs="Times New Roman"/>
          <w:sz w:val="23"/>
          <w:szCs w:val="23"/>
        </w:rPr>
      </w:pPr>
      <w:r w:rsidRPr="00EE791C">
        <w:rPr>
          <w:rFonts w:ascii="Times New Roman" w:hAnsi="Times New Roman" w:cs="Times New Roman"/>
          <w:sz w:val="23"/>
          <w:szCs w:val="23"/>
          <w:u w:val="single"/>
        </w:rPr>
        <w:t>Risque d'intermédiation</w:t>
      </w:r>
      <w:r w:rsidRPr="00276532">
        <w:rPr>
          <w:rFonts w:ascii="Times New Roman" w:hAnsi="Times New Roman" w:cs="Times New Roman"/>
          <w:sz w:val="23"/>
          <w:szCs w:val="23"/>
        </w:rPr>
        <w:t xml:space="preserve"> : le risque de défaillance d'un donneur d'ordres ou d'une contrepartie à l'occasion d'une transaction sur instruments financiers dans laquelle l'entreprise d’investissement apporte sa garantie de bonne fin (cf. article 10 point m) de l’arrêté du 3 novembre 2014 relatif au contrôle interne)</w:t>
      </w:r>
      <w:r>
        <w:rPr>
          <w:rFonts w:ascii="Times New Roman" w:hAnsi="Times New Roman" w:cs="Times New Roman"/>
          <w:sz w:val="23"/>
          <w:szCs w:val="23"/>
        </w:rPr>
        <w:t>.</w:t>
      </w:r>
    </w:p>
    <w:p w14:paraId="714B06FF" w14:textId="77777777" w:rsidR="00C52895" w:rsidRPr="00276532" w:rsidRDefault="00C52895" w:rsidP="00C52895">
      <w:pPr>
        <w:pStyle w:val="Paragraphedeliste"/>
        <w:numPr>
          <w:ilvl w:val="0"/>
          <w:numId w:val="1"/>
        </w:numPr>
        <w:spacing w:after="0"/>
        <w:ind w:left="567" w:hanging="348"/>
        <w:jc w:val="both"/>
        <w:rPr>
          <w:rFonts w:ascii="Times New Roman" w:hAnsi="Times New Roman" w:cs="Times New Roman"/>
          <w:sz w:val="23"/>
          <w:szCs w:val="23"/>
        </w:rPr>
      </w:pPr>
      <w:r w:rsidRPr="00276532">
        <w:rPr>
          <w:rFonts w:ascii="Times New Roman" w:hAnsi="Times New Roman" w:cs="Times New Roman"/>
          <w:sz w:val="23"/>
          <w:szCs w:val="23"/>
          <w:u w:val="single"/>
        </w:rPr>
        <w:lastRenderedPageBreak/>
        <w:t>Risque de réputation</w:t>
      </w:r>
      <w:r w:rsidRPr="00EE791C">
        <w:rPr>
          <w:rFonts w:ascii="Times New Roman" w:hAnsi="Times New Roman" w:cs="Times New Roman"/>
          <w:sz w:val="23"/>
          <w:szCs w:val="23"/>
        </w:rPr>
        <w:t> </w:t>
      </w:r>
      <w:r w:rsidRPr="00276532">
        <w:rPr>
          <w:rFonts w:ascii="Times New Roman" w:hAnsi="Times New Roman" w:cs="Times New Roman"/>
          <w:sz w:val="23"/>
          <w:szCs w:val="23"/>
        </w:rPr>
        <w:t>: le risque, actuel ou futur, pesant sur les bénéfices, les fonds propres ou la liquidité de l'entreprise d'investissement, qui résulte d'une atteinte à sa réputation (cf. paragraphe 11 des Orientations EBA/GL/2022/09).</w:t>
      </w:r>
    </w:p>
    <w:p w14:paraId="665852DB" w14:textId="77777777" w:rsidR="00C52895" w:rsidRPr="00BE34D2" w:rsidRDefault="00C52895" w:rsidP="00C52895">
      <w:pPr>
        <w:pStyle w:val="Paragraphedeliste"/>
        <w:numPr>
          <w:ilvl w:val="0"/>
          <w:numId w:val="1"/>
        </w:numPr>
        <w:spacing w:before="120" w:after="120"/>
        <w:ind w:left="567" w:hanging="346"/>
        <w:contextualSpacing w:val="0"/>
        <w:jc w:val="both"/>
        <w:rPr>
          <w:rFonts w:ascii="Times New Roman" w:hAnsi="Times New Roman" w:cs="Times New Roman"/>
          <w:sz w:val="23"/>
          <w:szCs w:val="23"/>
        </w:rPr>
      </w:pPr>
      <w:r w:rsidRPr="00BE34D2">
        <w:rPr>
          <w:rFonts w:ascii="Times New Roman" w:hAnsi="Times New Roman" w:cs="Times New Roman"/>
          <w:sz w:val="23"/>
          <w:szCs w:val="23"/>
          <w:u w:val="single"/>
        </w:rPr>
        <w:t>Risque de non-conformité</w:t>
      </w:r>
      <w:r>
        <w:rPr>
          <w:rFonts w:ascii="Times New Roman" w:hAnsi="Times New Roman" w:cs="Times New Roman"/>
          <w:sz w:val="23"/>
          <w:szCs w:val="23"/>
        </w:rPr>
        <w:t xml:space="preserve"> : </w:t>
      </w:r>
      <w:r w:rsidRPr="00CF25EE">
        <w:rPr>
          <w:rFonts w:ascii="Times New Roman" w:hAnsi="Times New Roman" w:cs="Times New Roman"/>
          <w:sz w:val="23"/>
          <w:szCs w:val="23"/>
        </w:rPr>
        <w:t>le risque de sanction judiciaire, administrative ou disciplinaire, de perte financière significative ou d'atteinte à la réputation, qui naît du non-respect de dispositions propres aux activités bancaires et financières, qu'elles soient de nature législative ou réglementaire, nationales ou européennes directement applicables, ou qu'il s'agisse de normes professionnelles et déontologiques, ou d'instructions des dirigeants effectifs prises notamment en application des orientations de l'organe de surveillance (cf. article 10 point p) de l’arrêté du 3 novembre 2014 relatif au contrôle interne)</w:t>
      </w:r>
      <w:r>
        <w:rPr>
          <w:rFonts w:ascii="Times New Roman" w:hAnsi="Times New Roman" w:cs="Times New Roman"/>
          <w:sz w:val="23"/>
          <w:szCs w:val="23"/>
        </w:rPr>
        <w:t>.</w:t>
      </w:r>
    </w:p>
    <w:p w14:paraId="656F7CE3" w14:textId="77777777" w:rsidR="00C52895" w:rsidRPr="00BE34D2" w:rsidRDefault="00C52895" w:rsidP="00C52895">
      <w:pPr>
        <w:pStyle w:val="Paragraphedeliste"/>
        <w:numPr>
          <w:ilvl w:val="0"/>
          <w:numId w:val="1"/>
        </w:numPr>
        <w:spacing w:after="0"/>
        <w:ind w:left="567" w:hanging="348"/>
        <w:jc w:val="both"/>
        <w:rPr>
          <w:rFonts w:ascii="Times New Roman" w:hAnsi="Times New Roman" w:cs="Times New Roman"/>
          <w:sz w:val="23"/>
          <w:szCs w:val="23"/>
        </w:rPr>
      </w:pPr>
      <w:r w:rsidRPr="00BE34D2">
        <w:rPr>
          <w:rFonts w:ascii="Times New Roman" w:hAnsi="Times New Roman" w:cs="Times New Roman"/>
          <w:sz w:val="23"/>
          <w:szCs w:val="23"/>
          <w:u w:val="single"/>
        </w:rPr>
        <w:t>Risque juridique</w:t>
      </w:r>
      <w:r w:rsidRPr="00BE34D2">
        <w:rPr>
          <w:rFonts w:ascii="Times New Roman" w:hAnsi="Times New Roman" w:cs="Times New Roman"/>
          <w:sz w:val="23"/>
          <w:szCs w:val="23"/>
        </w:rPr>
        <w:t xml:space="preserve"> : </w:t>
      </w:r>
      <w:r w:rsidRPr="00D07069">
        <w:rPr>
          <w:rFonts w:ascii="Times New Roman" w:hAnsi="Times New Roman" w:cs="Times New Roman"/>
          <w:sz w:val="23"/>
          <w:szCs w:val="23"/>
        </w:rPr>
        <w:t>le risque de tout litige avec une contrepartie, résultant de toute imprécision, lacune ou insuffisance susceptible d'être imputable à l'entreprise d’investissement au titre de ses opérations (cf. article 10 point k) de l’arrêté du 3 novembre 2014 relatif au contrôle interne)</w:t>
      </w:r>
      <w:r>
        <w:rPr>
          <w:rFonts w:ascii="Times New Roman" w:hAnsi="Times New Roman" w:cs="Times New Roman"/>
          <w:sz w:val="23"/>
          <w:szCs w:val="23"/>
        </w:rPr>
        <w:t>.</w:t>
      </w:r>
    </w:p>
    <w:p w14:paraId="01170ECC" w14:textId="77777777" w:rsidR="00C52895" w:rsidRPr="00D07069" w:rsidRDefault="00C52895" w:rsidP="00C52895">
      <w:pPr>
        <w:pStyle w:val="Paragraphedeliste"/>
        <w:numPr>
          <w:ilvl w:val="0"/>
          <w:numId w:val="1"/>
        </w:numPr>
        <w:spacing w:before="120" w:after="120"/>
        <w:ind w:left="567" w:hanging="346"/>
        <w:contextualSpacing w:val="0"/>
        <w:jc w:val="both"/>
        <w:rPr>
          <w:rFonts w:ascii="Times New Roman" w:hAnsi="Times New Roman" w:cs="Times New Roman"/>
          <w:sz w:val="23"/>
          <w:szCs w:val="23"/>
        </w:rPr>
      </w:pPr>
      <w:r w:rsidRPr="009B04D4">
        <w:rPr>
          <w:rFonts w:ascii="Times New Roman" w:hAnsi="Times New Roman" w:cs="Times New Roman"/>
          <w:sz w:val="23"/>
          <w:szCs w:val="23"/>
          <w:u w:val="single"/>
        </w:rPr>
        <w:t>Risque de liquidité</w:t>
      </w:r>
      <w:r w:rsidRPr="00D07069">
        <w:rPr>
          <w:rFonts w:ascii="Times New Roman" w:hAnsi="Times New Roman" w:cs="Times New Roman"/>
          <w:sz w:val="23"/>
          <w:szCs w:val="23"/>
        </w:rPr>
        <w:t> </w:t>
      </w:r>
      <w:r w:rsidRPr="009B04D4">
        <w:rPr>
          <w:rFonts w:ascii="Times New Roman" w:hAnsi="Times New Roman" w:cs="Times New Roman"/>
          <w:sz w:val="23"/>
          <w:szCs w:val="23"/>
        </w:rPr>
        <w:t xml:space="preserve">: </w:t>
      </w:r>
      <w:r w:rsidRPr="00D07069">
        <w:rPr>
          <w:rFonts w:ascii="Times New Roman" w:hAnsi="Times New Roman" w:cs="Times New Roman"/>
          <w:sz w:val="23"/>
          <w:szCs w:val="23"/>
        </w:rPr>
        <w:t>le risque pour l'entreprise d’investissement de ne pas pouvoir faire face à ses engagements ou de ne pas pouvoir dénouer ou compenser une position en raison de la situation du marché ou de facteurs idiosyncratiques, dans un délai déterminé et à un coût raisonnable (cf. article 10 point h) de l’arrêté du 3 novembre 2014 relatif au contrôle interne)</w:t>
      </w:r>
      <w:r>
        <w:rPr>
          <w:rFonts w:ascii="Times New Roman" w:hAnsi="Times New Roman" w:cs="Times New Roman"/>
          <w:sz w:val="23"/>
          <w:szCs w:val="23"/>
        </w:rPr>
        <w:t>.</w:t>
      </w:r>
    </w:p>
    <w:p w14:paraId="6C9F6506" w14:textId="77777777" w:rsidR="00C52895" w:rsidRPr="00276532" w:rsidRDefault="00C52895" w:rsidP="00C52895">
      <w:pPr>
        <w:pStyle w:val="Paragraphedeliste"/>
        <w:numPr>
          <w:ilvl w:val="0"/>
          <w:numId w:val="1"/>
        </w:numPr>
        <w:spacing w:after="0"/>
        <w:ind w:left="567" w:hanging="348"/>
        <w:jc w:val="both"/>
        <w:rPr>
          <w:rFonts w:ascii="Times New Roman" w:hAnsi="Times New Roman" w:cs="Times New Roman"/>
          <w:sz w:val="23"/>
          <w:szCs w:val="23"/>
        </w:rPr>
      </w:pPr>
      <w:r w:rsidRPr="00D07069">
        <w:rPr>
          <w:rFonts w:ascii="Times New Roman" w:hAnsi="Times New Roman" w:cs="Times New Roman"/>
          <w:sz w:val="23"/>
          <w:szCs w:val="23"/>
          <w:u w:val="single"/>
        </w:rPr>
        <w:t>Risque lié aux technologies de l'information et de la communication</w:t>
      </w:r>
      <w:r>
        <w:rPr>
          <w:rFonts w:ascii="Times New Roman" w:hAnsi="Times New Roman" w:cs="Times New Roman"/>
          <w:sz w:val="23"/>
          <w:szCs w:val="23"/>
        </w:rPr>
        <w:t xml:space="preserve"> :</w:t>
      </w:r>
      <w:r w:rsidRPr="007E6EB4">
        <w:rPr>
          <w:rFonts w:ascii="Times New Roman" w:hAnsi="Times New Roman" w:cs="Times New Roman"/>
          <w:sz w:val="23"/>
          <w:szCs w:val="23"/>
        </w:rPr>
        <w:t xml:space="preserve"> le risque de perte découlant d'une violation de la confidentialité, d'une défaillance de l'intégrité des systèmes et des données, d'une inadéquation ou d'une indisponibilité des systèmes et des données, ou incapacité à modifier l'IT dans un délai et à des coûts raisonnables lorsque l'environnement ou les besoins de l'entreprise changent </w:t>
      </w:r>
      <w:r w:rsidRPr="00276532">
        <w:rPr>
          <w:rFonts w:ascii="Times New Roman" w:hAnsi="Times New Roman" w:cs="Times New Roman"/>
          <w:sz w:val="23"/>
          <w:szCs w:val="23"/>
        </w:rPr>
        <w:t>(cf. paragraphe 11 des Orientations EBA/GL/2022/09).</w:t>
      </w:r>
    </w:p>
    <w:p w14:paraId="39F38ADF" w14:textId="77777777" w:rsidR="00C52895" w:rsidRPr="00D07069" w:rsidRDefault="00C52895" w:rsidP="00C52895">
      <w:pPr>
        <w:pStyle w:val="Paragraphedeliste"/>
        <w:spacing w:before="120" w:after="120"/>
        <w:ind w:left="567"/>
        <w:contextualSpacing w:val="0"/>
        <w:jc w:val="both"/>
        <w:rPr>
          <w:rFonts w:ascii="Times New Roman" w:hAnsi="Times New Roman" w:cs="Times New Roman"/>
          <w:sz w:val="23"/>
          <w:szCs w:val="23"/>
        </w:rPr>
      </w:pPr>
    </w:p>
    <w:p w14:paraId="4F235D69" w14:textId="77777777" w:rsidR="00C52895" w:rsidRDefault="00C52895" w:rsidP="00C52895">
      <w:pPr>
        <w:spacing w:after="0"/>
        <w:jc w:val="both"/>
        <w:rPr>
          <w:rFonts w:ascii="Times New Roman" w:hAnsi="Times New Roman" w:cs="Times New Roman"/>
          <w:sz w:val="24"/>
          <w:szCs w:val="24"/>
        </w:rPr>
      </w:pPr>
    </w:p>
    <w:p w14:paraId="1AC35B2A" w14:textId="77777777" w:rsidR="00C52895" w:rsidRDefault="00C52895" w:rsidP="00C52895">
      <w:pPr>
        <w:spacing w:after="0"/>
        <w:jc w:val="both"/>
      </w:pPr>
    </w:p>
    <w:p w14:paraId="538D21D0" w14:textId="77777777" w:rsidR="00607CEB" w:rsidRPr="00640178" w:rsidRDefault="00607CEB">
      <w:pPr>
        <w:pStyle w:val="Titre1"/>
      </w:pPr>
      <w:bookmarkStart w:id="26" w:name="_Toc145687432"/>
      <w:r w:rsidRPr="00640178">
        <w:t>Annexe 2</w:t>
      </w:r>
      <w:bookmarkEnd w:id="26"/>
    </w:p>
    <w:p w14:paraId="6857144F" w14:textId="77777777" w:rsidR="00607CEB" w:rsidRPr="00640178" w:rsidRDefault="00607CEB" w:rsidP="00640178">
      <w:pPr>
        <w:spacing w:after="0"/>
        <w:jc w:val="both"/>
        <w:rPr>
          <w:rFonts w:ascii="Times New Roman" w:hAnsi="Times New Roman" w:cs="Times New Roman"/>
          <w:sz w:val="24"/>
          <w:szCs w:val="24"/>
        </w:rPr>
      </w:pPr>
      <w:r w:rsidRPr="00640178">
        <w:rPr>
          <w:rFonts w:ascii="Times New Roman" w:hAnsi="Times New Roman" w:cs="Times New Roman"/>
          <w:sz w:val="24"/>
          <w:szCs w:val="24"/>
        </w:rPr>
        <w:t>L'évalua</w:t>
      </w:r>
      <w:r w:rsidR="008459AD">
        <w:rPr>
          <w:rFonts w:ascii="Times New Roman" w:hAnsi="Times New Roman" w:cs="Times New Roman"/>
          <w:sz w:val="24"/>
          <w:szCs w:val="24"/>
        </w:rPr>
        <w:t>tion</w:t>
      </w:r>
      <w:r w:rsidRPr="00640178">
        <w:rPr>
          <w:rFonts w:ascii="Times New Roman" w:hAnsi="Times New Roman" w:cs="Times New Roman"/>
          <w:sz w:val="24"/>
          <w:szCs w:val="24"/>
        </w:rPr>
        <w:t xml:space="preserve"> </w:t>
      </w:r>
      <w:r w:rsidR="008459AD">
        <w:rPr>
          <w:rFonts w:ascii="Times New Roman" w:hAnsi="Times New Roman" w:cs="Times New Roman"/>
          <w:sz w:val="24"/>
          <w:szCs w:val="24"/>
        </w:rPr>
        <w:t>d</w:t>
      </w:r>
      <w:r w:rsidR="0043456A">
        <w:rPr>
          <w:rFonts w:ascii="Times New Roman" w:hAnsi="Times New Roman" w:cs="Times New Roman"/>
          <w:sz w:val="24"/>
          <w:szCs w:val="24"/>
        </w:rPr>
        <w:t>u</w:t>
      </w:r>
      <w:r w:rsidRPr="00640178">
        <w:rPr>
          <w:rFonts w:ascii="Times New Roman" w:hAnsi="Times New Roman" w:cs="Times New Roman"/>
          <w:sz w:val="24"/>
          <w:szCs w:val="24"/>
        </w:rPr>
        <w:t xml:space="preserve"> risque de liquidité </w:t>
      </w:r>
      <w:r w:rsidR="0043456A">
        <w:rPr>
          <w:rFonts w:ascii="Times New Roman" w:hAnsi="Times New Roman" w:cs="Times New Roman"/>
          <w:sz w:val="24"/>
          <w:szCs w:val="24"/>
        </w:rPr>
        <w:t>applicables aux entreprises d’investissement est réalisée au niveau individuel ainsi que sur base consolidée notamment pour les</w:t>
      </w:r>
      <w:r w:rsidRPr="00640178">
        <w:rPr>
          <w:rFonts w:ascii="Times New Roman" w:hAnsi="Times New Roman" w:cs="Times New Roman"/>
          <w:sz w:val="24"/>
          <w:szCs w:val="24"/>
        </w:rPr>
        <w:t xml:space="preserve"> compagnie</w:t>
      </w:r>
      <w:r w:rsidR="00AC54A3">
        <w:rPr>
          <w:rFonts w:ascii="Times New Roman" w:hAnsi="Times New Roman" w:cs="Times New Roman"/>
          <w:sz w:val="24"/>
          <w:szCs w:val="24"/>
        </w:rPr>
        <w:t>s</w:t>
      </w:r>
      <w:r w:rsidRPr="00640178">
        <w:rPr>
          <w:rFonts w:ascii="Times New Roman" w:hAnsi="Times New Roman" w:cs="Times New Roman"/>
          <w:sz w:val="24"/>
          <w:szCs w:val="24"/>
        </w:rPr>
        <w:t xml:space="preserve"> financière</w:t>
      </w:r>
      <w:r w:rsidR="00AC54A3">
        <w:rPr>
          <w:rFonts w:ascii="Times New Roman" w:hAnsi="Times New Roman" w:cs="Times New Roman"/>
          <w:sz w:val="24"/>
          <w:szCs w:val="24"/>
        </w:rPr>
        <w:t>s</w:t>
      </w:r>
      <w:r w:rsidRPr="00640178">
        <w:rPr>
          <w:rFonts w:ascii="Times New Roman" w:hAnsi="Times New Roman" w:cs="Times New Roman"/>
          <w:sz w:val="24"/>
          <w:szCs w:val="24"/>
        </w:rPr>
        <w:t xml:space="preserve"> holding mixte</w:t>
      </w:r>
      <w:r w:rsidR="0053017C">
        <w:rPr>
          <w:rFonts w:ascii="Times New Roman" w:hAnsi="Times New Roman" w:cs="Times New Roman"/>
          <w:sz w:val="24"/>
          <w:szCs w:val="24"/>
        </w:rPr>
        <w:t>s</w:t>
      </w:r>
      <w:r w:rsidRPr="00640178">
        <w:rPr>
          <w:rFonts w:ascii="Times New Roman" w:hAnsi="Times New Roman" w:cs="Times New Roman"/>
          <w:sz w:val="24"/>
          <w:szCs w:val="24"/>
        </w:rPr>
        <w:t xml:space="preserve"> mère</w:t>
      </w:r>
      <w:r w:rsidR="0053017C">
        <w:rPr>
          <w:rFonts w:ascii="Times New Roman" w:hAnsi="Times New Roman" w:cs="Times New Roman"/>
          <w:sz w:val="24"/>
          <w:szCs w:val="24"/>
        </w:rPr>
        <w:t>s</w:t>
      </w:r>
      <w:r w:rsidRPr="00640178">
        <w:rPr>
          <w:rFonts w:ascii="Times New Roman" w:hAnsi="Times New Roman" w:cs="Times New Roman"/>
          <w:sz w:val="24"/>
          <w:szCs w:val="24"/>
        </w:rPr>
        <w:t xml:space="preserve"> dans l’Union, </w:t>
      </w:r>
      <w:r w:rsidR="0043456A">
        <w:rPr>
          <w:rFonts w:ascii="Times New Roman" w:hAnsi="Times New Roman" w:cs="Times New Roman"/>
          <w:sz w:val="24"/>
          <w:szCs w:val="24"/>
        </w:rPr>
        <w:t>les</w:t>
      </w:r>
      <w:r w:rsidR="0053017C">
        <w:rPr>
          <w:rFonts w:ascii="Times New Roman" w:hAnsi="Times New Roman" w:cs="Times New Roman"/>
          <w:sz w:val="24"/>
          <w:szCs w:val="24"/>
        </w:rPr>
        <w:t xml:space="preserve"> </w:t>
      </w:r>
      <w:r w:rsidRPr="00640178">
        <w:rPr>
          <w:rFonts w:ascii="Times New Roman" w:hAnsi="Times New Roman" w:cs="Times New Roman"/>
          <w:sz w:val="24"/>
          <w:szCs w:val="24"/>
        </w:rPr>
        <w:t>entreprise</w:t>
      </w:r>
      <w:r w:rsidR="0053017C">
        <w:rPr>
          <w:rFonts w:ascii="Times New Roman" w:hAnsi="Times New Roman" w:cs="Times New Roman"/>
          <w:sz w:val="24"/>
          <w:szCs w:val="24"/>
        </w:rPr>
        <w:t>s</w:t>
      </w:r>
      <w:r w:rsidRPr="00640178">
        <w:rPr>
          <w:rFonts w:ascii="Times New Roman" w:hAnsi="Times New Roman" w:cs="Times New Roman"/>
          <w:sz w:val="24"/>
          <w:szCs w:val="24"/>
        </w:rPr>
        <w:t xml:space="preserve"> d’investissement mère</w:t>
      </w:r>
      <w:r w:rsidR="0053017C">
        <w:rPr>
          <w:rFonts w:ascii="Times New Roman" w:hAnsi="Times New Roman" w:cs="Times New Roman"/>
          <w:sz w:val="24"/>
          <w:szCs w:val="24"/>
        </w:rPr>
        <w:t>s</w:t>
      </w:r>
      <w:r w:rsidRPr="00640178">
        <w:rPr>
          <w:rFonts w:ascii="Times New Roman" w:hAnsi="Times New Roman" w:cs="Times New Roman"/>
          <w:sz w:val="24"/>
          <w:szCs w:val="24"/>
        </w:rPr>
        <w:t xml:space="preserve"> dans l’Union</w:t>
      </w:r>
      <w:r w:rsidR="0053017C">
        <w:rPr>
          <w:rFonts w:ascii="Times New Roman" w:hAnsi="Times New Roman" w:cs="Times New Roman"/>
          <w:sz w:val="24"/>
          <w:szCs w:val="24"/>
        </w:rPr>
        <w:t xml:space="preserve"> </w:t>
      </w:r>
      <w:r w:rsidR="0043456A">
        <w:rPr>
          <w:rFonts w:ascii="Times New Roman" w:hAnsi="Times New Roman" w:cs="Times New Roman"/>
          <w:sz w:val="24"/>
          <w:szCs w:val="24"/>
        </w:rPr>
        <w:t>et les</w:t>
      </w:r>
      <w:r w:rsidRPr="00640178">
        <w:rPr>
          <w:rFonts w:ascii="Times New Roman" w:hAnsi="Times New Roman" w:cs="Times New Roman"/>
          <w:sz w:val="24"/>
          <w:szCs w:val="24"/>
        </w:rPr>
        <w:t xml:space="preserve"> compagnie</w:t>
      </w:r>
      <w:r w:rsidR="0053017C">
        <w:rPr>
          <w:rFonts w:ascii="Times New Roman" w:hAnsi="Times New Roman" w:cs="Times New Roman"/>
          <w:sz w:val="24"/>
          <w:szCs w:val="24"/>
        </w:rPr>
        <w:t>s</w:t>
      </w:r>
      <w:r w:rsidRPr="00640178">
        <w:rPr>
          <w:rFonts w:ascii="Times New Roman" w:hAnsi="Times New Roman" w:cs="Times New Roman"/>
          <w:sz w:val="24"/>
          <w:szCs w:val="24"/>
        </w:rPr>
        <w:t xml:space="preserve"> </w:t>
      </w:r>
      <w:r w:rsidR="0053017C">
        <w:rPr>
          <w:rFonts w:ascii="Times New Roman" w:hAnsi="Times New Roman" w:cs="Times New Roman"/>
          <w:sz w:val="24"/>
          <w:szCs w:val="24"/>
        </w:rPr>
        <w:t xml:space="preserve">holding </w:t>
      </w:r>
      <w:r w:rsidRPr="00640178">
        <w:rPr>
          <w:rFonts w:ascii="Times New Roman" w:hAnsi="Times New Roman" w:cs="Times New Roman"/>
          <w:sz w:val="24"/>
          <w:szCs w:val="24"/>
        </w:rPr>
        <w:t>d’investissement mère</w:t>
      </w:r>
      <w:r w:rsidR="0053017C">
        <w:rPr>
          <w:rFonts w:ascii="Times New Roman" w:hAnsi="Times New Roman" w:cs="Times New Roman"/>
          <w:sz w:val="24"/>
          <w:szCs w:val="24"/>
        </w:rPr>
        <w:t>s</w:t>
      </w:r>
      <w:r w:rsidRPr="00640178">
        <w:rPr>
          <w:rFonts w:ascii="Times New Roman" w:hAnsi="Times New Roman" w:cs="Times New Roman"/>
          <w:sz w:val="24"/>
          <w:szCs w:val="24"/>
        </w:rPr>
        <w:t xml:space="preserve"> dans l’Union</w:t>
      </w:r>
      <w:r w:rsidR="009F63BD">
        <w:rPr>
          <w:rFonts w:ascii="Times New Roman" w:hAnsi="Times New Roman" w:cs="Times New Roman"/>
          <w:sz w:val="24"/>
          <w:szCs w:val="24"/>
        </w:rPr>
        <w:t>.</w:t>
      </w:r>
    </w:p>
    <w:p w14:paraId="6FB2FC2E" w14:textId="77777777" w:rsidR="00607CEB" w:rsidRDefault="00607CEB" w:rsidP="00640178">
      <w:pPr>
        <w:spacing w:after="0"/>
        <w:jc w:val="both"/>
        <w:rPr>
          <w:rFonts w:ascii="Times New Roman" w:hAnsi="Times New Roman" w:cs="Times New Roman"/>
          <w:sz w:val="24"/>
          <w:szCs w:val="24"/>
        </w:rPr>
      </w:pPr>
      <w:r w:rsidRPr="00640178">
        <w:rPr>
          <w:rFonts w:ascii="Times New Roman" w:hAnsi="Times New Roman" w:cs="Times New Roman"/>
          <w:sz w:val="24"/>
          <w:szCs w:val="24"/>
        </w:rPr>
        <w:t>Cette annexe présente les différents risques et éléments de risque classés par catégorie, par type d’entreprise d’investissement et par activités d’investissement.</w:t>
      </w:r>
    </w:p>
    <w:p w14:paraId="4081569D" w14:textId="77777777" w:rsidR="00EE237A" w:rsidRDefault="00EE237A" w:rsidP="00EE237A">
      <w:pPr>
        <w:widowControl w:val="0"/>
        <w:autoSpaceDE w:val="0"/>
        <w:autoSpaceDN w:val="0"/>
        <w:adjustRightInd w:val="0"/>
        <w:spacing w:after="0" w:line="240" w:lineRule="auto"/>
        <w:jc w:val="both"/>
        <w:rPr>
          <w:rFonts w:ascii="Times New Roman" w:eastAsia="Batang" w:hAnsi="Times New Roman" w:cs="Times New Roman"/>
          <w:b/>
          <w:sz w:val="24"/>
          <w:szCs w:val="24"/>
          <w:u w:val="single"/>
        </w:rPr>
      </w:pPr>
    </w:p>
    <w:tbl>
      <w:tblPr>
        <w:tblW w:w="9639" w:type="dxa"/>
        <w:tblCellMar>
          <w:left w:w="70" w:type="dxa"/>
          <w:right w:w="70" w:type="dxa"/>
        </w:tblCellMar>
        <w:tblLook w:val="04A0" w:firstRow="1" w:lastRow="0" w:firstColumn="1" w:lastColumn="0" w:noHBand="0" w:noVBand="1"/>
      </w:tblPr>
      <w:tblGrid>
        <w:gridCol w:w="282"/>
        <w:gridCol w:w="368"/>
        <w:gridCol w:w="8989"/>
      </w:tblGrid>
      <w:tr w:rsidR="00EE237A" w:rsidRPr="008E7E8B" w14:paraId="29DDC6FB" w14:textId="77777777" w:rsidTr="00BE34D2">
        <w:trPr>
          <w:trHeight w:val="360"/>
        </w:trPr>
        <w:tc>
          <w:tcPr>
            <w:tcW w:w="9639" w:type="dxa"/>
            <w:gridSpan w:val="3"/>
            <w:tcBorders>
              <w:top w:val="nil"/>
              <w:left w:val="nil"/>
              <w:bottom w:val="nil"/>
              <w:right w:val="nil"/>
            </w:tcBorders>
            <w:shd w:val="clear" w:color="auto" w:fill="0070C0"/>
            <w:noWrap/>
            <w:vAlign w:val="bottom"/>
            <w:hideMark/>
          </w:tcPr>
          <w:p w14:paraId="3CE4A013" w14:textId="77777777" w:rsidR="00EE237A" w:rsidRPr="008E7E8B" w:rsidRDefault="00EE237A" w:rsidP="00770FFD">
            <w:pPr>
              <w:spacing w:after="0" w:line="240" w:lineRule="auto"/>
              <w:jc w:val="center"/>
              <w:rPr>
                <w:rFonts w:ascii="Calibri" w:eastAsia="Times New Roman" w:hAnsi="Calibri" w:cs="Calibri"/>
                <w:b/>
                <w:bCs/>
                <w:color w:val="FFFFFF" w:themeColor="background1"/>
                <w:sz w:val="28"/>
                <w:szCs w:val="28"/>
                <w:lang w:eastAsia="fr-FR"/>
              </w:rPr>
            </w:pPr>
            <w:r w:rsidRPr="008E7E8B">
              <w:rPr>
                <w:rFonts w:ascii="Calibri" w:eastAsia="Times New Roman" w:hAnsi="Calibri" w:cs="Calibri"/>
                <w:b/>
                <w:bCs/>
                <w:color w:val="FFFFFF" w:themeColor="background1"/>
                <w:sz w:val="28"/>
                <w:szCs w:val="28"/>
                <w:lang w:eastAsia="fr-FR"/>
              </w:rPr>
              <w:t>RISQUES ET ELEMENTS DE RISQUES</w:t>
            </w:r>
            <w:r w:rsidR="00713950">
              <w:rPr>
                <w:rFonts w:ascii="Calibri" w:eastAsia="Times New Roman" w:hAnsi="Calibri" w:cs="Calibri"/>
                <w:b/>
                <w:bCs/>
                <w:color w:val="FFFFFF" w:themeColor="background1"/>
                <w:sz w:val="28"/>
                <w:szCs w:val="28"/>
                <w:lang w:eastAsia="fr-FR"/>
              </w:rPr>
              <w:t xml:space="preserve"> – REGLEMENT DELEGUE (EU) 2023/1651</w:t>
            </w:r>
          </w:p>
        </w:tc>
      </w:tr>
      <w:tr w:rsidR="00EE237A" w:rsidRPr="008E7E8B" w14:paraId="08F3997B" w14:textId="77777777" w:rsidTr="00BE34D2">
        <w:trPr>
          <w:trHeight w:val="360"/>
        </w:trPr>
        <w:tc>
          <w:tcPr>
            <w:tcW w:w="282" w:type="dxa"/>
            <w:tcBorders>
              <w:top w:val="nil"/>
              <w:left w:val="single" w:sz="4" w:space="0" w:color="auto"/>
              <w:bottom w:val="single" w:sz="4" w:space="0" w:color="auto"/>
              <w:right w:val="nil"/>
            </w:tcBorders>
            <w:shd w:val="clear" w:color="000000" w:fill="DDEBF7"/>
            <w:noWrap/>
            <w:vAlign w:val="center"/>
            <w:hideMark/>
          </w:tcPr>
          <w:p w14:paraId="3C274900" w14:textId="77777777" w:rsidR="00EE237A" w:rsidRPr="008E7E8B" w:rsidRDefault="00EE237A" w:rsidP="00770FFD">
            <w:pPr>
              <w:spacing w:after="0" w:line="240" w:lineRule="auto"/>
              <w:jc w:val="center"/>
              <w:rPr>
                <w:rFonts w:ascii="Calibri" w:eastAsia="Times New Roman" w:hAnsi="Calibri" w:cs="Calibri"/>
                <w:b/>
                <w:bCs/>
                <w:color w:val="0000FF"/>
                <w:sz w:val="28"/>
                <w:szCs w:val="28"/>
                <w:lang w:eastAsia="fr-FR"/>
              </w:rPr>
            </w:pPr>
            <w:r w:rsidRPr="008E7E8B">
              <w:rPr>
                <w:rFonts w:ascii="Calibri" w:eastAsia="Times New Roman" w:hAnsi="Calibri" w:cs="Calibri"/>
                <w:b/>
                <w:bCs/>
                <w:color w:val="0000FF"/>
                <w:sz w:val="28"/>
                <w:szCs w:val="28"/>
                <w:lang w:eastAsia="fr-FR"/>
              </w:rPr>
              <w:t>1</w:t>
            </w:r>
          </w:p>
        </w:tc>
        <w:tc>
          <w:tcPr>
            <w:tcW w:w="9357" w:type="dxa"/>
            <w:gridSpan w:val="2"/>
            <w:tcBorders>
              <w:top w:val="nil"/>
              <w:left w:val="nil"/>
              <w:bottom w:val="single" w:sz="4" w:space="0" w:color="auto"/>
              <w:right w:val="nil"/>
            </w:tcBorders>
            <w:shd w:val="clear" w:color="000000" w:fill="DDEBF7"/>
            <w:vAlign w:val="bottom"/>
            <w:hideMark/>
          </w:tcPr>
          <w:p w14:paraId="4A285938" w14:textId="77777777" w:rsidR="00EE237A" w:rsidRPr="008E7E8B" w:rsidRDefault="00EE237A" w:rsidP="00770FFD">
            <w:pPr>
              <w:spacing w:after="0" w:line="240" w:lineRule="auto"/>
              <w:rPr>
                <w:rFonts w:ascii="Calibri" w:eastAsia="Times New Roman" w:hAnsi="Calibri" w:cs="Calibri"/>
                <w:b/>
                <w:bCs/>
                <w:i/>
                <w:iCs/>
                <w:color w:val="0000FF"/>
                <w:sz w:val="28"/>
                <w:szCs w:val="28"/>
                <w:lang w:eastAsia="fr-FR"/>
              </w:rPr>
            </w:pPr>
            <w:r w:rsidRPr="008E7E8B">
              <w:rPr>
                <w:rFonts w:ascii="Calibri" w:eastAsia="Times New Roman" w:hAnsi="Calibri" w:cs="Calibri"/>
                <w:b/>
                <w:bCs/>
                <w:i/>
                <w:iCs/>
                <w:color w:val="0000FF"/>
                <w:sz w:val="28"/>
                <w:szCs w:val="28"/>
                <w:lang w:eastAsia="fr-FR"/>
              </w:rPr>
              <w:t>Risque de liquidité résultant des services et activités d’investissement et des services auxiliaires (Article 2)</w:t>
            </w:r>
          </w:p>
        </w:tc>
      </w:tr>
      <w:tr w:rsidR="00EE237A" w:rsidRPr="008E7E8B" w14:paraId="66B3248C" w14:textId="77777777" w:rsidTr="00BE34D2">
        <w:trPr>
          <w:trHeight w:val="348"/>
        </w:trPr>
        <w:tc>
          <w:tcPr>
            <w:tcW w:w="282" w:type="dxa"/>
            <w:tcBorders>
              <w:top w:val="nil"/>
              <w:left w:val="single" w:sz="4" w:space="0" w:color="auto"/>
              <w:bottom w:val="nil"/>
              <w:right w:val="nil"/>
            </w:tcBorders>
            <w:shd w:val="clear" w:color="auto" w:fill="auto"/>
            <w:noWrap/>
            <w:vAlign w:val="center"/>
            <w:hideMark/>
          </w:tcPr>
          <w:p w14:paraId="0453B8E3"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9357" w:type="dxa"/>
            <w:gridSpan w:val="2"/>
            <w:tcBorders>
              <w:top w:val="single" w:sz="4" w:space="0" w:color="auto"/>
              <w:left w:val="single" w:sz="4" w:space="0" w:color="5B9BD5"/>
              <w:bottom w:val="single" w:sz="4" w:space="0" w:color="5B9BD5"/>
              <w:right w:val="single" w:sz="4" w:space="0" w:color="5B9BD5"/>
            </w:tcBorders>
            <w:shd w:val="clear" w:color="auto" w:fill="auto"/>
            <w:vAlign w:val="center"/>
            <w:hideMark/>
          </w:tcPr>
          <w:p w14:paraId="1AE88E98" w14:textId="77777777" w:rsidR="00EE237A" w:rsidRPr="008E7E8B" w:rsidRDefault="00EE237A" w:rsidP="00770FFD">
            <w:pPr>
              <w:spacing w:after="0" w:line="240" w:lineRule="auto"/>
              <w:rPr>
                <w:rFonts w:ascii="Calibri" w:eastAsia="Times New Roman" w:hAnsi="Calibri" w:cs="Calibri"/>
                <w:b/>
                <w:bCs/>
                <w:color w:val="000000"/>
                <w:sz w:val="26"/>
                <w:szCs w:val="26"/>
                <w:lang w:eastAsia="fr-FR"/>
              </w:rPr>
            </w:pPr>
            <w:r w:rsidRPr="008E7E8B">
              <w:rPr>
                <w:rFonts w:ascii="Calibri" w:eastAsia="Times New Roman" w:hAnsi="Calibri" w:cs="Calibri"/>
                <w:b/>
                <w:bCs/>
                <w:color w:val="C00000"/>
                <w:sz w:val="26"/>
                <w:szCs w:val="26"/>
                <w:lang w:eastAsia="fr-FR"/>
              </w:rPr>
              <w:t>Entreprises d'investissement de classes 2 et 3</w:t>
            </w:r>
            <w:r w:rsidRPr="008E7E8B">
              <w:rPr>
                <w:rFonts w:ascii="Calibri" w:eastAsia="Times New Roman" w:hAnsi="Calibri" w:cs="Calibri"/>
                <w:b/>
                <w:bCs/>
                <w:color w:val="000000"/>
                <w:sz w:val="26"/>
                <w:szCs w:val="26"/>
                <w:lang w:eastAsia="fr-FR"/>
              </w:rPr>
              <w:br/>
              <w:t>Activités : Annexe I, section A, points 1 ou 2 ou Conseil en investissement de nature continue</w:t>
            </w:r>
          </w:p>
        </w:tc>
      </w:tr>
      <w:tr w:rsidR="00EE237A" w:rsidRPr="008E7E8B" w14:paraId="7FFB8A43" w14:textId="77777777" w:rsidTr="00BE34D2">
        <w:trPr>
          <w:trHeight w:val="911"/>
        </w:trPr>
        <w:tc>
          <w:tcPr>
            <w:tcW w:w="282" w:type="dxa"/>
            <w:tcBorders>
              <w:top w:val="nil"/>
              <w:left w:val="single" w:sz="4" w:space="0" w:color="auto"/>
              <w:bottom w:val="nil"/>
              <w:right w:val="nil"/>
            </w:tcBorders>
            <w:shd w:val="clear" w:color="auto" w:fill="auto"/>
            <w:noWrap/>
            <w:vAlign w:val="center"/>
            <w:hideMark/>
          </w:tcPr>
          <w:p w14:paraId="018E0C12"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4171AFA8"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a</w:t>
            </w:r>
          </w:p>
        </w:tc>
        <w:tc>
          <w:tcPr>
            <w:tcW w:w="8989" w:type="dxa"/>
            <w:tcBorders>
              <w:top w:val="nil"/>
              <w:left w:val="nil"/>
              <w:bottom w:val="single" w:sz="4" w:space="0" w:color="5B9BD5"/>
              <w:right w:val="single" w:sz="4" w:space="0" w:color="5B9BD5"/>
            </w:tcBorders>
            <w:shd w:val="clear" w:color="auto" w:fill="auto"/>
            <w:vAlign w:val="center"/>
            <w:hideMark/>
          </w:tcPr>
          <w:p w14:paraId="416CA4D0" w14:textId="77777777" w:rsidR="00EE237A" w:rsidRPr="008E7E8B" w:rsidRDefault="00EE237A" w:rsidP="00770FFD">
            <w:pPr>
              <w:spacing w:after="0" w:line="240" w:lineRule="auto"/>
              <w:jc w:val="both"/>
              <w:rPr>
                <w:rFonts w:ascii="Calibri" w:eastAsia="Times New Roman" w:hAnsi="Calibri" w:cs="Calibri"/>
                <w:color w:val="000000"/>
                <w:lang w:eastAsia="fr-FR"/>
              </w:rPr>
            </w:pPr>
            <w:r w:rsidRPr="008E7E8B">
              <w:rPr>
                <w:rFonts w:ascii="Calibri" w:eastAsia="Times New Roman" w:hAnsi="Calibri" w:cs="Calibri"/>
                <w:color w:val="000000"/>
                <w:lang w:eastAsia="fr-FR"/>
              </w:rPr>
              <w:t>Les spécificités des services fournis aux clients, notamment l'asymétrie de temps entre les frais reçus par les clients et les frais payés aux plates-formes de négociation pour la transmission ou l'exécution d'ordres pour le compte de clients;</w:t>
            </w:r>
          </w:p>
        </w:tc>
      </w:tr>
      <w:tr w:rsidR="00EE237A" w:rsidRPr="008E7E8B" w14:paraId="24EDEC20" w14:textId="77777777" w:rsidTr="00BE34D2">
        <w:trPr>
          <w:trHeight w:val="864"/>
        </w:trPr>
        <w:tc>
          <w:tcPr>
            <w:tcW w:w="282" w:type="dxa"/>
            <w:tcBorders>
              <w:top w:val="nil"/>
              <w:left w:val="single" w:sz="4" w:space="0" w:color="auto"/>
              <w:bottom w:val="nil"/>
              <w:right w:val="nil"/>
            </w:tcBorders>
            <w:shd w:val="clear" w:color="auto" w:fill="auto"/>
            <w:noWrap/>
            <w:vAlign w:val="center"/>
            <w:hideMark/>
          </w:tcPr>
          <w:p w14:paraId="6FF43036"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lastRenderedPageBreak/>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05EA7BD6"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b</w:t>
            </w:r>
          </w:p>
        </w:tc>
        <w:tc>
          <w:tcPr>
            <w:tcW w:w="8989" w:type="dxa"/>
            <w:tcBorders>
              <w:top w:val="nil"/>
              <w:left w:val="nil"/>
              <w:bottom w:val="single" w:sz="4" w:space="0" w:color="5B9BD5"/>
              <w:right w:val="single" w:sz="4" w:space="0" w:color="5B9BD5"/>
            </w:tcBorders>
            <w:shd w:val="clear" w:color="auto" w:fill="auto"/>
            <w:vAlign w:val="center"/>
            <w:hideMark/>
          </w:tcPr>
          <w:p w14:paraId="0F9D69BB" w14:textId="77777777" w:rsidR="00EE237A" w:rsidRPr="008E7E8B" w:rsidRDefault="00EE237A" w:rsidP="00770FFD">
            <w:pPr>
              <w:spacing w:after="0" w:line="240" w:lineRule="auto"/>
              <w:jc w:val="both"/>
              <w:rPr>
                <w:rFonts w:ascii="Calibri" w:eastAsia="Times New Roman" w:hAnsi="Calibri" w:cs="Calibri"/>
                <w:color w:val="000000"/>
                <w:lang w:eastAsia="fr-FR"/>
              </w:rPr>
            </w:pPr>
            <w:r w:rsidRPr="008E7E8B">
              <w:rPr>
                <w:rFonts w:ascii="Calibri" w:eastAsia="Times New Roman" w:hAnsi="Calibri" w:cs="Calibri"/>
                <w:color w:val="000000"/>
                <w:lang w:eastAsia="fr-FR"/>
              </w:rPr>
              <w:t>Les sorties de liquidité dues à une augmentation des frais d'accès aux plates-formes de négociation ou à des dispositifs moins favorables, tels qu'une réduction du nombre de jours de dettes à payer par l'entreprise d'investissement;</w:t>
            </w:r>
          </w:p>
        </w:tc>
      </w:tr>
      <w:tr w:rsidR="00EE237A" w:rsidRPr="008E7E8B" w14:paraId="119D15F3" w14:textId="77777777" w:rsidTr="00BE34D2">
        <w:trPr>
          <w:trHeight w:val="288"/>
        </w:trPr>
        <w:tc>
          <w:tcPr>
            <w:tcW w:w="282" w:type="dxa"/>
            <w:tcBorders>
              <w:top w:val="nil"/>
              <w:left w:val="single" w:sz="4" w:space="0" w:color="auto"/>
              <w:bottom w:val="nil"/>
              <w:right w:val="nil"/>
            </w:tcBorders>
            <w:shd w:val="clear" w:color="auto" w:fill="auto"/>
            <w:noWrap/>
            <w:vAlign w:val="center"/>
            <w:hideMark/>
          </w:tcPr>
          <w:p w14:paraId="56883C26"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4378644F"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c</w:t>
            </w:r>
          </w:p>
        </w:tc>
        <w:tc>
          <w:tcPr>
            <w:tcW w:w="8989" w:type="dxa"/>
            <w:tcBorders>
              <w:top w:val="nil"/>
              <w:left w:val="nil"/>
              <w:bottom w:val="single" w:sz="4" w:space="0" w:color="5B9BD5"/>
              <w:right w:val="single" w:sz="4" w:space="0" w:color="5B9BD5"/>
            </w:tcBorders>
            <w:shd w:val="clear" w:color="auto" w:fill="auto"/>
            <w:vAlign w:val="center"/>
            <w:hideMark/>
          </w:tcPr>
          <w:p w14:paraId="7CACF0C1" w14:textId="77777777" w:rsidR="00EE237A" w:rsidRPr="008E7E8B" w:rsidRDefault="00EE237A" w:rsidP="00770FFD">
            <w:pPr>
              <w:spacing w:after="0" w:line="240" w:lineRule="auto"/>
              <w:jc w:val="both"/>
              <w:rPr>
                <w:rFonts w:ascii="Calibri" w:eastAsia="Times New Roman" w:hAnsi="Calibri" w:cs="Calibri"/>
                <w:color w:val="000000"/>
                <w:lang w:eastAsia="fr-FR"/>
              </w:rPr>
            </w:pPr>
            <w:r w:rsidRPr="008E7E8B">
              <w:rPr>
                <w:rFonts w:ascii="Calibri" w:eastAsia="Times New Roman" w:hAnsi="Calibri" w:cs="Calibri"/>
                <w:color w:val="000000"/>
                <w:lang w:eastAsia="fr-FR"/>
              </w:rPr>
              <w:t>Retards dans le paiement des frais dus par les clients.</w:t>
            </w:r>
          </w:p>
        </w:tc>
      </w:tr>
      <w:tr w:rsidR="00EE237A" w:rsidRPr="008E7E8B" w14:paraId="535743BA" w14:textId="77777777" w:rsidTr="00BE34D2">
        <w:trPr>
          <w:trHeight w:val="348"/>
        </w:trPr>
        <w:tc>
          <w:tcPr>
            <w:tcW w:w="282" w:type="dxa"/>
            <w:tcBorders>
              <w:top w:val="nil"/>
              <w:left w:val="single" w:sz="4" w:space="0" w:color="auto"/>
              <w:bottom w:val="nil"/>
              <w:right w:val="nil"/>
            </w:tcBorders>
            <w:shd w:val="clear" w:color="auto" w:fill="auto"/>
            <w:noWrap/>
            <w:vAlign w:val="center"/>
            <w:hideMark/>
          </w:tcPr>
          <w:p w14:paraId="525FCC3D"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9357" w:type="dxa"/>
            <w:gridSpan w:val="2"/>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402B2C82" w14:textId="77777777" w:rsidR="00EE237A" w:rsidRPr="008E7E8B" w:rsidRDefault="00EE237A" w:rsidP="00770FFD">
            <w:pPr>
              <w:spacing w:after="0" w:line="240" w:lineRule="auto"/>
              <w:rPr>
                <w:rFonts w:ascii="Calibri" w:eastAsia="Times New Roman" w:hAnsi="Calibri" w:cs="Calibri"/>
                <w:b/>
                <w:bCs/>
                <w:color w:val="000000"/>
                <w:sz w:val="26"/>
                <w:szCs w:val="26"/>
                <w:lang w:eastAsia="fr-FR"/>
              </w:rPr>
            </w:pPr>
            <w:r w:rsidRPr="008E7E8B">
              <w:rPr>
                <w:rFonts w:ascii="Calibri" w:eastAsia="Times New Roman" w:hAnsi="Calibri" w:cs="Calibri"/>
                <w:b/>
                <w:bCs/>
                <w:color w:val="C00000"/>
                <w:sz w:val="26"/>
                <w:szCs w:val="26"/>
                <w:lang w:eastAsia="fr-FR"/>
              </w:rPr>
              <w:t>Entreprises d'investissement de classes 2 et 3</w:t>
            </w:r>
            <w:r w:rsidRPr="008E7E8B">
              <w:rPr>
                <w:rFonts w:ascii="Calibri" w:eastAsia="Times New Roman" w:hAnsi="Calibri" w:cs="Calibri"/>
                <w:b/>
                <w:bCs/>
                <w:color w:val="000000"/>
                <w:sz w:val="26"/>
                <w:szCs w:val="26"/>
                <w:lang w:eastAsia="fr-FR"/>
              </w:rPr>
              <w:br/>
              <w:t>Activités : Annexe I, section A, points 3 ou 6 ou Conseil en investissement de nature continue</w:t>
            </w:r>
          </w:p>
        </w:tc>
      </w:tr>
      <w:tr w:rsidR="00EE237A" w:rsidRPr="008E7E8B" w14:paraId="730594E5" w14:textId="77777777" w:rsidTr="00BE34D2">
        <w:trPr>
          <w:trHeight w:val="576"/>
        </w:trPr>
        <w:tc>
          <w:tcPr>
            <w:tcW w:w="282" w:type="dxa"/>
            <w:tcBorders>
              <w:top w:val="nil"/>
              <w:left w:val="single" w:sz="4" w:space="0" w:color="auto"/>
              <w:bottom w:val="nil"/>
              <w:right w:val="nil"/>
            </w:tcBorders>
            <w:shd w:val="clear" w:color="auto" w:fill="auto"/>
            <w:noWrap/>
            <w:vAlign w:val="center"/>
            <w:hideMark/>
          </w:tcPr>
          <w:p w14:paraId="55CE21DE"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5FF61FAF"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a</w:t>
            </w:r>
          </w:p>
        </w:tc>
        <w:tc>
          <w:tcPr>
            <w:tcW w:w="8989" w:type="dxa"/>
            <w:tcBorders>
              <w:top w:val="nil"/>
              <w:left w:val="nil"/>
              <w:bottom w:val="single" w:sz="4" w:space="0" w:color="5B9BD5"/>
              <w:right w:val="single" w:sz="4" w:space="0" w:color="5B9BD5"/>
            </w:tcBorders>
            <w:shd w:val="clear" w:color="auto" w:fill="auto"/>
            <w:vAlign w:val="center"/>
            <w:hideMark/>
          </w:tcPr>
          <w:p w14:paraId="002A54D8" w14:textId="77777777" w:rsidR="00EE237A" w:rsidRPr="008E7E8B" w:rsidRDefault="00EE237A" w:rsidP="00770FFD">
            <w:pPr>
              <w:spacing w:after="0" w:line="240" w:lineRule="auto"/>
              <w:jc w:val="both"/>
              <w:rPr>
                <w:rFonts w:ascii="Calibri" w:eastAsia="Times New Roman" w:hAnsi="Calibri" w:cs="Calibri"/>
                <w:color w:val="000000"/>
                <w:lang w:eastAsia="fr-FR"/>
              </w:rPr>
            </w:pPr>
            <w:r w:rsidRPr="008E7E8B">
              <w:rPr>
                <w:rFonts w:ascii="Calibri" w:eastAsia="Times New Roman" w:hAnsi="Calibri" w:cs="Calibri"/>
                <w:color w:val="000000"/>
                <w:lang w:eastAsia="fr-FR"/>
              </w:rPr>
              <w:t>Évaluation du risque de liquidité intra journalière afférent à leurs positions du portefeuille de négociation;</w:t>
            </w:r>
          </w:p>
        </w:tc>
      </w:tr>
      <w:tr w:rsidR="00EE237A" w:rsidRPr="008E7E8B" w14:paraId="067BBB1D" w14:textId="77777777" w:rsidTr="00BE34D2">
        <w:trPr>
          <w:trHeight w:val="1091"/>
        </w:trPr>
        <w:tc>
          <w:tcPr>
            <w:tcW w:w="282" w:type="dxa"/>
            <w:tcBorders>
              <w:top w:val="nil"/>
              <w:left w:val="single" w:sz="4" w:space="0" w:color="auto"/>
              <w:bottom w:val="nil"/>
              <w:right w:val="nil"/>
            </w:tcBorders>
            <w:shd w:val="clear" w:color="auto" w:fill="auto"/>
            <w:noWrap/>
            <w:vAlign w:val="center"/>
            <w:hideMark/>
          </w:tcPr>
          <w:p w14:paraId="382DF866"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569F35CC"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b</w:t>
            </w:r>
          </w:p>
        </w:tc>
        <w:tc>
          <w:tcPr>
            <w:tcW w:w="8989" w:type="dxa"/>
            <w:tcBorders>
              <w:top w:val="nil"/>
              <w:left w:val="nil"/>
              <w:bottom w:val="single" w:sz="4" w:space="0" w:color="5B9BD5"/>
              <w:right w:val="single" w:sz="4" w:space="0" w:color="5B9BD5"/>
            </w:tcBorders>
            <w:shd w:val="clear" w:color="auto" w:fill="auto"/>
            <w:vAlign w:val="center"/>
            <w:hideMark/>
          </w:tcPr>
          <w:p w14:paraId="34DFBDA9" w14:textId="77777777" w:rsidR="00EE237A" w:rsidRPr="008E7E8B" w:rsidRDefault="00EE237A" w:rsidP="00770FFD">
            <w:pPr>
              <w:spacing w:after="0" w:line="240" w:lineRule="auto"/>
              <w:jc w:val="both"/>
              <w:rPr>
                <w:rFonts w:ascii="Calibri" w:eastAsia="Times New Roman" w:hAnsi="Calibri" w:cs="Calibri"/>
                <w:color w:val="000000"/>
                <w:lang w:eastAsia="fr-FR"/>
              </w:rPr>
            </w:pPr>
            <w:r w:rsidRPr="008E7E8B">
              <w:rPr>
                <w:rFonts w:ascii="Calibri" w:eastAsia="Times New Roman" w:hAnsi="Calibri" w:cs="Calibri"/>
                <w:color w:val="000000"/>
                <w:lang w:eastAsia="fr-FR"/>
              </w:rPr>
              <w:t>Le risque de liquidité résultant d'une variation du prix de l'instrument concerné due à des facteurs liés à son émetteur ou à l'émetteur de l'instrument sous-jacent et d'une variation du prix d'un instrument liée à une variation du niveau des taux d'intérêt ou à un mouvement général du marché des actions non lié à des attributs spécifiques des différents titres;</w:t>
            </w:r>
          </w:p>
        </w:tc>
      </w:tr>
      <w:tr w:rsidR="00EE237A" w:rsidRPr="008E7E8B" w14:paraId="64AFCE41" w14:textId="77777777" w:rsidTr="00BE34D2">
        <w:trPr>
          <w:trHeight w:val="864"/>
        </w:trPr>
        <w:tc>
          <w:tcPr>
            <w:tcW w:w="282" w:type="dxa"/>
            <w:tcBorders>
              <w:top w:val="nil"/>
              <w:left w:val="single" w:sz="4" w:space="0" w:color="auto"/>
              <w:bottom w:val="nil"/>
              <w:right w:val="nil"/>
            </w:tcBorders>
            <w:shd w:val="clear" w:color="auto" w:fill="auto"/>
            <w:noWrap/>
            <w:vAlign w:val="center"/>
            <w:hideMark/>
          </w:tcPr>
          <w:p w14:paraId="53C5FC49"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6D6C5190"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c</w:t>
            </w:r>
          </w:p>
        </w:tc>
        <w:tc>
          <w:tcPr>
            <w:tcW w:w="8989" w:type="dxa"/>
            <w:tcBorders>
              <w:top w:val="nil"/>
              <w:left w:val="nil"/>
              <w:bottom w:val="single" w:sz="4" w:space="0" w:color="5B9BD5"/>
              <w:right w:val="single" w:sz="4" w:space="0" w:color="5B9BD5"/>
            </w:tcBorders>
            <w:shd w:val="clear" w:color="auto" w:fill="auto"/>
            <w:vAlign w:val="center"/>
            <w:hideMark/>
          </w:tcPr>
          <w:p w14:paraId="6F81E15E" w14:textId="77777777" w:rsidR="00EE237A" w:rsidRPr="008E7E8B" w:rsidRDefault="00EE237A" w:rsidP="00770FFD">
            <w:pPr>
              <w:spacing w:after="0" w:line="240" w:lineRule="auto"/>
              <w:jc w:val="both"/>
              <w:rPr>
                <w:rFonts w:ascii="Calibri" w:eastAsia="Times New Roman" w:hAnsi="Calibri" w:cs="Calibri"/>
                <w:color w:val="000000"/>
                <w:lang w:eastAsia="fr-FR"/>
              </w:rPr>
            </w:pPr>
            <w:r w:rsidRPr="008E7E8B">
              <w:rPr>
                <w:rFonts w:ascii="Calibri" w:eastAsia="Times New Roman" w:hAnsi="Calibri" w:cs="Calibri"/>
                <w:color w:val="000000"/>
                <w:lang w:eastAsia="fr-FR"/>
              </w:rPr>
              <w:t>Les caractéristiques spécifiques des activités de négociation, notamment le profil des échéances des transactions, la survenance éventuelle de transactions à long terme et les monnaies des transactions;</w:t>
            </w:r>
          </w:p>
        </w:tc>
      </w:tr>
      <w:tr w:rsidR="00EE237A" w:rsidRPr="008E7E8B" w14:paraId="5ABC2C49" w14:textId="77777777" w:rsidTr="00BE34D2">
        <w:trPr>
          <w:trHeight w:val="963"/>
        </w:trPr>
        <w:tc>
          <w:tcPr>
            <w:tcW w:w="282" w:type="dxa"/>
            <w:tcBorders>
              <w:top w:val="nil"/>
              <w:left w:val="single" w:sz="4" w:space="0" w:color="auto"/>
              <w:bottom w:val="nil"/>
              <w:right w:val="nil"/>
            </w:tcBorders>
            <w:shd w:val="clear" w:color="auto" w:fill="auto"/>
            <w:noWrap/>
            <w:vAlign w:val="center"/>
            <w:hideMark/>
          </w:tcPr>
          <w:p w14:paraId="47887E3C"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5A5FAFD8"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d</w:t>
            </w:r>
          </w:p>
        </w:tc>
        <w:tc>
          <w:tcPr>
            <w:tcW w:w="8989" w:type="dxa"/>
            <w:tcBorders>
              <w:top w:val="nil"/>
              <w:left w:val="nil"/>
              <w:bottom w:val="single" w:sz="4" w:space="0" w:color="5B9BD5"/>
              <w:right w:val="single" w:sz="4" w:space="0" w:color="5B9BD5"/>
            </w:tcBorders>
            <w:shd w:val="clear" w:color="auto" w:fill="auto"/>
            <w:vAlign w:val="center"/>
            <w:hideMark/>
          </w:tcPr>
          <w:p w14:paraId="23E9C876" w14:textId="77777777" w:rsidR="00EE237A" w:rsidRPr="008E7E8B" w:rsidRDefault="00EE237A" w:rsidP="00770FFD">
            <w:pPr>
              <w:spacing w:after="0" w:line="240" w:lineRule="auto"/>
              <w:jc w:val="both"/>
              <w:rPr>
                <w:rFonts w:ascii="Calibri" w:eastAsia="Times New Roman" w:hAnsi="Calibri" w:cs="Calibri"/>
                <w:color w:val="000000"/>
                <w:lang w:eastAsia="fr-FR"/>
              </w:rPr>
            </w:pPr>
            <w:r w:rsidRPr="008E7E8B">
              <w:rPr>
                <w:rFonts w:ascii="Calibri" w:eastAsia="Times New Roman" w:hAnsi="Calibri" w:cs="Calibri"/>
                <w:color w:val="000000"/>
                <w:lang w:eastAsia="fr-FR"/>
              </w:rPr>
              <w:t>Le niveau des charges grevant les actifs, les caractéristiques des sûretés à fournir, en particulier leur échéance et leur monnaie, et le fait que les actifs fournis en garantie puissent être réutilisés ou ré hypothéqués par les contreparties de l’entreprise d’investissement;</w:t>
            </w:r>
          </w:p>
        </w:tc>
      </w:tr>
      <w:tr w:rsidR="00EE237A" w:rsidRPr="008E7E8B" w14:paraId="4DA50283" w14:textId="77777777" w:rsidTr="00BE34D2">
        <w:trPr>
          <w:trHeight w:val="707"/>
        </w:trPr>
        <w:tc>
          <w:tcPr>
            <w:tcW w:w="282" w:type="dxa"/>
            <w:tcBorders>
              <w:top w:val="nil"/>
              <w:left w:val="single" w:sz="4" w:space="0" w:color="auto"/>
              <w:bottom w:val="nil"/>
              <w:right w:val="nil"/>
            </w:tcBorders>
            <w:shd w:val="clear" w:color="auto" w:fill="auto"/>
            <w:noWrap/>
            <w:vAlign w:val="center"/>
            <w:hideMark/>
          </w:tcPr>
          <w:p w14:paraId="7FFBC90D"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795D046F"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e</w:t>
            </w:r>
          </w:p>
        </w:tc>
        <w:tc>
          <w:tcPr>
            <w:tcW w:w="8989" w:type="dxa"/>
            <w:tcBorders>
              <w:top w:val="nil"/>
              <w:left w:val="nil"/>
              <w:bottom w:val="single" w:sz="4" w:space="0" w:color="5B9BD5"/>
              <w:right w:val="single" w:sz="4" w:space="0" w:color="5B9BD5"/>
            </w:tcBorders>
            <w:shd w:val="clear" w:color="auto" w:fill="auto"/>
            <w:vAlign w:val="center"/>
            <w:hideMark/>
          </w:tcPr>
          <w:p w14:paraId="00801B53" w14:textId="77777777" w:rsidR="00EE237A" w:rsidRPr="008E7E8B" w:rsidRDefault="00EE237A" w:rsidP="00770FFD">
            <w:pPr>
              <w:spacing w:after="0" w:line="240" w:lineRule="auto"/>
              <w:jc w:val="both"/>
              <w:rPr>
                <w:rFonts w:ascii="Calibri" w:eastAsia="Times New Roman" w:hAnsi="Calibri" w:cs="Calibri"/>
                <w:color w:val="000000"/>
                <w:lang w:eastAsia="fr-FR"/>
              </w:rPr>
            </w:pPr>
            <w:r w:rsidRPr="008E7E8B">
              <w:rPr>
                <w:rFonts w:ascii="Calibri" w:eastAsia="Times New Roman" w:hAnsi="Calibri" w:cs="Calibri"/>
                <w:color w:val="000000"/>
                <w:lang w:eastAsia="fr-FR"/>
              </w:rPr>
              <w:t>Le niveau de marge intra journalière que les entreprises d'investissement peuvent être tenues de verser dans des circonstances normales et en situation de tensions;</w:t>
            </w:r>
          </w:p>
        </w:tc>
      </w:tr>
      <w:tr w:rsidR="00EE237A" w:rsidRPr="008E7E8B" w14:paraId="0384CEA4" w14:textId="77777777" w:rsidTr="00BE34D2">
        <w:trPr>
          <w:trHeight w:val="1152"/>
        </w:trPr>
        <w:tc>
          <w:tcPr>
            <w:tcW w:w="282" w:type="dxa"/>
            <w:tcBorders>
              <w:top w:val="nil"/>
              <w:left w:val="single" w:sz="4" w:space="0" w:color="auto"/>
              <w:bottom w:val="nil"/>
              <w:right w:val="nil"/>
            </w:tcBorders>
            <w:shd w:val="clear" w:color="auto" w:fill="auto"/>
            <w:noWrap/>
            <w:vAlign w:val="center"/>
            <w:hideMark/>
          </w:tcPr>
          <w:p w14:paraId="4E5E40BE"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10E6A692"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f</w:t>
            </w:r>
          </w:p>
        </w:tc>
        <w:tc>
          <w:tcPr>
            <w:tcW w:w="8989" w:type="dxa"/>
            <w:tcBorders>
              <w:top w:val="nil"/>
              <w:left w:val="nil"/>
              <w:bottom w:val="single" w:sz="4" w:space="0" w:color="5B9BD5"/>
              <w:right w:val="single" w:sz="4" w:space="0" w:color="5B9BD5"/>
            </w:tcBorders>
            <w:shd w:val="clear" w:color="auto" w:fill="auto"/>
            <w:vAlign w:val="center"/>
            <w:hideMark/>
          </w:tcPr>
          <w:p w14:paraId="7B90F7F1" w14:textId="77777777" w:rsidR="00EE237A" w:rsidRPr="008E7E8B" w:rsidRDefault="00EE237A" w:rsidP="00770FFD">
            <w:pPr>
              <w:spacing w:after="0" w:line="240" w:lineRule="auto"/>
              <w:jc w:val="both"/>
              <w:rPr>
                <w:rFonts w:ascii="Calibri" w:eastAsia="Times New Roman" w:hAnsi="Calibri" w:cs="Calibri"/>
                <w:color w:val="000000"/>
                <w:lang w:eastAsia="fr-FR"/>
              </w:rPr>
            </w:pPr>
            <w:r w:rsidRPr="008E7E8B">
              <w:rPr>
                <w:rFonts w:ascii="Calibri" w:eastAsia="Times New Roman" w:hAnsi="Calibri" w:cs="Calibri"/>
                <w:color w:val="000000"/>
                <w:lang w:eastAsia="fr-FR"/>
              </w:rPr>
              <w:t>La disponibilité d'actifs liquides ou d'autres ressources de liquidité suffisants pour maintenir les activités de négociation en cas d'échec du règlement ou d'interruption des services de conservateurs ou de correspondants de trésorerie; et</w:t>
            </w:r>
          </w:p>
        </w:tc>
      </w:tr>
      <w:tr w:rsidR="00EE237A" w:rsidRPr="008E7E8B" w14:paraId="04CD5875" w14:textId="77777777" w:rsidTr="00BE34D2">
        <w:trPr>
          <w:trHeight w:val="694"/>
        </w:trPr>
        <w:tc>
          <w:tcPr>
            <w:tcW w:w="282" w:type="dxa"/>
            <w:tcBorders>
              <w:top w:val="nil"/>
              <w:left w:val="single" w:sz="4" w:space="0" w:color="auto"/>
              <w:bottom w:val="nil"/>
              <w:right w:val="nil"/>
            </w:tcBorders>
            <w:shd w:val="clear" w:color="auto" w:fill="auto"/>
            <w:noWrap/>
            <w:vAlign w:val="center"/>
            <w:hideMark/>
          </w:tcPr>
          <w:p w14:paraId="18F8273F"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0306622C"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g</w:t>
            </w:r>
          </w:p>
        </w:tc>
        <w:tc>
          <w:tcPr>
            <w:tcW w:w="8989" w:type="dxa"/>
            <w:tcBorders>
              <w:top w:val="nil"/>
              <w:left w:val="nil"/>
              <w:bottom w:val="single" w:sz="4" w:space="0" w:color="5B9BD5"/>
              <w:right w:val="single" w:sz="4" w:space="0" w:color="5B9BD5"/>
            </w:tcBorders>
            <w:shd w:val="clear" w:color="auto" w:fill="auto"/>
            <w:vAlign w:val="center"/>
            <w:hideMark/>
          </w:tcPr>
          <w:p w14:paraId="26F0F400" w14:textId="77777777" w:rsidR="00EE237A" w:rsidRPr="008E7E8B" w:rsidRDefault="00EE237A" w:rsidP="00770FFD">
            <w:pPr>
              <w:spacing w:after="0" w:line="240" w:lineRule="auto"/>
              <w:jc w:val="both"/>
              <w:rPr>
                <w:rFonts w:ascii="Calibri" w:eastAsia="Times New Roman" w:hAnsi="Calibri" w:cs="Calibri"/>
                <w:color w:val="000000"/>
                <w:lang w:eastAsia="fr-FR"/>
              </w:rPr>
            </w:pPr>
            <w:r w:rsidRPr="008E7E8B">
              <w:rPr>
                <w:rFonts w:ascii="Calibri" w:eastAsia="Times New Roman" w:hAnsi="Calibri" w:cs="Calibri"/>
                <w:color w:val="000000"/>
                <w:lang w:eastAsia="fr-FR"/>
              </w:rPr>
              <w:t>Le défaut de règlement d'une transaction à la date de règlement convenue soit parce que le vendeur ne livre pas les titres, soit parce que l'acheteur ne livre pas les fonds au moment approprié;</w:t>
            </w:r>
          </w:p>
        </w:tc>
      </w:tr>
      <w:tr w:rsidR="00EE237A" w:rsidRPr="008E7E8B" w14:paraId="1566500E" w14:textId="77777777" w:rsidTr="00BE34D2">
        <w:trPr>
          <w:trHeight w:val="348"/>
        </w:trPr>
        <w:tc>
          <w:tcPr>
            <w:tcW w:w="282" w:type="dxa"/>
            <w:tcBorders>
              <w:top w:val="nil"/>
              <w:left w:val="single" w:sz="4" w:space="0" w:color="auto"/>
              <w:bottom w:val="nil"/>
              <w:right w:val="nil"/>
            </w:tcBorders>
            <w:shd w:val="clear" w:color="auto" w:fill="auto"/>
            <w:noWrap/>
            <w:vAlign w:val="center"/>
            <w:hideMark/>
          </w:tcPr>
          <w:p w14:paraId="54C72A50"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9357" w:type="dxa"/>
            <w:gridSpan w:val="2"/>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77AF2689" w14:textId="77777777" w:rsidR="00EE237A" w:rsidRPr="008E7E8B" w:rsidRDefault="00EE237A" w:rsidP="00770FFD">
            <w:pPr>
              <w:spacing w:after="0" w:line="240" w:lineRule="auto"/>
              <w:rPr>
                <w:rFonts w:ascii="Calibri" w:eastAsia="Times New Roman" w:hAnsi="Calibri" w:cs="Calibri"/>
                <w:b/>
                <w:bCs/>
                <w:color w:val="000000"/>
                <w:sz w:val="26"/>
                <w:szCs w:val="26"/>
                <w:lang w:eastAsia="fr-FR"/>
              </w:rPr>
            </w:pPr>
            <w:r w:rsidRPr="008E7E8B">
              <w:rPr>
                <w:rFonts w:ascii="Calibri" w:eastAsia="Times New Roman" w:hAnsi="Calibri" w:cs="Calibri"/>
                <w:b/>
                <w:bCs/>
                <w:color w:val="C00000"/>
                <w:sz w:val="26"/>
                <w:szCs w:val="26"/>
                <w:lang w:eastAsia="fr-FR"/>
              </w:rPr>
              <w:t>Entreprises d'investissement de classes 2 et 3</w:t>
            </w:r>
            <w:r w:rsidRPr="008E7E8B">
              <w:rPr>
                <w:rFonts w:ascii="Calibri" w:eastAsia="Times New Roman" w:hAnsi="Calibri" w:cs="Calibri"/>
                <w:b/>
                <w:bCs/>
                <w:color w:val="000000"/>
                <w:sz w:val="26"/>
                <w:szCs w:val="26"/>
                <w:lang w:eastAsia="fr-FR"/>
              </w:rPr>
              <w:br/>
              <w:t>Activités : Annexe I, section A, points 4 ou 5 ou 7 ou Conseil en investissement de nature continue</w:t>
            </w:r>
          </w:p>
        </w:tc>
      </w:tr>
      <w:tr w:rsidR="00EE237A" w:rsidRPr="008E7E8B" w14:paraId="4D7537D5" w14:textId="77777777" w:rsidTr="00BE34D2">
        <w:trPr>
          <w:trHeight w:val="576"/>
        </w:trPr>
        <w:tc>
          <w:tcPr>
            <w:tcW w:w="282" w:type="dxa"/>
            <w:tcBorders>
              <w:top w:val="nil"/>
              <w:left w:val="single" w:sz="4" w:space="0" w:color="auto"/>
              <w:bottom w:val="nil"/>
              <w:right w:val="nil"/>
            </w:tcBorders>
            <w:shd w:val="clear" w:color="auto" w:fill="auto"/>
            <w:noWrap/>
            <w:vAlign w:val="center"/>
            <w:hideMark/>
          </w:tcPr>
          <w:p w14:paraId="1119ED59"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2AB33504"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a</w:t>
            </w:r>
          </w:p>
        </w:tc>
        <w:tc>
          <w:tcPr>
            <w:tcW w:w="8989" w:type="dxa"/>
            <w:tcBorders>
              <w:top w:val="nil"/>
              <w:left w:val="nil"/>
              <w:bottom w:val="single" w:sz="4" w:space="0" w:color="5B9BD5"/>
              <w:right w:val="single" w:sz="4" w:space="0" w:color="5B9BD5"/>
            </w:tcBorders>
            <w:shd w:val="clear" w:color="auto" w:fill="auto"/>
            <w:vAlign w:val="center"/>
            <w:hideMark/>
          </w:tcPr>
          <w:p w14:paraId="3805B172" w14:textId="77777777" w:rsidR="00EE237A" w:rsidRPr="008E7E8B" w:rsidRDefault="00EE237A" w:rsidP="00770FFD">
            <w:pPr>
              <w:spacing w:after="0" w:line="240" w:lineRule="auto"/>
              <w:jc w:val="both"/>
              <w:rPr>
                <w:rFonts w:ascii="Calibri" w:eastAsia="Times New Roman" w:hAnsi="Calibri" w:cs="Calibri"/>
                <w:color w:val="000000"/>
                <w:lang w:eastAsia="fr-FR"/>
              </w:rPr>
            </w:pPr>
            <w:r w:rsidRPr="008E7E8B">
              <w:rPr>
                <w:rFonts w:ascii="Calibri" w:eastAsia="Times New Roman" w:hAnsi="Calibri" w:cs="Calibri"/>
                <w:color w:val="000000"/>
                <w:lang w:eastAsia="fr-FR"/>
              </w:rPr>
              <w:t>Les dispositions contractuelles concernant les commissions perçues en lien avec la réalisation des portefeuilles des clients;</w:t>
            </w:r>
          </w:p>
        </w:tc>
      </w:tr>
      <w:tr w:rsidR="00EE237A" w:rsidRPr="008E7E8B" w14:paraId="41D703FE" w14:textId="77777777" w:rsidTr="00BE34D2">
        <w:trPr>
          <w:trHeight w:val="897"/>
        </w:trPr>
        <w:tc>
          <w:tcPr>
            <w:tcW w:w="282" w:type="dxa"/>
            <w:tcBorders>
              <w:top w:val="nil"/>
              <w:left w:val="single" w:sz="4" w:space="0" w:color="auto"/>
              <w:bottom w:val="nil"/>
              <w:right w:val="nil"/>
            </w:tcBorders>
            <w:shd w:val="clear" w:color="auto" w:fill="auto"/>
            <w:noWrap/>
            <w:vAlign w:val="center"/>
            <w:hideMark/>
          </w:tcPr>
          <w:p w14:paraId="24EBC2EB"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03A1715D"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b</w:t>
            </w:r>
          </w:p>
        </w:tc>
        <w:tc>
          <w:tcPr>
            <w:tcW w:w="8989" w:type="dxa"/>
            <w:tcBorders>
              <w:top w:val="nil"/>
              <w:left w:val="nil"/>
              <w:bottom w:val="single" w:sz="4" w:space="0" w:color="5B9BD5"/>
              <w:right w:val="single" w:sz="4" w:space="0" w:color="5B9BD5"/>
            </w:tcBorders>
            <w:shd w:val="clear" w:color="auto" w:fill="auto"/>
            <w:vAlign w:val="center"/>
            <w:hideMark/>
          </w:tcPr>
          <w:p w14:paraId="6386B4E8" w14:textId="77777777" w:rsidR="00EE237A" w:rsidRPr="008E7E8B" w:rsidRDefault="00EE237A" w:rsidP="00770FFD">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L</w:t>
            </w:r>
            <w:r w:rsidRPr="008E7E8B">
              <w:rPr>
                <w:rFonts w:ascii="Calibri" w:eastAsia="Times New Roman" w:hAnsi="Calibri" w:cs="Calibri"/>
                <w:color w:val="000000"/>
                <w:lang w:eastAsia="fr-FR"/>
              </w:rPr>
              <w:t>e décalage temporel entre les honoraires reçus des clients et les honoraires versés aux prestataires de services tels que l'analyse des marchés, les rapports spécialisés, l'analyse générale ou personnalisée du portefeuille et les services d'agrégation;</w:t>
            </w:r>
          </w:p>
        </w:tc>
      </w:tr>
      <w:tr w:rsidR="00EE237A" w:rsidRPr="008E7E8B" w14:paraId="43D24AF9" w14:textId="77777777" w:rsidTr="00BE34D2">
        <w:trPr>
          <w:trHeight w:val="556"/>
        </w:trPr>
        <w:tc>
          <w:tcPr>
            <w:tcW w:w="282" w:type="dxa"/>
            <w:tcBorders>
              <w:top w:val="nil"/>
              <w:left w:val="single" w:sz="4" w:space="0" w:color="auto"/>
              <w:bottom w:val="nil"/>
              <w:right w:val="nil"/>
            </w:tcBorders>
            <w:shd w:val="clear" w:color="auto" w:fill="auto"/>
            <w:noWrap/>
            <w:vAlign w:val="center"/>
            <w:hideMark/>
          </w:tcPr>
          <w:p w14:paraId="70C10DB3"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3937717B"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c</w:t>
            </w:r>
          </w:p>
        </w:tc>
        <w:tc>
          <w:tcPr>
            <w:tcW w:w="8989" w:type="dxa"/>
            <w:tcBorders>
              <w:top w:val="nil"/>
              <w:left w:val="nil"/>
              <w:bottom w:val="single" w:sz="4" w:space="0" w:color="5B9BD5"/>
              <w:right w:val="single" w:sz="4" w:space="0" w:color="5B9BD5"/>
            </w:tcBorders>
            <w:shd w:val="clear" w:color="auto" w:fill="auto"/>
            <w:vAlign w:val="center"/>
            <w:hideMark/>
          </w:tcPr>
          <w:p w14:paraId="1F09536D" w14:textId="77777777" w:rsidR="00EE237A" w:rsidRPr="008E7E8B" w:rsidRDefault="00EE237A" w:rsidP="00770FFD">
            <w:pPr>
              <w:spacing w:after="0" w:line="240" w:lineRule="auto"/>
              <w:jc w:val="both"/>
              <w:rPr>
                <w:rFonts w:ascii="Calibri" w:eastAsia="Times New Roman" w:hAnsi="Calibri" w:cs="Calibri"/>
                <w:color w:val="000000"/>
                <w:lang w:eastAsia="fr-FR"/>
              </w:rPr>
            </w:pPr>
            <w:r w:rsidRPr="008E7E8B">
              <w:rPr>
                <w:rFonts w:ascii="Calibri" w:eastAsia="Times New Roman" w:hAnsi="Calibri" w:cs="Calibri"/>
                <w:color w:val="000000"/>
                <w:lang w:eastAsia="fr-FR"/>
              </w:rPr>
              <w:t>Lorsque l’entreprise d’investissement délègue la gestion des actifs, l’asymétrie de temps entre les honoraires reçus des clients et les honoraires versés à l’entité financière déléguée;</w:t>
            </w:r>
          </w:p>
        </w:tc>
      </w:tr>
      <w:tr w:rsidR="00EE237A" w:rsidRPr="008E7E8B" w14:paraId="2FB338AE" w14:textId="77777777" w:rsidTr="00BE34D2">
        <w:trPr>
          <w:trHeight w:val="833"/>
        </w:trPr>
        <w:tc>
          <w:tcPr>
            <w:tcW w:w="282" w:type="dxa"/>
            <w:tcBorders>
              <w:top w:val="nil"/>
              <w:left w:val="single" w:sz="4" w:space="0" w:color="auto"/>
              <w:bottom w:val="nil"/>
              <w:right w:val="nil"/>
            </w:tcBorders>
            <w:shd w:val="clear" w:color="auto" w:fill="auto"/>
            <w:noWrap/>
            <w:vAlign w:val="center"/>
            <w:hideMark/>
          </w:tcPr>
          <w:p w14:paraId="75930C25"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2545D18B"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d</w:t>
            </w:r>
          </w:p>
        </w:tc>
        <w:tc>
          <w:tcPr>
            <w:tcW w:w="8989" w:type="dxa"/>
            <w:tcBorders>
              <w:top w:val="nil"/>
              <w:left w:val="nil"/>
              <w:bottom w:val="single" w:sz="4" w:space="0" w:color="5B9BD5"/>
              <w:right w:val="single" w:sz="4" w:space="0" w:color="5B9BD5"/>
            </w:tcBorders>
            <w:shd w:val="clear" w:color="auto" w:fill="auto"/>
            <w:vAlign w:val="center"/>
            <w:hideMark/>
          </w:tcPr>
          <w:p w14:paraId="02847CC5" w14:textId="77777777" w:rsidR="00EE237A" w:rsidRPr="008E7E8B" w:rsidRDefault="00EE237A" w:rsidP="00770FFD">
            <w:pPr>
              <w:spacing w:after="0" w:line="240" w:lineRule="auto"/>
              <w:jc w:val="both"/>
              <w:rPr>
                <w:rFonts w:ascii="Calibri" w:eastAsia="Times New Roman" w:hAnsi="Calibri" w:cs="Calibri"/>
                <w:color w:val="000000"/>
                <w:lang w:eastAsia="fr-FR"/>
              </w:rPr>
            </w:pPr>
            <w:r w:rsidRPr="008E7E8B">
              <w:rPr>
                <w:rFonts w:ascii="Calibri" w:eastAsia="Times New Roman" w:hAnsi="Calibri" w:cs="Calibri"/>
                <w:color w:val="000000"/>
                <w:lang w:eastAsia="fr-FR"/>
              </w:rPr>
              <w:t>Lorsqu'une autre entité financière a officiellement délégué la gestion des actifs à l'entreprise d'investissement, l'asymétrie de temps entre les honoraires reçus de l'entité délégante et les dépenses payées par l'entreprise d'investissement en relation avec la délégation;</w:t>
            </w:r>
          </w:p>
        </w:tc>
      </w:tr>
      <w:tr w:rsidR="00EE237A" w:rsidRPr="008E7E8B" w14:paraId="5A1D463A" w14:textId="77777777" w:rsidTr="00BE34D2">
        <w:trPr>
          <w:trHeight w:val="576"/>
        </w:trPr>
        <w:tc>
          <w:tcPr>
            <w:tcW w:w="282" w:type="dxa"/>
            <w:tcBorders>
              <w:top w:val="nil"/>
              <w:left w:val="single" w:sz="4" w:space="0" w:color="auto"/>
              <w:bottom w:val="nil"/>
              <w:right w:val="nil"/>
            </w:tcBorders>
            <w:shd w:val="clear" w:color="auto" w:fill="auto"/>
            <w:noWrap/>
            <w:vAlign w:val="center"/>
            <w:hideMark/>
          </w:tcPr>
          <w:p w14:paraId="09923E03"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4A61B88E"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e</w:t>
            </w:r>
          </w:p>
        </w:tc>
        <w:tc>
          <w:tcPr>
            <w:tcW w:w="8989" w:type="dxa"/>
            <w:tcBorders>
              <w:top w:val="nil"/>
              <w:left w:val="nil"/>
              <w:bottom w:val="single" w:sz="4" w:space="0" w:color="5B9BD5"/>
              <w:right w:val="single" w:sz="4" w:space="0" w:color="5B9BD5"/>
            </w:tcBorders>
            <w:shd w:val="clear" w:color="auto" w:fill="auto"/>
            <w:vAlign w:val="center"/>
            <w:hideMark/>
          </w:tcPr>
          <w:p w14:paraId="21F1F3A8" w14:textId="77777777" w:rsidR="00EE237A" w:rsidRPr="008E7E8B" w:rsidRDefault="00EE237A" w:rsidP="00770FFD">
            <w:pPr>
              <w:spacing w:after="0" w:line="240" w:lineRule="auto"/>
              <w:jc w:val="both"/>
              <w:rPr>
                <w:rFonts w:ascii="Calibri" w:eastAsia="Times New Roman" w:hAnsi="Calibri" w:cs="Calibri"/>
                <w:color w:val="000000"/>
                <w:lang w:eastAsia="fr-FR"/>
              </w:rPr>
            </w:pPr>
            <w:r w:rsidRPr="008E7E8B">
              <w:rPr>
                <w:rFonts w:ascii="Calibri" w:eastAsia="Times New Roman" w:hAnsi="Calibri" w:cs="Calibri"/>
                <w:color w:val="000000"/>
                <w:lang w:eastAsia="fr-FR"/>
              </w:rPr>
              <w:t>Les dispositions contractuelles entre l’entreprise d’investissement et les agents liés, y compris le calendrier des paiements et la récurrence des redevances;</w:t>
            </w:r>
          </w:p>
        </w:tc>
      </w:tr>
      <w:tr w:rsidR="00EE237A" w:rsidRPr="008E7E8B" w14:paraId="6BDFCB1E" w14:textId="77777777" w:rsidTr="00BE34D2">
        <w:trPr>
          <w:trHeight w:val="288"/>
        </w:trPr>
        <w:tc>
          <w:tcPr>
            <w:tcW w:w="282" w:type="dxa"/>
            <w:tcBorders>
              <w:top w:val="nil"/>
              <w:left w:val="single" w:sz="4" w:space="0" w:color="auto"/>
              <w:bottom w:val="nil"/>
              <w:right w:val="nil"/>
            </w:tcBorders>
            <w:shd w:val="clear" w:color="auto" w:fill="auto"/>
            <w:noWrap/>
            <w:vAlign w:val="center"/>
            <w:hideMark/>
          </w:tcPr>
          <w:p w14:paraId="301C02E0"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3DA7231E"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f</w:t>
            </w:r>
          </w:p>
        </w:tc>
        <w:tc>
          <w:tcPr>
            <w:tcW w:w="8989" w:type="dxa"/>
            <w:tcBorders>
              <w:top w:val="nil"/>
              <w:left w:val="nil"/>
              <w:bottom w:val="single" w:sz="4" w:space="0" w:color="5B9BD5"/>
              <w:right w:val="single" w:sz="4" w:space="0" w:color="5B9BD5"/>
            </w:tcBorders>
            <w:shd w:val="clear" w:color="auto" w:fill="auto"/>
            <w:vAlign w:val="center"/>
            <w:hideMark/>
          </w:tcPr>
          <w:p w14:paraId="4FFB0446" w14:textId="77777777" w:rsidR="00EE237A" w:rsidRPr="008E7E8B" w:rsidRDefault="00EE237A" w:rsidP="00770FFD">
            <w:pPr>
              <w:spacing w:after="0" w:line="240" w:lineRule="auto"/>
              <w:jc w:val="both"/>
              <w:rPr>
                <w:rFonts w:ascii="Calibri" w:eastAsia="Times New Roman" w:hAnsi="Calibri" w:cs="Calibri"/>
                <w:color w:val="000000"/>
                <w:lang w:eastAsia="fr-FR"/>
              </w:rPr>
            </w:pPr>
            <w:r w:rsidRPr="008E7E8B">
              <w:rPr>
                <w:rFonts w:ascii="Calibri" w:eastAsia="Times New Roman" w:hAnsi="Calibri" w:cs="Calibri"/>
                <w:color w:val="000000"/>
                <w:lang w:eastAsia="fr-FR"/>
              </w:rPr>
              <w:t>Retards dans le paiement des frais dus par les clients.</w:t>
            </w:r>
          </w:p>
        </w:tc>
      </w:tr>
      <w:tr w:rsidR="00EE237A" w:rsidRPr="008E7E8B" w14:paraId="07A07B8C" w14:textId="77777777" w:rsidTr="00BE34D2">
        <w:trPr>
          <w:trHeight w:val="348"/>
        </w:trPr>
        <w:tc>
          <w:tcPr>
            <w:tcW w:w="282" w:type="dxa"/>
            <w:tcBorders>
              <w:top w:val="nil"/>
              <w:left w:val="single" w:sz="4" w:space="0" w:color="auto"/>
              <w:bottom w:val="nil"/>
              <w:right w:val="nil"/>
            </w:tcBorders>
            <w:shd w:val="clear" w:color="auto" w:fill="auto"/>
            <w:noWrap/>
            <w:vAlign w:val="center"/>
            <w:hideMark/>
          </w:tcPr>
          <w:p w14:paraId="03802800"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9357" w:type="dxa"/>
            <w:gridSpan w:val="2"/>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668B4344" w14:textId="77777777" w:rsidR="00EE237A" w:rsidRPr="008E7E8B" w:rsidRDefault="00EE237A" w:rsidP="00770FFD">
            <w:pPr>
              <w:spacing w:after="0" w:line="240" w:lineRule="auto"/>
              <w:rPr>
                <w:rFonts w:ascii="Calibri" w:eastAsia="Times New Roman" w:hAnsi="Calibri" w:cs="Calibri"/>
                <w:b/>
                <w:bCs/>
                <w:color w:val="000000"/>
                <w:sz w:val="26"/>
                <w:szCs w:val="26"/>
                <w:lang w:eastAsia="fr-FR"/>
              </w:rPr>
            </w:pPr>
            <w:r w:rsidRPr="008E7E8B">
              <w:rPr>
                <w:rFonts w:ascii="Calibri" w:eastAsia="Times New Roman" w:hAnsi="Calibri" w:cs="Calibri"/>
                <w:b/>
                <w:bCs/>
                <w:color w:val="C00000"/>
                <w:sz w:val="26"/>
                <w:szCs w:val="26"/>
                <w:lang w:eastAsia="fr-FR"/>
              </w:rPr>
              <w:t>Entreprises d'investissement de classes 2 et 3</w:t>
            </w:r>
            <w:r w:rsidRPr="008E7E8B">
              <w:rPr>
                <w:rFonts w:ascii="Calibri" w:eastAsia="Times New Roman" w:hAnsi="Calibri" w:cs="Calibri"/>
                <w:b/>
                <w:bCs/>
                <w:color w:val="000000"/>
                <w:sz w:val="26"/>
                <w:szCs w:val="26"/>
                <w:lang w:eastAsia="fr-FR"/>
              </w:rPr>
              <w:br/>
              <w:t>Activités : Annexe I, section A, points 8 ou 9 ou Conseil en investissement de nature continue</w:t>
            </w:r>
          </w:p>
        </w:tc>
      </w:tr>
      <w:tr w:rsidR="00EE237A" w:rsidRPr="008E7E8B" w14:paraId="5C66CB38" w14:textId="77777777" w:rsidTr="00BE34D2">
        <w:trPr>
          <w:trHeight w:val="576"/>
        </w:trPr>
        <w:tc>
          <w:tcPr>
            <w:tcW w:w="282" w:type="dxa"/>
            <w:tcBorders>
              <w:top w:val="nil"/>
              <w:left w:val="single" w:sz="4" w:space="0" w:color="auto"/>
              <w:bottom w:val="nil"/>
              <w:right w:val="nil"/>
            </w:tcBorders>
            <w:shd w:val="clear" w:color="auto" w:fill="auto"/>
            <w:noWrap/>
            <w:vAlign w:val="center"/>
            <w:hideMark/>
          </w:tcPr>
          <w:p w14:paraId="32B0564B"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lastRenderedPageBreak/>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31EB4A12"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a</w:t>
            </w:r>
          </w:p>
        </w:tc>
        <w:tc>
          <w:tcPr>
            <w:tcW w:w="8989" w:type="dxa"/>
            <w:tcBorders>
              <w:top w:val="nil"/>
              <w:left w:val="nil"/>
              <w:bottom w:val="single" w:sz="4" w:space="0" w:color="5B9BD5"/>
              <w:right w:val="single" w:sz="4" w:space="0" w:color="5B9BD5"/>
            </w:tcBorders>
            <w:shd w:val="clear" w:color="auto" w:fill="auto"/>
            <w:vAlign w:val="center"/>
            <w:hideMark/>
          </w:tcPr>
          <w:p w14:paraId="2A8571AD" w14:textId="77777777" w:rsidR="00EE237A" w:rsidRPr="008E7E8B" w:rsidRDefault="00EE237A" w:rsidP="00770FFD">
            <w:pPr>
              <w:spacing w:after="0" w:line="240" w:lineRule="auto"/>
              <w:jc w:val="both"/>
              <w:rPr>
                <w:rFonts w:ascii="Calibri" w:eastAsia="Times New Roman" w:hAnsi="Calibri" w:cs="Calibri"/>
                <w:color w:val="000000"/>
                <w:lang w:eastAsia="fr-FR"/>
              </w:rPr>
            </w:pPr>
            <w:r w:rsidRPr="008E7E8B">
              <w:rPr>
                <w:rFonts w:ascii="Calibri" w:eastAsia="Times New Roman" w:hAnsi="Calibri" w:cs="Calibri"/>
                <w:color w:val="000000"/>
                <w:lang w:eastAsia="fr-FR"/>
              </w:rPr>
              <w:t>Le décalage temporel entre les honoraires reçus des clients et les honoraires versés aux prestataires de services;</w:t>
            </w:r>
          </w:p>
        </w:tc>
      </w:tr>
      <w:tr w:rsidR="00EE237A" w:rsidRPr="008E7E8B" w14:paraId="5073E0B1" w14:textId="77777777" w:rsidTr="00BE34D2">
        <w:trPr>
          <w:trHeight w:val="288"/>
        </w:trPr>
        <w:tc>
          <w:tcPr>
            <w:tcW w:w="282" w:type="dxa"/>
            <w:tcBorders>
              <w:top w:val="nil"/>
              <w:left w:val="single" w:sz="4" w:space="0" w:color="auto"/>
              <w:bottom w:val="nil"/>
              <w:right w:val="nil"/>
            </w:tcBorders>
            <w:shd w:val="clear" w:color="auto" w:fill="auto"/>
            <w:noWrap/>
            <w:vAlign w:val="center"/>
            <w:hideMark/>
          </w:tcPr>
          <w:p w14:paraId="6E8F0738"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0014F46C"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b</w:t>
            </w:r>
          </w:p>
        </w:tc>
        <w:tc>
          <w:tcPr>
            <w:tcW w:w="8989" w:type="dxa"/>
            <w:tcBorders>
              <w:top w:val="nil"/>
              <w:left w:val="nil"/>
              <w:bottom w:val="single" w:sz="4" w:space="0" w:color="5B9BD5"/>
              <w:right w:val="single" w:sz="4" w:space="0" w:color="5B9BD5"/>
            </w:tcBorders>
            <w:shd w:val="clear" w:color="auto" w:fill="auto"/>
            <w:noWrap/>
            <w:vAlign w:val="center"/>
            <w:hideMark/>
          </w:tcPr>
          <w:p w14:paraId="3EF17720" w14:textId="77777777" w:rsidR="00EE237A" w:rsidRPr="008E7E8B" w:rsidRDefault="00EE237A" w:rsidP="00770FFD">
            <w:pPr>
              <w:spacing w:after="0" w:line="240" w:lineRule="auto"/>
              <w:jc w:val="both"/>
              <w:rPr>
                <w:rFonts w:ascii="Calibri" w:eastAsia="Times New Roman" w:hAnsi="Calibri" w:cs="Calibri"/>
                <w:color w:val="000000"/>
                <w:lang w:eastAsia="fr-FR"/>
              </w:rPr>
            </w:pPr>
            <w:r w:rsidRPr="008E7E8B">
              <w:rPr>
                <w:rFonts w:ascii="Calibri" w:eastAsia="Times New Roman" w:hAnsi="Calibri" w:cs="Calibri"/>
                <w:color w:val="000000"/>
                <w:lang w:eastAsia="fr-FR"/>
              </w:rPr>
              <w:t>Retards dans le paiement des frais dus par les clients.</w:t>
            </w:r>
          </w:p>
        </w:tc>
      </w:tr>
      <w:tr w:rsidR="00EE237A" w:rsidRPr="008E7E8B" w14:paraId="75D6CEA1" w14:textId="77777777" w:rsidTr="00BE34D2">
        <w:trPr>
          <w:trHeight w:val="348"/>
        </w:trPr>
        <w:tc>
          <w:tcPr>
            <w:tcW w:w="282" w:type="dxa"/>
            <w:tcBorders>
              <w:top w:val="nil"/>
              <w:left w:val="single" w:sz="4" w:space="0" w:color="auto"/>
              <w:bottom w:val="nil"/>
              <w:right w:val="nil"/>
            </w:tcBorders>
            <w:shd w:val="clear" w:color="auto" w:fill="auto"/>
            <w:noWrap/>
            <w:vAlign w:val="center"/>
            <w:hideMark/>
          </w:tcPr>
          <w:p w14:paraId="087FB428"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9357" w:type="dxa"/>
            <w:gridSpan w:val="2"/>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262F0B72" w14:textId="77777777" w:rsidR="00EE237A" w:rsidRPr="008E7E8B" w:rsidRDefault="00EE237A" w:rsidP="008459AD">
            <w:pPr>
              <w:spacing w:after="0" w:line="240" w:lineRule="auto"/>
              <w:rPr>
                <w:rFonts w:ascii="Calibri" w:eastAsia="Times New Roman" w:hAnsi="Calibri" w:cs="Calibri"/>
                <w:b/>
                <w:bCs/>
                <w:color w:val="000000"/>
                <w:sz w:val="26"/>
                <w:szCs w:val="26"/>
                <w:lang w:eastAsia="fr-FR"/>
              </w:rPr>
            </w:pPr>
            <w:r w:rsidRPr="008E7E8B">
              <w:rPr>
                <w:rFonts w:ascii="Calibri" w:eastAsia="Times New Roman" w:hAnsi="Calibri" w:cs="Calibri"/>
                <w:b/>
                <w:bCs/>
                <w:color w:val="C00000"/>
                <w:sz w:val="26"/>
                <w:szCs w:val="26"/>
                <w:lang w:eastAsia="fr-FR"/>
              </w:rPr>
              <w:t>Entreprises d'investissement de classes 2 et 3</w:t>
            </w:r>
            <w:r w:rsidRPr="008E7E8B">
              <w:rPr>
                <w:rFonts w:ascii="Calibri" w:eastAsia="Times New Roman" w:hAnsi="Calibri" w:cs="Calibri"/>
                <w:b/>
                <w:bCs/>
                <w:color w:val="000000"/>
                <w:sz w:val="26"/>
                <w:szCs w:val="26"/>
                <w:lang w:eastAsia="fr-FR"/>
              </w:rPr>
              <w:br/>
              <w:t xml:space="preserve">Activités : Annexe I </w:t>
            </w:r>
            <w:r w:rsidR="008459AD">
              <w:rPr>
                <w:rFonts w:ascii="Calibri" w:eastAsia="Times New Roman" w:hAnsi="Calibri" w:cs="Calibri"/>
                <w:b/>
                <w:bCs/>
                <w:color w:val="000000"/>
                <w:sz w:val="26"/>
                <w:szCs w:val="26"/>
                <w:lang w:eastAsia="fr-FR"/>
              </w:rPr>
              <w:t xml:space="preserve">Services auxiliaires, </w:t>
            </w:r>
            <w:r w:rsidRPr="008E7E8B">
              <w:rPr>
                <w:rFonts w:ascii="Calibri" w:eastAsia="Times New Roman" w:hAnsi="Calibri" w:cs="Calibri"/>
                <w:b/>
                <w:bCs/>
                <w:color w:val="000000"/>
                <w:sz w:val="26"/>
                <w:szCs w:val="26"/>
                <w:lang w:eastAsia="fr-FR"/>
              </w:rPr>
              <w:t>Annexe I, section B, point 2 ou Conseil en investissement de nature continue</w:t>
            </w:r>
          </w:p>
        </w:tc>
      </w:tr>
      <w:tr w:rsidR="00EE237A" w:rsidRPr="008E7E8B" w14:paraId="6225F30C" w14:textId="77777777" w:rsidTr="00BE34D2">
        <w:trPr>
          <w:trHeight w:val="312"/>
        </w:trPr>
        <w:tc>
          <w:tcPr>
            <w:tcW w:w="282" w:type="dxa"/>
            <w:tcBorders>
              <w:top w:val="nil"/>
              <w:left w:val="single" w:sz="4" w:space="0" w:color="auto"/>
              <w:bottom w:val="nil"/>
              <w:right w:val="nil"/>
            </w:tcBorders>
            <w:shd w:val="clear" w:color="auto" w:fill="auto"/>
            <w:noWrap/>
            <w:vAlign w:val="center"/>
            <w:hideMark/>
          </w:tcPr>
          <w:p w14:paraId="4CC1FBDC"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48E80D0D"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a</w:t>
            </w:r>
          </w:p>
        </w:tc>
        <w:tc>
          <w:tcPr>
            <w:tcW w:w="8989" w:type="dxa"/>
            <w:tcBorders>
              <w:top w:val="nil"/>
              <w:left w:val="nil"/>
              <w:bottom w:val="single" w:sz="4" w:space="0" w:color="5B9BD5"/>
              <w:right w:val="single" w:sz="4" w:space="0" w:color="5B9BD5"/>
            </w:tcBorders>
            <w:shd w:val="clear" w:color="auto" w:fill="auto"/>
            <w:noWrap/>
            <w:vAlign w:val="center"/>
            <w:hideMark/>
          </w:tcPr>
          <w:p w14:paraId="0949754E" w14:textId="77777777" w:rsidR="00EE237A" w:rsidRPr="00671E83" w:rsidRDefault="00EE237A" w:rsidP="00770FFD">
            <w:pPr>
              <w:spacing w:after="0" w:line="240" w:lineRule="auto"/>
              <w:jc w:val="both"/>
              <w:rPr>
                <w:rFonts w:ascii="Calibri" w:eastAsia="Times New Roman" w:hAnsi="Calibri" w:cs="Calibri"/>
                <w:color w:val="000000"/>
                <w:lang w:eastAsia="fr-FR"/>
              </w:rPr>
            </w:pPr>
            <w:r w:rsidRPr="00671E83">
              <w:rPr>
                <w:rFonts w:ascii="Calibri" w:eastAsia="Times New Roman" w:hAnsi="Calibri" w:cs="Calibri"/>
                <w:color w:val="000000"/>
                <w:lang w:eastAsia="fr-FR"/>
              </w:rPr>
              <w:t>L'encours des crédits et des crédits accordés aux clients;</w:t>
            </w:r>
          </w:p>
        </w:tc>
      </w:tr>
      <w:tr w:rsidR="00EE237A" w:rsidRPr="008E7E8B" w14:paraId="6DB3A4C4" w14:textId="77777777" w:rsidTr="00BE34D2">
        <w:trPr>
          <w:trHeight w:val="236"/>
        </w:trPr>
        <w:tc>
          <w:tcPr>
            <w:tcW w:w="282" w:type="dxa"/>
            <w:tcBorders>
              <w:top w:val="nil"/>
              <w:left w:val="single" w:sz="4" w:space="0" w:color="auto"/>
              <w:bottom w:val="nil"/>
              <w:right w:val="nil"/>
            </w:tcBorders>
            <w:shd w:val="clear" w:color="auto" w:fill="auto"/>
            <w:noWrap/>
            <w:vAlign w:val="center"/>
            <w:hideMark/>
          </w:tcPr>
          <w:p w14:paraId="64E9F8A9"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7EF55B69"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b</w:t>
            </w:r>
          </w:p>
        </w:tc>
        <w:tc>
          <w:tcPr>
            <w:tcW w:w="8989" w:type="dxa"/>
            <w:tcBorders>
              <w:top w:val="nil"/>
              <w:left w:val="nil"/>
              <w:bottom w:val="single" w:sz="4" w:space="0" w:color="5B9BD5"/>
              <w:right w:val="single" w:sz="4" w:space="0" w:color="5B9BD5"/>
            </w:tcBorders>
            <w:shd w:val="clear" w:color="auto" w:fill="auto"/>
            <w:noWrap/>
            <w:vAlign w:val="center"/>
            <w:hideMark/>
          </w:tcPr>
          <w:p w14:paraId="25C0BA31" w14:textId="77777777" w:rsidR="00EE237A" w:rsidRPr="00671E83" w:rsidRDefault="00EE237A" w:rsidP="00770FFD">
            <w:pPr>
              <w:spacing w:after="0" w:line="240" w:lineRule="auto"/>
              <w:jc w:val="both"/>
              <w:rPr>
                <w:rFonts w:ascii="Calibri" w:eastAsia="Times New Roman" w:hAnsi="Calibri" w:cs="Calibri"/>
                <w:color w:val="000000"/>
                <w:lang w:eastAsia="fr-FR"/>
              </w:rPr>
            </w:pPr>
            <w:r w:rsidRPr="00671E83">
              <w:rPr>
                <w:rFonts w:ascii="Calibri" w:eastAsia="Times New Roman" w:hAnsi="Calibri" w:cs="Calibri"/>
                <w:color w:val="000000"/>
                <w:lang w:eastAsia="fr-FR"/>
              </w:rPr>
              <w:t>Le profil de liquidité des sûretés et les limites du marché et juridiques à leur liquidation;</w:t>
            </w:r>
          </w:p>
        </w:tc>
      </w:tr>
      <w:tr w:rsidR="00EE237A" w:rsidRPr="008E7E8B" w14:paraId="5C003B58" w14:textId="77777777" w:rsidTr="00BE34D2">
        <w:trPr>
          <w:trHeight w:val="312"/>
        </w:trPr>
        <w:tc>
          <w:tcPr>
            <w:tcW w:w="282" w:type="dxa"/>
            <w:tcBorders>
              <w:top w:val="nil"/>
              <w:left w:val="single" w:sz="4" w:space="0" w:color="auto"/>
              <w:bottom w:val="nil"/>
              <w:right w:val="nil"/>
            </w:tcBorders>
            <w:shd w:val="clear" w:color="auto" w:fill="auto"/>
            <w:noWrap/>
            <w:vAlign w:val="center"/>
            <w:hideMark/>
          </w:tcPr>
          <w:p w14:paraId="1FC4F189"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6172D1D6"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c</w:t>
            </w:r>
          </w:p>
        </w:tc>
        <w:tc>
          <w:tcPr>
            <w:tcW w:w="8989" w:type="dxa"/>
            <w:tcBorders>
              <w:top w:val="nil"/>
              <w:left w:val="nil"/>
              <w:bottom w:val="single" w:sz="4" w:space="0" w:color="5B9BD5"/>
              <w:right w:val="single" w:sz="4" w:space="0" w:color="5B9BD5"/>
            </w:tcBorders>
            <w:shd w:val="clear" w:color="auto" w:fill="auto"/>
            <w:noWrap/>
            <w:vAlign w:val="center"/>
            <w:hideMark/>
          </w:tcPr>
          <w:p w14:paraId="0CE8DA02" w14:textId="77777777" w:rsidR="00EE237A" w:rsidRPr="00671E83" w:rsidRDefault="00EE237A" w:rsidP="00770FFD">
            <w:pPr>
              <w:spacing w:after="0" w:line="240" w:lineRule="auto"/>
              <w:jc w:val="both"/>
              <w:rPr>
                <w:rFonts w:ascii="Calibri" w:eastAsia="Times New Roman" w:hAnsi="Calibri" w:cs="Calibri"/>
                <w:color w:val="000000"/>
                <w:lang w:eastAsia="fr-FR"/>
              </w:rPr>
            </w:pPr>
            <w:r w:rsidRPr="00671E83">
              <w:rPr>
                <w:rFonts w:ascii="Calibri" w:eastAsia="Times New Roman" w:hAnsi="Calibri" w:cs="Calibri"/>
                <w:color w:val="000000"/>
                <w:lang w:eastAsia="fr-FR"/>
              </w:rPr>
              <w:t>L'encours des crédits et crédits en défaut accordés aux clients.</w:t>
            </w:r>
          </w:p>
        </w:tc>
      </w:tr>
      <w:tr w:rsidR="00EE237A" w:rsidRPr="008E7E8B" w14:paraId="2CA10F5B" w14:textId="77777777" w:rsidTr="00BE34D2">
        <w:trPr>
          <w:trHeight w:val="360"/>
        </w:trPr>
        <w:tc>
          <w:tcPr>
            <w:tcW w:w="282" w:type="dxa"/>
            <w:tcBorders>
              <w:top w:val="nil"/>
              <w:left w:val="single" w:sz="4" w:space="0" w:color="auto"/>
              <w:bottom w:val="single" w:sz="4" w:space="0" w:color="auto"/>
              <w:right w:val="nil"/>
            </w:tcBorders>
            <w:shd w:val="clear" w:color="000000" w:fill="DDEBF7"/>
            <w:noWrap/>
            <w:vAlign w:val="center"/>
            <w:hideMark/>
          </w:tcPr>
          <w:p w14:paraId="0FF176CA" w14:textId="77777777" w:rsidR="00EE237A" w:rsidRPr="008E7E8B" w:rsidRDefault="00EE237A" w:rsidP="00770FFD">
            <w:pPr>
              <w:spacing w:after="0" w:line="240" w:lineRule="auto"/>
              <w:jc w:val="center"/>
              <w:rPr>
                <w:rFonts w:ascii="Calibri" w:eastAsia="Times New Roman" w:hAnsi="Calibri" w:cs="Calibri"/>
                <w:b/>
                <w:bCs/>
                <w:color w:val="0000FF"/>
                <w:sz w:val="28"/>
                <w:szCs w:val="28"/>
                <w:lang w:eastAsia="fr-FR"/>
              </w:rPr>
            </w:pPr>
            <w:r w:rsidRPr="008E7E8B">
              <w:rPr>
                <w:rFonts w:ascii="Calibri" w:eastAsia="Times New Roman" w:hAnsi="Calibri" w:cs="Calibri"/>
                <w:b/>
                <w:bCs/>
                <w:color w:val="0000FF"/>
                <w:sz w:val="28"/>
                <w:szCs w:val="28"/>
                <w:lang w:eastAsia="fr-FR"/>
              </w:rPr>
              <w:t>2</w:t>
            </w:r>
          </w:p>
        </w:tc>
        <w:tc>
          <w:tcPr>
            <w:tcW w:w="9357" w:type="dxa"/>
            <w:gridSpan w:val="2"/>
            <w:tcBorders>
              <w:top w:val="nil"/>
              <w:left w:val="nil"/>
              <w:bottom w:val="single" w:sz="4" w:space="0" w:color="auto"/>
              <w:right w:val="nil"/>
            </w:tcBorders>
            <w:shd w:val="clear" w:color="000000" w:fill="DDEBF7"/>
            <w:vAlign w:val="center"/>
            <w:hideMark/>
          </w:tcPr>
          <w:p w14:paraId="3D66D25D" w14:textId="77777777" w:rsidR="00EE237A" w:rsidRPr="008E7E8B" w:rsidRDefault="00EE237A" w:rsidP="00713950">
            <w:pPr>
              <w:spacing w:after="0" w:line="240" w:lineRule="auto"/>
              <w:rPr>
                <w:rFonts w:ascii="Calibri" w:eastAsia="Times New Roman" w:hAnsi="Calibri" w:cs="Calibri"/>
                <w:b/>
                <w:bCs/>
                <w:i/>
                <w:iCs/>
                <w:color w:val="0000FF"/>
                <w:sz w:val="28"/>
                <w:szCs w:val="28"/>
                <w:lang w:eastAsia="fr-FR"/>
              </w:rPr>
            </w:pPr>
            <w:r w:rsidRPr="008E7E8B">
              <w:rPr>
                <w:rFonts w:ascii="Calibri" w:eastAsia="Times New Roman" w:hAnsi="Calibri" w:cs="Calibri"/>
                <w:b/>
                <w:bCs/>
                <w:i/>
                <w:iCs/>
                <w:color w:val="0000FF"/>
                <w:sz w:val="28"/>
                <w:szCs w:val="28"/>
                <w:lang w:eastAsia="fr-FR"/>
              </w:rPr>
              <w:t>Risque de liquidité lié au financement (Article 3)</w:t>
            </w:r>
          </w:p>
        </w:tc>
      </w:tr>
      <w:tr w:rsidR="00EE237A" w:rsidRPr="008E7E8B" w14:paraId="7D89C22A" w14:textId="77777777" w:rsidTr="00BE34D2">
        <w:trPr>
          <w:trHeight w:val="348"/>
        </w:trPr>
        <w:tc>
          <w:tcPr>
            <w:tcW w:w="282" w:type="dxa"/>
            <w:tcBorders>
              <w:top w:val="nil"/>
              <w:left w:val="single" w:sz="4" w:space="0" w:color="auto"/>
              <w:bottom w:val="nil"/>
              <w:right w:val="nil"/>
            </w:tcBorders>
            <w:shd w:val="clear" w:color="auto" w:fill="auto"/>
            <w:noWrap/>
            <w:vAlign w:val="center"/>
            <w:hideMark/>
          </w:tcPr>
          <w:p w14:paraId="39D6DA2B"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9357" w:type="dxa"/>
            <w:gridSpan w:val="2"/>
            <w:tcBorders>
              <w:top w:val="single" w:sz="4" w:space="0" w:color="auto"/>
              <w:left w:val="single" w:sz="4" w:space="0" w:color="5B9BD5"/>
              <w:bottom w:val="single" w:sz="4" w:space="0" w:color="5B9BD5"/>
              <w:right w:val="single" w:sz="4" w:space="0" w:color="5B9BD5"/>
            </w:tcBorders>
            <w:shd w:val="clear" w:color="auto" w:fill="auto"/>
            <w:vAlign w:val="center"/>
            <w:hideMark/>
          </w:tcPr>
          <w:p w14:paraId="027C81BC" w14:textId="77777777" w:rsidR="00EE237A" w:rsidRPr="008E7E8B" w:rsidRDefault="00EE237A" w:rsidP="00770FFD">
            <w:pPr>
              <w:spacing w:after="0" w:line="240" w:lineRule="auto"/>
              <w:rPr>
                <w:rFonts w:ascii="Calibri" w:eastAsia="Times New Roman" w:hAnsi="Calibri" w:cs="Calibri"/>
                <w:b/>
                <w:bCs/>
                <w:color w:val="C00000"/>
                <w:sz w:val="26"/>
                <w:szCs w:val="26"/>
                <w:lang w:eastAsia="fr-FR"/>
              </w:rPr>
            </w:pPr>
            <w:r w:rsidRPr="008E7E8B">
              <w:rPr>
                <w:rFonts w:ascii="Calibri" w:eastAsia="Times New Roman" w:hAnsi="Calibri" w:cs="Calibri"/>
                <w:b/>
                <w:bCs/>
                <w:color w:val="C00000"/>
                <w:sz w:val="26"/>
                <w:szCs w:val="26"/>
                <w:lang w:eastAsia="fr-FR"/>
              </w:rPr>
              <w:t>Entreprises d'investissement de classes 2 et 3</w:t>
            </w:r>
          </w:p>
        </w:tc>
      </w:tr>
      <w:tr w:rsidR="00EE237A" w:rsidRPr="008E7E8B" w14:paraId="1E6F0F3E" w14:textId="77777777" w:rsidTr="00BE34D2">
        <w:trPr>
          <w:trHeight w:val="576"/>
        </w:trPr>
        <w:tc>
          <w:tcPr>
            <w:tcW w:w="282" w:type="dxa"/>
            <w:tcBorders>
              <w:top w:val="nil"/>
              <w:left w:val="single" w:sz="4" w:space="0" w:color="auto"/>
              <w:bottom w:val="nil"/>
              <w:right w:val="nil"/>
            </w:tcBorders>
            <w:shd w:val="clear" w:color="auto" w:fill="auto"/>
            <w:noWrap/>
            <w:vAlign w:val="center"/>
            <w:hideMark/>
          </w:tcPr>
          <w:p w14:paraId="28EAC04B"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50DFD18A"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a</w:t>
            </w:r>
          </w:p>
        </w:tc>
        <w:tc>
          <w:tcPr>
            <w:tcW w:w="8989" w:type="dxa"/>
            <w:tcBorders>
              <w:top w:val="nil"/>
              <w:left w:val="nil"/>
              <w:bottom w:val="single" w:sz="4" w:space="0" w:color="5B9BD5"/>
              <w:right w:val="single" w:sz="4" w:space="0" w:color="5B9BD5"/>
            </w:tcBorders>
            <w:shd w:val="clear" w:color="auto" w:fill="auto"/>
            <w:vAlign w:val="center"/>
            <w:hideMark/>
          </w:tcPr>
          <w:p w14:paraId="3576823C" w14:textId="77777777" w:rsidR="00EE237A" w:rsidRPr="008E7E8B" w:rsidRDefault="00EE237A" w:rsidP="00770FFD">
            <w:pPr>
              <w:spacing w:after="0" w:line="240" w:lineRule="auto"/>
              <w:jc w:val="both"/>
              <w:rPr>
                <w:rFonts w:ascii="Calibri" w:eastAsia="Times New Roman" w:hAnsi="Calibri" w:cs="Calibri"/>
                <w:color w:val="000000"/>
                <w:lang w:eastAsia="fr-FR"/>
              </w:rPr>
            </w:pPr>
            <w:r w:rsidRPr="008E7E8B">
              <w:rPr>
                <w:rFonts w:ascii="Calibri" w:eastAsia="Times New Roman" w:hAnsi="Calibri" w:cs="Calibri"/>
                <w:color w:val="000000"/>
                <w:lang w:eastAsia="fr-FR"/>
              </w:rPr>
              <w:t>La disponibilité de sources de financement existantes et l'accès à des sources de financement d'urgence préétablies;</w:t>
            </w:r>
          </w:p>
        </w:tc>
      </w:tr>
      <w:tr w:rsidR="00EE237A" w:rsidRPr="008E7E8B" w14:paraId="22DF5DF7" w14:textId="77777777" w:rsidTr="00BE34D2">
        <w:trPr>
          <w:trHeight w:val="288"/>
        </w:trPr>
        <w:tc>
          <w:tcPr>
            <w:tcW w:w="282" w:type="dxa"/>
            <w:tcBorders>
              <w:top w:val="nil"/>
              <w:left w:val="single" w:sz="4" w:space="0" w:color="auto"/>
              <w:bottom w:val="nil"/>
              <w:right w:val="nil"/>
            </w:tcBorders>
            <w:shd w:val="clear" w:color="auto" w:fill="auto"/>
            <w:noWrap/>
            <w:vAlign w:val="center"/>
            <w:hideMark/>
          </w:tcPr>
          <w:p w14:paraId="25A87007"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49DE805A"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b</w:t>
            </w:r>
          </w:p>
        </w:tc>
        <w:tc>
          <w:tcPr>
            <w:tcW w:w="8989" w:type="dxa"/>
            <w:tcBorders>
              <w:top w:val="nil"/>
              <w:left w:val="nil"/>
              <w:bottom w:val="single" w:sz="4" w:space="0" w:color="5B9BD5"/>
              <w:right w:val="single" w:sz="4" w:space="0" w:color="5B9BD5"/>
            </w:tcBorders>
            <w:shd w:val="clear" w:color="auto" w:fill="auto"/>
            <w:noWrap/>
            <w:vAlign w:val="center"/>
            <w:hideMark/>
          </w:tcPr>
          <w:p w14:paraId="77EEE54B" w14:textId="77777777" w:rsidR="00EE237A" w:rsidRPr="008E7E8B" w:rsidRDefault="00EE237A" w:rsidP="00770FFD">
            <w:pPr>
              <w:spacing w:after="0" w:line="240" w:lineRule="auto"/>
              <w:jc w:val="both"/>
              <w:rPr>
                <w:rFonts w:ascii="Calibri" w:eastAsia="Times New Roman" w:hAnsi="Calibri" w:cs="Calibri"/>
                <w:color w:val="000000"/>
                <w:lang w:eastAsia="fr-FR"/>
              </w:rPr>
            </w:pPr>
            <w:r w:rsidRPr="008E7E8B">
              <w:rPr>
                <w:rFonts w:ascii="Calibri" w:eastAsia="Times New Roman" w:hAnsi="Calibri" w:cs="Calibri"/>
                <w:color w:val="000000"/>
                <w:lang w:eastAsia="fr-FR"/>
              </w:rPr>
              <w:t>Si ces sources de financement sont sécurisées ou non;</w:t>
            </w:r>
          </w:p>
        </w:tc>
      </w:tr>
      <w:tr w:rsidR="00EE237A" w:rsidRPr="008E7E8B" w14:paraId="1F26BA5A" w14:textId="77777777" w:rsidTr="00BE34D2">
        <w:trPr>
          <w:trHeight w:val="288"/>
        </w:trPr>
        <w:tc>
          <w:tcPr>
            <w:tcW w:w="282" w:type="dxa"/>
            <w:tcBorders>
              <w:top w:val="nil"/>
              <w:left w:val="single" w:sz="4" w:space="0" w:color="auto"/>
              <w:bottom w:val="nil"/>
              <w:right w:val="nil"/>
            </w:tcBorders>
            <w:shd w:val="clear" w:color="auto" w:fill="auto"/>
            <w:noWrap/>
            <w:vAlign w:val="center"/>
            <w:hideMark/>
          </w:tcPr>
          <w:p w14:paraId="6E249FF9"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0E1A0C18"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c</w:t>
            </w:r>
          </w:p>
        </w:tc>
        <w:tc>
          <w:tcPr>
            <w:tcW w:w="8989" w:type="dxa"/>
            <w:tcBorders>
              <w:top w:val="nil"/>
              <w:left w:val="nil"/>
              <w:bottom w:val="single" w:sz="4" w:space="0" w:color="5B9BD5"/>
              <w:right w:val="single" w:sz="4" w:space="0" w:color="5B9BD5"/>
            </w:tcBorders>
            <w:shd w:val="clear" w:color="auto" w:fill="auto"/>
            <w:noWrap/>
            <w:vAlign w:val="center"/>
            <w:hideMark/>
          </w:tcPr>
          <w:p w14:paraId="184EB948" w14:textId="77777777" w:rsidR="00EE237A" w:rsidRPr="008E7E8B" w:rsidRDefault="00EE237A" w:rsidP="00770FFD">
            <w:pPr>
              <w:spacing w:after="0" w:line="240" w:lineRule="auto"/>
              <w:jc w:val="both"/>
              <w:rPr>
                <w:rFonts w:ascii="Calibri" w:eastAsia="Times New Roman" w:hAnsi="Calibri" w:cs="Calibri"/>
                <w:color w:val="000000"/>
                <w:lang w:eastAsia="fr-FR"/>
              </w:rPr>
            </w:pPr>
            <w:r w:rsidRPr="008E7E8B">
              <w:rPr>
                <w:rFonts w:ascii="Calibri" w:eastAsia="Times New Roman" w:hAnsi="Calibri" w:cs="Calibri"/>
                <w:color w:val="000000"/>
                <w:lang w:eastAsia="fr-FR"/>
              </w:rPr>
              <w:t>La monnaie de ces sources de financement;</w:t>
            </w:r>
          </w:p>
        </w:tc>
      </w:tr>
      <w:tr w:rsidR="00EE237A" w:rsidRPr="008E7E8B" w14:paraId="20C1F9F7" w14:textId="77777777" w:rsidTr="00BE34D2">
        <w:trPr>
          <w:trHeight w:val="576"/>
        </w:trPr>
        <w:tc>
          <w:tcPr>
            <w:tcW w:w="282" w:type="dxa"/>
            <w:tcBorders>
              <w:top w:val="nil"/>
              <w:left w:val="single" w:sz="4" w:space="0" w:color="auto"/>
              <w:bottom w:val="nil"/>
              <w:right w:val="nil"/>
            </w:tcBorders>
            <w:shd w:val="clear" w:color="auto" w:fill="auto"/>
            <w:noWrap/>
            <w:vAlign w:val="center"/>
            <w:hideMark/>
          </w:tcPr>
          <w:p w14:paraId="2BC7D534"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2C4B02CF"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d</w:t>
            </w:r>
          </w:p>
        </w:tc>
        <w:tc>
          <w:tcPr>
            <w:tcW w:w="8989" w:type="dxa"/>
            <w:tcBorders>
              <w:top w:val="nil"/>
              <w:left w:val="nil"/>
              <w:bottom w:val="single" w:sz="4" w:space="0" w:color="5B9BD5"/>
              <w:right w:val="single" w:sz="4" w:space="0" w:color="5B9BD5"/>
            </w:tcBorders>
            <w:shd w:val="clear" w:color="auto" w:fill="auto"/>
            <w:vAlign w:val="center"/>
            <w:hideMark/>
          </w:tcPr>
          <w:p w14:paraId="54B78DA6" w14:textId="77777777" w:rsidR="00EE237A" w:rsidRPr="008E7E8B" w:rsidRDefault="00EE237A" w:rsidP="00770FFD">
            <w:pPr>
              <w:spacing w:after="0" w:line="240" w:lineRule="auto"/>
              <w:jc w:val="both"/>
              <w:rPr>
                <w:rFonts w:ascii="Calibri" w:eastAsia="Times New Roman" w:hAnsi="Calibri" w:cs="Calibri"/>
                <w:color w:val="000000"/>
                <w:lang w:eastAsia="fr-FR"/>
              </w:rPr>
            </w:pPr>
            <w:r w:rsidRPr="008E7E8B">
              <w:rPr>
                <w:rFonts w:ascii="Calibri" w:eastAsia="Times New Roman" w:hAnsi="Calibri" w:cs="Calibri"/>
                <w:color w:val="000000"/>
                <w:lang w:eastAsia="fr-FR"/>
              </w:rPr>
              <w:t>Le montant des actifs non grevés qui seraient disponibles pour obtenir un financement garanti;</w:t>
            </w:r>
          </w:p>
        </w:tc>
      </w:tr>
      <w:tr w:rsidR="00EE237A" w:rsidRPr="008E7E8B" w14:paraId="31CC417C" w14:textId="77777777" w:rsidTr="00BE34D2">
        <w:trPr>
          <w:trHeight w:val="864"/>
        </w:trPr>
        <w:tc>
          <w:tcPr>
            <w:tcW w:w="282" w:type="dxa"/>
            <w:tcBorders>
              <w:top w:val="nil"/>
              <w:left w:val="single" w:sz="4" w:space="0" w:color="auto"/>
              <w:bottom w:val="nil"/>
              <w:right w:val="nil"/>
            </w:tcBorders>
            <w:shd w:val="clear" w:color="auto" w:fill="auto"/>
            <w:noWrap/>
            <w:vAlign w:val="center"/>
            <w:hideMark/>
          </w:tcPr>
          <w:p w14:paraId="4C9F3858"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134169FA"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e</w:t>
            </w:r>
          </w:p>
        </w:tc>
        <w:tc>
          <w:tcPr>
            <w:tcW w:w="8989" w:type="dxa"/>
            <w:tcBorders>
              <w:top w:val="nil"/>
              <w:left w:val="nil"/>
              <w:bottom w:val="single" w:sz="4" w:space="0" w:color="5B9BD5"/>
              <w:right w:val="single" w:sz="4" w:space="0" w:color="5B9BD5"/>
            </w:tcBorders>
            <w:shd w:val="clear" w:color="auto" w:fill="auto"/>
            <w:vAlign w:val="center"/>
            <w:hideMark/>
          </w:tcPr>
          <w:p w14:paraId="4F8B65C6" w14:textId="77777777" w:rsidR="00EE237A" w:rsidRPr="008E7E8B" w:rsidRDefault="00EE237A" w:rsidP="00770FFD">
            <w:pPr>
              <w:spacing w:after="0" w:line="240" w:lineRule="auto"/>
              <w:jc w:val="both"/>
              <w:rPr>
                <w:rFonts w:ascii="Calibri" w:eastAsia="Times New Roman" w:hAnsi="Calibri" w:cs="Calibri"/>
                <w:color w:val="000000"/>
                <w:lang w:eastAsia="fr-FR"/>
              </w:rPr>
            </w:pPr>
            <w:r w:rsidRPr="008E7E8B">
              <w:rPr>
                <w:rFonts w:ascii="Calibri" w:eastAsia="Times New Roman" w:hAnsi="Calibri" w:cs="Calibri"/>
                <w:color w:val="000000"/>
                <w:lang w:eastAsia="fr-FR"/>
              </w:rPr>
              <w:t>Les différentes échéances de ces sources de financement en fonction de la date d'échéance la plus proche et de la date la plus proche à laquelle elles peuvent être contractuellement mobilisées;</w:t>
            </w:r>
          </w:p>
        </w:tc>
      </w:tr>
      <w:tr w:rsidR="00EE237A" w:rsidRPr="008E7E8B" w14:paraId="590E964C" w14:textId="77777777" w:rsidTr="00BE34D2">
        <w:trPr>
          <w:trHeight w:val="576"/>
        </w:trPr>
        <w:tc>
          <w:tcPr>
            <w:tcW w:w="282" w:type="dxa"/>
            <w:tcBorders>
              <w:top w:val="nil"/>
              <w:left w:val="single" w:sz="4" w:space="0" w:color="auto"/>
              <w:bottom w:val="nil"/>
              <w:right w:val="nil"/>
            </w:tcBorders>
            <w:shd w:val="clear" w:color="auto" w:fill="auto"/>
            <w:noWrap/>
            <w:vAlign w:val="center"/>
            <w:hideMark/>
          </w:tcPr>
          <w:p w14:paraId="03F902C0"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02EB24EB"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f</w:t>
            </w:r>
          </w:p>
        </w:tc>
        <w:tc>
          <w:tcPr>
            <w:tcW w:w="8989" w:type="dxa"/>
            <w:tcBorders>
              <w:top w:val="nil"/>
              <w:left w:val="nil"/>
              <w:bottom w:val="single" w:sz="4" w:space="0" w:color="5B9BD5"/>
              <w:right w:val="single" w:sz="4" w:space="0" w:color="5B9BD5"/>
            </w:tcBorders>
            <w:shd w:val="clear" w:color="auto" w:fill="auto"/>
            <w:vAlign w:val="center"/>
            <w:hideMark/>
          </w:tcPr>
          <w:p w14:paraId="11F40272" w14:textId="77777777" w:rsidR="00EE237A" w:rsidRPr="008E7E8B" w:rsidRDefault="00EE237A" w:rsidP="00770FFD">
            <w:pPr>
              <w:spacing w:after="0" w:line="240" w:lineRule="auto"/>
              <w:jc w:val="both"/>
              <w:rPr>
                <w:rFonts w:ascii="Calibri" w:eastAsia="Times New Roman" w:hAnsi="Calibri" w:cs="Calibri"/>
                <w:color w:val="000000"/>
                <w:lang w:eastAsia="fr-FR"/>
              </w:rPr>
            </w:pPr>
            <w:r w:rsidRPr="008E7E8B">
              <w:rPr>
                <w:rFonts w:ascii="Calibri" w:eastAsia="Times New Roman" w:hAnsi="Calibri" w:cs="Calibri"/>
                <w:color w:val="000000"/>
                <w:lang w:eastAsia="fr-FR"/>
              </w:rPr>
              <w:t>Le risque de perturbation des flux de trésorerie quotidiens de l’entreprise d’investissement résultant d’une interruption de ses facilités de crédit; et</w:t>
            </w:r>
          </w:p>
        </w:tc>
      </w:tr>
      <w:tr w:rsidR="00EE237A" w:rsidRPr="008E7E8B" w14:paraId="0394F9A9" w14:textId="77777777" w:rsidTr="00BE34D2">
        <w:trPr>
          <w:trHeight w:val="576"/>
        </w:trPr>
        <w:tc>
          <w:tcPr>
            <w:tcW w:w="282" w:type="dxa"/>
            <w:tcBorders>
              <w:top w:val="nil"/>
              <w:left w:val="single" w:sz="4" w:space="0" w:color="auto"/>
              <w:bottom w:val="nil"/>
              <w:right w:val="nil"/>
            </w:tcBorders>
            <w:shd w:val="clear" w:color="auto" w:fill="auto"/>
            <w:noWrap/>
            <w:vAlign w:val="center"/>
            <w:hideMark/>
          </w:tcPr>
          <w:p w14:paraId="1FA8CC03"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29A73FDF"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g</w:t>
            </w:r>
          </w:p>
        </w:tc>
        <w:tc>
          <w:tcPr>
            <w:tcW w:w="8989" w:type="dxa"/>
            <w:tcBorders>
              <w:top w:val="nil"/>
              <w:left w:val="nil"/>
              <w:bottom w:val="single" w:sz="4" w:space="0" w:color="5B9BD5"/>
              <w:right w:val="single" w:sz="4" w:space="0" w:color="5B9BD5"/>
            </w:tcBorders>
            <w:shd w:val="clear" w:color="auto" w:fill="auto"/>
            <w:vAlign w:val="center"/>
            <w:hideMark/>
          </w:tcPr>
          <w:p w14:paraId="104A0B02" w14:textId="77777777" w:rsidR="00EE237A" w:rsidRPr="008E7E8B" w:rsidRDefault="00EE237A" w:rsidP="00770FFD">
            <w:pPr>
              <w:spacing w:after="0" w:line="240" w:lineRule="auto"/>
              <w:jc w:val="both"/>
              <w:rPr>
                <w:rFonts w:ascii="Calibri" w:eastAsia="Times New Roman" w:hAnsi="Calibri" w:cs="Calibri"/>
                <w:color w:val="000000"/>
                <w:lang w:eastAsia="fr-FR"/>
              </w:rPr>
            </w:pPr>
            <w:r w:rsidRPr="008E7E8B">
              <w:rPr>
                <w:rFonts w:ascii="Calibri" w:eastAsia="Times New Roman" w:hAnsi="Calibri" w:cs="Calibri"/>
                <w:color w:val="000000"/>
                <w:lang w:eastAsia="fr-FR"/>
              </w:rPr>
              <w:t>Autres sources de financement confirmées mais non utilisées fournies à l’entreprise d’investissement.</w:t>
            </w:r>
          </w:p>
        </w:tc>
      </w:tr>
      <w:tr w:rsidR="00EE237A" w:rsidRPr="008E7E8B" w14:paraId="2343A89D" w14:textId="77777777" w:rsidTr="00BE34D2">
        <w:trPr>
          <w:trHeight w:val="360"/>
        </w:trPr>
        <w:tc>
          <w:tcPr>
            <w:tcW w:w="282" w:type="dxa"/>
            <w:tcBorders>
              <w:top w:val="nil"/>
              <w:left w:val="single" w:sz="4" w:space="0" w:color="auto"/>
              <w:bottom w:val="single" w:sz="4" w:space="0" w:color="auto"/>
              <w:right w:val="nil"/>
            </w:tcBorders>
            <w:shd w:val="clear" w:color="000000" w:fill="DDEBF7"/>
            <w:noWrap/>
            <w:vAlign w:val="center"/>
            <w:hideMark/>
          </w:tcPr>
          <w:p w14:paraId="053A8923" w14:textId="77777777" w:rsidR="00EE237A" w:rsidRPr="008E7E8B" w:rsidRDefault="00EE237A" w:rsidP="00770FFD">
            <w:pPr>
              <w:spacing w:after="0" w:line="240" w:lineRule="auto"/>
              <w:jc w:val="center"/>
              <w:rPr>
                <w:rFonts w:ascii="Calibri" w:eastAsia="Times New Roman" w:hAnsi="Calibri" w:cs="Calibri"/>
                <w:b/>
                <w:bCs/>
                <w:color w:val="0000FF"/>
                <w:sz w:val="28"/>
                <w:szCs w:val="28"/>
                <w:lang w:eastAsia="fr-FR"/>
              </w:rPr>
            </w:pPr>
            <w:r w:rsidRPr="008E7E8B">
              <w:rPr>
                <w:rFonts w:ascii="Calibri" w:eastAsia="Times New Roman" w:hAnsi="Calibri" w:cs="Calibri"/>
                <w:b/>
                <w:bCs/>
                <w:color w:val="0000FF"/>
                <w:sz w:val="28"/>
                <w:szCs w:val="28"/>
                <w:lang w:eastAsia="fr-FR"/>
              </w:rPr>
              <w:t>3</w:t>
            </w:r>
          </w:p>
        </w:tc>
        <w:tc>
          <w:tcPr>
            <w:tcW w:w="9357" w:type="dxa"/>
            <w:gridSpan w:val="2"/>
            <w:tcBorders>
              <w:top w:val="nil"/>
              <w:left w:val="nil"/>
              <w:bottom w:val="single" w:sz="4" w:space="0" w:color="auto"/>
              <w:right w:val="nil"/>
            </w:tcBorders>
            <w:shd w:val="clear" w:color="000000" w:fill="DDEBF7"/>
            <w:vAlign w:val="center"/>
            <w:hideMark/>
          </w:tcPr>
          <w:p w14:paraId="31ABB4CB" w14:textId="77777777" w:rsidR="00EE237A" w:rsidRPr="008E7E8B" w:rsidRDefault="00EE237A" w:rsidP="00770FFD">
            <w:pPr>
              <w:spacing w:after="0" w:line="240" w:lineRule="auto"/>
              <w:rPr>
                <w:rFonts w:ascii="Calibri" w:eastAsia="Times New Roman" w:hAnsi="Calibri" w:cs="Calibri"/>
                <w:b/>
                <w:bCs/>
                <w:i/>
                <w:iCs/>
                <w:color w:val="0000FF"/>
                <w:sz w:val="28"/>
                <w:szCs w:val="28"/>
                <w:lang w:eastAsia="fr-FR"/>
              </w:rPr>
            </w:pPr>
            <w:r w:rsidRPr="008E7E8B">
              <w:rPr>
                <w:rFonts w:ascii="Calibri" w:eastAsia="Times New Roman" w:hAnsi="Calibri" w:cs="Calibri"/>
                <w:b/>
                <w:bCs/>
                <w:i/>
                <w:iCs/>
                <w:color w:val="0000FF"/>
                <w:sz w:val="28"/>
                <w:szCs w:val="28"/>
                <w:lang w:eastAsia="fr-FR"/>
              </w:rPr>
              <w:t>Événements externes affectant la liquidité(Article 4)</w:t>
            </w:r>
          </w:p>
        </w:tc>
      </w:tr>
      <w:tr w:rsidR="00EE237A" w:rsidRPr="008E7E8B" w14:paraId="06BEA8E6" w14:textId="77777777" w:rsidTr="00BE34D2">
        <w:trPr>
          <w:trHeight w:val="348"/>
        </w:trPr>
        <w:tc>
          <w:tcPr>
            <w:tcW w:w="282" w:type="dxa"/>
            <w:tcBorders>
              <w:top w:val="nil"/>
              <w:left w:val="single" w:sz="4" w:space="0" w:color="auto"/>
              <w:bottom w:val="nil"/>
              <w:right w:val="nil"/>
            </w:tcBorders>
            <w:shd w:val="clear" w:color="auto" w:fill="auto"/>
            <w:noWrap/>
            <w:vAlign w:val="center"/>
            <w:hideMark/>
          </w:tcPr>
          <w:p w14:paraId="75A852D8"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9357" w:type="dxa"/>
            <w:gridSpan w:val="2"/>
            <w:tcBorders>
              <w:top w:val="single" w:sz="4" w:space="0" w:color="auto"/>
              <w:left w:val="single" w:sz="4" w:space="0" w:color="5B9BD5"/>
              <w:bottom w:val="single" w:sz="4" w:space="0" w:color="5B9BD5"/>
              <w:right w:val="single" w:sz="4" w:space="0" w:color="5B9BD5"/>
            </w:tcBorders>
            <w:shd w:val="clear" w:color="auto" w:fill="auto"/>
            <w:vAlign w:val="center"/>
            <w:hideMark/>
          </w:tcPr>
          <w:p w14:paraId="557F1111" w14:textId="77777777" w:rsidR="00EE237A" w:rsidRPr="008E7E8B" w:rsidRDefault="00EE237A" w:rsidP="00770FFD">
            <w:pPr>
              <w:spacing w:after="0" w:line="240" w:lineRule="auto"/>
              <w:rPr>
                <w:rFonts w:ascii="Calibri" w:eastAsia="Times New Roman" w:hAnsi="Calibri" w:cs="Calibri"/>
                <w:b/>
                <w:bCs/>
                <w:color w:val="C00000"/>
                <w:sz w:val="26"/>
                <w:szCs w:val="26"/>
                <w:lang w:eastAsia="fr-FR"/>
              </w:rPr>
            </w:pPr>
            <w:r w:rsidRPr="008E7E8B">
              <w:rPr>
                <w:rFonts w:ascii="Calibri" w:eastAsia="Times New Roman" w:hAnsi="Calibri" w:cs="Calibri"/>
                <w:b/>
                <w:bCs/>
                <w:color w:val="C00000"/>
                <w:sz w:val="26"/>
                <w:szCs w:val="26"/>
                <w:lang w:eastAsia="fr-FR"/>
              </w:rPr>
              <w:t>Entreprises d'investissement de classe 2</w:t>
            </w:r>
          </w:p>
        </w:tc>
      </w:tr>
      <w:tr w:rsidR="00EE237A" w:rsidRPr="008E7E8B" w14:paraId="210698B6" w14:textId="77777777" w:rsidTr="00BE34D2">
        <w:trPr>
          <w:trHeight w:val="832"/>
        </w:trPr>
        <w:tc>
          <w:tcPr>
            <w:tcW w:w="282" w:type="dxa"/>
            <w:tcBorders>
              <w:top w:val="nil"/>
              <w:left w:val="single" w:sz="4" w:space="0" w:color="auto"/>
              <w:bottom w:val="nil"/>
              <w:right w:val="nil"/>
            </w:tcBorders>
            <w:shd w:val="clear" w:color="auto" w:fill="auto"/>
            <w:noWrap/>
            <w:vAlign w:val="center"/>
            <w:hideMark/>
          </w:tcPr>
          <w:p w14:paraId="5B622C5C"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604CB716"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1</w:t>
            </w:r>
          </w:p>
        </w:tc>
        <w:tc>
          <w:tcPr>
            <w:tcW w:w="8989" w:type="dxa"/>
            <w:tcBorders>
              <w:top w:val="nil"/>
              <w:left w:val="nil"/>
              <w:bottom w:val="single" w:sz="4" w:space="0" w:color="5B9BD5"/>
              <w:right w:val="single" w:sz="4" w:space="0" w:color="5B9BD5"/>
            </w:tcBorders>
            <w:shd w:val="clear" w:color="auto" w:fill="auto"/>
            <w:noWrap/>
            <w:vAlign w:val="center"/>
            <w:hideMark/>
          </w:tcPr>
          <w:p w14:paraId="7A18B5E2" w14:textId="77777777" w:rsidR="00EE237A" w:rsidRPr="00671E83" w:rsidRDefault="008459AD" w:rsidP="00770FFD">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L</w:t>
            </w:r>
            <w:r w:rsidR="00EE237A" w:rsidRPr="00671E83">
              <w:rPr>
                <w:rFonts w:ascii="Calibri" w:eastAsia="Times New Roman" w:hAnsi="Calibri" w:cs="Calibri"/>
                <w:color w:val="000000"/>
                <w:lang w:eastAsia="fr-FR"/>
              </w:rPr>
              <w:t>e niveau de liquidité de l’entreprise d’investissement lui permett</w:t>
            </w:r>
            <w:r>
              <w:rPr>
                <w:rFonts w:ascii="Calibri" w:eastAsia="Times New Roman" w:hAnsi="Calibri" w:cs="Calibri"/>
                <w:color w:val="000000"/>
                <w:lang w:eastAsia="fr-FR"/>
              </w:rPr>
              <w:t>an</w:t>
            </w:r>
            <w:r w:rsidR="00EE237A" w:rsidRPr="00671E83">
              <w:rPr>
                <w:rFonts w:ascii="Calibri" w:eastAsia="Times New Roman" w:hAnsi="Calibri" w:cs="Calibri"/>
                <w:color w:val="000000"/>
                <w:lang w:eastAsia="fr-FR"/>
              </w:rPr>
              <w:t>t de continuer à satisfaire à ses exigences de liquidité dans des conditions macroéconomiques, microéconomiques et géopolitiques défavorables.</w:t>
            </w:r>
          </w:p>
        </w:tc>
      </w:tr>
      <w:tr w:rsidR="00EE237A" w:rsidRPr="008E7E8B" w14:paraId="5D97071B" w14:textId="77777777" w:rsidTr="00BE34D2">
        <w:trPr>
          <w:trHeight w:val="843"/>
        </w:trPr>
        <w:tc>
          <w:tcPr>
            <w:tcW w:w="282" w:type="dxa"/>
            <w:tcBorders>
              <w:top w:val="nil"/>
              <w:left w:val="single" w:sz="4" w:space="0" w:color="auto"/>
              <w:bottom w:val="nil"/>
              <w:right w:val="nil"/>
            </w:tcBorders>
            <w:shd w:val="clear" w:color="auto" w:fill="auto"/>
            <w:noWrap/>
            <w:vAlign w:val="center"/>
            <w:hideMark/>
          </w:tcPr>
          <w:p w14:paraId="151D5077"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20A4B09C"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2</w:t>
            </w:r>
          </w:p>
        </w:tc>
        <w:tc>
          <w:tcPr>
            <w:tcW w:w="8989" w:type="dxa"/>
            <w:tcBorders>
              <w:top w:val="nil"/>
              <w:left w:val="nil"/>
              <w:bottom w:val="single" w:sz="4" w:space="0" w:color="5B9BD5"/>
              <w:right w:val="single" w:sz="4" w:space="0" w:color="5B9BD5"/>
            </w:tcBorders>
            <w:shd w:val="clear" w:color="auto" w:fill="auto"/>
            <w:noWrap/>
            <w:vAlign w:val="center"/>
            <w:hideMark/>
          </w:tcPr>
          <w:p w14:paraId="6918202B" w14:textId="77777777" w:rsidR="00EE237A" w:rsidRPr="00671E83" w:rsidRDefault="008459AD" w:rsidP="008459AD">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S</w:t>
            </w:r>
            <w:r w:rsidR="00EE237A" w:rsidRPr="00671E83">
              <w:rPr>
                <w:rFonts w:ascii="Calibri" w:eastAsia="Times New Roman" w:hAnsi="Calibri" w:cs="Calibri"/>
                <w:color w:val="000000"/>
                <w:lang w:eastAsia="fr-FR"/>
              </w:rPr>
              <w:t xml:space="preserve">cénarios </w:t>
            </w:r>
            <w:r>
              <w:rPr>
                <w:rFonts w:ascii="Calibri" w:eastAsia="Times New Roman" w:hAnsi="Calibri" w:cs="Calibri"/>
                <w:color w:val="000000"/>
                <w:lang w:eastAsia="fr-FR"/>
              </w:rPr>
              <w:t xml:space="preserve">envisagés </w:t>
            </w:r>
            <w:r w:rsidR="00EE237A" w:rsidRPr="00671E83">
              <w:rPr>
                <w:rFonts w:ascii="Calibri" w:eastAsia="Times New Roman" w:hAnsi="Calibri" w:cs="Calibri"/>
                <w:color w:val="000000"/>
                <w:lang w:eastAsia="fr-FR"/>
              </w:rPr>
              <w:t xml:space="preserve">afin d’évaluer l’adéquation des exigences de liquidité de l’entreprise d’investissement </w:t>
            </w:r>
            <w:r w:rsidR="00EE237A" w:rsidRPr="00C95D6F">
              <w:rPr>
                <w:rFonts w:ascii="Calibri" w:eastAsia="Times New Roman" w:hAnsi="Calibri" w:cs="Calibri"/>
                <w:b/>
                <w:bCs/>
                <w:color w:val="000000" w:themeColor="text1"/>
                <w:lang w:eastAsia="fr-FR"/>
              </w:rPr>
              <w:t>en situation de tensions</w:t>
            </w:r>
          </w:p>
        </w:tc>
      </w:tr>
      <w:tr w:rsidR="00EE237A" w:rsidRPr="008E7E8B" w14:paraId="08DD7332" w14:textId="77777777" w:rsidTr="00BE34D2">
        <w:trPr>
          <w:trHeight w:val="587"/>
        </w:trPr>
        <w:tc>
          <w:tcPr>
            <w:tcW w:w="282" w:type="dxa"/>
            <w:tcBorders>
              <w:top w:val="nil"/>
              <w:left w:val="single" w:sz="4" w:space="0" w:color="auto"/>
              <w:bottom w:val="nil"/>
              <w:right w:val="nil"/>
            </w:tcBorders>
            <w:shd w:val="clear" w:color="auto" w:fill="auto"/>
            <w:noWrap/>
            <w:vAlign w:val="center"/>
            <w:hideMark/>
          </w:tcPr>
          <w:p w14:paraId="05F88FD2"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2BB22C2E" w14:textId="77777777" w:rsidR="00EE237A" w:rsidRPr="008E7E8B" w:rsidRDefault="00EE237A" w:rsidP="00770FFD">
            <w:pPr>
              <w:spacing w:after="0" w:line="240" w:lineRule="auto"/>
              <w:jc w:val="right"/>
              <w:rPr>
                <w:rFonts w:ascii="Calibri" w:eastAsia="Times New Roman" w:hAnsi="Calibri" w:cs="Calibri"/>
                <w:b/>
                <w:bCs/>
                <w:color w:val="0000FF"/>
                <w:lang w:eastAsia="fr-FR"/>
              </w:rPr>
            </w:pPr>
            <w:r w:rsidRPr="008E7E8B">
              <w:rPr>
                <w:rFonts w:ascii="Calibri" w:eastAsia="Times New Roman" w:hAnsi="Calibri" w:cs="Calibri"/>
                <w:b/>
                <w:bCs/>
                <w:color w:val="0000FF"/>
                <w:lang w:eastAsia="fr-FR"/>
              </w:rPr>
              <w:t> </w:t>
            </w:r>
          </w:p>
        </w:tc>
        <w:tc>
          <w:tcPr>
            <w:tcW w:w="8989" w:type="dxa"/>
            <w:tcBorders>
              <w:top w:val="nil"/>
              <w:left w:val="nil"/>
              <w:bottom w:val="single" w:sz="4" w:space="0" w:color="5B9BD5"/>
              <w:right w:val="single" w:sz="4" w:space="0" w:color="5B9BD5"/>
            </w:tcBorders>
            <w:shd w:val="clear" w:color="auto" w:fill="auto"/>
            <w:noWrap/>
            <w:vAlign w:val="center"/>
            <w:hideMark/>
          </w:tcPr>
          <w:p w14:paraId="6D559FB9" w14:textId="77777777" w:rsidR="00EE237A" w:rsidRPr="00671E83" w:rsidRDefault="00EE237A" w:rsidP="00770FFD">
            <w:pPr>
              <w:spacing w:after="0" w:line="240" w:lineRule="auto"/>
              <w:jc w:val="both"/>
              <w:rPr>
                <w:rFonts w:ascii="Calibri" w:eastAsia="Times New Roman" w:hAnsi="Calibri" w:cs="Calibri"/>
                <w:color w:val="000000"/>
                <w:lang w:eastAsia="fr-FR"/>
              </w:rPr>
            </w:pPr>
            <w:r w:rsidRPr="00671E83">
              <w:rPr>
                <w:rFonts w:ascii="Calibri" w:eastAsia="Times New Roman" w:hAnsi="Calibri" w:cs="Calibri"/>
                <w:b/>
                <w:bCs/>
                <w:color w:val="000000"/>
                <w:lang w:eastAsia="fr-FR"/>
              </w:rPr>
              <w:t xml:space="preserve">a) </w:t>
            </w:r>
            <w:r w:rsidRPr="00671E83">
              <w:rPr>
                <w:rFonts w:ascii="Calibri" w:eastAsia="Times New Roman" w:hAnsi="Calibri" w:cs="Calibri"/>
                <w:color w:val="000000"/>
                <w:lang w:eastAsia="fr-FR"/>
              </w:rPr>
              <w:t>Une perte partielle ou totale de la capacité de financement non garantie, y compris la liquidité ou les lignes de crédit confirmées ou non confirmées reçues;</w:t>
            </w:r>
          </w:p>
        </w:tc>
      </w:tr>
      <w:tr w:rsidR="00EE237A" w:rsidRPr="008E7E8B" w14:paraId="648DA508" w14:textId="77777777" w:rsidTr="00BE34D2">
        <w:trPr>
          <w:trHeight w:val="425"/>
        </w:trPr>
        <w:tc>
          <w:tcPr>
            <w:tcW w:w="282" w:type="dxa"/>
            <w:tcBorders>
              <w:top w:val="nil"/>
              <w:left w:val="single" w:sz="4" w:space="0" w:color="auto"/>
              <w:bottom w:val="nil"/>
              <w:right w:val="nil"/>
            </w:tcBorders>
            <w:shd w:val="clear" w:color="auto" w:fill="auto"/>
            <w:noWrap/>
            <w:vAlign w:val="center"/>
            <w:hideMark/>
          </w:tcPr>
          <w:p w14:paraId="329909B9"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3416DFC4" w14:textId="77777777" w:rsidR="00EE237A" w:rsidRPr="008E7E8B" w:rsidRDefault="00EE237A" w:rsidP="00770FFD">
            <w:pPr>
              <w:spacing w:after="0" w:line="240" w:lineRule="auto"/>
              <w:jc w:val="right"/>
              <w:rPr>
                <w:rFonts w:ascii="Calibri" w:eastAsia="Times New Roman" w:hAnsi="Calibri" w:cs="Calibri"/>
                <w:b/>
                <w:bCs/>
                <w:color w:val="0000FF"/>
                <w:lang w:eastAsia="fr-FR"/>
              </w:rPr>
            </w:pPr>
            <w:r w:rsidRPr="008E7E8B">
              <w:rPr>
                <w:rFonts w:ascii="Calibri" w:eastAsia="Times New Roman" w:hAnsi="Calibri" w:cs="Calibri"/>
                <w:b/>
                <w:bCs/>
                <w:color w:val="0000FF"/>
                <w:lang w:eastAsia="fr-FR"/>
              </w:rPr>
              <w:t> </w:t>
            </w:r>
          </w:p>
        </w:tc>
        <w:tc>
          <w:tcPr>
            <w:tcW w:w="8989" w:type="dxa"/>
            <w:tcBorders>
              <w:top w:val="nil"/>
              <w:left w:val="nil"/>
              <w:bottom w:val="single" w:sz="4" w:space="0" w:color="5B9BD5"/>
              <w:right w:val="single" w:sz="4" w:space="0" w:color="5B9BD5"/>
            </w:tcBorders>
            <w:shd w:val="clear" w:color="auto" w:fill="auto"/>
            <w:noWrap/>
            <w:vAlign w:val="center"/>
            <w:hideMark/>
          </w:tcPr>
          <w:p w14:paraId="6C9328B5" w14:textId="77777777" w:rsidR="00EE237A" w:rsidRPr="00671E83" w:rsidRDefault="00EE237A" w:rsidP="00770FFD">
            <w:pPr>
              <w:spacing w:after="0" w:line="240" w:lineRule="auto"/>
              <w:jc w:val="both"/>
              <w:rPr>
                <w:rFonts w:ascii="Calibri" w:eastAsia="Times New Roman" w:hAnsi="Calibri" w:cs="Calibri"/>
                <w:color w:val="000000"/>
                <w:lang w:eastAsia="fr-FR"/>
              </w:rPr>
            </w:pPr>
            <w:r w:rsidRPr="00671E83">
              <w:rPr>
                <w:rFonts w:ascii="Calibri" w:eastAsia="Times New Roman" w:hAnsi="Calibri" w:cs="Calibri"/>
                <w:b/>
                <w:bCs/>
                <w:color w:val="000000"/>
                <w:lang w:eastAsia="fr-FR"/>
              </w:rPr>
              <w:t xml:space="preserve">b) </w:t>
            </w:r>
            <w:r w:rsidRPr="00671E83">
              <w:rPr>
                <w:rFonts w:ascii="Calibri" w:eastAsia="Times New Roman" w:hAnsi="Calibri" w:cs="Calibri"/>
                <w:color w:val="000000"/>
                <w:lang w:eastAsia="fr-FR"/>
              </w:rPr>
              <w:t>Une perte partielle ou totale de financements à court terme garantis;</w:t>
            </w:r>
          </w:p>
        </w:tc>
      </w:tr>
      <w:tr w:rsidR="00EE237A" w:rsidRPr="008E7E8B" w14:paraId="252D3154" w14:textId="77777777" w:rsidTr="00BE34D2">
        <w:trPr>
          <w:trHeight w:val="374"/>
        </w:trPr>
        <w:tc>
          <w:tcPr>
            <w:tcW w:w="282" w:type="dxa"/>
            <w:tcBorders>
              <w:top w:val="nil"/>
              <w:left w:val="single" w:sz="4" w:space="0" w:color="auto"/>
              <w:bottom w:val="nil"/>
              <w:right w:val="nil"/>
            </w:tcBorders>
            <w:shd w:val="clear" w:color="auto" w:fill="auto"/>
            <w:noWrap/>
            <w:vAlign w:val="center"/>
            <w:hideMark/>
          </w:tcPr>
          <w:p w14:paraId="290118B9"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2A1E2B81" w14:textId="77777777" w:rsidR="00EE237A" w:rsidRPr="008E7E8B" w:rsidRDefault="00EE237A" w:rsidP="00770FFD">
            <w:pPr>
              <w:spacing w:after="0" w:line="240" w:lineRule="auto"/>
              <w:jc w:val="right"/>
              <w:rPr>
                <w:rFonts w:ascii="Calibri" w:eastAsia="Times New Roman" w:hAnsi="Calibri" w:cs="Calibri"/>
                <w:b/>
                <w:bCs/>
                <w:color w:val="0000FF"/>
                <w:lang w:eastAsia="fr-FR"/>
              </w:rPr>
            </w:pPr>
            <w:r w:rsidRPr="008E7E8B">
              <w:rPr>
                <w:rFonts w:ascii="Calibri" w:eastAsia="Times New Roman" w:hAnsi="Calibri" w:cs="Calibri"/>
                <w:b/>
                <w:bCs/>
                <w:color w:val="0000FF"/>
                <w:lang w:eastAsia="fr-FR"/>
              </w:rPr>
              <w:t> </w:t>
            </w:r>
          </w:p>
        </w:tc>
        <w:tc>
          <w:tcPr>
            <w:tcW w:w="8989" w:type="dxa"/>
            <w:tcBorders>
              <w:top w:val="nil"/>
              <w:left w:val="nil"/>
              <w:bottom w:val="single" w:sz="4" w:space="0" w:color="5B9BD5"/>
              <w:right w:val="single" w:sz="4" w:space="0" w:color="5B9BD5"/>
            </w:tcBorders>
            <w:shd w:val="clear" w:color="auto" w:fill="auto"/>
            <w:noWrap/>
            <w:vAlign w:val="center"/>
            <w:hideMark/>
          </w:tcPr>
          <w:p w14:paraId="6277B37A" w14:textId="77777777" w:rsidR="00EE237A" w:rsidRPr="00671E83" w:rsidRDefault="00EE237A" w:rsidP="00770FFD">
            <w:pPr>
              <w:spacing w:after="0" w:line="240" w:lineRule="auto"/>
              <w:jc w:val="both"/>
              <w:rPr>
                <w:rFonts w:ascii="Calibri" w:eastAsia="Times New Roman" w:hAnsi="Calibri" w:cs="Calibri"/>
                <w:color w:val="000000"/>
                <w:lang w:eastAsia="fr-FR"/>
              </w:rPr>
            </w:pPr>
            <w:r w:rsidRPr="00671E83">
              <w:rPr>
                <w:rFonts w:ascii="Calibri" w:eastAsia="Times New Roman" w:hAnsi="Calibri" w:cs="Calibri"/>
                <w:b/>
                <w:bCs/>
                <w:color w:val="000000"/>
                <w:lang w:eastAsia="fr-FR"/>
              </w:rPr>
              <w:t xml:space="preserve">c) </w:t>
            </w:r>
            <w:r w:rsidRPr="00671E83">
              <w:rPr>
                <w:rFonts w:ascii="Calibri" w:eastAsia="Times New Roman" w:hAnsi="Calibri" w:cs="Calibri"/>
                <w:color w:val="000000"/>
                <w:lang w:eastAsia="fr-FR"/>
              </w:rPr>
              <w:t>Obligation potentielle de rachat de dette ou d'honorer des obligations non contractuelles.</w:t>
            </w:r>
          </w:p>
        </w:tc>
      </w:tr>
      <w:tr w:rsidR="00EE237A" w:rsidRPr="008E7E8B" w14:paraId="09DE1B65" w14:textId="77777777" w:rsidTr="00BE34D2">
        <w:trPr>
          <w:trHeight w:val="1152"/>
        </w:trPr>
        <w:tc>
          <w:tcPr>
            <w:tcW w:w="282" w:type="dxa"/>
            <w:tcBorders>
              <w:top w:val="nil"/>
              <w:left w:val="single" w:sz="4" w:space="0" w:color="auto"/>
              <w:bottom w:val="nil"/>
              <w:right w:val="nil"/>
            </w:tcBorders>
            <w:shd w:val="clear" w:color="auto" w:fill="auto"/>
            <w:noWrap/>
            <w:vAlign w:val="center"/>
            <w:hideMark/>
          </w:tcPr>
          <w:p w14:paraId="51CA2D78"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543F3926"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3</w:t>
            </w:r>
          </w:p>
        </w:tc>
        <w:tc>
          <w:tcPr>
            <w:tcW w:w="8989" w:type="dxa"/>
            <w:tcBorders>
              <w:top w:val="nil"/>
              <w:left w:val="nil"/>
              <w:bottom w:val="single" w:sz="4" w:space="0" w:color="5B9BD5"/>
              <w:right w:val="single" w:sz="4" w:space="0" w:color="5B9BD5"/>
            </w:tcBorders>
            <w:shd w:val="clear" w:color="auto" w:fill="auto"/>
            <w:vAlign w:val="center"/>
            <w:hideMark/>
          </w:tcPr>
          <w:p w14:paraId="18803781" w14:textId="77777777" w:rsidR="00EE237A" w:rsidRPr="00671E83" w:rsidRDefault="008459AD" w:rsidP="00770FFD">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 xml:space="preserve">Existence de </w:t>
            </w:r>
            <w:r w:rsidR="00EE237A" w:rsidRPr="00671E83">
              <w:rPr>
                <w:rFonts w:ascii="Calibri" w:eastAsia="Times New Roman" w:hAnsi="Calibri" w:cs="Calibri"/>
                <w:color w:val="000000"/>
                <w:lang w:eastAsia="fr-FR"/>
              </w:rPr>
              <w:t>combinaison d’événements liés au marché et de tensions idiosyncratiques liés à la situation des émetteurs des actifs de l’entreprise d’investissement ou liés aux bailleurs de fonds de l’entreprise d’investissement.</w:t>
            </w:r>
          </w:p>
        </w:tc>
      </w:tr>
      <w:tr w:rsidR="00EE237A" w:rsidRPr="008E7E8B" w14:paraId="0FFB1740" w14:textId="77777777" w:rsidTr="00BE34D2">
        <w:trPr>
          <w:trHeight w:val="1166"/>
        </w:trPr>
        <w:tc>
          <w:tcPr>
            <w:tcW w:w="282" w:type="dxa"/>
            <w:tcBorders>
              <w:top w:val="nil"/>
              <w:left w:val="single" w:sz="4" w:space="0" w:color="auto"/>
              <w:bottom w:val="nil"/>
              <w:right w:val="nil"/>
            </w:tcBorders>
            <w:shd w:val="clear" w:color="auto" w:fill="auto"/>
            <w:noWrap/>
            <w:vAlign w:val="center"/>
            <w:hideMark/>
          </w:tcPr>
          <w:p w14:paraId="28CDA8C4"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74D02E15"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4</w:t>
            </w:r>
          </w:p>
        </w:tc>
        <w:tc>
          <w:tcPr>
            <w:tcW w:w="8989" w:type="dxa"/>
            <w:tcBorders>
              <w:top w:val="nil"/>
              <w:left w:val="nil"/>
              <w:bottom w:val="single" w:sz="4" w:space="0" w:color="5B9BD5"/>
              <w:right w:val="single" w:sz="4" w:space="0" w:color="5B9BD5"/>
            </w:tcBorders>
            <w:shd w:val="clear" w:color="auto" w:fill="auto"/>
            <w:noWrap/>
            <w:vAlign w:val="center"/>
            <w:hideMark/>
          </w:tcPr>
          <w:p w14:paraId="7184D562" w14:textId="77777777" w:rsidR="00EE237A" w:rsidRPr="00671E83" w:rsidRDefault="00EE237A" w:rsidP="008459AD">
            <w:pPr>
              <w:spacing w:after="0" w:line="240" w:lineRule="auto"/>
              <w:jc w:val="both"/>
              <w:rPr>
                <w:rFonts w:ascii="Calibri" w:eastAsia="Times New Roman" w:hAnsi="Calibri" w:cs="Calibri"/>
                <w:color w:val="000000"/>
                <w:lang w:eastAsia="fr-FR"/>
              </w:rPr>
            </w:pPr>
            <w:r w:rsidRPr="00671E83">
              <w:rPr>
                <w:rFonts w:ascii="Calibri" w:eastAsia="Times New Roman" w:hAnsi="Calibri" w:cs="Calibri"/>
                <w:color w:val="000000"/>
                <w:lang w:eastAsia="fr-FR"/>
              </w:rPr>
              <w:t xml:space="preserve">Lorsque l’entreprise d’investissement fait partie d’un groupe, </w:t>
            </w:r>
            <w:r w:rsidR="008459AD">
              <w:rPr>
                <w:rFonts w:ascii="Calibri" w:eastAsia="Times New Roman" w:hAnsi="Calibri" w:cs="Calibri"/>
                <w:color w:val="000000"/>
                <w:lang w:eastAsia="fr-FR"/>
              </w:rPr>
              <w:t>indiquer comment</w:t>
            </w:r>
            <w:r w:rsidRPr="00671E83">
              <w:rPr>
                <w:rFonts w:ascii="Calibri" w:eastAsia="Times New Roman" w:hAnsi="Calibri" w:cs="Calibri"/>
                <w:color w:val="000000"/>
                <w:lang w:eastAsia="fr-FR"/>
              </w:rPr>
              <w:t xml:space="preserve"> les conditions défavorables visées aux paragraphes 2 et 3 peuvent affecter la situation de liquidité de l’ensemble du groupe et les conclusions de l’évaluation réalisée en vertu de l’article 8 du présent règlement.</w:t>
            </w:r>
          </w:p>
        </w:tc>
      </w:tr>
      <w:tr w:rsidR="00EE237A" w:rsidRPr="008E7E8B" w14:paraId="56E8DAF3" w14:textId="77777777" w:rsidTr="00BE34D2">
        <w:trPr>
          <w:trHeight w:val="360"/>
        </w:trPr>
        <w:tc>
          <w:tcPr>
            <w:tcW w:w="282" w:type="dxa"/>
            <w:tcBorders>
              <w:top w:val="nil"/>
              <w:left w:val="single" w:sz="4" w:space="0" w:color="auto"/>
              <w:bottom w:val="single" w:sz="4" w:space="0" w:color="auto"/>
              <w:right w:val="nil"/>
            </w:tcBorders>
            <w:shd w:val="clear" w:color="000000" w:fill="DDEBF7"/>
            <w:noWrap/>
            <w:vAlign w:val="center"/>
            <w:hideMark/>
          </w:tcPr>
          <w:p w14:paraId="2EB7B576" w14:textId="77777777" w:rsidR="00EE237A" w:rsidRPr="008E7E8B" w:rsidRDefault="00EE237A" w:rsidP="00770FFD">
            <w:pPr>
              <w:spacing w:after="0" w:line="240" w:lineRule="auto"/>
              <w:jc w:val="center"/>
              <w:rPr>
                <w:rFonts w:ascii="Calibri" w:eastAsia="Times New Roman" w:hAnsi="Calibri" w:cs="Calibri"/>
                <w:b/>
                <w:bCs/>
                <w:color w:val="0000FF"/>
                <w:sz w:val="28"/>
                <w:szCs w:val="28"/>
                <w:lang w:eastAsia="fr-FR"/>
              </w:rPr>
            </w:pPr>
            <w:r w:rsidRPr="008E7E8B">
              <w:rPr>
                <w:rFonts w:ascii="Calibri" w:eastAsia="Times New Roman" w:hAnsi="Calibri" w:cs="Calibri"/>
                <w:b/>
                <w:bCs/>
                <w:color w:val="0000FF"/>
                <w:sz w:val="28"/>
                <w:szCs w:val="28"/>
                <w:lang w:eastAsia="fr-FR"/>
              </w:rPr>
              <w:t>4</w:t>
            </w:r>
          </w:p>
        </w:tc>
        <w:tc>
          <w:tcPr>
            <w:tcW w:w="9357" w:type="dxa"/>
            <w:gridSpan w:val="2"/>
            <w:tcBorders>
              <w:top w:val="nil"/>
              <w:left w:val="nil"/>
              <w:bottom w:val="single" w:sz="4" w:space="0" w:color="auto"/>
              <w:right w:val="nil"/>
            </w:tcBorders>
            <w:shd w:val="clear" w:color="000000" w:fill="DDEBF7"/>
            <w:vAlign w:val="center"/>
            <w:hideMark/>
          </w:tcPr>
          <w:p w14:paraId="58B94715" w14:textId="77777777" w:rsidR="00EE237A" w:rsidRPr="008E7E8B" w:rsidRDefault="00EE237A" w:rsidP="00770FFD">
            <w:pPr>
              <w:spacing w:after="0" w:line="240" w:lineRule="auto"/>
              <w:rPr>
                <w:rFonts w:ascii="Calibri" w:eastAsia="Times New Roman" w:hAnsi="Calibri" w:cs="Calibri"/>
                <w:b/>
                <w:bCs/>
                <w:i/>
                <w:iCs/>
                <w:color w:val="0000FF"/>
                <w:sz w:val="28"/>
                <w:szCs w:val="28"/>
                <w:lang w:eastAsia="fr-FR"/>
              </w:rPr>
            </w:pPr>
            <w:r w:rsidRPr="008E7E8B">
              <w:rPr>
                <w:rFonts w:ascii="Calibri" w:eastAsia="Times New Roman" w:hAnsi="Calibri" w:cs="Calibri"/>
                <w:b/>
                <w:bCs/>
                <w:i/>
                <w:iCs/>
                <w:color w:val="0000FF"/>
                <w:sz w:val="28"/>
                <w:szCs w:val="28"/>
                <w:lang w:eastAsia="fr-FR"/>
              </w:rPr>
              <w:t>Risque opérationnel affectant la liquidité (Article 5)</w:t>
            </w:r>
          </w:p>
        </w:tc>
      </w:tr>
      <w:tr w:rsidR="00EE237A" w:rsidRPr="008E7E8B" w14:paraId="3D63DC8E" w14:textId="77777777" w:rsidTr="00BE34D2">
        <w:trPr>
          <w:trHeight w:val="348"/>
        </w:trPr>
        <w:tc>
          <w:tcPr>
            <w:tcW w:w="282" w:type="dxa"/>
            <w:tcBorders>
              <w:top w:val="nil"/>
              <w:left w:val="single" w:sz="4" w:space="0" w:color="auto"/>
              <w:bottom w:val="nil"/>
              <w:right w:val="nil"/>
            </w:tcBorders>
            <w:shd w:val="clear" w:color="auto" w:fill="auto"/>
            <w:noWrap/>
            <w:vAlign w:val="center"/>
            <w:hideMark/>
          </w:tcPr>
          <w:p w14:paraId="3E2492D0"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9357" w:type="dxa"/>
            <w:gridSpan w:val="2"/>
            <w:tcBorders>
              <w:top w:val="single" w:sz="4" w:space="0" w:color="auto"/>
              <w:left w:val="single" w:sz="4" w:space="0" w:color="5B9BD5"/>
              <w:bottom w:val="single" w:sz="4" w:space="0" w:color="5B9BD5"/>
              <w:right w:val="single" w:sz="4" w:space="0" w:color="5B9BD5"/>
            </w:tcBorders>
            <w:shd w:val="clear" w:color="auto" w:fill="auto"/>
            <w:vAlign w:val="center"/>
            <w:hideMark/>
          </w:tcPr>
          <w:p w14:paraId="1C211D0A" w14:textId="77777777" w:rsidR="00EE237A" w:rsidRPr="008E7E8B" w:rsidRDefault="00EE237A" w:rsidP="00770FFD">
            <w:pPr>
              <w:spacing w:after="0" w:line="240" w:lineRule="auto"/>
              <w:rPr>
                <w:rFonts w:ascii="Calibri" w:eastAsia="Times New Roman" w:hAnsi="Calibri" w:cs="Calibri"/>
                <w:b/>
                <w:bCs/>
                <w:color w:val="C00000"/>
                <w:sz w:val="26"/>
                <w:szCs w:val="26"/>
                <w:lang w:eastAsia="fr-FR"/>
              </w:rPr>
            </w:pPr>
            <w:r w:rsidRPr="008E7E8B">
              <w:rPr>
                <w:rFonts w:ascii="Calibri" w:eastAsia="Times New Roman" w:hAnsi="Calibri" w:cs="Calibri"/>
                <w:b/>
                <w:bCs/>
                <w:color w:val="C00000"/>
                <w:sz w:val="26"/>
                <w:szCs w:val="26"/>
                <w:lang w:eastAsia="fr-FR"/>
              </w:rPr>
              <w:t>Entreprises d'investissement de classe 2</w:t>
            </w:r>
          </w:p>
        </w:tc>
      </w:tr>
      <w:tr w:rsidR="00EE237A" w:rsidRPr="008E7E8B" w14:paraId="46FC6C55" w14:textId="77777777" w:rsidTr="00BE34D2">
        <w:trPr>
          <w:trHeight w:val="576"/>
        </w:trPr>
        <w:tc>
          <w:tcPr>
            <w:tcW w:w="282" w:type="dxa"/>
            <w:tcBorders>
              <w:top w:val="nil"/>
              <w:left w:val="single" w:sz="4" w:space="0" w:color="auto"/>
              <w:bottom w:val="nil"/>
              <w:right w:val="nil"/>
            </w:tcBorders>
            <w:shd w:val="clear" w:color="auto" w:fill="auto"/>
            <w:noWrap/>
            <w:vAlign w:val="center"/>
            <w:hideMark/>
          </w:tcPr>
          <w:p w14:paraId="3B10F7D9"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lastRenderedPageBreak/>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15010585"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a</w:t>
            </w:r>
          </w:p>
        </w:tc>
        <w:tc>
          <w:tcPr>
            <w:tcW w:w="8989" w:type="dxa"/>
            <w:tcBorders>
              <w:top w:val="nil"/>
              <w:left w:val="nil"/>
              <w:bottom w:val="single" w:sz="4" w:space="0" w:color="5B9BD5"/>
              <w:right w:val="single" w:sz="4" w:space="0" w:color="5B9BD5"/>
            </w:tcBorders>
            <w:shd w:val="clear" w:color="auto" w:fill="auto"/>
            <w:vAlign w:val="center"/>
            <w:hideMark/>
          </w:tcPr>
          <w:p w14:paraId="633D6FF1" w14:textId="77777777" w:rsidR="00EE237A" w:rsidRPr="008E7E8B" w:rsidRDefault="00EE237A" w:rsidP="00770FFD">
            <w:pPr>
              <w:spacing w:after="0" w:line="240" w:lineRule="auto"/>
              <w:jc w:val="both"/>
              <w:rPr>
                <w:rFonts w:ascii="Calibri" w:eastAsia="Times New Roman" w:hAnsi="Calibri" w:cs="Calibri"/>
                <w:color w:val="000000"/>
                <w:lang w:eastAsia="fr-FR"/>
              </w:rPr>
            </w:pPr>
            <w:r w:rsidRPr="008E7E8B">
              <w:rPr>
                <w:rFonts w:ascii="Calibri" w:eastAsia="Times New Roman" w:hAnsi="Calibri" w:cs="Calibri"/>
                <w:color w:val="000000"/>
                <w:lang w:eastAsia="fr-FR"/>
              </w:rPr>
              <w:t>L’indisponibilité des systèmes de l’entreprise d’investissement utilisés pour accéder au marché ou aux sources de financement;</w:t>
            </w:r>
          </w:p>
        </w:tc>
      </w:tr>
      <w:tr w:rsidR="00EE237A" w:rsidRPr="008E7E8B" w14:paraId="2F586092" w14:textId="77777777" w:rsidTr="00BE34D2">
        <w:trPr>
          <w:trHeight w:val="288"/>
        </w:trPr>
        <w:tc>
          <w:tcPr>
            <w:tcW w:w="282" w:type="dxa"/>
            <w:tcBorders>
              <w:top w:val="nil"/>
              <w:left w:val="single" w:sz="4" w:space="0" w:color="auto"/>
              <w:bottom w:val="nil"/>
              <w:right w:val="nil"/>
            </w:tcBorders>
            <w:shd w:val="clear" w:color="auto" w:fill="auto"/>
            <w:noWrap/>
            <w:vAlign w:val="center"/>
            <w:hideMark/>
          </w:tcPr>
          <w:p w14:paraId="5CD4D56A"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6C0C29DC"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b</w:t>
            </w:r>
          </w:p>
        </w:tc>
        <w:tc>
          <w:tcPr>
            <w:tcW w:w="8989" w:type="dxa"/>
            <w:tcBorders>
              <w:top w:val="nil"/>
              <w:left w:val="nil"/>
              <w:bottom w:val="single" w:sz="4" w:space="0" w:color="5B9BD5"/>
              <w:right w:val="single" w:sz="4" w:space="0" w:color="5B9BD5"/>
            </w:tcBorders>
            <w:shd w:val="clear" w:color="auto" w:fill="auto"/>
            <w:noWrap/>
            <w:vAlign w:val="center"/>
            <w:hideMark/>
          </w:tcPr>
          <w:p w14:paraId="29AEBB68" w14:textId="77777777" w:rsidR="00EE237A" w:rsidRPr="008E7E8B" w:rsidRDefault="00EE237A" w:rsidP="00770FFD">
            <w:pPr>
              <w:spacing w:after="0" w:line="240" w:lineRule="auto"/>
              <w:jc w:val="both"/>
              <w:rPr>
                <w:rFonts w:ascii="Calibri" w:eastAsia="Times New Roman" w:hAnsi="Calibri" w:cs="Calibri"/>
                <w:color w:val="000000"/>
                <w:lang w:eastAsia="fr-FR"/>
              </w:rPr>
            </w:pPr>
            <w:r w:rsidRPr="008E7E8B">
              <w:rPr>
                <w:rFonts w:ascii="Calibri" w:eastAsia="Times New Roman" w:hAnsi="Calibri" w:cs="Calibri"/>
                <w:color w:val="000000"/>
                <w:lang w:eastAsia="fr-FR"/>
              </w:rPr>
              <w:t>L'interruption des services aux conservateurs et aux correspondants de trésorerie;</w:t>
            </w:r>
          </w:p>
        </w:tc>
      </w:tr>
      <w:tr w:rsidR="00EE237A" w:rsidRPr="008E7E8B" w14:paraId="0D4446F9" w14:textId="77777777" w:rsidTr="00BE34D2">
        <w:trPr>
          <w:trHeight w:val="288"/>
        </w:trPr>
        <w:tc>
          <w:tcPr>
            <w:tcW w:w="282" w:type="dxa"/>
            <w:tcBorders>
              <w:top w:val="nil"/>
              <w:left w:val="single" w:sz="4" w:space="0" w:color="auto"/>
              <w:bottom w:val="nil"/>
              <w:right w:val="nil"/>
            </w:tcBorders>
            <w:shd w:val="clear" w:color="auto" w:fill="auto"/>
            <w:noWrap/>
            <w:vAlign w:val="center"/>
            <w:hideMark/>
          </w:tcPr>
          <w:p w14:paraId="6C7D8812"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26D9FBDF"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c</w:t>
            </w:r>
          </w:p>
        </w:tc>
        <w:tc>
          <w:tcPr>
            <w:tcW w:w="8989" w:type="dxa"/>
            <w:tcBorders>
              <w:top w:val="nil"/>
              <w:left w:val="nil"/>
              <w:bottom w:val="single" w:sz="4" w:space="0" w:color="5B9BD5"/>
              <w:right w:val="single" w:sz="4" w:space="0" w:color="5B9BD5"/>
            </w:tcBorders>
            <w:shd w:val="clear" w:color="auto" w:fill="auto"/>
            <w:noWrap/>
            <w:vAlign w:val="center"/>
            <w:hideMark/>
          </w:tcPr>
          <w:p w14:paraId="13A0720E" w14:textId="77777777" w:rsidR="00EE237A" w:rsidRPr="008E7E8B" w:rsidRDefault="00EE237A" w:rsidP="00770FFD">
            <w:pPr>
              <w:spacing w:after="0" w:line="240" w:lineRule="auto"/>
              <w:jc w:val="both"/>
              <w:rPr>
                <w:rFonts w:ascii="Calibri" w:eastAsia="Times New Roman" w:hAnsi="Calibri" w:cs="Calibri"/>
                <w:color w:val="000000"/>
                <w:lang w:eastAsia="fr-FR"/>
              </w:rPr>
            </w:pPr>
            <w:r w:rsidRPr="008E7E8B">
              <w:rPr>
                <w:rFonts w:ascii="Calibri" w:eastAsia="Times New Roman" w:hAnsi="Calibri" w:cs="Calibri"/>
                <w:color w:val="000000"/>
                <w:lang w:eastAsia="fr-FR"/>
              </w:rPr>
              <w:t>Les fraudes externes ou internes; et</w:t>
            </w:r>
          </w:p>
        </w:tc>
      </w:tr>
      <w:tr w:rsidR="00EE237A" w:rsidRPr="008E7E8B" w14:paraId="2C910826" w14:textId="77777777" w:rsidTr="00BE34D2">
        <w:trPr>
          <w:trHeight w:val="288"/>
        </w:trPr>
        <w:tc>
          <w:tcPr>
            <w:tcW w:w="282" w:type="dxa"/>
            <w:tcBorders>
              <w:top w:val="nil"/>
              <w:left w:val="single" w:sz="4" w:space="0" w:color="auto"/>
              <w:bottom w:val="nil"/>
              <w:right w:val="nil"/>
            </w:tcBorders>
            <w:shd w:val="clear" w:color="auto" w:fill="auto"/>
            <w:noWrap/>
            <w:vAlign w:val="center"/>
            <w:hideMark/>
          </w:tcPr>
          <w:p w14:paraId="0F6387AA"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785849FD"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d</w:t>
            </w:r>
          </w:p>
        </w:tc>
        <w:tc>
          <w:tcPr>
            <w:tcW w:w="8989" w:type="dxa"/>
            <w:tcBorders>
              <w:top w:val="nil"/>
              <w:left w:val="nil"/>
              <w:bottom w:val="single" w:sz="4" w:space="0" w:color="5B9BD5"/>
              <w:right w:val="single" w:sz="4" w:space="0" w:color="5B9BD5"/>
            </w:tcBorders>
            <w:shd w:val="clear" w:color="auto" w:fill="auto"/>
            <w:noWrap/>
            <w:vAlign w:val="center"/>
            <w:hideMark/>
          </w:tcPr>
          <w:p w14:paraId="6E1B68D1" w14:textId="77777777" w:rsidR="00EE237A" w:rsidRPr="008E7E8B" w:rsidRDefault="00EE237A" w:rsidP="00770FFD">
            <w:pPr>
              <w:spacing w:after="0" w:line="240" w:lineRule="auto"/>
              <w:jc w:val="both"/>
              <w:rPr>
                <w:rFonts w:ascii="Calibri" w:eastAsia="Times New Roman" w:hAnsi="Calibri" w:cs="Calibri"/>
                <w:color w:val="000000"/>
                <w:lang w:eastAsia="fr-FR"/>
              </w:rPr>
            </w:pPr>
            <w:r w:rsidRPr="008E7E8B">
              <w:rPr>
                <w:rFonts w:ascii="Calibri" w:eastAsia="Times New Roman" w:hAnsi="Calibri" w:cs="Calibri"/>
                <w:color w:val="000000"/>
                <w:lang w:eastAsia="fr-FR"/>
              </w:rPr>
              <w:t>Indemnisations et réclamations liées à des erreurs d'exécution des ordres.</w:t>
            </w:r>
          </w:p>
        </w:tc>
      </w:tr>
      <w:tr w:rsidR="00EE237A" w:rsidRPr="008E7E8B" w14:paraId="7D5ABF78" w14:textId="77777777" w:rsidTr="00BE34D2">
        <w:trPr>
          <w:trHeight w:val="360"/>
        </w:trPr>
        <w:tc>
          <w:tcPr>
            <w:tcW w:w="282" w:type="dxa"/>
            <w:tcBorders>
              <w:top w:val="nil"/>
              <w:left w:val="single" w:sz="4" w:space="0" w:color="auto"/>
              <w:bottom w:val="single" w:sz="4" w:space="0" w:color="auto"/>
              <w:right w:val="nil"/>
            </w:tcBorders>
            <w:shd w:val="clear" w:color="000000" w:fill="DDEBF7"/>
            <w:noWrap/>
            <w:vAlign w:val="center"/>
            <w:hideMark/>
          </w:tcPr>
          <w:p w14:paraId="52F254C6" w14:textId="77777777" w:rsidR="00EE237A" w:rsidRPr="008E7E8B" w:rsidRDefault="00EE237A" w:rsidP="00770FFD">
            <w:pPr>
              <w:spacing w:after="0" w:line="240" w:lineRule="auto"/>
              <w:jc w:val="center"/>
              <w:rPr>
                <w:rFonts w:ascii="Calibri" w:eastAsia="Times New Roman" w:hAnsi="Calibri" w:cs="Calibri"/>
                <w:b/>
                <w:bCs/>
                <w:color w:val="0000FF"/>
                <w:sz w:val="28"/>
                <w:szCs w:val="28"/>
                <w:lang w:eastAsia="fr-FR"/>
              </w:rPr>
            </w:pPr>
            <w:r w:rsidRPr="008E7E8B">
              <w:rPr>
                <w:rFonts w:ascii="Calibri" w:eastAsia="Times New Roman" w:hAnsi="Calibri" w:cs="Calibri"/>
                <w:b/>
                <w:bCs/>
                <w:color w:val="0000FF"/>
                <w:sz w:val="28"/>
                <w:szCs w:val="28"/>
                <w:lang w:eastAsia="fr-FR"/>
              </w:rPr>
              <w:t>5</w:t>
            </w:r>
          </w:p>
        </w:tc>
        <w:tc>
          <w:tcPr>
            <w:tcW w:w="9357" w:type="dxa"/>
            <w:gridSpan w:val="2"/>
            <w:tcBorders>
              <w:top w:val="nil"/>
              <w:left w:val="nil"/>
              <w:bottom w:val="single" w:sz="4" w:space="0" w:color="auto"/>
              <w:right w:val="nil"/>
            </w:tcBorders>
            <w:shd w:val="clear" w:color="000000" w:fill="DDEBF7"/>
            <w:vAlign w:val="bottom"/>
            <w:hideMark/>
          </w:tcPr>
          <w:p w14:paraId="35AB07E5" w14:textId="77777777" w:rsidR="00EE237A" w:rsidRPr="008E7E8B" w:rsidRDefault="00EE237A" w:rsidP="00770FFD">
            <w:pPr>
              <w:spacing w:after="0" w:line="240" w:lineRule="auto"/>
              <w:rPr>
                <w:rFonts w:ascii="Calibri" w:eastAsia="Times New Roman" w:hAnsi="Calibri" w:cs="Calibri"/>
                <w:b/>
                <w:bCs/>
                <w:i/>
                <w:iCs/>
                <w:color w:val="0000FF"/>
                <w:sz w:val="28"/>
                <w:szCs w:val="28"/>
                <w:lang w:eastAsia="fr-FR"/>
              </w:rPr>
            </w:pPr>
            <w:r w:rsidRPr="008E7E8B">
              <w:rPr>
                <w:rFonts w:ascii="Calibri" w:eastAsia="Times New Roman" w:hAnsi="Calibri" w:cs="Calibri"/>
                <w:b/>
                <w:bCs/>
                <w:i/>
                <w:iCs/>
                <w:color w:val="0000FF"/>
                <w:sz w:val="28"/>
                <w:szCs w:val="28"/>
                <w:lang w:eastAsia="fr-FR"/>
              </w:rPr>
              <w:t>Risque de rép</w:t>
            </w:r>
            <w:r w:rsidR="00770FFD">
              <w:rPr>
                <w:rFonts w:ascii="Calibri" w:eastAsia="Times New Roman" w:hAnsi="Calibri" w:cs="Calibri"/>
                <w:b/>
                <w:bCs/>
                <w:i/>
                <w:iCs/>
                <w:color w:val="0000FF"/>
                <w:sz w:val="28"/>
                <w:szCs w:val="28"/>
                <w:lang w:eastAsia="fr-FR"/>
              </w:rPr>
              <w:t xml:space="preserve">utation affectant la liquidité </w:t>
            </w:r>
            <w:r w:rsidRPr="008E7E8B">
              <w:rPr>
                <w:rFonts w:ascii="Calibri" w:eastAsia="Times New Roman" w:hAnsi="Calibri" w:cs="Calibri"/>
                <w:b/>
                <w:bCs/>
                <w:i/>
                <w:iCs/>
                <w:color w:val="0000FF"/>
                <w:sz w:val="28"/>
                <w:szCs w:val="28"/>
                <w:lang w:eastAsia="fr-FR"/>
              </w:rPr>
              <w:t>(Article 6)</w:t>
            </w:r>
          </w:p>
        </w:tc>
      </w:tr>
      <w:tr w:rsidR="00EE237A" w:rsidRPr="008E7E8B" w14:paraId="3ECA23DF" w14:textId="77777777" w:rsidTr="00BE34D2">
        <w:trPr>
          <w:trHeight w:val="348"/>
        </w:trPr>
        <w:tc>
          <w:tcPr>
            <w:tcW w:w="282" w:type="dxa"/>
            <w:tcBorders>
              <w:top w:val="nil"/>
              <w:left w:val="single" w:sz="4" w:space="0" w:color="auto"/>
              <w:bottom w:val="nil"/>
              <w:right w:val="nil"/>
            </w:tcBorders>
            <w:shd w:val="clear" w:color="auto" w:fill="auto"/>
            <w:noWrap/>
            <w:vAlign w:val="center"/>
            <w:hideMark/>
          </w:tcPr>
          <w:p w14:paraId="1D705249"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79117F60"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 </w:t>
            </w:r>
          </w:p>
        </w:tc>
        <w:tc>
          <w:tcPr>
            <w:tcW w:w="8989" w:type="dxa"/>
            <w:tcBorders>
              <w:top w:val="nil"/>
              <w:left w:val="nil"/>
              <w:bottom w:val="single" w:sz="4" w:space="0" w:color="5B9BD5"/>
              <w:right w:val="single" w:sz="4" w:space="0" w:color="5B9BD5"/>
            </w:tcBorders>
            <w:shd w:val="clear" w:color="auto" w:fill="auto"/>
            <w:vAlign w:val="center"/>
            <w:hideMark/>
          </w:tcPr>
          <w:p w14:paraId="2F50834E" w14:textId="77777777" w:rsidR="00EE237A" w:rsidRPr="008E7E8B" w:rsidRDefault="00EE237A" w:rsidP="00770FFD">
            <w:pPr>
              <w:spacing w:after="0" w:line="240" w:lineRule="auto"/>
              <w:rPr>
                <w:rFonts w:ascii="Calibri" w:eastAsia="Times New Roman" w:hAnsi="Calibri" w:cs="Calibri"/>
                <w:b/>
                <w:bCs/>
                <w:color w:val="C00000"/>
                <w:sz w:val="26"/>
                <w:szCs w:val="26"/>
                <w:lang w:eastAsia="fr-FR"/>
              </w:rPr>
            </w:pPr>
            <w:r w:rsidRPr="008E7E8B">
              <w:rPr>
                <w:rFonts w:ascii="Calibri" w:eastAsia="Times New Roman" w:hAnsi="Calibri" w:cs="Calibri"/>
                <w:b/>
                <w:bCs/>
                <w:color w:val="C00000"/>
                <w:sz w:val="26"/>
                <w:szCs w:val="26"/>
                <w:lang w:eastAsia="fr-FR"/>
              </w:rPr>
              <w:t>Entreprises d'investissement de classe 2</w:t>
            </w:r>
          </w:p>
        </w:tc>
      </w:tr>
      <w:tr w:rsidR="00EE237A" w:rsidRPr="008E7E8B" w14:paraId="1973A898" w14:textId="77777777" w:rsidTr="00BE34D2">
        <w:trPr>
          <w:trHeight w:val="288"/>
        </w:trPr>
        <w:tc>
          <w:tcPr>
            <w:tcW w:w="282" w:type="dxa"/>
            <w:tcBorders>
              <w:top w:val="nil"/>
              <w:left w:val="single" w:sz="4" w:space="0" w:color="auto"/>
              <w:bottom w:val="nil"/>
              <w:right w:val="nil"/>
            </w:tcBorders>
            <w:shd w:val="clear" w:color="auto" w:fill="auto"/>
            <w:noWrap/>
            <w:vAlign w:val="center"/>
            <w:hideMark/>
          </w:tcPr>
          <w:p w14:paraId="6BCF085D"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0080B646"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a</w:t>
            </w:r>
          </w:p>
        </w:tc>
        <w:tc>
          <w:tcPr>
            <w:tcW w:w="8989" w:type="dxa"/>
            <w:tcBorders>
              <w:top w:val="nil"/>
              <w:left w:val="nil"/>
              <w:bottom w:val="single" w:sz="4" w:space="0" w:color="5B9BD5"/>
              <w:right w:val="single" w:sz="4" w:space="0" w:color="5B9BD5"/>
            </w:tcBorders>
            <w:shd w:val="clear" w:color="auto" w:fill="auto"/>
            <w:noWrap/>
            <w:vAlign w:val="center"/>
            <w:hideMark/>
          </w:tcPr>
          <w:p w14:paraId="64DD50DA" w14:textId="77777777" w:rsidR="00EE237A" w:rsidRPr="008E7E8B" w:rsidRDefault="00EE237A" w:rsidP="00770FFD">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L</w:t>
            </w:r>
            <w:r w:rsidRPr="008E7E8B">
              <w:rPr>
                <w:rFonts w:ascii="Calibri" w:eastAsia="Times New Roman" w:hAnsi="Calibri" w:cs="Calibri"/>
                <w:color w:val="000000"/>
                <w:lang w:eastAsia="fr-FR"/>
              </w:rPr>
              <w:t>’accès des entreprises d’investissement aux marchés est réduit;</w:t>
            </w:r>
          </w:p>
        </w:tc>
      </w:tr>
      <w:tr w:rsidR="00EE237A" w:rsidRPr="008E7E8B" w14:paraId="20DF1C87" w14:textId="77777777" w:rsidTr="00BE34D2">
        <w:trPr>
          <w:trHeight w:val="576"/>
        </w:trPr>
        <w:tc>
          <w:tcPr>
            <w:tcW w:w="282" w:type="dxa"/>
            <w:tcBorders>
              <w:top w:val="nil"/>
              <w:left w:val="single" w:sz="4" w:space="0" w:color="auto"/>
              <w:bottom w:val="nil"/>
              <w:right w:val="nil"/>
            </w:tcBorders>
            <w:shd w:val="clear" w:color="auto" w:fill="auto"/>
            <w:noWrap/>
            <w:vAlign w:val="center"/>
            <w:hideMark/>
          </w:tcPr>
          <w:p w14:paraId="051795A8"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74D4F79D"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b</w:t>
            </w:r>
          </w:p>
        </w:tc>
        <w:tc>
          <w:tcPr>
            <w:tcW w:w="8989" w:type="dxa"/>
            <w:tcBorders>
              <w:top w:val="nil"/>
              <w:left w:val="nil"/>
              <w:bottom w:val="single" w:sz="4" w:space="0" w:color="5B9BD5"/>
              <w:right w:val="single" w:sz="4" w:space="0" w:color="5B9BD5"/>
            </w:tcBorders>
            <w:shd w:val="clear" w:color="auto" w:fill="auto"/>
            <w:vAlign w:val="center"/>
            <w:hideMark/>
          </w:tcPr>
          <w:p w14:paraId="292C3AF9" w14:textId="77777777" w:rsidR="00EE237A" w:rsidRPr="008E7E8B" w:rsidRDefault="00EE237A" w:rsidP="00770FFD">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L</w:t>
            </w:r>
            <w:r w:rsidRPr="008E7E8B">
              <w:rPr>
                <w:rFonts w:ascii="Calibri" w:eastAsia="Times New Roman" w:hAnsi="Calibri" w:cs="Calibri"/>
                <w:color w:val="000000"/>
                <w:lang w:eastAsia="fr-FR"/>
              </w:rPr>
              <w:t>es sources de financement de l’entreprise d’investissement sont réduites par ses contreparties ;</w:t>
            </w:r>
          </w:p>
        </w:tc>
      </w:tr>
      <w:tr w:rsidR="00EE237A" w:rsidRPr="008E7E8B" w14:paraId="1CF2684B" w14:textId="77777777" w:rsidTr="00BE34D2">
        <w:trPr>
          <w:trHeight w:val="576"/>
        </w:trPr>
        <w:tc>
          <w:tcPr>
            <w:tcW w:w="282" w:type="dxa"/>
            <w:tcBorders>
              <w:top w:val="nil"/>
              <w:left w:val="single" w:sz="4" w:space="0" w:color="auto"/>
              <w:bottom w:val="nil"/>
              <w:right w:val="nil"/>
            </w:tcBorders>
            <w:shd w:val="clear" w:color="auto" w:fill="auto"/>
            <w:noWrap/>
            <w:vAlign w:val="center"/>
            <w:hideMark/>
          </w:tcPr>
          <w:p w14:paraId="2A56381E"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48B39EE8"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c</w:t>
            </w:r>
          </w:p>
        </w:tc>
        <w:tc>
          <w:tcPr>
            <w:tcW w:w="8989" w:type="dxa"/>
            <w:tcBorders>
              <w:top w:val="nil"/>
              <w:left w:val="nil"/>
              <w:bottom w:val="single" w:sz="4" w:space="0" w:color="5B9BD5"/>
              <w:right w:val="single" w:sz="4" w:space="0" w:color="5B9BD5"/>
            </w:tcBorders>
            <w:shd w:val="clear" w:color="auto" w:fill="auto"/>
            <w:vAlign w:val="center"/>
            <w:hideMark/>
          </w:tcPr>
          <w:p w14:paraId="2DE3F31D" w14:textId="77777777" w:rsidR="00EE237A" w:rsidRPr="008E7E8B" w:rsidRDefault="00EE237A" w:rsidP="00770FFD">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L</w:t>
            </w:r>
            <w:r w:rsidRPr="008E7E8B">
              <w:rPr>
                <w:rFonts w:ascii="Calibri" w:eastAsia="Times New Roman" w:hAnsi="Calibri" w:cs="Calibri"/>
                <w:color w:val="000000"/>
                <w:lang w:eastAsia="fr-FR"/>
              </w:rPr>
              <w:t>es contreparties du marché réduisent leurs expositions vis-à-vis de l’entreprise d’investissement dans le cadre d’opérations de gré à gré.</w:t>
            </w:r>
          </w:p>
        </w:tc>
      </w:tr>
      <w:tr w:rsidR="00EE237A" w:rsidRPr="008E7E8B" w14:paraId="6FE52C3E" w14:textId="77777777" w:rsidTr="00BE34D2">
        <w:trPr>
          <w:trHeight w:val="360"/>
        </w:trPr>
        <w:tc>
          <w:tcPr>
            <w:tcW w:w="282" w:type="dxa"/>
            <w:tcBorders>
              <w:top w:val="nil"/>
              <w:left w:val="single" w:sz="4" w:space="0" w:color="auto"/>
              <w:bottom w:val="single" w:sz="4" w:space="0" w:color="auto"/>
              <w:right w:val="nil"/>
            </w:tcBorders>
            <w:shd w:val="clear" w:color="000000" w:fill="DDEBF7"/>
            <w:noWrap/>
            <w:vAlign w:val="center"/>
            <w:hideMark/>
          </w:tcPr>
          <w:p w14:paraId="1A97C709" w14:textId="77777777" w:rsidR="00EE237A" w:rsidRPr="008E7E8B" w:rsidRDefault="00EE237A" w:rsidP="00770FFD">
            <w:pPr>
              <w:spacing w:after="0" w:line="240" w:lineRule="auto"/>
              <w:jc w:val="center"/>
              <w:rPr>
                <w:rFonts w:ascii="Calibri" w:eastAsia="Times New Roman" w:hAnsi="Calibri" w:cs="Calibri"/>
                <w:b/>
                <w:bCs/>
                <w:color w:val="0000FF"/>
                <w:sz w:val="28"/>
                <w:szCs w:val="28"/>
                <w:lang w:eastAsia="fr-FR"/>
              </w:rPr>
            </w:pPr>
            <w:r w:rsidRPr="008E7E8B">
              <w:rPr>
                <w:rFonts w:ascii="Calibri" w:eastAsia="Times New Roman" w:hAnsi="Calibri" w:cs="Calibri"/>
                <w:b/>
                <w:bCs/>
                <w:color w:val="0000FF"/>
                <w:sz w:val="28"/>
                <w:szCs w:val="28"/>
                <w:lang w:eastAsia="fr-FR"/>
              </w:rPr>
              <w:t>6</w:t>
            </w:r>
          </w:p>
        </w:tc>
        <w:tc>
          <w:tcPr>
            <w:tcW w:w="9357" w:type="dxa"/>
            <w:gridSpan w:val="2"/>
            <w:tcBorders>
              <w:top w:val="nil"/>
              <w:left w:val="nil"/>
              <w:bottom w:val="single" w:sz="4" w:space="0" w:color="auto"/>
              <w:right w:val="nil"/>
            </w:tcBorders>
            <w:shd w:val="clear" w:color="000000" w:fill="DDEBF7"/>
            <w:vAlign w:val="center"/>
            <w:hideMark/>
          </w:tcPr>
          <w:p w14:paraId="4BBB6A2D" w14:textId="77777777" w:rsidR="00EE237A" w:rsidRPr="008E7E8B" w:rsidRDefault="00EE237A" w:rsidP="00770FFD">
            <w:pPr>
              <w:spacing w:after="0" w:line="240" w:lineRule="auto"/>
              <w:rPr>
                <w:rFonts w:ascii="Calibri" w:eastAsia="Times New Roman" w:hAnsi="Calibri" w:cs="Calibri"/>
                <w:b/>
                <w:bCs/>
                <w:i/>
                <w:iCs/>
                <w:color w:val="0000FF"/>
                <w:sz w:val="28"/>
                <w:szCs w:val="28"/>
                <w:lang w:eastAsia="fr-FR"/>
              </w:rPr>
            </w:pPr>
            <w:r w:rsidRPr="008E7E8B">
              <w:rPr>
                <w:rFonts w:ascii="Calibri" w:eastAsia="Times New Roman" w:hAnsi="Calibri" w:cs="Calibri"/>
                <w:b/>
                <w:bCs/>
                <w:i/>
                <w:iCs/>
                <w:color w:val="0000FF"/>
                <w:sz w:val="28"/>
                <w:szCs w:val="28"/>
                <w:lang w:eastAsia="fr-FR"/>
              </w:rPr>
              <w:t>Gestion et contrôle sains du risque de liquidité (Article 7)</w:t>
            </w:r>
          </w:p>
        </w:tc>
      </w:tr>
      <w:tr w:rsidR="00EE237A" w:rsidRPr="008E7E8B" w14:paraId="72869F46" w14:textId="77777777" w:rsidTr="00BE34D2">
        <w:trPr>
          <w:trHeight w:val="348"/>
        </w:trPr>
        <w:tc>
          <w:tcPr>
            <w:tcW w:w="282" w:type="dxa"/>
            <w:tcBorders>
              <w:top w:val="nil"/>
              <w:left w:val="single" w:sz="4" w:space="0" w:color="auto"/>
              <w:bottom w:val="nil"/>
              <w:right w:val="nil"/>
            </w:tcBorders>
            <w:shd w:val="clear" w:color="auto" w:fill="auto"/>
            <w:noWrap/>
            <w:vAlign w:val="center"/>
            <w:hideMark/>
          </w:tcPr>
          <w:p w14:paraId="45DF35F1"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9357" w:type="dxa"/>
            <w:gridSpan w:val="2"/>
            <w:tcBorders>
              <w:top w:val="single" w:sz="4" w:space="0" w:color="auto"/>
              <w:left w:val="single" w:sz="4" w:space="0" w:color="5B9BD5"/>
              <w:bottom w:val="single" w:sz="4" w:space="0" w:color="5B9BD5"/>
              <w:right w:val="single" w:sz="4" w:space="0" w:color="5B9BD5"/>
            </w:tcBorders>
            <w:shd w:val="clear" w:color="auto" w:fill="auto"/>
            <w:vAlign w:val="center"/>
            <w:hideMark/>
          </w:tcPr>
          <w:p w14:paraId="1F253C4A" w14:textId="77777777" w:rsidR="00EE237A" w:rsidRPr="008E7E8B" w:rsidRDefault="00EE237A" w:rsidP="00C5264D">
            <w:pPr>
              <w:spacing w:after="0" w:line="240" w:lineRule="auto"/>
              <w:rPr>
                <w:rFonts w:ascii="Calibri" w:eastAsia="Times New Roman" w:hAnsi="Calibri" w:cs="Calibri"/>
                <w:b/>
                <w:bCs/>
                <w:color w:val="C00000"/>
                <w:sz w:val="26"/>
                <w:szCs w:val="26"/>
                <w:lang w:eastAsia="fr-FR"/>
              </w:rPr>
            </w:pPr>
            <w:r w:rsidRPr="008E7E8B">
              <w:rPr>
                <w:rFonts w:ascii="Calibri" w:eastAsia="Times New Roman" w:hAnsi="Calibri" w:cs="Calibri"/>
                <w:b/>
                <w:bCs/>
                <w:color w:val="C00000"/>
                <w:sz w:val="26"/>
                <w:szCs w:val="26"/>
                <w:lang w:eastAsia="fr-FR"/>
              </w:rPr>
              <w:t>Entreprises d'investissement de classe 2</w:t>
            </w:r>
          </w:p>
        </w:tc>
      </w:tr>
      <w:tr w:rsidR="00EE237A" w:rsidRPr="008E7E8B" w14:paraId="633E9A9B" w14:textId="77777777" w:rsidTr="00BE34D2">
        <w:trPr>
          <w:trHeight w:val="600"/>
        </w:trPr>
        <w:tc>
          <w:tcPr>
            <w:tcW w:w="282" w:type="dxa"/>
            <w:tcBorders>
              <w:top w:val="nil"/>
              <w:left w:val="single" w:sz="4" w:space="0" w:color="auto"/>
              <w:bottom w:val="nil"/>
              <w:right w:val="nil"/>
            </w:tcBorders>
            <w:shd w:val="clear" w:color="auto" w:fill="auto"/>
            <w:noWrap/>
            <w:vAlign w:val="center"/>
            <w:hideMark/>
          </w:tcPr>
          <w:p w14:paraId="319929B5"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5BE1C02C"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a</w:t>
            </w:r>
          </w:p>
        </w:tc>
        <w:tc>
          <w:tcPr>
            <w:tcW w:w="8989" w:type="dxa"/>
            <w:tcBorders>
              <w:top w:val="nil"/>
              <w:left w:val="nil"/>
              <w:bottom w:val="single" w:sz="4" w:space="0" w:color="5B9BD5"/>
              <w:right w:val="single" w:sz="4" w:space="0" w:color="5B9BD5"/>
            </w:tcBorders>
            <w:shd w:val="clear" w:color="auto" w:fill="auto"/>
            <w:vAlign w:val="center"/>
            <w:hideMark/>
          </w:tcPr>
          <w:p w14:paraId="7E963365" w14:textId="77777777" w:rsidR="00EE237A" w:rsidRPr="008E7E8B" w:rsidRDefault="00EE237A" w:rsidP="00770FFD">
            <w:pPr>
              <w:spacing w:after="0" w:line="240" w:lineRule="auto"/>
              <w:jc w:val="both"/>
              <w:rPr>
                <w:rFonts w:ascii="Calibri" w:eastAsia="Times New Roman" w:hAnsi="Calibri" w:cs="Calibri"/>
                <w:color w:val="000000"/>
                <w:lang w:eastAsia="fr-FR"/>
              </w:rPr>
            </w:pPr>
            <w:r w:rsidRPr="008E7E8B">
              <w:rPr>
                <w:rFonts w:ascii="Calibri" w:eastAsia="Times New Roman" w:hAnsi="Calibri" w:cs="Calibri"/>
                <w:color w:val="000000"/>
                <w:lang w:eastAsia="fr-FR"/>
              </w:rPr>
              <w:t>Les systèmes de mesure, de gestion et de déclaration du risque de liquidité et son cadre de gouvernance, y compris l'adéquation de la fonction de gestion des risques;</w:t>
            </w:r>
          </w:p>
        </w:tc>
      </w:tr>
      <w:tr w:rsidR="00EE237A" w:rsidRPr="008E7E8B" w14:paraId="3F1E9653" w14:textId="77777777" w:rsidTr="00BE34D2">
        <w:trPr>
          <w:trHeight w:val="836"/>
        </w:trPr>
        <w:tc>
          <w:tcPr>
            <w:tcW w:w="282" w:type="dxa"/>
            <w:tcBorders>
              <w:top w:val="nil"/>
              <w:left w:val="single" w:sz="4" w:space="0" w:color="auto"/>
              <w:bottom w:val="nil"/>
              <w:right w:val="nil"/>
            </w:tcBorders>
            <w:shd w:val="clear" w:color="auto" w:fill="auto"/>
            <w:noWrap/>
            <w:vAlign w:val="center"/>
            <w:hideMark/>
          </w:tcPr>
          <w:p w14:paraId="73BE2251"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603780D9"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b</w:t>
            </w:r>
          </w:p>
        </w:tc>
        <w:tc>
          <w:tcPr>
            <w:tcW w:w="8989" w:type="dxa"/>
            <w:tcBorders>
              <w:top w:val="nil"/>
              <w:left w:val="nil"/>
              <w:bottom w:val="single" w:sz="4" w:space="0" w:color="5B9BD5"/>
              <w:right w:val="single" w:sz="4" w:space="0" w:color="5B9BD5"/>
            </w:tcBorders>
            <w:shd w:val="clear" w:color="auto" w:fill="auto"/>
            <w:vAlign w:val="center"/>
            <w:hideMark/>
          </w:tcPr>
          <w:p w14:paraId="4C56F5C0" w14:textId="77777777" w:rsidR="00EE237A" w:rsidRPr="008E7E8B" w:rsidRDefault="00EE237A" w:rsidP="00770FFD">
            <w:pPr>
              <w:spacing w:after="0" w:line="240" w:lineRule="auto"/>
              <w:jc w:val="both"/>
              <w:rPr>
                <w:rFonts w:ascii="Calibri" w:eastAsia="Times New Roman" w:hAnsi="Calibri" w:cs="Calibri"/>
                <w:color w:val="000000"/>
                <w:lang w:eastAsia="fr-FR"/>
              </w:rPr>
            </w:pPr>
            <w:r w:rsidRPr="008E7E8B">
              <w:rPr>
                <w:rFonts w:ascii="Calibri" w:eastAsia="Times New Roman" w:hAnsi="Calibri" w:cs="Calibri"/>
                <w:color w:val="000000"/>
                <w:lang w:eastAsia="fr-FR"/>
              </w:rPr>
              <w:t>Toute mesure d'atténuation, y compris la réduction des activités nécessitant d'importantes sorties de trésorerie, la mise en place de lignes de crédit, l'augmentation de capital en espèces et l'utilisation d'actifs en garantie dans les opérations de pension;</w:t>
            </w:r>
          </w:p>
        </w:tc>
      </w:tr>
      <w:tr w:rsidR="00EE237A" w:rsidRPr="008E7E8B" w14:paraId="753EE96B" w14:textId="77777777" w:rsidTr="00BE34D2">
        <w:trPr>
          <w:trHeight w:val="966"/>
        </w:trPr>
        <w:tc>
          <w:tcPr>
            <w:tcW w:w="282" w:type="dxa"/>
            <w:tcBorders>
              <w:top w:val="nil"/>
              <w:left w:val="single" w:sz="4" w:space="0" w:color="auto"/>
              <w:bottom w:val="nil"/>
              <w:right w:val="nil"/>
            </w:tcBorders>
            <w:shd w:val="clear" w:color="auto" w:fill="auto"/>
            <w:noWrap/>
            <w:vAlign w:val="center"/>
            <w:hideMark/>
          </w:tcPr>
          <w:p w14:paraId="1379C43F"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416A7369"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c</w:t>
            </w:r>
          </w:p>
        </w:tc>
        <w:tc>
          <w:tcPr>
            <w:tcW w:w="8989" w:type="dxa"/>
            <w:tcBorders>
              <w:top w:val="nil"/>
              <w:left w:val="nil"/>
              <w:bottom w:val="single" w:sz="4" w:space="0" w:color="5B9BD5"/>
              <w:right w:val="single" w:sz="4" w:space="0" w:color="5B9BD5"/>
            </w:tcBorders>
            <w:shd w:val="clear" w:color="auto" w:fill="auto"/>
            <w:vAlign w:val="center"/>
            <w:hideMark/>
          </w:tcPr>
          <w:p w14:paraId="2BDA6AC6" w14:textId="77777777" w:rsidR="00EE237A" w:rsidRPr="008E7E8B" w:rsidRDefault="00EE237A" w:rsidP="00770FFD">
            <w:pPr>
              <w:spacing w:after="0" w:line="240" w:lineRule="auto"/>
              <w:jc w:val="both"/>
              <w:rPr>
                <w:rFonts w:ascii="Calibri" w:eastAsia="Times New Roman" w:hAnsi="Calibri" w:cs="Calibri"/>
                <w:color w:val="000000"/>
                <w:lang w:eastAsia="fr-FR"/>
              </w:rPr>
            </w:pPr>
            <w:r w:rsidRPr="008E7E8B">
              <w:rPr>
                <w:rFonts w:ascii="Calibri" w:eastAsia="Times New Roman" w:hAnsi="Calibri" w:cs="Calibri"/>
                <w:color w:val="000000"/>
                <w:lang w:eastAsia="fr-FR"/>
              </w:rPr>
              <w:t>La solidité du plan de redressement de l’entreprise d’investissement, lorsque l’obligation d’élaborer et de maintenir un plan de redressement conformément à l’article 5, paragraphe 1, de la directive 2014/59/UE du Parlement européen et du Conseil</w:t>
            </w:r>
            <w:r>
              <w:rPr>
                <w:rFonts w:ascii="Calibri" w:eastAsia="Times New Roman" w:hAnsi="Calibri" w:cs="Calibri"/>
                <w:color w:val="000000"/>
                <w:lang w:eastAsia="fr-FR"/>
              </w:rPr>
              <w:t xml:space="preserve"> </w:t>
            </w:r>
            <w:r w:rsidRPr="008E7E8B">
              <w:rPr>
                <w:rFonts w:ascii="Calibri" w:eastAsia="Times New Roman" w:hAnsi="Calibri" w:cs="Calibri"/>
                <w:color w:val="000000"/>
                <w:lang w:eastAsia="fr-FR"/>
              </w:rPr>
              <w:t>s’applique.</w:t>
            </w:r>
          </w:p>
        </w:tc>
      </w:tr>
      <w:tr w:rsidR="00EE237A" w:rsidRPr="008E7E8B" w14:paraId="4A214833" w14:textId="77777777" w:rsidTr="00BE34D2">
        <w:trPr>
          <w:trHeight w:val="360"/>
        </w:trPr>
        <w:tc>
          <w:tcPr>
            <w:tcW w:w="282" w:type="dxa"/>
            <w:tcBorders>
              <w:top w:val="nil"/>
              <w:left w:val="single" w:sz="4" w:space="0" w:color="auto"/>
              <w:bottom w:val="single" w:sz="4" w:space="0" w:color="auto"/>
              <w:right w:val="nil"/>
            </w:tcBorders>
            <w:shd w:val="clear" w:color="000000" w:fill="DDEBF7"/>
            <w:noWrap/>
            <w:vAlign w:val="center"/>
            <w:hideMark/>
          </w:tcPr>
          <w:p w14:paraId="098DB69E" w14:textId="77777777" w:rsidR="00EE237A" w:rsidRPr="008E7E8B" w:rsidRDefault="00EE237A" w:rsidP="00770FFD">
            <w:pPr>
              <w:spacing w:after="0" w:line="240" w:lineRule="auto"/>
              <w:jc w:val="center"/>
              <w:rPr>
                <w:rFonts w:ascii="Calibri" w:eastAsia="Times New Roman" w:hAnsi="Calibri" w:cs="Calibri"/>
                <w:b/>
                <w:bCs/>
                <w:color w:val="0000FF"/>
                <w:sz w:val="28"/>
                <w:szCs w:val="28"/>
                <w:lang w:eastAsia="fr-FR"/>
              </w:rPr>
            </w:pPr>
            <w:r w:rsidRPr="008E7E8B">
              <w:rPr>
                <w:rFonts w:ascii="Calibri" w:eastAsia="Times New Roman" w:hAnsi="Calibri" w:cs="Calibri"/>
                <w:b/>
                <w:bCs/>
                <w:color w:val="0000FF"/>
                <w:sz w:val="28"/>
                <w:szCs w:val="28"/>
                <w:lang w:eastAsia="fr-FR"/>
              </w:rPr>
              <w:t>7</w:t>
            </w:r>
          </w:p>
        </w:tc>
        <w:tc>
          <w:tcPr>
            <w:tcW w:w="9357" w:type="dxa"/>
            <w:gridSpan w:val="2"/>
            <w:tcBorders>
              <w:top w:val="nil"/>
              <w:left w:val="nil"/>
              <w:bottom w:val="single" w:sz="4" w:space="0" w:color="auto"/>
              <w:right w:val="nil"/>
            </w:tcBorders>
            <w:shd w:val="clear" w:color="000000" w:fill="DDEBF7"/>
            <w:vAlign w:val="center"/>
            <w:hideMark/>
          </w:tcPr>
          <w:p w14:paraId="1CA391E9" w14:textId="77777777" w:rsidR="00EE237A" w:rsidRPr="008E7E8B" w:rsidRDefault="00EE237A" w:rsidP="00770FFD">
            <w:pPr>
              <w:spacing w:after="0" w:line="240" w:lineRule="auto"/>
              <w:rPr>
                <w:rFonts w:ascii="Calibri" w:eastAsia="Times New Roman" w:hAnsi="Calibri" w:cs="Calibri"/>
                <w:b/>
                <w:bCs/>
                <w:i/>
                <w:iCs/>
                <w:color w:val="0000FF"/>
                <w:sz w:val="28"/>
                <w:szCs w:val="28"/>
                <w:lang w:eastAsia="fr-FR"/>
              </w:rPr>
            </w:pPr>
            <w:r w:rsidRPr="008E7E8B">
              <w:rPr>
                <w:rFonts w:ascii="Calibri" w:eastAsia="Times New Roman" w:hAnsi="Calibri" w:cs="Calibri"/>
                <w:b/>
                <w:bCs/>
                <w:i/>
                <w:iCs/>
                <w:color w:val="0000FF"/>
                <w:sz w:val="28"/>
                <w:szCs w:val="28"/>
                <w:lang w:eastAsia="fr-FR"/>
              </w:rPr>
              <w:t>Structure du groupe pertinent pour le risque de liquidité (Article 8)</w:t>
            </w:r>
          </w:p>
        </w:tc>
      </w:tr>
      <w:tr w:rsidR="00EE237A" w:rsidRPr="008E7E8B" w14:paraId="2970B373" w14:textId="77777777" w:rsidTr="00BE34D2">
        <w:trPr>
          <w:trHeight w:val="348"/>
        </w:trPr>
        <w:tc>
          <w:tcPr>
            <w:tcW w:w="282" w:type="dxa"/>
            <w:tcBorders>
              <w:top w:val="nil"/>
              <w:left w:val="single" w:sz="4" w:space="0" w:color="auto"/>
              <w:bottom w:val="nil"/>
              <w:right w:val="nil"/>
            </w:tcBorders>
            <w:shd w:val="clear" w:color="auto" w:fill="auto"/>
            <w:noWrap/>
            <w:vAlign w:val="center"/>
            <w:hideMark/>
          </w:tcPr>
          <w:p w14:paraId="79DB9AF9"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9357" w:type="dxa"/>
            <w:gridSpan w:val="2"/>
            <w:tcBorders>
              <w:top w:val="single" w:sz="4" w:space="0" w:color="auto"/>
              <w:left w:val="single" w:sz="4" w:space="0" w:color="5B9BD5"/>
              <w:bottom w:val="single" w:sz="4" w:space="0" w:color="5B9BD5"/>
              <w:right w:val="single" w:sz="4" w:space="0" w:color="5B9BD5"/>
            </w:tcBorders>
            <w:shd w:val="clear" w:color="auto" w:fill="auto"/>
            <w:vAlign w:val="center"/>
            <w:hideMark/>
          </w:tcPr>
          <w:p w14:paraId="78D5497A" w14:textId="77777777" w:rsidR="00EE237A" w:rsidRPr="008E7E8B" w:rsidRDefault="00EE237A" w:rsidP="00770FFD">
            <w:pPr>
              <w:spacing w:after="0" w:line="240" w:lineRule="auto"/>
              <w:rPr>
                <w:rFonts w:ascii="Calibri" w:eastAsia="Times New Roman" w:hAnsi="Calibri" w:cs="Calibri"/>
                <w:b/>
                <w:bCs/>
                <w:color w:val="C00000"/>
                <w:sz w:val="26"/>
                <w:szCs w:val="26"/>
                <w:lang w:eastAsia="fr-FR"/>
              </w:rPr>
            </w:pPr>
            <w:r w:rsidRPr="008E7E8B">
              <w:rPr>
                <w:rFonts w:ascii="Calibri" w:eastAsia="Times New Roman" w:hAnsi="Calibri" w:cs="Calibri"/>
                <w:b/>
                <w:bCs/>
                <w:color w:val="C00000"/>
                <w:sz w:val="26"/>
                <w:szCs w:val="26"/>
                <w:lang w:eastAsia="fr-FR"/>
              </w:rPr>
              <w:t>Entreprises d'investissement de classes 2 et 3</w:t>
            </w:r>
          </w:p>
        </w:tc>
      </w:tr>
      <w:tr w:rsidR="00EE237A" w:rsidRPr="008E7E8B" w14:paraId="5C848EE3" w14:textId="77777777" w:rsidTr="00BE34D2">
        <w:trPr>
          <w:trHeight w:val="1152"/>
        </w:trPr>
        <w:tc>
          <w:tcPr>
            <w:tcW w:w="282" w:type="dxa"/>
            <w:tcBorders>
              <w:top w:val="nil"/>
              <w:left w:val="single" w:sz="4" w:space="0" w:color="auto"/>
              <w:bottom w:val="nil"/>
              <w:right w:val="nil"/>
            </w:tcBorders>
            <w:shd w:val="clear" w:color="auto" w:fill="auto"/>
            <w:noWrap/>
            <w:vAlign w:val="center"/>
            <w:hideMark/>
          </w:tcPr>
          <w:p w14:paraId="63A10C6E"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3466C701"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1</w:t>
            </w:r>
          </w:p>
        </w:tc>
        <w:tc>
          <w:tcPr>
            <w:tcW w:w="8989" w:type="dxa"/>
            <w:tcBorders>
              <w:top w:val="nil"/>
              <w:left w:val="nil"/>
              <w:bottom w:val="single" w:sz="4" w:space="0" w:color="5B9BD5"/>
              <w:right w:val="single" w:sz="4" w:space="0" w:color="5B9BD5"/>
            </w:tcBorders>
            <w:shd w:val="clear" w:color="auto" w:fill="auto"/>
            <w:vAlign w:val="center"/>
            <w:hideMark/>
          </w:tcPr>
          <w:p w14:paraId="65ED528B" w14:textId="77777777" w:rsidR="00EE237A" w:rsidRPr="008E7E8B" w:rsidRDefault="00EE237A" w:rsidP="008459AD">
            <w:pPr>
              <w:spacing w:after="0" w:line="240" w:lineRule="auto"/>
              <w:jc w:val="both"/>
              <w:rPr>
                <w:rFonts w:ascii="Calibri" w:eastAsia="Times New Roman" w:hAnsi="Calibri" w:cs="Calibri"/>
                <w:color w:val="000000"/>
                <w:lang w:eastAsia="fr-FR"/>
              </w:rPr>
            </w:pPr>
            <w:r w:rsidRPr="008E7E8B">
              <w:rPr>
                <w:rFonts w:ascii="Calibri" w:eastAsia="Times New Roman" w:hAnsi="Calibri" w:cs="Calibri"/>
                <w:color w:val="000000"/>
                <w:lang w:eastAsia="fr-FR"/>
              </w:rPr>
              <w:t xml:space="preserve">Lorsqu’une entreprise d’investissement fait partie d’un groupe au sens de l’article 3, paragraphe 1, point 13), de la directive (UE) 2019/2034, </w:t>
            </w:r>
            <w:r w:rsidR="008459AD">
              <w:rPr>
                <w:rFonts w:ascii="Calibri" w:eastAsia="Times New Roman" w:hAnsi="Calibri" w:cs="Calibri"/>
                <w:color w:val="000000"/>
                <w:lang w:eastAsia="fr-FR"/>
              </w:rPr>
              <w:t>évaluer</w:t>
            </w:r>
            <w:r w:rsidRPr="008E7E8B">
              <w:rPr>
                <w:rFonts w:ascii="Calibri" w:eastAsia="Times New Roman" w:hAnsi="Calibri" w:cs="Calibri"/>
                <w:color w:val="000000"/>
                <w:lang w:eastAsia="fr-FR"/>
              </w:rPr>
              <w:t xml:space="preserve"> le risque que comporte une concentration excessive des ressources de liquidité entre les entités du groupe.</w:t>
            </w:r>
          </w:p>
        </w:tc>
      </w:tr>
      <w:tr w:rsidR="00EE237A" w:rsidRPr="008E7E8B" w14:paraId="05C260FB" w14:textId="77777777" w:rsidTr="00BE34D2">
        <w:trPr>
          <w:trHeight w:val="864"/>
        </w:trPr>
        <w:tc>
          <w:tcPr>
            <w:tcW w:w="282" w:type="dxa"/>
            <w:tcBorders>
              <w:top w:val="nil"/>
              <w:left w:val="single" w:sz="4" w:space="0" w:color="auto"/>
              <w:bottom w:val="nil"/>
              <w:right w:val="nil"/>
            </w:tcBorders>
            <w:shd w:val="clear" w:color="auto" w:fill="auto"/>
            <w:noWrap/>
            <w:vAlign w:val="center"/>
            <w:hideMark/>
          </w:tcPr>
          <w:p w14:paraId="646A85FC"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65A3077C"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2</w:t>
            </w:r>
          </w:p>
        </w:tc>
        <w:tc>
          <w:tcPr>
            <w:tcW w:w="8989" w:type="dxa"/>
            <w:tcBorders>
              <w:top w:val="nil"/>
              <w:left w:val="nil"/>
              <w:bottom w:val="single" w:sz="4" w:space="0" w:color="5B9BD5"/>
              <w:right w:val="single" w:sz="4" w:space="0" w:color="5B9BD5"/>
            </w:tcBorders>
            <w:shd w:val="clear" w:color="auto" w:fill="auto"/>
            <w:vAlign w:val="center"/>
            <w:hideMark/>
          </w:tcPr>
          <w:p w14:paraId="3A631250" w14:textId="77777777" w:rsidR="00EE237A" w:rsidRPr="008E7E8B" w:rsidRDefault="008459AD" w:rsidP="008459AD">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Existence</w:t>
            </w:r>
            <w:r w:rsidR="00EE237A" w:rsidRPr="008E7E8B">
              <w:rPr>
                <w:rFonts w:ascii="Calibri" w:eastAsia="Times New Roman" w:hAnsi="Calibri" w:cs="Calibri"/>
                <w:color w:val="000000"/>
                <w:lang w:eastAsia="fr-FR"/>
              </w:rPr>
              <w:t xml:space="preserve"> de mécanismes qui demandent à l’entreprise d’investissement de transférer tout ou partie de ses ressources en liquidité à une entreprise mère ou à toute autre entité du groupe. </w:t>
            </w:r>
          </w:p>
        </w:tc>
      </w:tr>
      <w:tr w:rsidR="00EE237A" w:rsidRPr="008E7E8B" w14:paraId="480333A8" w14:textId="77777777" w:rsidTr="00BE34D2">
        <w:trPr>
          <w:trHeight w:val="1152"/>
        </w:trPr>
        <w:tc>
          <w:tcPr>
            <w:tcW w:w="282" w:type="dxa"/>
            <w:tcBorders>
              <w:top w:val="nil"/>
              <w:left w:val="single" w:sz="4" w:space="0" w:color="auto"/>
              <w:bottom w:val="nil"/>
              <w:right w:val="nil"/>
            </w:tcBorders>
            <w:shd w:val="clear" w:color="auto" w:fill="auto"/>
            <w:noWrap/>
            <w:vAlign w:val="center"/>
            <w:hideMark/>
          </w:tcPr>
          <w:p w14:paraId="0D0F2F77" w14:textId="77777777" w:rsidR="00EE237A" w:rsidRPr="008E7E8B" w:rsidRDefault="00EE237A" w:rsidP="00770FFD">
            <w:pPr>
              <w:spacing w:after="0" w:line="240" w:lineRule="auto"/>
              <w:jc w:val="center"/>
              <w:rPr>
                <w:rFonts w:ascii="Calibri" w:eastAsia="Times New Roman" w:hAnsi="Calibri" w:cs="Calibri"/>
                <w:color w:val="000000"/>
                <w:lang w:eastAsia="fr-FR"/>
              </w:rPr>
            </w:pPr>
            <w:r w:rsidRPr="008E7E8B">
              <w:rPr>
                <w:rFonts w:ascii="Calibri" w:eastAsia="Times New Roman" w:hAnsi="Calibri" w:cs="Calibri"/>
                <w:color w:val="000000"/>
                <w:lang w:eastAsia="fr-FR"/>
              </w:rPr>
              <w:t> </w:t>
            </w:r>
          </w:p>
        </w:tc>
        <w:tc>
          <w:tcPr>
            <w:tcW w:w="368" w:type="dxa"/>
            <w:tcBorders>
              <w:top w:val="nil"/>
              <w:left w:val="single" w:sz="4" w:space="0" w:color="5B9BD5"/>
              <w:bottom w:val="single" w:sz="4" w:space="0" w:color="5B9BD5"/>
              <w:right w:val="single" w:sz="4" w:space="0" w:color="5B9BD5"/>
            </w:tcBorders>
            <w:shd w:val="clear" w:color="000000" w:fill="FFF2CC"/>
            <w:noWrap/>
            <w:vAlign w:val="center"/>
            <w:hideMark/>
          </w:tcPr>
          <w:p w14:paraId="1A9C9723" w14:textId="77777777" w:rsidR="00EE237A" w:rsidRPr="008E7E8B" w:rsidRDefault="00EE237A" w:rsidP="00770FFD">
            <w:pPr>
              <w:spacing w:after="0" w:line="240" w:lineRule="auto"/>
              <w:jc w:val="center"/>
              <w:rPr>
                <w:rFonts w:ascii="Calibri" w:eastAsia="Times New Roman" w:hAnsi="Calibri" w:cs="Calibri"/>
                <w:b/>
                <w:bCs/>
                <w:color w:val="000000"/>
                <w:lang w:eastAsia="fr-FR"/>
              </w:rPr>
            </w:pPr>
            <w:r w:rsidRPr="008E7E8B">
              <w:rPr>
                <w:rFonts w:ascii="Calibri" w:eastAsia="Times New Roman" w:hAnsi="Calibri" w:cs="Calibri"/>
                <w:b/>
                <w:bCs/>
                <w:color w:val="000000"/>
                <w:lang w:eastAsia="fr-FR"/>
              </w:rPr>
              <w:t>3</w:t>
            </w:r>
          </w:p>
        </w:tc>
        <w:tc>
          <w:tcPr>
            <w:tcW w:w="8989" w:type="dxa"/>
            <w:tcBorders>
              <w:top w:val="nil"/>
              <w:left w:val="nil"/>
              <w:bottom w:val="single" w:sz="4" w:space="0" w:color="5B9BD5"/>
              <w:right w:val="single" w:sz="4" w:space="0" w:color="5B9BD5"/>
            </w:tcBorders>
            <w:shd w:val="clear" w:color="auto" w:fill="auto"/>
            <w:vAlign w:val="center"/>
            <w:hideMark/>
          </w:tcPr>
          <w:p w14:paraId="045EE852" w14:textId="77777777" w:rsidR="00EE237A" w:rsidRPr="008E7E8B" w:rsidRDefault="008459AD" w:rsidP="00770FFD">
            <w:pPr>
              <w:spacing w:after="0" w:line="240" w:lineRule="auto"/>
              <w:jc w:val="both"/>
              <w:rPr>
                <w:rFonts w:ascii="Calibri" w:eastAsia="Times New Roman" w:hAnsi="Calibri" w:cs="Calibri"/>
                <w:color w:val="000000"/>
                <w:lang w:eastAsia="fr-FR"/>
              </w:rPr>
            </w:pPr>
            <w:r>
              <w:rPr>
                <w:rFonts w:ascii="Calibri" w:eastAsia="Times New Roman" w:hAnsi="Calibri" w:cs="Calibri"/>
                <w:color w:val="000000"/>
                <w:lang w:eastAsia="fr-FR"/>
              </w:rPr>
              <w:t>Existence de</w:t>
            </w:r>
            <w:r w:rsidR="00EE237A" w:rsidRPr="008E7E8B">
              <w:rPr>
                <w:rFonts w:ascii="Calibri" w:eastAsia="Times New Roman" w:hAnsi="Calibri" w:cs="Calibri"/>
                <w:color w:val="000000"/>
                <w:lang w:eastAsia="fr-FR"/>
              </w:rPr>
              <w:t xml:space="preserve"> mécanismes utilisés au sein du groupe pour donner à l’entreprise d’investissement un accès aux liquidités de marché ou de financement ou pour atténuer son risque de liquidité, et notamment leur efficacité en se fondant sur le fait qu’il s’agit d’accords formels prédéfinis.</w:t>
            </w:r>
          </w:p>
        </w:tc>
      </w:tr>
    </w:tbl>
    <w:p w14:paraId="3DE191C4" w14:textId="77777777" w:rsidR="00EE237A" w:rsidRDefault="00EE237A" w:rsidP="00EE237A">
      <w:pPr>
        <w:widowControl w:val="0"/>
        <w:autoSpaceDE w:val="0"/>
        <w:autoSpaceDN w:val="0"/>
        <w:adjustRightInd w:val="0"/>
        <w:spacing w:after="0" w:line="240" w:lineRule="auto"/>
        <w:jc w:val="both"/>
        <w:rPr>
          <w:rFonts w:ascii="Times New Roman" w:eastAsia="Batang" w:hAnsi="Times New Roman" w:cs="Times New Roman"/>
          <w:b/>
          <w:sz w:val="24"/>
          <w:szCs w:val="24"/>
          <w:u w:val="single"/>
        </w:rPr>
      </w:pPr>
    </w:p>
    <w:p w14:paraId="11A1EEF6" w14:textId="77777777" w:rsidR="00EE237A" w:rsidRDefault="00EE237A" w:rsidP="00640178">
      <w:pPr>
        <w:spacing w:after="0"/>
        <w:jc w:val="both"/>
        <w:rPr>
          <w:rFonts w:ascii="Times New Roman" w:hAnsi="Times New Roman" w:cs="Times New Roman"/>
          <w:sz w:val="24"/>
          <w:szCs w:val="24"/>
        </w:rPr>
      </w:pPr>
    </w:p>
    <w:p w14:paraId="0C591648" w14:textId="77777777" w:rsidR="00A560DF" w:rsidRDefault="00A560DF">
      <w:pPr>
        <w:pStyle w:val="Titre1"/>
        <w:sectPr w:rsidR="00A560DF" w:rsidSect="00BC4B68">
          <w:headerReference w:type="default" r:id="rId10"/>
          <w:footerReference w:type="default" r:id="rId11"/>
          <w:pgSz w:w="11906" w:h="16838" w:code="9"/>
          <w:pgMar w:top="1134" w:right="1134" w:bottom="1134" w:left="1134" w:header="709" w:footer="709" w:gutter="0"/>
          <w:cols w:space="708"/>
          <w:docGrid w:linePitch="360"/>
        </w:sectPr>
      </w:pPr>
    </w:p>
    <w:p w14:paraId="50B88380" w14:textId="77777777" w:rsidR="00EE237A" w:rsidRPr="00EE237A" w:rsidRDefault="00EE237A">
      <w:pPr>
        <w:pStyle w:val="Titre1"/>
      </w:pPr>
      <w:bookmarkStart w:id="27" w:name="_Toc145687433"/>
      <w:r w:rsidRPr="00EE237A">
        <w:lastRenderedPageBreak/>
        <w:t>Annexe 3</w:t>
      </w:r>
      <w:bookmarkEnd w:id="27"/>
      <w:r w:rsidRPr="00EE237A">
        <w:t xml:space="preserve"> </w:t>
      </w:r>
    </w:p>
    <w:p w14:paraId="519999F2" w14:textId="77777777" w:rsidR="00EE237A" w:rsidRPr="00EE237A" w:rsidRDefault="00713950" w:rsidP="00EE237A">
      <w:pPr>
        <w:spacing w:after="0"/>
        <w:jc w:val="both"/>
        <w:rPr>
          <w:rFonts w:ascii="Times New Roman" w:hAnsi="Times New Roman" w:cs="Times New Roman"/>
          <w:sz w:val="24"/>
          <w:szCs w:val="24"/>
        </w:rPr>
      </w:pPr>
      <w:r>
        <w:rPr>
          <w:rFonts w:ascii="Times New Roman" w:hAnsi="Times New Roman" w:cs="Times New Roman"/>
          <w:sz w:val="24"/>
          <w:szCs w:val="24"/>
        </w:rPr>
        <w:t>Lorsque l’entreprise d’investissement ne dispose pas d</w:t>
      </w:r>
      <w:r w:rsidR="002E2E1F">
        <w:rPr>
          <w:rFonts w:ascii="Times New Roman" w:hAnsi="Times New Roman" w:cs="Times New Roman"/>
          <w:sz w:val="24"/>
          <w:szCs w:val="24"/>
        </w:rPr>
        <w:t>e</w:t>
      </w:r>
      <w:r>
        <w:rPr>
          <w:rFonts w:ascii="Times New Roman" w:hAnsi="Times New Roman" w:cs="Times New Roman"/>
          <w:sz w:val="24"/>
          <w:szCs w:val="24"/>
        </w:rPr>
        <w:t xml:space="preserve"> modèle interne, c</w:t>
      </w:r>
      <w:r w:rsidR="00EE237A" w:rsidRPr="00EE237A">
        <w:rPr>
          <w:rFonts w:ascii="Times New Roman" w:hAnsi="Times New Roman" w:cs="Times New Roman"/>
          <w:sz w:val="24"/>
          <w:szCs w:val="24"/>
        </w:rPr>
        <w:t xml:space="preserve">ette annexe présente </w:t>
      </w:r>
      <w:r>
        <w:rPr>
          <w:rFonts w:ascii="Times New Roman" w:hAnsi="Times New Roman" w:cs="Times New Roman"/>
          <w:sz w:val="24"/>
          <w:szCs w:val="24"/>
        </w:rPr>
        <w:t xml:space="preserve">à titre indicatif </w:t>
      </w:r>
      <w:r w:rsidR="00EE237A" w:rsidRPr="00EE237A">
        <w:rPr>
          <w:rFonts w:ascii="Times New Roman" w:hAnsi="Times New Roman" w:cs="Times New Roman"/>
          <w:sz w:val="24"/>
          <w:szCs w:val="24"/>
        </w:rPr>
        <w:t xml:space="preserve">deux </w:t>
      </w:r>
      <w:r>
        <w:rPr>
          <w:rFonts w:ascii="Times New Roman" w:hAnsi="Times New Roman" w:cs="Times New Roman"/>
          <w:sz w:val="24"/>
          <w:szCs w:val="24"/>
        </w:rPr>
        <w:t xml:space="preserve">exemples de </w:t>
      </w:r>
      <w:r w:rsidR="00EE237A" w:rsidRPr="00EE237A">
        <w:rPr>
          <w:rFonts w:ascii="Times New Roman" w:hAnsi="Times New Roman" w:cs="Times New Roman"/>
          <w:sz w:val="24"/>
          <w:szCs w:val="24"/>
        </w:rPr>
        <w:t>modèles de tableaux synthétiques utilis</w:t>
      </w:r>
      <w:r w:rsidR="002E2E1F">
        <w:rPr>
          <w:rFonts w:ascii="Times New Roman" w:hAnsi="Times New Roman" w:cs="Times New Roman"/>
          <w:sz w:val="24"/>
          <w:szCs w:val="24"/>
        </w:rPr>
        <w:t>ables</w:t>
      </w:r>
      <w:r w:rsidR="00EE237A" w:rsidRPr="00EE237A">
        <w:rPr>
          <w:rFonts w:ascii="Times New Roman" w:hAnsi="Times New Roman" w:cs="Times New Roman"/>
          <w:sz w:val="24"/>
          <w:szCs w:val="24"/>
        </w:rPr>
        <w:t xml:space="preserve"> dans le rapport ICARAP :</w:t>
      </w:r>
    </w:p>
    <w:p w14:paraId="0CB3A798" w14:textId="77777777" w:rsidR="00EE237A" w:rsidRPr="00EE237A" w:rsidRDefault="00EE237A" w:rsidP="00EE237A">
      <w:pPr>
        <w:spacing w:after="0"/>
        <w:jc w:val="both"/>
        <w:rPr>
          <w:rFonts w:ascii="Times New Roman" w:hAnsi="Times New Roman" w:cs="Times New Roman"/>
          <w:sz w:val="24"/>
          <w:szCs w:val="24"/>
        </w:rPr>
      </w:pPr>
      <w:r w:rsidRPr="00EE237A">
        <w:rPr>
          <w:rFonts w:ascii="Times New Roman" w:hAnsi="Times New Roman" w:cs="Times New Roman"/>
          <w:sz w:val="24"/>
          <w:szCs w:val="24"/>
        </w:rPr>
        <w:t>-</w:t>
      </w:r>
      <w:r w:rsidRPr="00EE237A">
        <w:rPr>
          <w:rFonts w:ascii="Times New Roman" w:hAnsi="Times New Roman" w:cs="Times New Roman"/>
          <w:sz w:val="24"/>
          <w:szCs w:val="24"/>
        </w:rPr>
        <w:tab/>
        <w:t>un tableau de synthèse de l’évaluation des risques selon l’approche économique interne,</w:t>
      </w:r>
    </w:p>
    <w:p w14:paraId="63311B0E" w14:textId="77777777" w:rsidR="00EE237A" w:rsidRPr="00EE237A" w:rsidRDefault="00EE237A" w:rsidP="00EE237A">
      <w:pPr>
        <w:spacing w:after="0"/>
        <w:jc w:val="both"/>
        <w:rPr>
          <w:rFonts w:ascii="Times New Roman" w:hAnsi="Times New Roman" w:cs="Times New Roman"/>
          <w:sz w:val="24"/>
          <w:szCs w:val="24"/>
        </w:rPr>
      </w:pPr>
      <w:r w:rsidRPr="00EE237A">
        <w:rPr>
          <w:rFonts w:ascii="Times New Roman" w:hAnsi="Times New Roman" w:cs="Times New Roman"/>
          <w:sz w:val="24"/>
          <w:szCs w:val="24"/>
        </w:rPr>
        <w:t>-</w:t>
      </w:r>
      <w:r w:rsidRPr="00EE237A">
        <w:rPr>
          <w:rFonts w:ascii="Times New Roman" w:hAnsi="Times New Roman" w:cs="Times New Roman"/>
          <w:sz w:val="24"/>
          <w:szCs w:val="24"/>
        </w:rPr>
        <w:tab/>
        <w:t>et un tableau de synthèse d</w:t>
      </w:r>
      <w:r w:rsidR="00860C9A">
        <w:rPr>
          <w:rFonts w:ascii="Times New Roman" w:hAnsi="Times New Roman" w:cs="Times New Roman"/>
          <w:sz w:val="24"/>
          <w:szCs w:val="24"/>
        </w:rPr>
        <w:t>u</w:t>
      </w:r>
      <w:r w:rsidRPr="00EE237A">
        <w:rPr>
          <w:rFonts w:ascii="Times New Roman" w:hAnsi="Times New Roman" w:cs="Times New Roman"/>
          <w:sz w:val="24"/>
          <w:szCs w:val="24"/>
        </w:rPr>
        <w:t xml:space="preserve"> </w:t>
      </w:r>
      <w:r w:rsidR="003A7562">
        <w:rPr>
          <w:rFonts w:ascii="Times New Roman" w:hAnsi="Times New Roman" w:cs="Times New Roman"/>
          <w:sz w:val="24"/>
          <w:szCs w:val="24"/>
        </w:rPr>
        <w:t>capital interne</w:t>
      </w:r>
      <w:r w:rsidRPr="00EE237A">
        <w:rPr>
          <w:rFonts w:ascii="Times New Roman" w:hAnsi="Times New Roman" w:cs="Times New Roman"/>
          <w:sz w:val="24"/>
          <w:szCs w:val="24"/>
        </w:rPr>
        <w:t xml:space="preserve"> selon l’approche économique interne.</w:t>
      </w:r>
    </w:p>
    <w:p w14:paraId="6DE7C1B3" w14:textId="77777777" w:rsidR="00EE237A" w:rsidRPr="00EE237A" w:rsidRDefault="00EE237A" w:rsidP="00EE237A">
      <w:pPr>
        <w:spacing w:after="0"/>
        <w:jc w:val="both"/>
        <w:rPr>
          <w:rFonts w:ascii="Times New Roman" w:hAnsi="Times New Roman" w:cs="Times New Roman"/>
          <w:sz w:val="24"/>
          <w:szCs w:val="24"/>
        </w:rPr>
      </w:pPr>
    </w:p>
    <w:p w14:paraId="6EFED328" w14:textId="77777777" w:rsidR="00EE237A" w:rsidRPr="00EE237A" w:rsidRDefault="00EE237A" w:rsidP="00EE237A">
      <w:pPr>
        <w:spacing w:after="0"/>
        <w:jc w:val="both"/>
        <w:rPr>
          <w:rFonts w:ascii="Times New Roman" w:hAnsi="Times New Roman" w:cs="Times New Roman"/>
          <w:sz w:val="24"/>
          <w:szCs w:val="24"/>
        </w:rPr>
      </w:pPr>
      <w:r w:rsidRPr="00EE237A">
        <w:rPr>
          <w:rFonts w:ascii="Times New Roman" w:hAnsi="Times New Roman" w:cs="Times New Roman"/>
          <w:sz w:val="24"/>
          <w:szCs w:val="24"/>
        </w:rPr>
        <w:t xml:space="preserve">L’entreprise d’investissement peut modifier le nombre de lignes dans chaque partie des tableaux en fonction du nombre de risques et d’instruments de </w:t>
      </w:r>
      <w:r w:rsidR="003A7562">
        <w:rPr>
          <w:rFonts w:ascii="Times New Roman" w:hAnsi="Times New Roman" w:cs="Times New Roman"/>
          <w:sz w:val="24"/>
          <w:szCs w:val="24"/>
        </w:rPr>
        <w:t>capital interne</w:t>
      </w:r>
      <w:r w:rsidRPr="00EE237A">
        <w:rPr>
          <w:rFonts w:ascii="Times New Roman" w:hAnsi="Times New Roman" w:cs="Times New Roman"/>
          <w:sz w:val="24"/>
          <w:szCs w:val="24"/>
        </w:rPr>
        <w:t xml:space="preserve"> qu’</w:t>
      </w:r>
      <w:r w:rsidR="00AC54A3">
        <w:rPr>
          <w:rFonts w:ascii="Times New Roman" w:hAnsi="Times New Roman" w:cs="Times New Roman"/>
          <w:sz w:val="24"/>
          <w:szCs w:val="24"/>
        </w:rPr>
        <w:t>elle</w:t>
      </w:r>
      <w:r w:rsidRPr="00EE237A">
        <w:rPr>
          <w:rFonts w:ascii="Times New Roman" w:hAnsi="Times New Roman" w:cs="Times New Roman"/>
          <w:sz w:val="24"/>
          <w:szCs w:val="24"/>
        </w:rPr>
        <w:t xml:space="preserve"> identifie.</w:t>
      </w:r>
    </w:p>
    <w:p w14:paraId="40F78B5C" w14:textId="77777777" w:rsidR="00EE237A" w:rsidRPr="00EE237A" w:rsidRDefault="00EE237A" w:rsidP="00EE237A">
      <w:pPr>
        <w:spacing w:after="0"/>
        <w:jc w:val="both"/>
        <w:rPr>
          <w:rFonts w:ascii="Times New Roman" w:hAnsi="Times New Roman" w:cs="Times New Roman"/>
          <w:sz w:val="24"/>
          <w:szCs w:val="24"/>
        </w:rPr>
      </w:pPr>
    </w:p>
    <w:p w14:paraId="73AA1C90" w14:textId="77777777" w:rsidR="00EE237A" w:rsidRPr="00EE237A" w:rsidRDefault="00EE237A" w:rsidP="00EE237A">
      <w:pPr>
        <w:spacing w:after="0"/>
        <w:jc w:val="both"/>
        <w:rPr>
          <w:rFonts w:ascii="Times New Roman" w:hAnsi="Times New Roman" w:cs="Times New Roman"/>
          <w:sz w:val="24"/>
          <w:szCs w:val="24"/>
        </w:rPr>
      </w:pPr>
      <w:r w:rsidRPr="00EE237A">
        <w:rPr>
          <w:rFonts w:ascii="Times New Roman" w:hAnsi="Times New Roman" w:cs="Times New Roman"/>
          <w:sz w:val="24"/>
          <w:szCs w:val="24"/>
        </w:rPr>
        <w:t>L’entreprise d’investissement complète ces tableaux avec des données portant sur le périmètre de consolidation le plus élevé. Si la taille, la nature ou la complexité des activités de l’entreprise d’investissement le justifie, elle complète également ces tableaux sur des périmètres sociaux ou sous consolidés pertinents.</w:t>
      </w:r>
    </w:p>
    <w:p w14:paraId="6016BFD7" w14:textId="77777777" w:rsidR="00EE237A" w:rsidRDefault="002E2E1F" w:rsidP="00640178">
      <w:pPr>
        <w:spacing w:after="0"/>
        <w:jc w:val="both"/>
        <w:rPr>
          <w:rFonts w:ascii="Times New Roman" w:hAnsi="Times New Roman" w:cs="Times New Roman"/>
          <w:sz w:val="24"/>
          <w:szCs w:val="24"/>
        </w:rPr>
        <w:sectPr w:rsidR="00EE237A" w:rsidSect="00BC4B68">
          <w:pgSz w:w="11906" w:h="16838" w:code="9"/>
          <w:pgMar w:top="1134" w:right="1134" w:bottom="1134" w:left="1134" w:header="709" w:footer="709" w:gutter="0"/>
          <w:cols w:space="708"/>
          <w:docGrid w:linePitch="360"/>
        </w:sectPr>
      </w:pPr>
      <w:r>
        <w:rPr>
          <w:rFonts w:ascii="Times New Roman" w:hAnsi="Times New Roman" w:cs="Times New Roman"/>
          <w:sz w:val="24"/>
          <w:szCs w:val="24"/>
        </w:rPr>
        <w:t>L’entreprise d’investissement peut utiliser ses propres modèles de tableaux de synthèse si elle le</w:t>
      </w:r>
      <w:r w:rsidR="00947B73">
        <w:rPr>
          <w:rFonts w:ascii="Times New Roman" w:hAnsi="Times New Roman" w:cs="Times New Roman"/>
          <w:sz w:val="24"/>
          <w:szCs w:val="24"/>
        </w:rPr>
        <w:t>s</w:t>
      </w:r>
      <w:r>
        <w:rPr>
          <w:rFonts w:ascii="Times New Roman" w:hAnsi="Times New Roman" w:cs="Times New Roman"/>
          <w:sz w:val="24"/>
          <w:szCs w:val="24"/>
        </w:rPr>
        <w:t xml:space="preserve"> juge plus approprié</w:t>
      </w:r>
      <w:r w:rsidR="00947B73">
        <w:rPr>
          <w:rFonts w:ascii="Times New Roman" w:hAnsi="Times New Roman" w:cs="Times New Roman"/>
          <w:sz w:val="24"/>
          <w:szCs w:val="24"/>
        </w:rPr>
        <w:t>s.</w:t>
      </w:r>
    </w:p>
    <w:p w14:paraId="63CA7AF0" w14:textId="77777777" w:rsidR="00EE237A" w:rsidRDefault="00EE237A" w:rsidP="00640178">
      <w:pPr>
        <w:spacing w:after="0"/>
        <w:jc w:val="both"/>
        <w:rPr>
          <w:rFonts w:ascii="Times New Roman" w:hAnsi="Times New Roman" w:cs="Times New Roman"/>
          <w:sz w:val="24"/>
          <w:szCs w:val="24"/>
        </w:rPr>
      </w:pPr>
    </w:p>
    <w:p w14:paraId="69DB2F3D" w14:textId="77777777" w:rsidR="00EE237A" w:rsidRDefault="00604773" w:rsidP="00640178">
      <w:pPr>
        <w:spacing w:after="0"/>
        <w:jc w:val="both"/>
        <w:rPr>
          <w:rFonts w:ascii="Times New Roman" w:hAnsi="Times New Roman" w:cs="Times New Roman"/>
          <w:sz w:val="24"/>
          <w:szCs w:val="24"/>
        </w:rPr>
      </w:pPr>
      <w:r w:rsidRPr="00604773">
        <w:rPr>
          <w:noProof/>
          <w:lang w:eastAsia="fr-FR"/>
        </w:rPr>
        <w:drawing>
          <wp:inline distT="0" distB="0" distL="0" distR="0" wp14:anchorId="48441320" wp14:editId="769E8D5C">
            <wp:extent cx="9251950" cy="3803106"/>
            <wp:effectExtent l="0" t="0" r="6350"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51950" cy="3803106"/>
                    </a:xfrm>
                    <a:prstGeom prst="rect">
                      <a:avLst/>
                    </a:prstGeom>
                    <a:noFill/>
                    <a:ln>
                      <a:noFill/>
                    </a:ln>
                  </pic:spPr>
                </pic:pic>
              </a:graphicData>
            </a:graphic>
          </wp:inline>
        </w:drawing>
      </w:r>
    </w:p>
    <w:p w14:paraId="18B02023" w14:textId="77777777" w:rsidR="00604773" w:rsidRDefault="00604773" w:rsidP="00640178">
      <w:pPr>
        <w:spacing w:after="0"/>
        <w:jc w:val="both"/>
        <w:rPr>
          <w:rFonts w:ascii="Times New Roman" w:hAnsi="Times New Roman" w:cs="Times New Roman"/>
          <w:sz w:val="24"/>
          <w:szCs w:val="24"/>
        </w:rPr>
      </w:pPr>
    </w:p>
    <w:p w14:paraId="37CDA48D" w14:textId="77777777" w:rsidR="00604773" w:rsidRDefault="00604773" w:rsidP="00640178">
      <w:pPr>
        <w:spacing w:after="0"/>
        <w:jc w:val="both"/>
        <w:rPr>
          <w:rFonts w:ascii="Times New Roman" w:hAnsi="Times New Roman" w:cs="Times New Roman"/>
          <w:sz w:val="24"/>
          <w:szCs w:val="24"/>
        </w:rPr>
      </w:pPr>
      <w:r w:rsidRPr="00604773">
        <w:rPr>
          <w:noProof/>
          <w:lang w:eastAsia="fr-FR"/>
        </w:rPr>
        <w:lastRenderedPageBreak/>
        <w:drawing>
          <wp:inline distT="0" distB="0" distL="0" distR="0" wp14:anchorId="3BA2015A" wp14:editId="511AA825">
            <wp:extent cx="9251950" cy="2715041"/>
            <wp:effectExtent l="0" t="0" r="635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51950" cy="2715041"/>
                    </a:xfrm>
                    <a:prstGeom prst="rect">
                      <a:avLst/>
                    </a:prstGeom>
                    <a:noFill/>
                    <a:ln>
                      <a:noFill/>
                    </a:ln>
                  </pic:spPr>
                </pic:pic>
              </a:graphicData>
            </a:graphic>
          </wp:inline>
        </w:drawing>
      </w:r>
    </w:p>
    <w:p w14:paraId="672E73C9" w14:textId="2603CACE" w:rsidR="00EE237A" w:rsidRDefault="00EE237A" w:rsidP="00640178">
      <w:pPr>
        <w:spacing w:after="0"/>
        <w:jc w:val="both"/>
        <w:rPr>
          <w:rFonts w:ascii="Times New Roman" w:hAnsi="Times New Roman" w:cs="Times New Roman"/>
          <w:sz w:val="24"/>
          <w:szCs w:val="24"/>
        </w:rPr>
      </w:pPr>
    </w:p>
    <w:p w14:paraId="7C1CD98E" w14:textId="77777777" w:rsidR="00EE237A" w:rsidRDefault="00EE237A" w:rsidP="00640178">
      <w:pPr>
        <w:spacing w:after="0"/>
        <w:jc w:val="both"/>
        <w:rPr>
          <w:rFonts w:ascii="Times New Roman" w:hAnsi="Times New Roman" w:cs="Times New Roman"/>
          <w:sz w:val="24"/>
          <w:szCs w:val="24"/>
        </w:rPr>
      </w:pPr>
    </w:p>
    <w:p w14:paraId="79D3203B" w14:textId="77777777" w:rsidR="00EE237A" w:rsidRDefault="00EE237A" w:rsidP="00640178">
      <w:pPr>
        <w:spacing w:after="0"/>
        <w:jc w:val="both"/>
        <w:rPr>
          <w:rFonts w:ascii="Times New Roman" w:hAnsi="Times New Roman" w:cs="Times New Roman"/>
          <w:sz w:val="24"/>
          <w:szCs w:val="24"/>
        </w:rPr>
      </w:pPr>
    </w:p>
    <w:p w14:paraId="33887D2F" w14:textId="77777777" w:rsidR="00EE237A" w:rsidRDefault="00EE237A" w:rsidP="00640178">
      <w:pPr>
        <w:spacing w:after="0"/>
        <w:jc w:val="both"/>
        <w:rPr>
          <w:rFonts w:ascii="Times New Roman" w:hAnsi="Times New Roman" w:cs="Times New Roman"/>
          <w:sz w:val="24"/>
          <w:szCs w:val="24"/>
        </w:rPr>
      </w:pPr>
    </w:p>
    <w:p w14:paraId="16373065" w14:textId="77777777" w:rsidR="00EE237A" w:rsidRDefault="00EE237A" w:rsidP="00640178">
      <w:pPr>
        <w:spacing w:after="0"/>
        <w:jc w:val="both"/>
        <w:rPr>
          <w:rFonts w:ascii="Times New Roman" w:hAnsi="Times New Roman" w:cs="Times New Roman"/>
          <w:sz w:val="24"/>
          <w:szCs w:val="24"/>
        </w:rPr>
      </w:pPr>
    </w:p>
    <w:p w14:paraId="5E484EA2" w14:textId="77777777" w:rsidR="00EE237A" w:rsidRDefault="00EE237A" w:rsidP="00640178">
      <w:pPr>
        <w:spacing w:after="0"/>
        <w:jc w:val="both"/>
        <w:rPr>
          <w:rFonts w:ascii="Times New Roman" w:hAnsi="Times New Roman" w:cs="Times New Roman"/>
          <w:sz w:val="24"/>
          <w:szCs w:val="24"/>
        </w:rPr>
      </w:pPr>
    </w:p>
    <w:p w14:paraId="168B2149" w14:textId="77777777" w:rsidR="00EE237A" w:rsidRDefault="00EE237A" w:rsidP="00640178">
      <w:pPr>
        <w:spacing w:after="0"/>
        <w:jc w:val="both"/>
        <w:rPr>
          <w:rFonts w:ascii="Times New Roman" w:hAnsi="Times New Roman" w:cs="Times New Roman"/>
          <w:sz w:val="24"/>
          <w:szCs w:val="24"/>
        </w:rPr>
      </w:pPr>
    </w:p>
    <w:p w14:paraId="7288995A" w14:textId="77777777" w:rsidR="00EE237A" w:rsidRDefault="00EE237A" w:rsidP="00640178">
      <w:pPr>
        <w:spacing w:after="0"/>
        <w:jc w:val="both"/>
        <w:rPr>
          <w:rFonts w:ascii="Times New Roman" w:hAnsi="Times New Roman" w:cs="Times New Roman"/>
          <w:sz w:val="24"/>
          <w:szCs w:val="24"/>
        </w:rPr>
      </w:pPr>
    </w:p>
    <w:p w14:paraId="7D6FF57F" w14:textId="77777777" w:rsidR="00EE237A" w:rsidRDefault="00EE237A" w:rsidP="00640178">
      <w:pPr>
        <w:spacing w:after="0"/>
        <w:jc w:val="both"/>
        <w:rPr>
          <w:rFonts w:ascii="Times New Roman" w:hAnsi="Times New Roman" w:cs="Times New Roman"/>
          <w:sz w:val="24"/>
          <w:szCs w:val="24"/>
        </w:rPr>
      </w:pPr>
    </w:p>
    <w:p w14:paraId="4B2A073E" w14:textId="77777777" w:rsidR="00EE237A" w:rsidRDefault="00EE237A" w:rsidP="00640178">
      <w:pPr>
        <w:spacing w:after="0"/>
        <w:jc w:val="both"/>
        <w:rPr>
          <w:rFonts w:ascii="Times New Roman" w:hAnsi="Times New Roman" w:cs="Times New Roman"/>
          <w:sz w:val="24"/>
          <w:szCs w:val="24"/>
        </w:rPr>
      </w:pPr>
    </w:p>
    <w:p w14:paraId="2664A3FA" w14:textId="77777777" w:rsidR="00EE237A" w:rsidRDefault="00EE237A" w:rsidP="00640178">
      <w:pPr>
        <w:spacing w:after="0"/>
        <w:jc w:val="both"/>
        <w:rPr>
          <w:rFonts w:ascii="Times New Roman" w:hAnsi="Times New Roman" w:cs="Times New Roman"/>
          <w:sz w:val="24"/>
          <w:szCs w:val="24"/>
        </w:rPr>
      </w:pPr>
    </w:p>
    <w:p w14:paraId="7DF3681C" w14:textId="77777777" w:rsidR="00EE237A" w:rsidRDefault="00EE237A" w:rsidP="00640178">
      <w:pPr>
        <w:spacing w:after="0"/>
        <w:jc w:val="both"/>
        <w:rPr>
          <w:rFonts w:ascii="Times New Roman" w:hAnsi="Times New Roman" w:cs="Times New Roman"/>
          <w:sz w:val="24"/>
          <w:szCs w:val="24"/>
        </w:rPr>
      </w:pPr>
    </w:p>
    <w:p w14:paraId="7DEE0682" w14:textId="77777777" w:rsidR="00EE237A" w:rsidRDefault="00EE237A" w:rsidP="00640178">
      <w:pPr>
        <w:spacing w:after="0"/>
        <w:jc w:val="both"/>
        <w:rPr>
          <w:rFonts w:ascii="Times New Roman" w:hAnsi="Times New Roman" w:cs="Times New Roman"/>
          <w:sz w:val="24"/>
          <w:szCs w:val="24"/>
        </w:rPr>
      </w:pPr>
    </w:p>
    <w:p w14:paraId="2F7CB1AC" w14:textId="77777777" w:rsidR="00EE237A" w:rsidRDefault="00EE237A" w:rsidP="00640178">
      <w:pPr>
        <w:spacing w:after="0"/>
        <w:jc w:val="both"/>
        <w:rPr>
          <w:rFonts w:ascii="Times New Roman" w:hAnsi="Times New Roman" w:cs="Times New Roman"/>
          <w:sz w:val="24"/>
          <w:szCs w:val="24"/>
        </w:rPr>
      </w:pPr>
    </w:p>
    <w:p w14:paraId="5DB8E47B" w14:textId="77777777" w:rsidR="00EE237A" w:rsidRDefault="00EE237A" w:rsidP="00640178">
      <w:pPr>
        <w:spacing w:after="0"/>
        <w:jc w:val="both"/>
        <w:rPr>
          <w:rFonts w:ascii="Times New Roman" w:hAnsi="Times New Roman" w:cs="Times New Roman"/>
          <w:sz w:val="24"/>
          <w:szCs w:val="24"/>
        </w:rPr>
      </w:pPr>
    </w:p>
    <w:p w14:paraId="721FC7E2" w14:textId="4908F486" w:rsidR="00EE237A" w:rsidRPr="00640178" w:rsidRDefault="00EE237A" w:rsidP="00640178">
      <w:pPr>
        <w:spacing w:after="0"/>
        <w:jc w:val="both"/>
        <w:rPr>
          <w:rFonts w:ascii="Times New Roman" w:hAnsi="Times New Roman" w:cs="Times New Roman"/>
          <w:sz w:val="24"/>
          <w:szCs w:val="24"/>
        </w:rPr>
      </w:pPr>
    </w:p>
    <w:sectPr w:rsidR="00EE237A" w:rsidRPr="00640178" w:rsidSect="00EE237A">
      <w:pgSz w:w="16838" w:h="11906" w:orient="landscape" w:code="9"/>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953E7" w16cex:dateUtc="2022-11-24T01:22:00Z"/>
  <w16cex:commentExtensible w16cex:durableId="27295457" w16cex:dateUtc="2022-11-24T01:24:00Z"/>
  <w16cex:commentExtensible w16cex:durableId="2729546F" w16cex:dateUtc="2022-11-24T01:24:00Z"/>
  <w16cex:commentExtensible w16cex:durableId="272954A1" w16cex:dateUtc="2022-11-24T01:25:00Z"/>
  <w16cex:commentExtensible w16cex:durableId="272954C4" w16cex:dateUtc="2022-11-24T01:26:00Z"/>
  <w16cex:commentExtensible w16cex:durableId="272954E0" w16cex:dateUtc="2022-11-24T01:26:00Z"/>
  <w16cex:commentExtensible w16cex:durableId="27295549" w16cex:dateUtc="2022-11-24T01:28:00Z"/>
  <w16cex:commentExtensible w16cex:durableId="27295592" w16cex:dateUtc="2022-11-24T01:29:00Z"/>
  <w16cex:commentExtensible w16cex:durableId="272955C9" w16cex:dateUtc="2022-11-24T01:30:00Z"/>
  <w16cex:commentExtensible w16cex:durableId="2729561F" w16cex:dateUtc="2022-11-24T01:31:00Z"/>
  <w16cex:commentExtensible w16cex:durableId="27295636" w16cex:dateUtc="2022-11-24T0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5D0973" w16cid:durableId="272953E7"/>
  <w16cid:commentId w16cid:paraId="62CA85EC" w16cid:durableId="27295457"/>
  <w16cid:commentId w16cid:paraId="6919BF46" w16cid:durableId="2729546F"/>
  <w16cid:commentId w16cid:paraId="361BFB90" w16cid:durableId="272954A1"/>
  <w16cid:commentId w16cid:paraId="3A91D4BB" w16cid:durableId="272954C4"/>
  <w16cid:commentId w16cid:paraId="0D328039" w16cid:durableId="272954E0"/>
  <w16cid:commentId w16cid:paraId="53FAC7A8" w16cid:durableId="27295549"/>
  <w16cid:commentId w16cid:paraId="7CA859F8" w16cid:durableId="27295592"/>
  <w16cid:commentId w16cid:paraId="3B94D5A4" w16cid:durableId="272955C9"/>
  <w16cid:commentId w16cid:paraId="48DFA687" w16cid:durableId="2729561F"/>
  <w16cid:commentId w16cid:paraId="35B36DF4" w16cid:durableId="2729563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5F98D" w14:textId="77777777" w:rsidR="00B700EE" w:rsidRDefault="00B700EE" w:rsidP="00640178">
      <w:pPr>
        <w:spacing w:after="0" w:line="240" w:lineRule="auto"/>
      </w:pPr>
      <w:r>
        <w:separator/>
      </w:r>
    </w:p>
  </w:endnote>
  <w:endnote w:type="continuationSeparator" w:id="0">
    <w:p w14:paraId="20FC43AE" w14:textId="77777777" w:rsidR="00B700EE" w:rsidRDefault="00B700EE" w:rsidP="00640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525B3" w14:textId="77777777" w:rsidR="000174E2" w:rsidRPr="00BC4B68" w:rsidRDefault="000174E2">
    <w:pPr>
      <w:pStyle w:val="Pieddepage"/>
      <w:jc w:val="right"/>
      <w:rPr>
        <w:sz w:val="16"/>
        <w:szCs w:val="16"/>
      </w:rPr>
    </w:pPr>
  </w:p>
  <w:p w14:paraId="24340FEF" w14:textId="5A62382D" w:rsidR="000174E2" w:rsidRDefault="000174E2" w:rsidP="00615FB2">
    <w:pPr>
      <w:pStyle w:val="Pieddepage"/>
      <w:pBdr>
        <w:top w:val="single" w:sz="4" w:space="1" w:color="auto"/>
      </w:pBdr>
    </w:pPr>
    <w:r w:rsidRPr="00BC4B68">
      <w:rPr>
        <w:rFonts w:ascii="Arial Narrow" w:hAnsi="Arial Narrow"/>
        <w:i/>
        <w:iCs/>
        <w:sz w:val="21"/>
        <w:szCs w:val="21"/>
      </w:rPr>
      <w:t>Secrétariat général de l’Autorité de contrôle prudentiel et de résolution</w:t>
    </w:r>
    <w:r w:rsidRPr="00BC4B68">
      <w:rPr>
        <w:sz w:val="21"/>
        <w:szCs w:val="21"/>
      </w:rPr>
      <w:tab/>
    </w:r>
    <w:sdt>
      <w:sdtPr>
        <w:id w:val="2061440716"/>
        <w:docPartObj>
          <w:docPartGallery w:val="Page Numbers (Bottom of Page)"/>
          <w:docPartUnique/>
        </w:docPartObj>
      </w:sdtPr>
      <w:sdtEndPr/>
      <w:sdtContent>
        <w:r>
          <w:fldChar w:fldCharType="begin"/>
        </w:r>
        <w:r>
          <w:instrText>PAGE   \* MERGEFORMAT</w:instrText>
        </w:r>
        <w:r>
          <w:fldChar w:fldCharType="separate"/>
        </w:r>
        <w:r w:rsidR="0074104B">
          <w:rPr>
            <w:noProof/>
          </w:rPr>
          <w:t>1</w:t>
        </w:r>
        <w:r>
          <w:fldChar w:fldCharType="end"/>
        </w:r>
      </w:sdtContent>
    </w:sdt>
  </w:p>
  <w:p w14:paraId="7C53F75F" w14:textId="77777777" w:rsidR="000174E2" w:rsidRPr="00615FB2" w:rsidRDefault="000174E2" w:rsidP="00615FB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CF82A" w14:textId="77777777" w:rsidR="00B700EE" w:rsidRDefault="00B700EE" w:rsidP="00640178">
      <w:pPr>
        <w:spacing w:after="0" w:line="240" w:lineRule="auto"/>
      </w:pPr>
      <w:r>
        <w:separator/>
      </w:r>
    </w:p>
  </w:footnote>
  <w:footnote w:type="continuationSeparator" w:id="0">
    <w:p w14:paraId="2EDE09AC" w14:textId="77777777" w:rsidR="00B700EE" w:rsidRDefault="00B700EE" w:rsidP="00640178">
      <w:pPr>
        <w:spacing w:after="0" w:line="240" w:lineRule="auto"/>
      </w:pPr>
      <w:r>
        <w:continuationSeparator/>
      </w:r>
    </w:p>
  </w:footnote>
  <w:footnote w:id="1">
    <w:p w14:paraId="50CB682D" w14:textId="77777777" w:rsidR="000174E2" w:rsidRPr="00E23385" w:rsidRDefault="000174E2">
      <w:pPr>
        <w:pStyle w:val="Notedebasdepage"/>
      </w:pPr>
      <w:r>
        <w:rPr>
          <w:rStyle w:val="Appelnotedebasdep"/>
        </w:rPr>
        <w:footnoteRef/>
      </w:r>
      <w:r w:rsidRPr="007D2AAB">
        <w:t xml:space="preserve"> </w:t>
      </w:r>
      <w:hyperlink r:id="rId1" w:history="1">
        <w:r w:rsidRPr="00E23385">
          <w:rPr>
            <w:rStyle w:val="Lienhypertexte"/>
            <w:sz w:val="18"/>
          </w:rPr>
          <w:t>EBA/GL/2022/09-ESMA35-42-1470</w:t>
        </w:r>
      </w:hyperlink>
    </w:p>
  </w:footnote>
  <w:footnote w:id="2">
    <w:p w14:paraId="266870D3" w14:textId="77777777" w:rsidR="000174E2" w:rsidRDefault="000174E2">
      <w:pPr>
        <w:pStyle w:val="Notedebasdepage"/>
      </w:pPr>
      <w:r>
        <w:rPr>
          <w:rStyle w:val="Appelnotedebasdep"/>
        </w:rPr>
        <w:footnoteRef/>
      </w:r>
      <w:r>
        <w:t xml:space="preserve"> </w:t>
      </w:r>
      <w:r w:rsidRPr="007D2AAB">
        <w:rPr>
          <w:sz w:val="18"/>
        </w:rPr>
        <w:t xml:space="preserve">Cf. </w:t>
      </w:r>
      <w:r w:rsidRPr="006211F6">
        <w:rPr>
          <w:sz w:val="18"/>
        </w:rPr>
        <w:t>p</w:t>
      </w:r>
      <w:r w:rsidRPr="007D2AAB">
        <w:rPr>
          <w:sz w:val="18"/>
        </w:rPr>
        <w:t>aragraphes 125 et 126 des orientations EBA/GL/2022/09-ESMA35-42-1470</w:t>
      </w:r>
    </w:p>
  </w:footnote>
  <w:footnote w:id="3">
    <w:p w14:paraId="0FBD0667" w14:textId="77777777" w:rsidR="000174E2" w:rsidRDefault="000174E2">
      <w:pPr>
        <w:pStyle w:val="Notedebasdepage"/>
      </w:pPr>
      <w:r>
        <w:rPr>
          <w:rStyle w:val="Appelnotedebasdep"/>
        </w:rPr>
        <w:footnoteRef/>
      </w:r>
      <w:r>
        <w:t xml:space="preserve"> </w:t>
      </w:r>
      <w:r w:rsidRPr="007D2AAB">
        <w:rPr>
          <w:sz w:val="18"/>
        </w:rPr>
        <w:t>Cf. paragraphes 124 et 125 des orientations EBA/GL/2022/09-ESMA35-42-1470</w:t>
      </w:r>
    </w:p>
  </w:footnote>
  <w:footnote w:id="4">
    <w:p w14:paraId="61AB5649" w14:textId="77777777" w:rsidR="000174E2" w:rsidRDefault="000174E2">
      <w:pPr>
        <w:pStyle w:val="Notedebasdepage"/>
      </w:pPr>
      <w:r>
        <w:rPr>
          <w:rStyle w:val="Appelnotedebasdep"/>
        </w:rPr>
        <w:footnoteRef/>
      </w:r>
      <w:r>
        <w:t xml:space="preserve"> </w:t>
      </w:r>
      <w:r w:rsidRPr="007D2AAB">
        <w:rPr>
          <w:sz w:val="18"/>
        </w:rPr>
        <w:t xml:space="preserve">Cf. paragraphes 124 et 125 des orientations </w:t>
      </w:r>
      <w:r w:rsidRPr="005D7531">
        <w:rPr>
          <w:sz w:val="18"/>
        </w:rPr>
        <w:t>EBA/GL/2022/09-ESMA35-42-1470</w:t>
      </w:r>
    </w:p>
  </w:footnote>
  <w:footnote w:id="5">
    <w:p w14:paraId="051A298E" w14:textId="77777777" w:rsidR="000174E2" w:rsidRDefault="000174E2" w:rsidP="005D7531">
      <w:pPr>
        <w:pStyle w:val="Notedebasdepage"/>
      </w:pPr>
      <w:r>
        <w:rPr>
          <w:rStyle w:val="Appelnotedebasdep"/>
        </w:rPr>
        <w:footnoteRef/>
      </w:r>
      <w:r>
        <w:t xml:space="preserve"> </w:t>
      </w:r>
      <w:r w:rsidRPr="00110212">
        <w:rPr>
          <w:sz w:val="18"/>
        </w:rPr>
        <w:t xml:space="preserve">Cf. paragraphes 124 et 125 des orientations </w:t>
      </w:r>
      <w:r w:rsidRPr="005D7531">
        <w:rPr>
          <w:sz w:val="18"/>
        </w:rPr>
        <w:t>EBA/GL/2022/09-ESMA35-42-1470</w:t>
      </w:r>
    </w:p>
  </w:footnote>
  <w:footnote w:id="6">
    <w:p w14:paraId="57B8E9CD" w14:textId="77777777" w:rsidR="000174E2" w:rsidRDefault="000174E2">
      <w:pPr>
        <w:pStyle w:val="Notedebasdepage"/>
      </w:pPr>
      <w:r>
        <w:rPr>
          <w:rStyle w:val="Appelnotedebasdep"/>
        </w:rPr>
        <w:footnoteRef/>
      </w:r>
      <w:r>
        <w:t xml:space="preserve"> </w:t>
      </w:r>
      <w:r w:rsidRPr="00110212">
        <w:rPr>
          <w:sz w:val="18"/>
        </w:rPr>
        <w:t xml:space="preserve">Cf. paragraphes 124 et 125 des orientations </w:t>
      </w:r>
      <w:r w:rsidRPr="005D7531">
        <w:rPr>
          <w:sz w:val="18"/>
        </w:rPr>
        <w:t>EBA/GL/2022/09-ESMA35-42-1470</w:t>
      </w:r>
    </w:p>
  </w:footnote>
  <w:footnote w:id="7">
    <w:p w14:paraId="6BEE46AB" w14:textId="77777777" w:rsidR="000174E2" w:rsidRDefault="000174E2">
      <w:pPr>
        <w:pStyle w:val="Notedebasdepage"/>
      </w:pPr>
      <w:r>
        <w:rPr>
          <w:rStyle w:val="Appelnotedebasdep"/>
        </w:rPr>
        <w:footnoteRef/>
      </w:r>
      <w:r>
        <w:t xml:space="preserve"> </w:t>
      </w:r>
      <w:r w:rsidRPr="00110212">
        <w:rPr>
          <w:sz w:val="18"/>
        </w:rPr>
        <w:t xml:space="preserve">Cf. paragraphes 124 et 125 des orientations </w:t>
      </w:r>
      <w:r w:rsidRPr="005D7531">
        <w:rPr>
          <w:sz w:val="18"/>
        </w:rPr>
        <w:t>EBA/GL/2022/09-ESMA35-42-1470</w:t>
      </w:r>
    </w:p>
  </w:footnote>
  <w:footnote w:id="8">
    <w:p w14:paraId="2F1A0F39" w14:textId="77777777" w:rsidR="000174E2" w:rsidRDefault="000174E2">
      <w:pPr>
        <w:pStyle w:val="Notedebasdepage"/>
      </w:pPr>
      <w:r>
        <w:rPr>
          <w:rStyle w:val="Appelnotedebasdep"/>
        </w:rPr>
        <w:footnoteRef/>
      </w:r>
      <w:r>
        <w:t xml:space="preserve"> </w:t>
      </w:r>
      <w:r w:rsidRPr="005B6B28">
        <w:rPr>
          <w:sz w:val="18"/>
        </w:rPr>
        <w:t>Cf. paragraphes 12</w:t>
      </w:r>
      <w:r>
        <w:rPr>
          <w:sz w:val="18"/>
        </w:rPr>
        <w:t>8</w:t>
      </w:r>
      <w:r w:rsidRPr="005B6B28">
        <w:rPr>
          <w:sz w:val="18"/>
        </w:rPr>
        <w:t xml:space="preserve"> à 131 des orientations EBA/GL/2022/09-ESMA35-42-1470</w:t>
      </w:r>
    </w:p>
  </w:footnote>
  <w:footnote w:id="9">
    <w:p w14:paraId="15C6D65A" w14:textId="77777777" w:rsidR="000174E2" w:rsidRDefault="000174E2">
      <w:pPr>
        <w:pStyle w:val="Notedebasdepage"/>
      </w:pPr>
      <w:r>
        <w:rPr>
          <w:rStyle w:val="Appelnotedebasdep"/>
        </w:rPr>
        <w:footnoteRef/>
      </w:r>
      <w:r>
        <w:t xml:space="preserve"> </w:t>
      </w:r>
      <w:r w:rsidRPr="00110212">
        <w:rPr>
          <w:sz w:val="18"/>
        </w:rPr>
        <w:t>Cf.</w:t>
      </w:r>
      <w:r>
        <w:rPr>
          <w:sz w:val="18"/>
        </w:rPr>
        <w:t xml:space="preserve"> paragraphe </w:t>
      </w:r>
      <w:r w:rsidRPr="00110212">
        <w:rPr>
          <w:sz w:val="18"/>
        </w:rPr>
        <w:t xml:space="preserve">125 des orientations </w:t>
      </w:r>
      <w:r w:rsidRPr="005D7531">
        <w:rPr>
          <w:sz w:val="18"/>
        </w:rPr>
        <w:t>EBA/GL/2022/09-ESMA35-42-1470</w:t>
      </w:r>
    </w:p>
  </w:footnote>
  <w:footnote w:id="10">
    <w:p w14:paraId="0819E99B" w14:textId="77777777" w:rsidR="000174E2" w:rsidRDefault="000174E2">
      <w:pPr>
        <w:pStyle w:val="Notedebasdepage"/>
      </w:pPr>
      <w:r>
        <w:rPr>
          <w:rStyle w:val="Appelnotedebasdep"/>
        </w:rPr>
        <w:footnoteRef/>
      </w:r>
      <w:r>
        <w:t xml:space="preserve"> </w:t>
      </w:r>
      <w:r w:rsidRPr="00110212">
        <w:rPr>
          <w:sz w:val="18"/>
        </w:rPr>
        <w:t>Cf. paragraphes 124</w:t>
      </w:r>
      <w:r>
        <w:rPr>
          <w:sz w:val="18"/>
        </w:rPr>
        <w:t>, 125 et 126</w:t>
      </w:r>
      <w:r w:rsidRPr="00110212">
        <w:rPr>
          <w:sz w:val="18"/>
        </w:rPr>
        <w:t xml:space="preserve"> des orientations </w:t>
      </w:r>
      <w:r w:rsidRPr="005D7531">
        <w:rPr>
          <w:sz w:val="18"/>
        </w:rPr>
        <w:t>EBA/GL/2022/09-ESMA35-42-1470</w:t>
      </w:r>
    </w:p>
  </w:footnote>
  <w:footnote w:id="11">
    <w:p w14:paraId="6523878B" w14:textId="77777777" w:rsidR="000174E2" w:rsidRPr="00FA060B" w:rsidRDefault="000174E2">
      <w:pPr>
        <w:pStyle w:val="Notedebasdepage"/>
      </w:pPr>
      <w:r>
        <w:rPr>
          <w:rStyle w:val="Appelnotedebasdep"/>
        </w:rPr>
        <w:footnoteRef/>
      </w:r>
      <w:r w:rsidRPr="00FA060B">
        <w:t xml:space="preserve"> </w:t>
      </w:r>
      <w:hyperlink r:id="rId2" w:history="1">
        <w:r w:rsidRPr="007D2AAB">
          <w:rPr>
            <w:rStyle w:val="Lienhypertexte"/>
            <w:sz w:val="18"/>
          </w:rPr>
          <w:t>Règlement délégué sur la mesure du risque de liquidité</w:t>
        </w:r>
      </w:hyperlink>
    </w:p>
  </w:footnote>
  <w:footnote w:id="12">
    <w:p w14:paraId="1F13CE18" w14:textId="77777777" w:rsidR="000174E2" w:rsidRPr="007D2AAB" w:rsidRDefault="000174E2">
      <w:pPr>
        <w:pStyle w:val="Notedebasdepage"/>
      </w:pPr>
      <w:r>
        <w:rPr>
          <w:rStyle w:val="Appelnotedebasdep"/>
        </w:rPr>
        <w:footnoteRef/>
      </w:r>
      <w:r w:rsidRPr="007D2AAB">
        <w:t xml:space="preserve"> </w:t>
      </w:r>
      <w:hyperlink r:id="rId3" w:history="1">
        <w:r w:rsidRPr="007D2AAB">
          <w:rPr>
            <w:rStyle w:val="Lienhypertexte"/>
          </w:rPr>
          <w:t xml:space="preserve">Règlement délégué </w:t>
        </w:r>
        <w:r>
          <w:rPr>
            <w:rStyle w:val="Lienhypertexte"/>
          </w:rPr>
          <w:t xml:space="preserve">(EU) 2023/1651 </w:t>
        </w:r>
        <w:r w:rsidRPr="007D2AAB">
          <w:rPr>
            <w:rStyle w:val="Lienhypertexte"/>
          </w:rPr>
          <w:t>sur la mesure du risque de liquidité</w:t>
        </w:r>
      </w:hyperlink>
    </w:p>
  </w:footnote>
  <w:footnote w:id="13">
    <w:p w14:paraId="55D62617" w14:textId="77777777" w:rsidR="000174E2" w:rsidRDefault="000174E2">
      <w:pPr>
        <w:pStyle w:val="Notedebasdepage"/>
      </w:pPr>
      <w:r>
        <w:rPr>
          <w:rStyle w:val="Appelnotedebasdep"/>
        </w:rPr>
        <w:footnoteRef/>
      </w:r>
      <w:r>
        <w:t xml:space="preserve"> </w:t>
      </w:r>
      <w:r w:rsidRPr="00110212">
        <w:rPr>
          <w:sz w:val="18"/>
        </w:rPr>
        <w:t xml:space="preserve">Cf. paragraphes </w:t>
      </w:r>
      <w:r>
        <w:rPr>
          <w:sz w:val="18"/>
        </w:rPr>
        <w:t>128 à 131</w:t>
      </w:r>
      <w:r w:rsidRPr="00110212">
        <w:rPr>
          <w:sz w:val="18"/>
        </w:rPr>
        <w:t xml:space="preserve"> des orientations </w:t>
      </w:r>
      <w:r w:rsidRPr="005D7531">
        <w:rPr>
          <w:sz w:val="18"/>
        </w:rPr>
        <w:t>EBA/GL/2022/09-ESMA35-42-1470</w:t>
      </w:r>
    </w:p>
  </w:footnote>
  <w:footnote w:id="14">
    <w:p w14:paraId="1380231D" w14:textId="77777777" w:rsidR="000174E2" w:rsidRDefault="000174E2">
      <w:pPr>
        <w:pStyle w:val="Notedebasdepage"/>
      </w:pPr>
      <w:r>
        <w:rPr>
          <w:rStyle w:val="Appelnotedebasdep"/>
        </w:rPr>
        <w:footnoteRef/>
      </w:r>
      <w:r>
        <w:t xml:space="preserve"> </w:t>
      </w:r>
      <w:r w:rsidRPr="009F63BD">
        <w:rPr>
          <w:sz w:val="18"/>
        </w:rPr>
        <w:t xml:space="preserve">Cf. article </w:t>
      </w:r>
      <w:r>
        <w:rPr>
          <w:sz w:val="18"/>
        </w:rPr>
        <w:t>L613-35</w:t>
      </w:r>
      <w:r w:rsidRPr="009F63BD">
        <w:rPr>
          <w:sz w:val="18"/>
        </w:rPr>
        <w:t xml:space="preserve"> </w:t>
      </w:r>
      <w:r>
        <w:rPr>
          <w:sz w:val="18"/>
        </w:rPr>
        <w:t xml:space="preserve">du code monétaire et financier.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A9E69" w14:textId="77777777" w:rsidR="000174E2" w:rsidRPr="00615FB2" w:rsidRDefault="000174E2" w:rsidP="00615FB2">
    <w:pPr>
      <w:pBdr>
        <w:bottom w:val="single" w:sz="4" w:space="1" w:color="auto"/>
      </w:pBdr>
      <w:rPr>
        <w:i/>
        <w:iCs/>
        <w:sz w:val="18"/>
        <w:szCs w:val="18"/>
      </w:rPr>
    </w:pPr>
    <w:r w:rsidRPr="00640178">
      <w:rPr>
        <w:i/>
        <w:iCs/>
        <w:sz w:val="18"/>
        <w:szCs w:val="18"/>
      </w:rPr>
      <w:t>Rapport sur le process</w:t>
    </w:r>
    <w:r>
      <w:rPr>
        <w:i/>
        <w:iCs/>
        <w:sz w:val="18"/>
        <w:szCs w:val="18"/>
      </w:rPr>
      <w:t>us</w:t>
    </w:r>
    <w:r w:rsidRPr="00640178">
      <w:rPr>
        <w:i/>
        <w:iCs/>
        <w:sz w:val="18"/>
        <w:szCs w:val="18"/>
      </w:rPr>
      <w:t xml:space="preserve"> d’évaluation de l’adéquation du capital interne et des actifs liquides</w:t>
    </w:r>
    <w:r>
      <w:rPr>
        <w:i/>
        <w:iCs/>
        <w:sz w:val="18"/>
        <w:szCs w:val="18"/>
      </w:rPr>
      <w:t xml:space="preserve"> avec les risques –  ICARAP 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D06D1"/>
    <w:multiLevelType w:val="hybridMultilevel"/>
    <w:tmpl w:val="F8EC0190"/>
    <w:lvl w:ilvl="0" w:tplc="1A6AD02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307595"/>
    <w:multiLevelType w:val="hybridMultilevel"/>
    <w:tmpl w:val="60C03F24"/>
    <w:lvl w:ilvl="0" w:tplc="DB386DAC">
      <w:numFmt w:val="bullet"/>
      <w:lvlText w:val="•"/>
      <w:lvlJc w:val="left"/>
      <w:pPr>
        <w:ind w:left="1070" w:hanging="71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13404B"/>
    <w:multiLevelType w:val="hybridMultilevel"/>
    <w:tmpl w:val="AB90584E"/>
    <w:lvl w:ilvl="0" w:tplc="D3A0494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063BD2"/>
    <w:multiLevelType w:val="hybridMultilevel"/>
    <w:tmpl w:val="32EAC73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3F5738D6"/>
    <w:multiLevelType w:val="hybridMultilevel"/>
    <w:tmpl w:val="9E6C4050"/>
    <w:lvl w:ilvl="0" w:tplc="9202BA2C">
      <w:start w:val="1"/>
      <w:numFmt w:val="decimal"/>
      <w:lvlText w:val="%1.1.1"/>
      <w:lvlJc w:val="left"/>
      <w:pPr>
        <w:ind w:left="1854"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5" w15:restartNumberingAfterBreak="0">
    <w:nsid w:val="548C592D"/>
    <w:multiLevelType w:val="hybridMultilevel"/>
    <w:tmpl w:val="9926EDDA"/>
    <w:lvl w:ilvl="0" w:tplc="1362EC9E">
      <w:numFmt w:val="bullet"/>
      <w:lvlText w:val="-"/>
      <w:lvlJc w:val="left"/>
      <w:pPr>
        <w:ind w:left="720" w:hanging="36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713E1D"/>
    <w:multiLevelType w:val="hybridMultilevel"/>
    <w:tmpl w:val="4992F12C"/>
    <w:lvl w:ilvl="0" w:tplc="DB386DAC">
      <w:numFmt w:val="bullet"/>
      <w:lvlText w:val="•"/>
      <w:lvlJc w:val="left"/>
      <w:pPr>
        <w:ind w:left="1070" w:hanging="710"/>
      </w:pPr>
      <w:rPr>
        <w:rFonts w:ascii="Times New Roman" w:eastAsiaTheme="minorHAnsi" w:hAnsi="Times New Roman" w:cs="Times New Roman" w:hint="default"/>
      </w:rPr>
    </w:lvl>
    <w:lvl w:ilvl="1" w:tplc="DA2C5C4E">
      <w:numFmt w:val="bullet"/>
      <w:lvlText w:val="-"/>
      <w:lvlJc w:val="left"/>
      <w:pPr>
        <w:ind w:left="1790" w:hanging="71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8543B4A"/>
    <w:multiLevelType w:val="multilevel"/>
    <w:tmpl w:val="57909686"/>
    <w:lvl w:ilvl="0">
      <w:start w:val="1"/>
      <w:numFmt w:val="decimal"/>
      <w:pStyle w:val="Titre1"/>
      <w:lvlText w:val="%1."/>
      <w:lvlJc w:val="left"/>
      <w:pPr>
        <w:ind w:left="360" w:hanging="360"/>
      </w:pPr>
    </w:lvl>
    <w:lvl w:ilvl="1">
      <w:start w:val="1"/>
      <w:numFmt w:val="decimal"/>
      <w:pStyle w:val="Titre2"/>
      <w:isLgl/>
      <w:lvlText w:val="%1.%2."/>
      <w:lvlJc w:val="left"/>
      <w:pPr>
        <w:ind w:left="720" w:hanging="720"/>
      </w:pPr>
      <w:rPr>
        <w:rFonts w:hint="default"/>
      </w:rPr>
    </w:lvl>
    <w:lvl w:ilvl="2">
      <w:start w:val="1"/>
      <w:numFmt w:val="decimal"/>
      <w:pStyle w:val="Titre3"/>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73FA1BEE"/>
    <w:multiLevelType w:val="hybridMultilevel"/>
    <w:tmpl w:val="2AECF2D4"/>
    <w:lvl w:ilvl="0" w:tplc="DB386DAC">
      <w:numFmt w:val="bullet"/>
      <w:lvlText w:val="•"/>
      <w:lvlJc w:val="left"/>
      <w:pPr>
        <w:ind w:left="1070" w:hanging="710"/>
      </w:pPr>
      <w:rPr>
        <w:rFonts w:ascii="Times New Roman" w:eastAsiaTheme="minorHAnsi" w:hAnsi="Times New Roman" w:cs="Times New Roman" w:hint="default"/>
      </w:rPr>
    </w:lvl>
    <w:lvl w:ilvl="1" w:tplc="0DBEB670">
      <w:numFmt w:val="bullet"/>
      <w:lvlText w:val="-"/>
      <w:lvlJc w:val="left"/>
      <w:pPr>
        <w:ind w:left="1790" w:hanging="71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8"/>
  </w:num>
  <w:num w:numId="5">
    <w:abstractNumId w:val="7"/>
  </w:num>
  <w:num w:numId="6">
    <w:abstractNumId w:val="5"/>
  </w:num>
  <w:num w:numId="7">
    <w:abstractNumId w:val="4"/>
  </w:num>
  <w:num w:numId="8">
    <w:abstractNumId w:val="7"/>
    <w:lvlOverride w:ilvl="0">
      <w:startOverride w:val="3"/>
    </w:lvlOverride>
    <w:lvlOverride w:ilvl="1">
      <w:startOverride w:val="1"/>
    </w:lvlOverride>
    <w:lvlOverride w:ilvl="2">
      <w:startOverride w:val="1"/>
    </w:lvlOverride>
  </w:num>
  <w:num w:numId="9">
    <w:abstractNumId w:val="7"/>
  </w:num>
  <w:num w:numId="10">
    <w:abstractNumId w:val="7"/>
  </w:num>
  <w:num w:numId="11">
    <w:abstractNumId w:val="0"/>
  </w:num>
  <w:num w:numId="1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CEB"/>
    <w:rsid w:val="000134EE"/>
    <w:rsid w:val="0001607B"/>
    <w:rsid w:val="000174E2"/>
    <w:rsid w:val="00025352"/>
    <w:rsid w:val="00042F2D"/>
    <w:rsid w:val="00073A51"/>
    <w:rsid w:val="00074AC5"/>
    <w:rsid w:val="00090174"/>
    <w:rsid w:val="00097489"/>
    <w:rsid w:val="000A352A"/>
    <w:rsid w:val="000A7599"/>
    <w:rsid w:val="000B46D3"/>
    <w:rsid w:val="000C099B"/>
    <w:rsid w:val="000E1027"/>
    <w:rsid w:val="000F044F"/>
    <w:rsid w:val="000F2683"/>
    <w:rsid w:val="000F6629"/>
    <w:rsid w:val="00103270"/>
    <w:rsid w:val="00104A1A"/>
    <w:rsid w:val="00106C73"/>
    <w:rsid w:val="00107EFF"/>
    <w:rsid w:val="00111421"/>
    <w:rsid w:val="00111654"/>
    <w:rsid w:val="0011398B"/>
    <w:rsid w:val="00114130"/>
    <w:rsid w:val="0011577D"/>
    <w:rsid w:val="00115AFF"/>
    <w:rsid w:val="001163AF"/>
    <w:rsid w:val="00131848"/>
    <w:rsid w:val="0013207E"/>
    <w:rsid w:val="00133C76"/>
    <w:rsid w:val="00150159"/>
    <w:rsid w:val="00150F15"/>
    <w:rsid w:val="00162972"/>
    <w:rsid w:val="00186E40"/>
    <w:rsid w:val="001906D9"/>
    <w:rsid w:val="001A1149"/>
    <w:rsid w:val="001C6A11"/>
    <w:rsid w:val="001D122C"/>
    <w:rsid w:val="001D48B8"/>
    <w:rsid w:val="001E1FD0"/>
    <w:rsid w:val="001E4762"/>
    <w:rsid w:val="001E52D4"/>
    <w:rsid w:val="001E5301"/>
    <w:rsid w:val="001E5550"/>
    <w:rsid w:val="001E656A"/>
    <w:rsid w:val="001F49EB"/>
    <w:rsid w:val="00203AE5"/>
    <w:rsid w:val="002057D2"/>
    <w:rsid w:val="00213EC9"/>
    <w:rsid w:val="002160AB"/>
    <w:rsid w:val="00222C06"/>
    <w:rsid w:val="00226F4A"/>
    <w:rsid w:val="00245511"/>
    <w:rsid w:val="00254E16"/>
    <w:rsid w:val="00261A3F"/>
    <w:rsid w:val="002743C2"/>
    <w:rsid w:val="0028667E"/>
    <w:rsid w:val="002B0D5B"/>
    <w:rsid w:val="002B108F"/>
    <w:rsid w:val="002B21D1"/>
    <w:rsid w:val="002B7971"/>
    <w:rsid w:val="002E1630"/>
    <w:rsid w:val="002E2E1F"/>
    <w:rsid w:val="002E7EAB"/>
    <w:rsid w:val="002F12A7"/>
    <w:rsid w:val="00304E13"/>
    <w:rsid w:val="00314EA9"/>
    <w:rsid w:val="003230B5"/>
    <w:rsid w:val="003324BB"/>
    <w:rsid w:val="00337EF2"/>
    <w:rsid w:val="0034117C"/>
    <w:rsid w:val="003414AD"/>
    <w:rsid w:val="00351E8C"/>
    <w:rsid w:val="00351FC2"/>
    <w:rsid w:val="00354296"/>
    <w:rsid w:val="00361C10"/>
    <w:rsid w:val="003667C9"/>
    <w:rsid w:val="00366D4C"/>
    <w:rsid w:val="00370692"/>
    <w:rsid w:val="00376413"/>
    <w:rsid w:val="00381694"/>
    <w:rsid w:val="00383152"/>
    <w:rsid w:val="0038377D"/>
    <w:rsid w:val="00392BAC"/>
    <w:rsid w:val="003A7562"/>
    <w:rsid w:val="003C0908"/>
    <w:rsid w:val="003C699E"/>
    <w:rsid w:val="003D2EC4"/>
    <w:rsid w:val="003E1F10"/>
    <w:rsid w:val="003F08A3"/>
    <w:rsid w:val="00405D45"/>
    <w:rsid w:val="00413A63"/>
    <w:rsid w:val="004224EF"/>
    <w:rsid w:val="00426F20"/>
    <w:rsid w:val="00431D87"/>
    <w:rsid w:val="0043456A"/>
    <w:rsid w:val="00440DAA"/>
    <w:rsid w:val="00467970"/>
    <w:rsid w:val="00480E13"/>
    <w:rsid w:val="00480ECF"/>
    <w:rsid w:val="00481710"/>
    <w:rsid w:val="004855D0"/>
    <w:rsid w:val="00496D6E"/>
    <w:rsid w:val="004B0C47"/>
    <w:rsid w:val="004B3970"/>
    <w:rsid w:val="004C6305"/>
    <w:rsid w:val="004D01A0"/>
    <w:rsid w:val="004E5771"/>
    <w:rsid w:val="00523A13"/>
    <w:rsid w:val="00525776"/>
    <w:rsid w:val="00526E91"/>
    <w:rsid w:val="0053017C"/>
    <w:rsid w:val="005330CD"/>
    <w:rsid w:val="0054381D"/>
    <w:rsid w:val="0055408C"/>
    <w:rsid w:val="00557C55"/>
    <w:rsid w:val="00571DB5"/>
    <w:rsid w:val="0058248B"/>
    <w:rsid w:val="00586826"/>
    <w:rsid w:val="005869A9"/>
    <w:rsid w:val="00591D1F"/>
    <w:rsid w:val="005A1C7F"/>
    <w:rsid w:val="005B1144"/>
    <w:rsid w:val="005B6B28"/>
    <w:rsid w:val="005B752C"/>
    <w:rsid w:val="005D7531"/>
    <w:rsid w:val="005E1272"/>
    <w:rsid w:val="005E31BB"/>
    <w:rsid w:val="005E6E13"/>
    <w:rsid w:val="005F2BD5"/>
    <w:rsid w:val="005F4B62"/>
    <w:rsid w:val="005F73B1"/>
    <w:rsid w:val="006041F8"/>
    <w:rsid w:val="00604773"/>
    <w:rsid w:val="00607CEB"/>
    <w:rsid w:val="00611C23"/>
    <w:rsid w:val="006147AD"/>
    <w:rsid w:val="00615FB2"/>
    <w:rsid w:val="006211F6"/>
    <w:rsid w:val="00623917"/>
    <w:rsid w:val="00625C5D"/>
    <w:rsid w:val="00626487"/>
    <w:rsid w:val="00640178"/>
    <w:rsid w:val="00646B82"/>
    <w:rsid w:val="0067042A"/>
    <w:rsid w:val="006722BB"/>
    <w:rsid w:val="00676C2E"/>
    <w:rsid w:val="00680FB9"/>
    <w:rsid w:val="0068479B"/>
    <w:rsid w:val="00697292"/>
    <w:rsid w:val="006A40AA"/>
    <w:rsid w:val="006C3249"/>
    <w:rsid w:val="006C6FF6"/>
    <w:rsid w:val="006E60FD"/>
    <w:rsid w:val="006E6AD8"/>
    <w:rsid w:val="00713950"/>
    <w:rsid w:val="0071726D"/>
    <w:rsid w:val="00717383"/>
    <w:rsid w:val="007407AB"/>
    <w:rsid w:val="007408EB"/>
    <w:rsid w:val="0074104B"/>
    <w:rsid w:val="00743FC5"/>
    <w:rsid w:val="00752C5F"/>
    <w:rsid w:val="00770FFD"/>
    <w:rsid w:val="007779FB"/>
    <w:rsid w:val="00792BFE"/>
    <w:rsid w:val="007A1425"/>
    <w:rsid w:val="007C3A24"/>
    <w:rsid w:val="007C3CF5"/>
    <w:rsid w:val="007D003F"/>
    <w:rsid w:val="007D2AAB"/>
    <w:rsid w:val="007D40D2"/>
    <w:rsid w:val="007E2E14"/>
    <w:rsid w:val="007F2336"/>
    <w:rsid w:val="007F4DFB"/>
    <w:rsid w:val="008224FF"/>
    <w:rsid w:val="00827A87"/>
    <w:rsid w:val="00841B3E"/>
    <w:rsid w:val="008459AD"/>
    <w:rsid w:val="008474DE"/>
    <w:rsid w:val="00851567"/>
    <w:rsid w:val="00860C9A"/>
    <w:rsid w:val="008723D3"/>
    <w:rsid w:val="008770D1"/>
    <w:rsid w:val="00877331"/>
    <w:rsid w:val="00882B63"/>
    <w:rsid w:val="00884C11"/>
    <w:rsid w:val="008A0DB8"/>
    <w:rsid w:val="008C1263"/>
    <w:rsid w:val="008C62D7"/>
    <w:rsid w:val="008D48E5"/>
    <w:rsid w:val="008D4EDA"/>
    <w:rsid w:val="008E3884"/>
    <w:rsid w:val="008E6D26"/>
    <w:rsid w:val="009035CC"/>
    <w:rsid w:val="009055A5"/>
    <w:rsid w:val="00906479"/>
    <w:rsid w:val="009174BB"/>
    <w:rsid w:val="00934279"/>
    <w:rsid w:val="00935B47"/>
    <w:rsid w:val="009412C4"/>
    <w:rsid w:val="00947B73"/>
    <w:rsid w:val="00951315"/>
    <w:rsid w:val="00964615"/>
    <w:rsid w:val="00975AD9"/>
    <w:rsid w:val="00982650"/>
    <w:rsid w:val="0098740C"/>
    <w:rsid w:val="00990291"/>
    <w:rsid w:val="0099097E"/>
    <w:rsid w:val="00991A2D"/>
    <w:rsid w:val="009A2A32"/>
    <w:rsid w:val="009A5E26"/>
    <w:rsid w:val="009B00C0"/>
    <w:rsid w:val="009B4D2E"/>
    <w:rsid w:val="009B69FA"/>
    <w:rsid w:val="009D1DA7"/>
    <w:rsid w:val="009D22F7"/>
    <w:rsid w:val="009D2CFF"/>
    <w:rsid w:val="009D6079"/>
    <w:rsid w:val="009E1BBC"/>
    <w:rsid w:val="009E2AE4"/>
    <w:rsid w:val="009E5157"/>
    <w:rsid w:val="009F63BD"/>
    <w:rsid w:val="00A2237E"/>
    <w:rsid w:val="00A30B5A"/>
    <w:rsid w:val="00A35202"/>
    <w:rsid w:val="00A451D3"/>
    <w:rsid w:val="00A560DF"/>
    <w:rsid w:val="00A716D4"/>
    <w:rsid w:val="00A822EB"/>
    <w:rsid w:val="00A86496"/>
    <w:rsid w:val="00A9160F"/>
    <w:rsid w:val="00AA1D00"/>
    <w:rsid w:val="00AA2EA9"/>
    <w:rsid w:val="00AB34FB"/>
    <w:rsid w:val="00AB4859"/>
    <w:rsid w:val="00AC54A3"/>
    <w:rsid w:val="00AC574E"/>
    <w:rsid w:val="00AC665E"/>
    <w:rsid w:val="00AC7B1A"/>
    <w:rsid w:val="00AD153F"/>
    <w:rsid w:val="00AD3945"/>
    <w:rsid w:val="00AE41C9"/>
    <w:rsid w:val="00AF4BF4"/>
    <w:rsid w:val="00AF4E6A"/>
    <w:rsid w:val="00B0240D"/>
    <w:rsid w:val="00B078A8"/>
    <w:rsid w:val="00B16797"/>
    <w:rsid w:val="00B32526"/>
    <w:rsid w:val="00B61D0B"/>
    <w:rsid w:val="00B662F2"/>
    <w:rsid w:val="00B67EA8"/>
    <w:rsid w:val="00B700EE"/>
    <w:rsid w:val="00B70BA2"/>
    <w:rsid w:val="00B74EB8"/>
    <w:rsid w:val="00B819D6"/>
    <w:rsid w:val="00B84804"/>
    <w:rsid w:val="00B84866"/>
    <w:rsid w:val="00B904F6"/>
    <w:rsid w:val="00B92BE9"/>
    <w:rsid w:val="00BA4116"/>
    <w:rsid w:val="00BA677E"/>
    <w:rsid w:val="00BA6BCC"/>
    <w:rsid w:val="00BB2AE3"/>
    <w:rsid w:val="00BB5F2A"/>
    <w:rsid w:val="00BC3152"/>
    <w:rsid w:val="00BC4B68"/>
    <w:rsid w:val="00BC5540"/>
    <w:rsid w:val="00BD097B"/>
    <w:rsid w:val="00BD33C8"/>
    <w:rsid w:val="00BD43D5"/>
    <w:rsid w:val="00BE34D2"/>
    <w:rsid w:val="00BF3FB5"/>
    <w:rsid w:val="00C26B1A"/>
    <w:rsid w:val="00C42440"/>
    <w:rsid w:val="00C4622F"/>
    <w:rsid w:val="00C5135E"/>
    <w:rsid w:val="00C5264D"/>
    <w:rsid w:val="00C52895"/>
    <w:rsid w:val="00C603DC"/>
    <w:rsid w:val="00C75213"/>
    <w:rsid w:val="00C761E0"/>
    <w:rsid w:val="00C80B81"/>
    <w:rsid w:val="00C82F41"/>
    <w:rsid w:val="00C87D14"/>
    <w:rsid w:val="00C9488C"/>
    <w:rsid w:val="00CB748E"/>
    <w:rsid w:val="00CC1CA0"/>
    <w:rsid w:val="00CC2AF5"/>
    <w:rsid w:val="00CC6556"/>
    <w:rsid w:val="00CD1121"/>
    <w:rsid w:val="00CE0567"/>
    <w:rsid w:val="00CE3B15"/>
    <w:rsid w:val="00CF02B9"/>
    <w:rsid w:val="00CF3480"/>
    <w:rsid w:val="00D00F56"/>
    <w:rsid w:val="00D2273C"/>
    <w:rsid w:val="00D4159A"/>
    <w:rsid w:val="00D4501F"/>
    <w:rsid w:val="00D600C6"/>
    <w:rsid w:val="00D61D20"/>
    <w:rsid w:val="00D728A5"/>
    <w:rsid w:val="00D73F61"/>
    <w:rsid w:val="00D811F1"/>
    <w:rsid w:val="00D81DE6"/>
    <w:rsid w:val="00DA13B0"/>
    <w:rsid w:val="00DB75EA"/>
    <w:rsid w:val="00DE46DA"/>
    <w:rsid w:val="00DE6874"/>
    <w:rsid w:val="00DE7605"/>
    <w:rsid w:val="00DF029A"/>
    <w:rsid w:val="00DF4E74"/>
    <w:rsid w:val="00E132AA"/>
    <w:rsid w:val="00E14732"/>
    <w:rsid w:val="00E23385"/>
    <w:rsid w:val="00E23554"/>
    <w:rsid w:val="00E250C3"/>
    <w:rsid w:val="00E3304C"/>
    <w:rsid w:val="00E373F7"/>
    <w:rsid w:val="00E41307"/>
    <w:rsid w:val="00E45CC8"/>
    <w:rsid w:val="00E50106"/>
    <w:rsid w:val="00E6396E"/>
    <w:rsid w:val="00E85F06"/>
    <w:rsid w:val="00EB0DFE"/>
    <w:rsid w:val="00EB3325"/>
    <w:rsid w:val="00EC5343"/>
    <w:rsid w:val="00ED2CE0"/>
    <w:rsid w:val="00ED5ED6"/>
    <w:rsid w:val="00ED6875"/>
    <w:rsid w:val="00EE237A"/>
    <w:rsid w:val="00EF37DF"/>
    <w:rsid w:val="00F109FA"/>
    <w:rsid w:val="00F34B73"/>
    <w:rsid w:val="00F40635"/>
    <w:rsid w:val="00F462E5"/>
    <w:rsid w:val="00F52E86"/>
    <w:rsid w:val="00F5318F"/>
    <w:rsid w:val="00F57F38"/>
    <w:rsid w:val="00F8035F"/>
    <w:rsid w:val="00F94639"/>
    <w:rsid w:val="00FA060B"/>
    <w:rsid w:val="00FB4E30"/>
    <w:rsid w:val="00FB6051"/>
    <w:rsid w:val="00FD0DFE"/>
    <w:rsid w:val="00FE1ADF"/>
    <w:rsid w:val="00FE2A23"/>
    <w:rsid w:val="00FE5B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D416B5"/>
  <w15:chartTrackingRefBased/>
  <w15:docId w15:val="{A2A8CA00-98C3-4AAF-93C1-4C1F986F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autoRedefine/>
    <w:uiPriority w:val="9"/>
    <w:qFormat/>
    <w:rsid w:val="000C099B"/>
    <w:pPr>
      <w:keepNext/>
      <w:keepLines/>
      <w:numPr>
        <w:numId w:val="5"/>
      </w:numPr>
      <w:spacing w:before="240" w:after="240"/>
      <w:outlineLvl w:val="0"/>
    </w:pPr>
    <w:rPr>
      <w:rFonts w:ascii="Arial" w:eastAsiaTheme="majorEastAsia" w:hAnsi="Arial" w:cstheme="majorBidi"/>
      <w:b/>
      <w:color w:val="000000" w:themeColor="text1"/>
      <w:sz w:val="32"/>
      <w:szCs w:val="32"/>
    </w:rPr>
  </w:style>
  <w:style w:type="paragraph" w:styleId="Titre2">
    <w:name w:val="heading 2"/>
    <w:basedOn w:val="Normal"/>
    <w:next w:val="Normal"/>
    <w:link w:val="Titre2Car"/>
    <w:autoRedefine/>
    <w:uiPriority w:val="9"/>
    <w:unhideWhenUsed/>
    <w:qFormat/>
    <w:rsid w:val="0013207E"/>
    <w:pPr>
      <w:keepNext/>
      <w:keepLines/>
      <w:numPr>
        <w:ilvl w:val="1"/>
        <w:numId w:val="5"/>
      </w:numPr>
      <w:spacing w:before="360" w:after="180"/>
      <w:ind w:left="1134" w:hanging="567"/>
      <w:jc w:val="both"/>
      <w:outlineLvl w:val="1"/>
    </w:pPr>
    <w:rPr>
      <w:rFonts w:ascii="Arial" w:eastAsiaTheme="majorEastAsia" w:hAnsi="Arial" w:cstheme="majorBidi"/>
      <w:b/>
      <w:color w:val="000000" w:themeColor="text1"/>
      <w:sz w:val="28"/>
      <w:szCs w:val="26"/>
    </w:rPr>
  </w:style>
  <w:style w:type="paragraph" w:styleId="Titre3">
    <w:name w:val="heading 3"/>
    <w:basedOn w:val="Normal"/>
    <w:next w:val="Normal"/>
    <w:link w:val="Titre3Car"/>
    <w:autoRedefine/>
    <w:uiPriority w:val="9"/>
    <w:unhideWhenUsed/>
    <w:qFormat/>
    <w:rsid w:val="00990291"/>
    <w:pPr>
      <w:keepNext/>
      <w:keepLines/>
      <w:numPr>
        <w:ilvl w:val="2"/>
        <w:numId w:val="5"/>
      </w:numPr>
      <w:spacing w:before="40" w:after="0"/>
      <w:outlineLvl w:val="2"/>
    </w:pPr>
    <w:rPr>
      <w:rFonts w:asciiTheme="majorHAnsi" w:eastAsiaTheme="majorEastAsia" w:hAnsiTheme="majorHAnsi" w:cstheme="majorBidi"/>
      <w:b/>
      <w:i/>
      <w:color w:val="000000" w:themeColor="text1"/>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40178"/>
    <w:pPr>
      <w:tabs>
        <w:tab w:val="center" w:pos="4536"/>
        <w:tab w:val="right" w:pos="9072"/>
      </w:tabs>
      <w:spacing w:after="0" w:line="240" w:lineRule="auto"/>
    </w:pPr>
  </w:style>
  <w:style w:type="character" w:customStyle="1" w:styleId="En-tteCar">
    <w:name w:val="En-tête Car"/>
    <w:basedOn w:val="Policepardfaut"/>
    <w:link w:val="En-tte"/>
    <w:uiPriority w:val="99"/>
    <w:rsid w:val="00640178"/>
  </w:style>
  <w:style w:type="paragraph" w:styleId="Pieddepage">
    <w:name w:val="footer"/>
    <w:basedOn w:val="Normal"/>
    <w:link w:val="PieddepageCar"/>
    <w:uiPriority w:val="99"/>
    <w:unhideWhenUsed/>
    <w:rsid w:val="006401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0178"/>
  </w:style>
  <w:style w:type="paragraph" w:styleId="Notedebasdepage">
    <w:name w:val="footnote text"/>
    <w:basedOn w:val="Normal"/>
    <w:link w:val="NotedebasdepageCar"/>
    <w:uiPriority w:val="99"/>
    <w:semiHidden/>
    <w:unhideWhenUsed/>
    <w:rsid w:val="00615FB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15FB2"/>
    <w:rPr>
      <w:sz w:val="20"/>
      <w:szCs w:val="20"/>
    </w:rPr>
  </w:style>
  <w:style w:type="character" w:styleId="Appelnotedebasdep">
    <w:name w:val="footnote reference"/>
    <w:basedOn w:val="Policepardfaut"/>
    <w:uiPriority w:val="99"/>
    <w:semiHidden/>
    <w:unhideWhenUsed/>
    <w:rsid w:val="00615FB2"/>
    <w:rPr>
      <w:vertAlign w:val="superscript"/>
    </w:rPr>
  </w:style>
  <w:style w:type="character" w:styleId="Lienhypertexte">
    <w:name w:val="Hyperlink"/>
    <w:basedOn w:val="Policepardfaut"/>
    <w:uiPriority w:val="99"/>
    <w:unhideWhenUsed/>
    <w:rsid w:val="00615FB2"/>
    <w:rPr>
      <w:color w:val="0000FF"/>
      <w:u w:val="single"/>
    </w:rPr>
  </w:style>
  <w:style w:type="paragraph" w:styleId="Paragraphedeliste">
    <w:name w:val="List Paragraph"/>
    <w:basedOn w:val="Normal"/>
    <w:uiPriority w:val="34"/>
    <w:qFormat/>
    <w:rsid w:val="00BC4B68"/>
    <w:pPr>
      <w:ind w:left="720"/>
      <w:contextualSpacing/>
    </w:pPr>
  </w:style>
  <w:style w:type="character" w:customStyle="1" w:styleId="Titre1Car">
    <w:name w:val="Titre 1 Car"/>
    <w:basedOn w:val="Policepardfaut"/>
    <w:link w:val="Titre1"/>
    <w:uiPriority w:val="9"/>
    <w:rsid w:val="000C099B"/>
    <w:rPr>
      <w:rFonts w:ascii="Arial" w:eastAsiaTheme="majorEastAsia" w:hAnsi="Arial" w:cstheme="majorBidi"/>
      <w:b/>
      <w:color w:val="000000" w:themeColor="text1"/>
      <w:sz w:val="32"/>
      <w:szCs w:val="32"/>
    </w:rPr>
  </w:style>
  <w:style w:type="character" w:customStyle="1" w:styleId="Titre2Car">
    <w:name w:val="Titre 2 Car"/>
    <w:basedOn w:val="Policepardfaut"/>
    <w:link w:val="Titre2"/>
    <w:uiPriority w:val="9"/>
    <w:rsid w:val="0013207E"/>
    <w:rPr>
      <w:rFonts w:ascii="Arial" w:eastAsiaTheme="majorEastAsia" w:hAnsi="Arial" w:cstheme="majorBidi"/>
      <w:b/>
      <w:color w:val="000000" w:themeColor="text1"/>
      <w:sz w:val="28"/>
      <w:szCs w:val="26"/>
    </w:rPr>
  </w:style>
  <w:style w:type="paragraph" w:styleId="En-ttedetabledesmatires">
    <w:name w:val="TOC Heading"/>
    <w:basedOn w:val="Titre1"/>
    <w:next w:val="Normal"/>
    <w:uiPriority w:val="39"/>
    <w:unhideWhenUsed/>
    <w:qFormat/>
    <w:rsid w:val="005869A9"/>
    <w:pPr>
      <w:numPr>
        <w:numId w:val="0"/>
      </w:numPr>
      <w:spacing w:after="0"/>
      <w:outlineLvl w:val="9"/>
    </w:pPr>
    <w:rPr>
      <w:rFonts w:asciiTheme="majorHAnsi" w:hAnsiTheme="majorHAnsi"/>
      <w:b w:val="0"/>
      <w:color w:val="2F5496" w:themeColor="accent1" w:themeShade="BF"/>
      <w:lang w:eastAsia="fr-FR"/>
    </w:rPr>
  </w:style>
  <w:style w:type="paragraph" w:styleId="TM1">
    <w:name w:val="toc 1"/>
    <w:basedOn w:val="Normal"/>
    <w:next w:val="Normal"/>
    <w:autoRedefine/>
    <w:uiPriority w:val="39"/>
    <w:unhideWhenUsed/>
    <w:rsid w:val="005869A9"/>
    <w:pPr>
      <w:spacing w:after="100"/>
    </w:pPr>
  </w:style>
  <w:style w:type="paragraph" w:styleId="TM2">
    <w:name w:val="toc 2"/>
    <w:basedOn w:val="Normal"/>
    <w:next w:val="Normal"/>
    <w:autoRedefine/>
    <w:uiPriority w:val="39"/>
    <w:unhideWhenUsed/>
    <w:rsid w:val="005869A9"/>
    <w:pPr>
      <w:spacing w:after="100"/>
      <w:ind w:left="220"/>
    </w:pPr>
  </w:style>
  <w:style w:type="character" w:styleId="Marquedecommentaire">
    <w:name w:val="annotation reference"/>
    <w:basedOn w:val="Policepardfaut"/>
    <w:uiPriority w:val="99"/>
    <w:semiHidden/>
    <w:unhideWhenUsed/>
    <w:rsid w:val="004C6305"/>
    <w:rPr>
      <w:sz w:val="16"/>
      <w:szCs w:val="16"/>
    </w:rPr>
  </w:style>
  <w:style w:type="paragraph" w:styleId="Commentaire">
    <w:name w:val="annotation text"/>
    <w:basedOn w:val="Normal"/>
    <w:link w:val="CommentaireCar"/>
    <w:uiPriority w:val="99"/>
    <w:unhideWhenUsed/>
    <w:rsid w:val="004C6305"/>
    <w:pPr>
      <w:spacing w:line="240" w:lineRule="auto"/>
    </w:pPr>
    <w:rPr>
      <w:sz w:val="20"/>
      <w:szCs w:val="20"/>
    </w:rPr>
  </w:style>
  <w:style w:type="character" w:customStyle="1" w:styleId="CommentaireCar">
    <w:name w:val="Commentaire Car"/>
    <w:basedOn w:val="Policepardfaut"/>
    <w:link w:val="Commentaire"/>
    <w:uiPriority w:val="99"/>
    <w:rsid w:val="004C6305"/>
    <w:rPr>
      <w:sz w:val="20"/>
      <w:szCs w:val="20"/>
    </w:rPr>
  </w:style>
  <w:style w:type="paragraph" w:styleId="Objetducommentaire">
    <w:name w:val="annotation subject"/>
    <w:basedOn w:val="Commentaire"/>
    <w:next w:val="Commentaire"/>
    <w:link w:val="ObjetducommentaireCar"/>
    <w:uiPriority w:val="99"/>
    <w:semiHidden/>
    <w:unhideWhenUsed/>
    <w:rsid w:val="004C6305"/>
    <w:rPr>
      <w:b/>
      <w:bCs/>
    </w:rPr>
  </w:style>
  <w:style w:type="character" w:customStyle="1" w:styleId="ObjetducommentaireCar">
    <w:name w:val="Objet du commentaire Car"/>
    <w:basedOn w:val="CommentaireCar"/>
    <w:link w:val="Objetducommentaire"/>
    <w:uiPriority w:val="99"/>
    <w:semiHidden/>
    <w:rsid w:val="004C6305"/>
    <w:rPr>
      <w:b/>
      <w:bCs/>
      <w:sz w:val="20"/>
      <w:szCs w:val="20"/>
    </w:rPr>
  </w:style>
  <w:style w:type="paragraph" w:styleId="Corpsdetexte">
    <w:name w:val="Body Text"/>
    <w:basedOn w:val="Normal"/>
    <w:link w:val="CorpsdetexteCar"/>
    <w:uiPriority w:val="1"/>
    <w:qFormat/>
    <w:rsid w:val="00AF4BF4"/>
    <w:pPr>
      <w:widowControl w:val="0"/>
      <w:autoSpaceDE w:val="0"/>
      <w:autoSpaceDN w:val="0"/>
      <w:spacing w:after="0" w:line="240" w:lineRule="auto"/>
    </w:pPr>
    <w:rPr>
      <w:rFonts w:ascii="Calibri" w:eastAsia="Calibri" w:hAnsi="Calibri" w:cs="Calibri"/>
      <w:sz w:val="20"/>
      <w:szCs w:val="20"/>
    </w:rPr>
  </w:style>
  <w:style w:type="character" w:customStyle="1" w:styleId="CorpsdetexteCar">
    <w:name w:val="Corps de texte Car"/>
    <w:basedOn w:val="Policepardfaut"/>
    <w:link w:val="Corpsdetexte"/>
    <w:uiPriority w:val="1"/>
    <w:rsid w:val="00AF4BF4"/>
    <w:rPr>
      <w:rFonts w:ascii="Calibri" w:eastAsia="Calibri" w:hAnsi="Calibri" w:cs="Calibri"/>
      <w:sz w:val="20"/>
      <w:szCs w:val="20"/>
    </w:rPr>
  </w:style>
  <w:style w:type="character" w:customStyle="1" w:styleId="Titre3Car">
    <w:name w:val="Titre 3 Car"/>
    <w:basedOn w:val="Policepardfaut"/>
    <w:link w:val="Titre3"/>
    <w:uiPriority w:val="9"/>
    <w:rsid w:val="00990291"/>
    <w:rPr>
      <w:rFonts w:asciiTheme="majorHAnsi" w:eastAsiaTheme="majorEastAsia" w:hAnsiTheme="majorHAnsi" w:cstheme="majorBidi"/>
      <w:b/>
      <w:i/>
      <w:color w:val="000000" w:themeColor="text1"/>
      <w:sz w:val="24"/>
      <w:szCs w:val="24"/>
    </w:rPr>
  </w:style>
  <w:style w:type="paragraph" w:styleId="TM3">
    <w:name w:val="toc 3"/>
    <w:basedOn w:val="Normal"/>
    <w:next w:val="Normal"/>
    <w:autoRedefine/>
    <w:uiPriority w:val="39"/>
    <w:unhideWhenUsed/>
    <w:rsid w:val="00990291"/>
    <w:pPr>
      <w:spacing w:after="100"/>
      <w:ind w:left="440"/>
    </w:pPr>
  </w:style>
  <w:style w:type="paragraph" w:styleId="Textedebulles">
    <w:name w:val="Balloon Text"/>
    <w:basedOn w:val="Normal"/>
    <w:link w:val="TextedebullesCar"/>
    <w:uiPriority w:val="99"/>
    <w:semiHidden/>
    <w:unhideWhenUsed/>
    <w:rsid w:val="00770FF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70FFD"/>
    <w:rPr>
      <w:rFonts w:ascii="Segoe UI" w:hAnsi="Segoe UI" w:cs="Segoe UI"/>
      <w:sz w:val="18"/>
      <w:szCs w:val="18"/>
    </w:rPr>
  </w:style>
  <w:style w:type="character" w:styleId="Lienhypertextesuivivisit">
    <w:name w:val="FollowedHyperlink"/>
    <w:basedOn w:val="Policepardfaut"/>
    <w:uiPriority w:val="99"/>
    <w:semiHidden/>
    <w:unhideWhenUsed/>
    <w:rsid w:val="00133C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0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pr.banque-france.fr/sites/default/files/media/2018/12/14/124._instruction_2015-i-19_version_consolidee.pdf" TargetMode="External"/><Relationship Id="rId13" Type="http://schemas.openxmlformats.org/officeDocument/2006/relationships/image" Target="media/image2.emf"/><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cpr.banque-france.fr/sites/default/files/media/2022/09/23/20220922_187_instruction_2017-i-24_modifiee_par_2019-i-07_et_2022-i-07_version_consolidee.pdf" TargetMode="External"/><Relationship Id="rId14" Type="http://schemas.openxmlformats.org/officeDocument/2006/relationships/fontTable" Target="fontTable.xm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FR/TXT/PDF/?uri=CELEX:32023R1651" TargetMode="External"/><Relationship Id="rId2" Type="http://schemas.openxmlformats.org/officeDocument/2006/relationships/hyperlink" Target="https://eur-lex.europa.eu/legal-content/FR/TXT/PDF/?uri=CELEX:32023R1651" TargetMode="External"/><Relationship Id="rId1" Type="http://schemas.openxmlformats.org/officeDocument/2006/relationships/hyperlink" Target="https://www.eba.europa.eu/sites/default/documents/files/document_library/Publications/Guidelines/2022/EBA-GL-2022-09%20GL%20on%20SREP%20for%20IF/Translations/1054784/Joint%20EBA%20ESMA%20GL%20on%20SREP%20under%20IFD%20%28EBA%20GL%202022%2009%20-%20ESMA%2035%2042%201470%29_FR_COR.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CB894-FD7C-4F9A-8B3B-6995B3DC6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8953</Words>
  <Characters>49245</Characters>
  <Application>Microsoft Office Word</Application>
  <DocSecurity>0</DocSecurity>
  <Lines>410</Lines>
  <Paragraphs>116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CHEICKNA TRAORE</dc:creator>
  <cp:keywords/>
  <dc:description/>
  <cp:lastModifiedBy>ROGEZ Mathilde (SGACPR DCB2)</cp:lastModifiedBy>
  <cp:revision>2</cp:revision>
  <cp:lastPrinted>2023-08-30T08:38:00Z</cp:lastPrinted>
  <dcterms:created xsi:type="dcterms:W3CDTF">2023-11-03T08:46:00Z</dcterms:created>
  <dcterms:modified xsi:type="dcterms:W3CDTF">2023-11-03T08:46:00Z</dcterms:modified>
</cp:coreProperties>
</file>