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A1C" w:rsidRDefault="00463A1C" w:rsidP="00463A1C">
      <w:pPr>
        <w:jc w:val="center"/>
        <w:rPr>
          <w:rFonts w:ascii="Arial" w:hAnsi="Arial" w:cs="Arial"/>
          <w:sz w:val="18"/>
          <w:szCs w:val="18"/>
        </w:rPr>
      </w:pPr>
      <w:bookmarkStart w:id="0" w:name="_GoBack"/>
      <w:bookmarkEnd w:id="0"/>
      <w:r w:rsidRPr="00463A1C">
        <w:rPr>
          <w:rFonts w:ascii="Arial" w:hAnsi="Arial" w:cs="Arial"/>
          <w:sz w:val="18"/>
          <w:szCs w:val="18"/>
        </w:rPr>
        <w:t>Annexe à la lettre du Secrétaire général de l</w:t>
      </w:r>
      <w:r w:rsidR="001224E7">
        <w:rPr>
          <w:rFonts w:ascii="Arial" w:hAnsi="Arial" w:cs="Arial"/>
          <w:sz w:val="18"/>
          <w:szCs w:val="18"/>
        </w:rPr>
        <w:t>’</w:t>
      </w:r>
      <w:r w:rsidRPr="00463A1C">
        <w:rPr>
          <w:rFonts w:ascii="Arial" w:hAnsi="Arial" w:cs="Arial"/>
          <w:sz w:val="18"/>
          <w:szCs w:val="18"/>
        </w:rPr>
        <w:t>Autorité de contrôle prudentiel</w:t>
      </w:r>
      <w:r w:rsidR="002A54BD">
        <w:rPr>
          <w:rFonts w:ascii="Arial" w:hAnsi="Arial" w:cs="Arial"/>
          <w:sz w:val="18"/>
          <w:szCs w:val="18"/>
        </w:rPr>
        <w:t xml:space="preserve"> et de résolution</w:t>
      </w:r>
      <w:r w:rsidRPr="00463A1C">
        <w:rPr>
          <w:rFonts w:ascii="Arial" w:hAnsi="Arial" w:cs="Arial"/>
          <w:sz w:val="18"/>
          <w:szCs w:val="18"/>
        </w:rPr>
        <w:t xml:space="preserve"> </w:t>
      </w:r>
      <w:r>
        <w:rPr>
          <w:rFonts w:ascii="Arial" w:hAnsi="Arial" w:cs="Arial"/>
          <w:sz w:val="18"/>
          <w:szCs w:val="18"/>
        </w:rPr>
        <w:br/>
      </w:r>
      <w:r w:rsidRPr="00463A1C">
        <w:rPr>
          <w:rFonts w:ascii="Arial" w:hAnsi="Arial" w:cs="Arial"/>
          <w:sz w:val="18"/>
          <w:szCs w:val="18"/>
        </w:rPr>
        <w:t>à la Directrice générale de l</w:t>
      </w:r>
      <w:r w:rsidR="001224E7">
        <w:rPr>
          <w:rFonts w:ascii="Arial" w:hAnsi="Arial" w:cs="Arial"/>
          <w:sz w:val="18"/>
          <w:szCs w:val="18"/>
        </w:rPr>
        <w:t>’</w:t>
      </w:r>
      <w:r w:rsidR="00392789">
        <w:rPr>
          <w:rFonts w:ascii="Arial" w:hAnsi="Arial" w:cs="Arial"/>
          <w:sz w:val="18"/>
          <w:szCs w:val="18"/>
        </w:rPr>
        <w:t>A</w:t>
      </w:r>
      <w:r w:rsidRPr="00463A1C">
        <w:rPr>
          <w:rFonts w:ascii="Arial" w:hAnsi="Arial" w:cs="Arial"/>
          <w:sz w:val="18"/>
          <w:szCs w:val="18"/>
        </w:rPr>
        <w:t>ssociation française des établissements de crédit et des entreprises d</w:t>
      </w:r>
      <w:r w:rsidR="001224E7">
        <w:rPr>
          <w:rFonts w:ascii="Arial" w:hAnsi="Arial" w:cs="Arial"/>
          <w:sz w:val="18"/>
          <w:szCs w:val="18"/>
        </w:rPr>
        <w:t>’</w:t>
      </w:r>
      <w:r w:rsidRPr="00463A1C">
        <w:rPr>
          <w:rFonts w:ascii="Arial" w:hAnsi="Arial" w:cs="Arial"/>
          <w:sz w:val="18"/>
          <w:szCs w:val="18"/>
        </w:rPr>
        <w:t>investissement</w:t>
      </w:r>
    </w:p>
    <w:p w:rsidR="00463A1C" w:rsidRPr="007F2900" w:rsidRDefault="00463A1C" w:rsidP="00463A1C">
      <w:pPr>
        <w:pStyle w:val="SGACP-date"/>
      </w:pPr>
    </w:p>
    <w:p w:rsidR="004F3BB8" w:rsidRDefault="002F4D61" w:rsidP="00463A1C">
      <w:pPr>
        <w:pStyle w:val="SGACP-date"/>
      </w:pPr>
      <w:r>
        <w:t xml:space="preserve">Juillet </w:t>
      </w:r>
      <w:r w:rsidR="007111DC">
        <w:t>20</w:t>
      </w:r>
      <w:r w:rsidR="005C7ECC">
        <w:t>2</w:t>
      </w:r>
      <w:r w:rsidR="00927E1C">
        <w:t>3</w:t>
      </w:r>
    </w:p>
    <w:p w:rsidR="005B70E0" w:rsidRPr="007F2900" w:rsidRDefault="005B70E0" w:rsidP="00463A1C">
      <w:pPr>
        <w:pStyle w:val="SGACP-date"/>
      </w:pPr>
    </w:p>
    <w:p w:rsidR="00FE68E0" w:rsidRDefault="00463A1C" w:rsidP="00463A1C">
      <w:pPr>
        <w:pStyle w:val="SGACP-titredocument"/>
      </w:pPr>
      <w:r w:rsidRPr="007F2900">
        <w:t>Rapport sur le contrôle interne</w:t>
      </w:r>
      <w:r w:rsidR="00FE68E0">
        <w:t xml:space="preserve"> </w:t>
      </w:r>
    </w:p>
    <w:p w:rsidR="00463A1C" w:rsidRDefault="00FE68E0" w:rsidP="00463A1C">
      <w:pPr>
        <w:pStyle w:val="SGACP-titredocument"/>
      </w:pPr>
      <w:r>
        <w:t>Établissements de crédit, sociétés de financement et entreprises d’investissement</w:t>
      </w:r>
    </w:p>
    <w:p w:rsidR="004F3BB8" w:rsidRPr="007F2900" w:rsidRDefault="004F3BB8" w:rsidP="00463A1C">
      <w:pPr>
        <w:pStyle w:val="SGACP-titredocument"/>
      </w:pPr>
    </w:p>
    <w:p w:rsidR="00463A1C" w:rsidRDefault="00463A1C" w:rsidP="00463A1C">
      <w:pPr>
        <w:pStyle w:val="SGACP-sous-titredocument"/>
      </w:pPr>
      <w:r w:rsidRPr="007F2900">
        <w:t>(</w:t>
      </w:r>
      <w:r w:rsidR="000B3D13">
        <w:t>Rapport</w:t>
      </w:r>
      <w:r w:rsidRPr="007F2900">
        <w:t xml:space="preserve"> établi en application</w:t>
      </w:r>
      <w:r w:rsidR="00B1279E">
        <w:t xml:space="preserve"> des articles 258 </w:t>
      </w:r>
      <w:r w:rsidR="00991DE0">
        <w:t>à 266</w:t>
      </w:r>
      <w:r w:rsidR="00B1279E">
        <w:t xml:space="preserve"> de l’</w:t>
      </w:r>
      <w:r w:rsidR="002C1BF5">
        <w:t>a</w:t>
      </w:r>
      <w:r w:rsidR="00B1279E">
        <w:t xml:space="preserve">rrêté du 3 novembre 2014 </w:t>
      </w:r>
      <w:r w:rsidR="00DA1E95">
        <w:t xml:space="preserve">modifié </w:t>
      </w:r>
      <w:r w:rsidR="00B1279E">
        <w:t>relatif au contrôle interne des entreprises du secteur de la banque, des services de paiement et des services d'investissement soumises au contrôle de l'Autorité de contrôle prudentiel et de résolution</w:t>
      </w:r>
      <w:r w:rsidRPr="007F2900">
        <w:t>)</w:t>
      </w:r>
    </w:p>
    <w:p w:rsidR="004F3BB8" w:rsidRDefault="004F3BB8" w:rsidP="00463A1C">
      <w:pPr>
        <w:pStyle w:val="SGACP-sous-titredocument"/>
      </w:pPr>
    </w:p>
    <w:p w:rsidR="004F3BB8" w:rsidRDefault="004F3BB8" w:rsidP="00463A1C">
      <w:pPr>
        <w:pStyle w:val="SGACP-sous-titredocument"/>
      </w:pPr>
    </w:p>
    <w:p w:rsidR="00463A1C" w:rsidRDefault="00463A1C" w:rsidP="00463A1C">
      <w:pPr>
        <w:rPr>
          <w:rFonts w:ascii="Arial" w:hAnsi="Arial" w:cs="Arial"/>
          <w:b/>
          <w:sz w:val="22"/>
          <w:szCs w:val="22"/>
        </w:rPr>
      </w:pPr>
      <w:r w:rsidRPr="001F6E5F">
        <w:rPr>
          <w:rFonts w:ascii="Arial" w:hAnsi="Arial" w:cs="Arial"/>
          <w:b/>
          <w:sz w:val="22"/>
          <w:szCs w:val="22"/>
        </w:rPr>
        <w:t>S</w:t>
      </w:r>
      <w:r w:rsidR="001F6E5F" w:rsidRPr="001F6E5F">
        <w:rPr>
          <w:rFonts w:ascii="Arial" w:hAnsi="Arial" w:cs="Arial"/>
          <w:b/>
          <w:sz w:val="22"/>
          <w:szCs w:val="22"/>
        </w:rPr>
        <w:t>ommaire</w:t>
      </w:r>
    </w:p>
    <w:p w:rsidR="00503D15" w:rsidRDefault="00503D15" w:rsidP="00463A1C">
      <w:pPr>
        <w:rPr>
          <w:rFonts w:ascii="Arial" w:hAnsi="Arial" w:cs="Arial"/>
          <w:b/>
          <w:sz w:val="22"/>
          <w:szCs w:val="22"/>
        </w:rPr>
      </w:pPr>
    </w:p>
    <w:p w:rsidR="00420696" w:rsidRDefault="002D4552">
      <w:pPr>
        <w:pStyle w:val="TM1"/>
        <w:rPr>
          <w:rFonts w:asciiTheme="minorHAnsi" w:eastAsiaTheme="minorEastAsia" w:hAnsiTheme="minorHAnsi" w:cstheme="minorBidi"/>
          <w:bCs w:val="0"/>
          <w:sz w:val="22"/>
          <w:szCs w:val="22"/>
        </w:rPr>
      </w:pPr>
      <w:r>
        <w:fldChar w:fldCharType="begin"/>
      </w:r>
      <w:r w:rsidR="00503D15">
        <w:instrText xml:space="preserve"> TOC \h \z \t "Style SGACP-titre de rubrique niveau 1 + Couleur personnalisée(RVB(...;1" </w:instrText>
      </w:r>
      <w:r>
        <w:fldChar w:fldCharType="separate"/>
      </w:r>
      <w:hyperlink w:anchor="_Toc137799872" w:history="1">
        <w:r w:rsidR="00420696" w:rsidRPr="005D6D9C">
          <w:rPr>
            <w:rStyle w:val="Lienhypertexte"/>
          </w:rPr>
          <w:t>Préambule</w:t>
        </w:r>
        <w:r w:rsidR="00420696">
          <w:rPr>
            <w:webHidden/>
          </w:rPr>
          <w:tab/>
        </w:r>
        <w:r w:rsidR="00934975">
          <w:rPr>
            <w:webHidden/>
          </w:rPr>
          <w:tab/>
        </w:r>
        <w:r w:rsidR="00420696">
          <w:rPr>
            <w:webHidden/>
          </w:rPr>
          <w:fldChar w:fldCharType="begin"/>
        </w:r>
        <w:r w:rsidR="00420696">
          <w:rPr>
            <w:webHidden/>
          </w:rPr>
          <w:instrText xml:space="preserve"> PAGEREF _Toc137799872 \h </w:instrText>
        </w:r>
        <w:r w:rsidR="00420696">
          <w:rPr>
            <w:webHidden/>
          </w:rPr>
        </w:r>
        <w:r w:rsidR="00420696">
          <w:rPr>
            <w:webHidden/>
          </w:rPr>
          <w:fldChar w:fldCharType="separate"/>
        </w:r>
        <w:r w:rsidR="00E2059A">
          <w:rPr>
            <w:webHidden/>
          </w:rPr>
          <w:t>2</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73" w:history="1">
        <w:r w:rsidR="00420696" w:rsidRPr="005D6D9C">
          <w:rPr>
            <w:rStyle w:val="Lienhypertexte"/>
          </w:rPr>
          <w:t>1.</w:t>
        </w:r>
        <w:r w:rsidR="00420696">
          <w:rPr>
            <w:rFonts w:asciiTheme="minorHAnsi" w:eastAsiaTheme="minorEastAsia" w:hAnsiTheme="minorHAnsi" w:cstheme="minorBidi"/>
            <w:bCs w:val="0"/>
            <w:sz w:val="22"/>
            <w:szCs w:val="22"/>
          </w:rPr>
          <w:tab/>
        </w:r>
        <w:r w:rsidR="00420696" w:rsidRPr="005D6D9C">
          <w:rPr>
            <w:rStyle w:val="Lienhypertexte"/>
          </w:rPr>
          <w:t>Présentation générale des activités exercées et des risques encourus  par l’établissement</w:t>
        </w:r>
        <w:r w:rsidR="00420696">
          <w:rPr>
            <w:webHidden/>
          </w:rPr>
          <w:tab/>
        </w:r>
        <w:r w:rsidR="00420696">
          <w:rPr>
            <w:webHidden/>
          </w:rPr>
          <w:fldChar w:fldCharType="begin"/>
        </w:r>
        <w:r w:rsidR="00420696">
          <w:rPr>
            <w:webHidden/>
          </w:rPr>
          <w:instrText xml:space="preserve"> PAGEREF _Toc137799873 \h </w:instrText>
        </w:r>
        <w:r w:rsidR="00420696">
          <w:rPr>
            <w:webHidden/>
          </w:rPr>
        </w:r>
        <w:r w:rsidR="00420696">
          <w:rPr>
            <w:webHidden/>
          </w:rPr>
          <w:fldChar w:fldCharType="separate"/>
        </w:r>
        <w:r w:rsidR="00E2059A">
          <w:rPr>
            <w:webHidden/>
          </w:rPr>
          <w:t>4</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74" w:history="1">
        <w:r w:rsidR="00420696" w:rsidRPr="005D6D9C">
          <w:rPr>
            <w:rStyle w:val="Lienhypertexte"/>
          </w:rPr>
          <w:t>2.</w:t>
        </w:r>
        <w:r w:rsidR="00420696">
          <w:rPr>
            <w:rFonts w:asciiTheme="minorHAnsi" w:eastAsiaTheme="minorEastAsia" w:hAnsiTheme="minorHAnsi" w:cstheme="minorBidi"/>
            <w:bCs w:val="0"/>
            <w:sz w:val="22"/>
            <w:szCs w:val="22"/>
          </w:rPr>
          <w:tab/>
        </w:r>
        <w:r w:rsidR="00420696" w:rsidRPr="005D6D9C">
          <w:rPr>
            <w:rStyle w:val="Lienhypertexte"/>
          </w:rPr>
          <w:t>Modifications significatives apportées à l’organisation du dispositif  de contrôle interne</w:t>
        </w:r>
        <w:r w:rsidR="00420696">
          <w:rPr>
            <w:webHidden/>
          </w:rPr>
          <w:tab/>
        </w:r>
        <w:r w:rsidR="00420696">
          <w:rPr>
            <w:webHidden/>
          </w:rPr>
          <w:fldChar w:fldCharType="begin"/>
        </w:r>
        <w:r w:rsidR="00420696">
          <w:rPr>
            <w:webHidden/>
          </w:rPr>
          <w:instrText xml:space="preserve"> PAGEREF _Toc137799874 \h </w:instrText>
        </w:r>
        <w:r w:rsidR="00420696">
          <w:rPr>
            <w:webHidden/>
          </w:rPr>
        </w:r>
        <w:r w:rsidR="00420696">
          <w:rPr>
            <w:webHidden/>
          </w:rPr>
          <w:fldChar w:fldCharType="separate"/>
        </w:r>
        <w:r w:rsidR="00E2059A">
          <w:rPr>
            <w:webHidden/>
          </w:rPr>
          <w:t>5</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75" w:history="1">
        <w:r w:rsidR="00420696" w:rsidRPr="005D6D9C">
          <w:rPr>
            <w:rStyle w:val="Lienhypertexte"/>
          </w:rPr>
          <w:t>3.</w:t>
        </w:r>
        <w:r w:rsidR="00420696">
          <w:rPr>
            <w:rFonts w:asciiTheme="minorHAnsi" w:eastAsiaTheme="minorEastAsia" w:hAnsiTheme="minorHAnsi" w:cstheme="minorBidi"/>
            <w:bCs w:val="0"/>
            <w:sz w:val="22"/>
            <w:szCs w:val="22"/>
          </w:rPr>
          <w:tab/>
        </w:r>
        <w:r w:rsidR="00420696" w:rsidRPr="005D6D9C">
          <w:rPr>
            <w:rStyle w:val="Lienhypertexte"/>
          </w:rPr>
          <w:t>Gouvernance</w:t>
        </w:r>
        <w:r w:rsidR="00420696">
          <w:rPr>
            <w:webHidden/>
          </w:rPr>
          <w:tab/>
        </w:r>
        <w:r w:rsidR="00420696">
          <w:rPr>
            <w:webHidden/>
          </w:rPr>
          <w:fldChar w:fldCharType="begin"/>
        </w:r>
        <w:r w:rsidR="00420696">
          <w:rPr>
            <w:webHidden/>
          </w:rPr>
          <w:instrText xml:space="preserve"> PAGEREF _Toc137799875 \h </w:instrText>
        </w:r>
        <w:r w:rsidR="00420696">
          <w:rPr>
            <w:webHidden/>
          </w:rPr>
        </w:r>
        <w:r w:rsidR="00420696">
          <w:rPr>
            <w:webHidden/>
          </w:rPr>
          <w:fldChar w:fldCharType="separate"/>
        </w:r>
        <w:r w:rsidR="00E2059A">
          <w:rPr>
            <w:webHidden/>
          </w:rPr>
          <w:t>6</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76" w:history="1">
        <w:r w:rsidR="00420696" w:rsidRPr="005D6D9C">
          <w:rPr>
            <w:rStyle w:val="Lienhypertexte"/>
          </w:rPr>
          <w:t>4.</w:t>
        </w:r>
        <w:r w:rsidR="00420696">
          <w:rPr>
            <w:rFonts w:asciiTheme="minorHAnsi" w:eastAsiaTheme="minorEastAsia" w:hAnsiTheme="minorHAnsi" w:cstheme="minorBidi"/>
            <w:bCs w:val="0"/>
            <w:sz w:val="22"/>
            <w:szCs w:val="22"/>
          </w:rPr>
          <w:tab/>
        </w:r>
        <w:r w:rsidR="00420696" w:rsidRPr="005D6D9C">
          <w:rPr>
            <w:rStyle w:val="Lienhypertexte"/>
          </w:rPr>
          <w:t>Résultats des contrôles périodiques effectués au cours de l’exercice écoulé (cf. article 12 de l’arrêté du 3 novembre 2014 modifié) (y compris pour les activités à l’étranger)</w:t>
        </w:r>
        <w:r w:rsidR="00420696">
          <w:rPr>
            <w:webHidden/>
          </w:rPr>
          <w:tab/>
        </w:r>
        <w:r w:rsidR="00420696">
          <w:rPr>
            <w:webHidden/>
          </w:rPr>
          <w:fldChar w:fldCharType="begin"/>
        </w:r>
        <w:r w:rsidR="00420696">
          <w:rPr>
            <w:webHidden/>
          </w:rPr>
          <w:instrText xml:space="preserve"> PAGEREF _Toc137799876 \h </w:instrText>
        </w:r>
        <w:r w:rsidR="00420696">
          <w:rPr>
            <w:webHidden/>
          </w:rPr>
        </w:r>
        <w:r w:rsidR="00420696">
          <w:rPr>
            <w:webHidden/>
          </w:rPr>
          <w:fldChar w:fldCharType="separate"/>
        </w:r>
        <w:r w:rsidR="00E2059A">
          <w:rPr>
            <w:webHidden/>
          </w:rPr>
          <w:t>10</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77" w:history="1">
        <w:r w:rsidR="00420696" w:rsidRPr="005D6D9C">
          <w:rPr>
            <w:rStyle w:val="Lienhypertexte"/>
          </w:rPr>
          <w:t>5.</w:t>
        </w:r>
        <w:r w:rsidR="00420696">
          <w:rPr>
            <w:rFonts w:asciiTheme="minorHAnsi" w:eastAsiaTheme="minorEastAsia" w:hAnsiTheme="minorHAnsi" w:cstheme="minorBidi"/>
            <w:bCs w:val="0"/>
            <w:sz w:val="22"/>
            <w:szCs w:val="22"/>
          </w:rPr>
          <w:tab/>
        </w:r>
        <w:r w:rsidR="00420696" w:rsidRPr="005D6D9C">
          <w:rPr>
            <w:rStyle w:val="Lienhypertexte"/>
          </w:rPr>
          <w:t>Recensement des opérations avec les dirigeants effectifs, les membres de l’organe de surveillance et les actionnaires principaux (cf. articles 113 et 259 g) ou 259 bis e) de l’arrêté du 3 novembre 2014 modifié)</w:t>
        </w:r>
        <w:r w:rsidR="00420696">
          <w:rPr>
            <w:webHidden/>
          </w:rPr>
          <w:tab/>
        </w:r>
        <w:r w:rsidR="00420696">
          <w:rPr>
            <w:webHidden/>
          </w:rPr>
          <w:fldChar w:fldCharType="begin"/>
        </w:r>
        <w:r w:rsidR="00420696">
          <w:rPr>
            <w:webHidden/>
          </w:rPr>
          <w:instrText xml:space="preserve"> PAGEREF _Toc137799877 \h </w:instrText>
        </w:r>
        <w:r w:rsidR="00420696">
          <w:rPr>
            <w:webHidden/>
          </w:rPr>
        </w:r>
        <w:r w:rsidR="00420696">
          <w:rPr>
            <w:webHidden/>
          </w:rPr>
          <w:fldChar w:fldCharType="separate"/>
        </w:r>
        <w:r w:rsidR="00E2059A">
          <w:rPr>
            <w:webHidden/>
          </w:rPr>
          <w:t>11</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78" w:history="1">
        <w:r w:rsidR="00420696" w:rsidRPr="005D6D9C">
          <w:rPr>
            <w:rStyle w:val="Lienhypertexte"/>
          </w:rPr>
          <w:t>6.</w:t>
        </w:r>
        <w:r w:rsidR="00420696">
          <w:rPr>
            <w:rFonts w:asciiTheme="minorHAnsi" w:eastAsiaTheme="minorEastAsia" w:hAnsiTheme="minorHAnsi" w:cstheme="minorBidi"/>
            <w:bCs w:val="0"/>
            <w:sz w:val="22"/>
            <w:szCs w:val="22"/>
          </w:rPr>
          <w:tab/>
        </w:r>
        <w:r w:rsidR="00420696" w:rsidRPr="005D6D9C">
          <w:rPr>
            <w:rStyle w:val="Lienhypertexte"/>
          </w:rPr>
          <w:t>Processus d’évaluation de l’adéquation du capital interne</w:t>
        </w:r>
        <w:r w:rsidR="00420696">
          <w:rPr>
            <w:webHidden/>
          </w:rPr>
          <w:tab/>
        </w:r>
        <w:r w:rsidR="00420696">
          <w:rPr>
            <w:webHidden/>
          </w:rPr>
          <w:fldChar w:fldCharType="begin"/>
        </w:r>
        <w:r w:rsidR="00420696">
          <w:rPr>
            <w:webHidden/>
          </w:rPr>
          <w:instrText xml:space="preserve"> PAGEREF _Toc137799878 \h </w:instrText>
        </w:r>
        <w:r w:rsidR="00420696">
          <w:rPr>
            <w:webHidden/>
          </w:rPr>
        </w:r>
        <w:r w:rsidR="00420696">
          <w:rPr>
            <w:webHidden/>
          </w:rPr>
          <w:fldChar w:fldCharType="separate"/>
        </w:r>
        <w:r w:rsidR="00E2059A">
          <w:rPr>
            <w:webHidden/>
          </w:rPr>
          <w:t>11</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79" w:history="1">
        <w:r w:rsidR="00420696" w:rsidRPr="005D6D9C">
          <w:rPr>
            <w:rStyle w:val="Lienhypertexte"/>
          </w:rPr>
          <w:t>7.</w:t>
        </w:r>
        <w:r w:rsidR="00420696">
          <w:rPr>
            <w:rFonts w:asciiTheme="minorHAnsi" w:eastAsiaTheme="minorEastAsia" w:hAnsiTheme="minorHAnsi" w:cstheme="minorBidi"/>
            <w:bCs w:val="0"/>
            <w:sz w:val="22"/>
            <w:szCs w:val="22"/>
          </w:rPr>
          <w:tab/>
        </w:r>
        <w:r w:rsidR="00420696" w:rsidRPr="005D6D9C">
          <w:rPr>
            <w:rStyle w:val="Lienhypertexte"/>
          </w:rPr>
          <w:t>Risque de non conformité (hors risque de blanchiment des capitaux  et de financement du terrorisme)</w:t>
        </w:r>
        <w:r w:rsidR="00420696">
          <w:rPr>
            <w:webHidden/>
          </w:rPr>
          <w:tab/>
        </w:r>
        <w:r w:rsidR="00420696">
          <w:rPr>
            <w:webHidden/>
          </w:rPr>
          <w:fldChar w:fldCharType="begin"/>
        </w:r>
        <w:r w:rsidR="00420696">
          <w:rPr>
            <w:webHidden/>
          </w:rPr>
          <w:instrText xml:space="preserve"> PAGEREF _Toc137799879 \h </w:instrText>
        </w:r>
        <w:r w:rsidR="00420696">
          <w:rPr>
            <w:webHidden/>
          </w:rPr>
        </w:r>
        <w:r w:rsidR="00420696">
          <w:rPr>
            <w:webHidden/>
          </w:rPr>
          <w:fldChar w:fldCharType="separate"/>
        </w:r>
        <w:r w:rsidR="00E2059A">
          <w:rPr>
            <w:webHidden/>
          </w:rPr>
          <w:t>12</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80" w:history="1">
        <w:r w:rsidR="00420696" w:rsidRPr="005D6D9C">
          <w:rPr>
            <w:rStyle w:val="Lienhypertexte"/>
          </w:rPr>
          <w:t>8.</w:t>
        </w:r>
        <w:r w:rsidR="00420696">
          <w:rPr>
            <w:rFonts w:asciiTheme="minorHAnsi" w:eastAsiaTheme="minorEastAsia" w:hAnsiTheme="minorHAnsi" w:cstheme="minorBidi"/>
            <w:bCs w:val="0"/>
            <w:sz w:val="22"/>
            <w:szCs w:val="22"/>
          </w:rPr>
          <w:tab/>
        </w:r>
        <w:r w:rsidR="00420696" w:rsidRPr="005D6D9C">
          <w:rPr>
            <w:rStyle w:val="Lienhypertexte"/>
          </w:rPr>
          <w:t>Risque de crédit et de contrepartie (cf. articles 106 à 121 de l’arrêté du 3 novembre 2014 modifié)</w:t>
        </w:r>
        <w:r w:rsidR="00420696">
          <w:rPr>
            <w:webHidden/>
          </w:rPr>
          <w:tab/>
        </w:r>
        <w:r w:rsidR="00420696">
          <w:rPr>
            <w:webHidden/>
          </w:rPr>
          <w:fldChar w:fldCharType="begin"/>
        </w:r>
        <w:r w:rsidR="00420696">
          <w:rPr>
            <w:webHidden/>
          </w:rPr>
          <w:instrText xml:space="preserve"> PAGEREF _Toc137799880 \h </w:instrText>
        </w:r>
        <w:r w:rsidR="00420696">
          <w:rPr>
            <w:webHidden/>
          </w:rPr>
        </w:r>
        <w:r w:rsidR="00420696">
          <w:rPr>
            <w:webHidden/>
          </w:rPr>
          <w:fldChar w:fldCharType="separate"/>
        </w:r>
        <w:r w:rsidR="00E2059A">
          <w:rPr>
            <w:webHidden/>
          </w:rPr>
          <w:t>14</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81" w:history="1">
        <w:r w:rsidR="00420696" w:rsidRPr="005D6D9C">
          <w:rPr>
            <w:rStyle w:val="Lienhypertexte"/>
          </w:rPr>
          <w:t>9.</w:t>
        </w:r>
        <w:r w:rsidR="00420696">
          <w:rPr>
            <w:rFonts w:asciiTheme="minorHAnsi" w:eastAsiaTheme="minorEastAsia" w:hAnsiTheme="minorHAnsi" w:cstheme="minorBidi"/>
            <w:bCs w:val="0"/>
            <w:sz w:val="22"/>
            <w:szCs w:val="22"/>
          </w:rPr>
          <w:tab/>
        </w:r>
        <w:r w:rsidR="00420696" w:rsidRPr="005D6D9C">
          <w:rPr>
            <w:rStyle w:val="Lienhypertexte"/>
          </w:rPr>
          <w:t>Risques associés aux contrats dérivés de gré à gré</w:t>
        </w:r>
        <w:r w:rsidR="00420696">
          <w:rPr>
            <w:webHidden/>
          </w:rPr>
          <w:tab/>
        </w:r>
        <w:r w:rsidR="00420696">
          <w:rPr>
            <w:webHidden/>
          </w:rPr>
          <w:fldChar w:fldCharType="begin"/>
        </w:r>
        <w:r w:rsidR="00420696">
          <w:rPr>
            <w:webHidden/>
          </w:rPr>
          <w:instrText xml:space="preserve"> PAGEREF _Toc137799881 \h </w:instrText>
        </w:r>
        <w:r w:rsidR="00420696">
          <w:rPr>
            <w:webHidden/>
          </w:rPr>
        </w:r>
        <w:r w:rsidR="00420696">
          <w:rPr>
            <w:webHidden/>
          </w:rPr>
          <w:fldChar w:fldCharType="separate"/>
        </w:r>
        <w:r w:rsidR="00E2059A">
          <w:rPr>
            <w:webHidden/>
          </w:rPr>
          <w:t>19</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82" w:history="1">
        <w:r w:rsidR="00420696" w:rsidRPr="005D6D9C">
          <w:rPr>
            <w:rStyle w:val="Lienhypertexte"/>
          </w:rPr>
          <w:t>10.</w:t>
        </w:r>
        <w:r w:rsidR="00420696">
          <w:rPr>
            <w:rFonts w:asciiTheme="minorHAnsi" w:eastAsiaTheme="minorEastAsia" w:hAnsiTheme="minorHAnsi" w:cstheme="minorBidi"/>
            <w:bCs w:val="0"/>
            <w:sz w:val="22"/>
            <w:szCs w:val="22"/>
          </w:rPr>
          <w:tab/>
        </w:r>
        <w:r w:rsidR="00420696" w:rsidRPr="005D6D9C">
          <w:rPr>
            <w:rStyle w:val="Lienhypertexte"/>
          </w:rPr>
          <w:t>Risques de marché</w:t>
        </w:r>
        <w:r w:rsidR="00420696">
          <w:rPr>
            <w:webHidden/>
          </w:rPr>
          <w:tab/>
        </w:r>
        <w:r w:rsidR="00420696">
          <w:rPr>
            <w:webHidden/>
          </w:rPr>
          <w:fldChar w:fldCharType="begin"/>
        </w:r>
        <w:r w:rsidR="00420696">
          <w:rPr>
            <w:webHidden/>
          </w:rPr>
          <w:instrText xml:space="preserve"> PAGEREF _Toc137799882 \h </w:instrText>
        </w:r>
        <w:r w:rsidR="00420696">
          <w:rPr>
            <w:webHidden/>
          </w:rPr>
        </w:r>
        <w:r w:rsidR="00420696">
          <w:rPr>
            <w:webHidden/>
          </w:rPr>
          <w:fldChar w:fldCharType="separate"/>
        </w:r>
        <w:r w:rsidR="00E2059A">
          <w:rPr>
            <w:webHidden/>
          </w:rPr>
          <w:t>20</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83" w:history="1">
        <w:r w:rsidR="00420696" w:rsidRPr="005D6D9C">
          <w:rPr>
            <w:rStyle w:val="Lienhypertexte"/>
          </w:rPr>
          <w:t>11.</w:t>
        </w:r>
        <w:r w:rsidR="00420696">
          <w:rPr>
            <w:rFonts w:asciiTheme="minorHAnsi" w:eastAsiaTheme="minorEastAsia" w:hAnsiTheme="minorHAnsi" w:cstheme="minorBidi"/>
            <w:bCs w:val="0"/>
            <w:sz w:val="22"/>
            <w:szCs w:val="22"/>
          </w:rPr>
          <w:tab/>
        </w:r>
        <w:r w:rsidR="00420696" w:rsidRPr="005D6D9C">
          <w:rPr>
            <w:rStyle w:val="Lienhypertexte"/>
          </w:rPr>
          <w:t>Risque opérationnel</w:t>
        </w:r>
        <w:r w:rsidR="00420696">
          <w:rPr>
            <w:webHidden/>
          </w:rPr>
          <w:tab/>
        </w:r>
        <w:r w:rsidR="00420696">
          <w:rPr>
            <w:webHidden/>
          </w:rPr>
          <w:fldChar w:fldCharType="begin"/>
        </w:r>
        <w:r w:rsidR="00420696">
          <w:rPr>
            <w:webHidden/>
          </w:rPr>
          <w:instrText xml:space="preserve"> PAGEREF _Toc137799883 \h </w:instrText>
        </w:r>
        <w:r w:rsidR="00420696">
          <w:rPr>
            <w:webHidden/>
          </w:rPr>
        </w:r>
        <w:r w:rsidR="00420696">
          <w:rPr>
            <w:webHidden/>
          </w:rPr>
          <w:fldChar w:fldCharType="separate"/>
        </w:r>
        <w:r w:rsidR="00E2059A">
          <w:rPr>
            <w:webHidden/>
          </w:rPr>
          <w:t>22</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84" w:history="1">
        <w:r w:rsidR="00420696" w:rsidRPr="005D6D9C">
          <w:rPr>
            <w:rStyle w:val="Lienhypertexte"/>
          </w:rPr>
          <w:t>12.</w:t>
        </w:r>
        <w:r w:rsidR="00420696">
          <w:rPr>
            <w:rFonts w:asciiTheme="minorHAnsi" w:eastAsiaTheme="minorEastAsia" w:hAnsiTheme="minorHAnsi" w:cstheme="minorBidi"/>
            <w:bCs w:val="0"/>
            <w:sz w:val="22"/>
            <w:szCs w:val="22"/>
          </w:rPr>
          <w:tab/>
        </w:r>
        <w:r w:rsidR="00420696" w:rsidRPr="005D6D9C">
          <w:rPr>
            <w:rStyle w:val="Lienhypertexte"/>
          </w:rPr>
          <w:t>Risque comptable</w:t>
        </w:r>
        <w:r w:rsidR="00420696">
          <w:rPr>
            <w:webHidden/>
          </w:rPr>
          <w:tab/>
        </w:r>
        <w:r w:rsidR="00420696">
          <w:rPr>
            <w:webHidden/>
          </w:rPr>
          <w:fldChar w:fldCharType="begin"/>
        </w:r>
        <w:r w:rsidR="00420696">
          <w:rPr>
            <w:webHidden/>
          </w:rPr>
          <w:instrText xml:space="preserve"> PAGEREF _Toc137799884 \h </w:instrText>
        </w:r>
        <w:r w:rsidR="00420696">
          <w:rPr>
            <w:webHidden/>
          </w:rPr>
        </w:r>
        <w:r w:rsidR="00420696">
          <w:rPr>
            <w:webHidden/>
          </w:rPr>
          <w:fldChar w:fldCharType="separate"/>
        </w:r>
        <w:r w:rsidR="00E2059A">
          <w:rPr>
            <w:webHidden/>
          </w:rPr>
          <w:t>25</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85" w:history="1">
        <w:r w:rsidR="00420696" w:rsidRPr="005D6D9C">
          <w:rPr>
            <w:rStyle w:val="Lienhypertexte"/>
          </w:rPr>
          <w:t>13.</w:t>
        </w:r>
        <w:r w:rsidR="00420696">
          <w:rPr>
            <w:rFonts w:asciiTheme="minorHAnsi" w:eastAsiaTheme="minorEastAsia" w:hAnsiTheme="minorHAnsi" w:cstheme="minorBidi"/>
            <w:bCs w:val="0"/>
            <w:sz w:val="22"/>
            <w:szCs w:val="22"/>
          </w:rPr>
          <w:tab/>
        </w:r>
        <w:r w:rsidR="00420696" w:rsidRPr="005D6D9C">
          <w:rPr>
            <w:rStyle w:val="Lienhypertexte"/>
          </w:rPr>
          <w:t>Risque de taux d’intérêt global</w:t>
        </w:r>
        <w:r w:rsidR="00420696">
          <w:rPr>
            <w:webHidden/>
          </w:rPr>
          <w:tab/>
        </w:r>
        <w:r w:rsidR="00420696">
          <w:rPr>
            <w:webHidden/>
          </w:rPr>
          <w:fldChar w:fldCharType="begin"/>
        </w:r>
        <w:r w:rsidR="00420696">
          <w:rPr>
            <w:webHidden/>
          </w:rPr>
          <w:instrText xml:space="preserve"> PAGEREF _Toc137799885 \h </w:instrText>
        </w:r>
        <w:r w:rsidR="00420696">
          <w:rPr>
            <w:webHidden/>
          </w:rPr>
        </w:r>
        <w:r w:rsidR="00420696">
          <w:rPr>
            <w:webHidden/>
          </w:rPr>
          <w:fldChar w:fldCharType="separate"/>
        </w:r>
        <w:r w:rsidR="00E2059A">
          <w:rPr>
            <w:webHidden/>
          </w:rPr>
          <w:t>26</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86" w:history="1">
        <w:r w:rsidR="00420696" w:rsidRPr="005D6D9C">
          <w:rPr>
            <w:rStyle w:val="Lienhypertexte"/>
          </w:rPr>
          <w:t>14.</w:t>
        </w:r>
        <w:r w:rsidR="00420696">
          <w:rPr>
            <w:rFonts w:asciiTheme="minorHAnsi" w:eastAsiaTheme="minorEastAsia" w:hAnsiTheme="minorHAnsi" w:cstheme="minorBidi"/>
            <w:bCs w:val="0"/>
            <w:sz w:val="22"/>
            <w:szCs w:val="22"/>
          </w:rPr>
          <w:tab/>
        </w:r>
        <w:r w:rsidR="00420696" w:rsidRPr="005D6D9C">
          <w:rPr>
            <w:rStyle w:val="Lienhypertexte"/>
          </w:rPr>
          <w:t>Risque d’intermédiation des prestataires de services d’investissement</w:t>
        </w:r>
        <w:r w:rsidR="00420696">
          <w:rPr>
            <w:webHidden/>
          </w:rPr>
          <w:tab/>
        </w:r>
        <w:r w:rsidR="00420696">
          <w:rPr>
            <w:webHidden/>
          </w:rPr>
          <w:fldChar w:fldCharType="begin"/>
        </w:r>
        <w:r w:rsidR="00420696">
          <w:rPr>
            <w:webHidden/>
          </w:rPr>
          <w:instrText xml:space="preserve"> PAGEREF _Toc137799886 \h </w:instrText>
        </w:r>
        <w:r w:rsidR="00420696">
          <w:rPr>
            <w:webHidden/>
          </w:rPr>
        </w:r>
        <w:r w:rsidR="00420696">
          <w:rPr>
            <w:webHidden/>
          </w:rPr>
          <w:fldChar w:fldCharType="separate"/>
        </w:r>
        <w:r w:rsidR="00E2059A">
          <w:rPr>
            <w:webHidden/>
          </w:rPr>
          <w:t>29</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87" w:history="1">
        <w:r w:rsidR="00420696" w:rsidRPr="005D6D9C">
          <w:rPr>
            <w:rStyle w:val="Lienhypertexte"/>
          </w:rPr>
          <w:t>15.</w:t>
        </w:r>
        <w:r w:rsidR="00420696">
          <w:rPr>
            <w:rFonts w:asciiTheme="minorHAnsi" w:eastAsiaTheme="minorEastAsia" w:hAnsiTheme="minorHAnsi" w:cstheme="minorBidi"/>
            <w:bCs w:val="0"/>
            <w:sz w:val="22"/>
            <w:szCs w:val="22"/>
          </w:rPr>
          <w:tab/>
        </w:r>
        <w:r w:rsidR="00420696" w:rsidRPr="005D6D9C">
          <w:rPr>
            <w:rStyle w:val="Lienhypertexte"/>
          </w:rPr>
          <w:t>Risque de règlement/livraison</w:t>
        </w:r>
        <w:r w:rsidR="00420696">
          <w:rPr>
            <w:webHidden/>
          </w:rPr>
          <w:tab/>
        </w:r>
        <w:r w:rsidR="00420696">
          <w:rPr>
            <w:webHidden/>
          </w:rPr>
          <w:fldChar w:fldCharType="begin"/>
        </w:r>
        <w:r w:rsidR="00420696">
          <w:rPr>
            <w:webHidden/>
          </w:rPr>
          <w:instrText xml:space="preserve"> PAGEREF _Toc137799887 \h </w:instrText>
        </w:r>
        <w:r w:rsidR="00420696">
          <w:rPr>
            <w:webHidden/>
          </w:rPr>
        </w:r>
        <w:r w:rsidR="00420696">
          <w:rPr>
            <w:webHidden/>
          </w:rPr>
          <w:fldChar w:fldCharType="separate"/>
        </w:r>
        <w:r w:rsidR="00E2059A">
          <w:rPr>
            <w:webHidden/>
          </w:rPr>
          <w:t>30</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88" w:history="1">
        <w:r w:rsidR="00420696" w:rsidRPr="005D6D9C">
          <w:rPr>
            <w:rStyle w:val="Lienhypertexte"/>
          </w:rPr>
          <w:t>16.</w:t>
        </w:r>
        <w:r w:rsidR="00420696">
          <w:rPr>
            <w:rFonts w:asciiTheme="minorHAnsi" w:eastAsiaTheme="minorEastAsia" w:hAnsiTheme="minorHAnsi" w:cstheme="minorBidi"/>
            <w:bCs w:val="0"/>
            <w:sz w:val="22"/>
            <w:szCs w:val="22"/>
          </w:rPr>
          <w:tab/>
        </w:r>
        <w:r w:rsidR="00420696" w:rsidRPr="005D6D9C">
          <w:rPr>
            <w:rStyle w:val="Lienhypertexte"/>
          </w:rPr>
          <w:t>Risques de liquidité</w:t>
        </w:r>
        <w:r w:rsidR="00420696">
          <w:rPr>
            <w:webHidden/>
          </w:rPr>
          <w:tab/>
        </w:r>
        <w:r w:rsidR="00420696">
          <w:rPr>
            <w:webHidden/>
          </w:rPr>
          <w:fldChar w:fldCharType="begin"/>
        </w:r>
        <w:r w:rsidR="00420696">
          <w:rPr>
            <w:webHidden/>
          </w:rPr>
          <w:instrText xml:space="preserve"> PAGEREF _Toc137799888 \h </w:instrText>
        </w:r>
        <w:r w:rsidR="00420696">
          <w:rPr>
            <w:webHidden/>
          </w:rPr>
        </w:r>
        <w:r w:rsidR="00420696">
          <w:rPr>
            <w:webHidden/>
          </w:rPr>
          <w:fldChar w:fldCharType="separate"/>
        </w:r>
        <w:r w:rsidR="00E2059A">
          <w:rPr>
            <w:webHidden/>
          </w:rPr>
          <w:t>30</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89" w:history="1">
        <w:r w:rsidR="00420696" w:rsidRPr="005D6D9C">
          <w:rPr>
            <w:rStyle w:val="Lienhypertexte"/>
          </w:rPr>
          <w:t>17.</w:t>
        </w:r>
        <w:r w:rsidR="00420696">
          <w:rPr>
            <w:rFonts w:asciiTheme="minorHAnsi" w:eastAsiaTheme="minorEastAsia" w:hAnsiTheme="minorHAnsi" w:cstheme="minorBidi"/>
            <w:bCs w:val="0"/>
            <w:sz w:val="22"/>
            <w:szCs w:val="22"/>
          </w:rPr>
          <w:tab/>
        </w:r>
        <w:r w:rsidR="00420696" w:rsidRPr="005D6D9C">
          <w:rPr>
            <w:rStyle w:val="Lienhypertexte"/>
          </w:rPr>
          <w:t>Risque de levier excessif</w:t>
        </w:r>
        <w:r w:rsidR="00420696">
          <w:rPr>
            <w:webHidden/>
          </w:rPr>
          <w:tab/>
        </w:r>
        <w:r w:rsidR="00420696">
          <w:rPr>
            <w:webHidden/>
          </w:rPr>
          <w:fldChar w:fldCharType="begin"/>
        </w:r>
        <w:r w:rsidR="00420696">
          <w:rPr>
            <w:webHidden/>
          </w:rPr>
          <w:instrText xml:space="preserve"> PAGEREF _Toc137799889 \h </w:instrText>
        </w:r>
        <w:r w:rsidR="00420696">
          <w:rPr>
            <w:webHidden/>
          </w:rPr>
        </w:r>
        <w:r w:rsidR="00420696">
          <w:rPr>
            <w:webHidden/>
          </w:rPr>
          <w:fldChar w:fldCharType="separate"/>
        </w:r>
        <w:r w:rsidR="00E2059A">
          <w:rPr>
            <w:webHidden/>
          </w:rPr>
          <w:t>33</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90" w:history="1">
        <w:r w:rsidR="00420696" w:rsidRPr="005D6D9C">
          <w:rPr>
            <w:rStyle w:val="Lienhypertexte"/>
          </w:rPr>
          <w:t>18.</w:t>
        </w:r>
        <w:r w:rsidR="00420696">
          <w:rPr>
            <w:rFonts w:asciiTheme="minorHAnsi" w:eastAsiaTheme="minorEastAsia" w:hAnsiTheme="minorHAnsi" w:cstheme="minorBidi"/>
            <w:bCs w:val="0"/>
            <w:sz w:val="22"/>
            <w:szCs w:val="22"/>
          </w:rPr>
          <w:tab/>
        </w:r>
        <w:r w:rsidR="00420696" w:rsidRPr="005D6D9C">
          <w:rPr>
            <w:rStyle w:val="Lienhypertexte"/>
          </w:rPr>
          <w:t>Dispositif de contrôle interne des dispositions relatives à la protection   des fonds de la clientèle des entreprises d’investissement</w:t>
        </w:r>
        <w:r w:rsidR="00420696">
          <w:rPr>
            <w:webHidden/>
          </w:rPr>
          <w:tab/>
        </w:r>
        <w:r w:rsidR="00420696">
          <w:rPr>
            <w:webHidden/>
          </w:rPr>
          <w:fldChar w:fldCharType="begin"/>
        </w:r>
        <w:r w:rsidR="00420696">
          <w:rPr>
            <w:webHidden/>
          </w:rPr>
          <w:instrText xml:space="preserve"> PAGEREF _Toc137799890 \h </w:instrText>
        </w:r>
        <w:r w:rsidR="00420696">
          <w:rPr>
            <w:webHidden/>
          </w:rPr>
        </w:r>
        <w:r w:rsidR="00420696">
          <w:rPr>
            <w:webHidden/>
          </w:rPr>
          <w:fldChar w:fldCharType="separate"/>
        </w:r>
        <w:r w:rsidR="00E2059A">
          <w:rPr>
            <w:webHidden/>
          </w:rPr>
          <w:t>34</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91" w:history="1">
        <w:r w:rsidR="00420696" w:rsidRPr="005D6D9C">
          <w:rPr>
            <w:rStyle w:val="Lienhypertexte"/>
          </w:rPr>
          <w:t>19.</w:t>
        </w:r>
        <w:r w:rsidR="00420696">
          <w:rPr>
            <w:rFonts w:asciiTheme="minorHAnsi" w:eastAsiaTheme="minorEastAsia" w:hAnsiTheme="minorHAnsi" w:cstheme="minorBidi"/>
            <w:bCs w:val="0"/>
            <w:sz w:val="22"/>
            <w:szCs w:val="22"/>
          </w:rPr>
          <w:tab/>
        </w:r>
        <w:r w:rsidR="00420696" w:rsidRPr="005D6D9C">
          <w:rPr>
            <w:rStyle w:val="Lienhypertexte"/>
          </w:rPr>
          <w:t>Dispositions de séparation bancaire</w:t>
        </w:r>
        <w:r w:rsidR="00420696">
          <w:rPr>
            <w:webHidden/>
          </w:rPr>
          <w:tab/>
        </w:r>
        <w:r w:rsidR="00420696">
          <w:rPr>
            <w:webHidden/>
          </w:rPr>
          <w:fldChar w:fldCharType="begin"/>
        </w:r>
        <w:r w:rsidR="00420696">
          <w:rPr>
            <w:webHidden/>
          </w:rPr>
          <w:instrText xml:space="preserve"> PAGEREF _Toc137799891 \h </w:instrText>
        </w:r>
        <w:r w:rsidR="00420696">
          <w:rPr>
            <w:webHidden/>
          </w:rPr>
        </w:r>
        <w:r w:rsidR="00420696">
          <w:rPr>
            <w:webHidden/>
          </w:rPr>
          <w:fldChar w:fldCharType="separate"/>
        </w:r>
        <w:r w:rsidR="00E2059A">
          <w:rPr>
            <w:webHidden/>
          </w:rPr>
          <w:t>34</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92" w:history="1">
        <w:r w:rsidR="00420696" w:rsidRPr="005D6D9C">
          <w:rPr>
            <w:rStyle w:val="Lienhypertexte"/>
          </w:rPr>
          <w:t>20.</w:t>
        </w:r>
        <w:r w:rsidR="00420696">
          <w:rPr>
            <w:rFonts w:asciiTheme="minorHAnsi" w:eastAsiaTheme="minorEastAsia" w:hAnsiTheme="minorHAnsi" w:cstheme="minorBidi"/>
            <w:bCs w:val="0"/>
            <w:sz w:val="22"/>
            <w:szCs w:val="22"/>
          </w:rPr>
          <w:tab/>
        </w:r>
        <w:r w:rsidR="00420696" w:rsidRPr="005D6D9C">
          <w:rPr>
            <w:rStyle w:val="Lienhypertexte"/>
          </w:rPr>
          <w:t>Politique en matière d’externalisation</w:t>
        </w:r>
        <w:r w:rsidR="00420696">
          <w:rPr>
            <w:webHidden/>
          </w:rPr>
          <w:tab/>
        </w:r>
        <w:r w:rsidR="00420696">
          <w:rPr>
            <w:webHidden/>
          </w:rPr>
          <w:fldChar w:fldCharType="begin"/>
        </w:r>
        <w:r w:rsidR="00420696">
          <w:rPr>
            <w:webHidden/>
          </w:rPr>
          <w:instrText xml:space="preserve"> PAGEREF _Toc137799892 \h </w:instrText>
        </w:r>
        <w:r w:rsidR="00420696">
          <w:rPr>
            <w:webHidden/>
          </w:rPr>
        </w:r>
        <w:r w:rsidR="00420696">
          <w:rPr>
            <w:webHidden/>
          </w:rPr>
          <w:fldChar w:fldCharType="separate"/>
        </w:r>
        <w:r w:rsidR="00E2059A">
          <w:rPr>
            <w:webHidden/>
          </w:rPr>
          <w:t>38</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93" w:history="1">
        <w:r w:rsidR="00420696" w:rsidRPr="005D6D9C">
          <w:rPr>
            <w:rStyle w:val="Lienhypertexte"/>
          </w:rPr>
          <w:t>21.</w:t>
        </w:r>
        <w:r w:rsidR="00420696">
          <w:rPr>
            <w:rFonts w:asciiTheme="minorHAnsi" w:eastAsiaTheme="minorEastAsia" w:hAnsiTheme="minorHAnsi" w:cstheme="minorBidi"/>
            <w:bCs w:val="0"/>
            <w:sz w:val="22"/>
            <w:szCs w:val="22"/>
          </w:rPr>
          <w:tab/>
        </w:r>
        <w:r w:rsidR="00420696" w:rsidRPr="005D6D9C">
          <w:rPr>
            <w:rStyle w:val="Lienhypertexte"/>
          </w:rPr>
          <w:t>Informations spécifiques demandées aux conglomérats financiers</w:t>
        </w:r>
        <w:r w:rsidR="00420696">
          <w:rPr>
            <w:webHidden/>
          </w:rPr>
          <w:tab/>
        </w:r>
        <w:r w:rsidR="00420696">
          <w:rPr>
            <w:webHidden/>
          </w:rPr>
          <w:fldChar w:fldCharType="begin"/>
        </w:r>
        <w:r w:rsidR="00420696">
          <w:rPr>
            <w:webHidden/>
          </w:rPr>
          <w:instrText xml:space="preserve"> PAGEREF _Toc137799893 \h </w:instrText>
        </w:r>
        <w:r w:rsidR="00420696">
          <w:rPr>
            <w:webHidden/>
          </w:rPr>
        </w:r>
        <w:r w:rsidR="00420696">
          <w:rPr>
            <w:webHidden/>
          </w:rPr>
          <w:fldChar w:fldCharType="separate"/>
        </w:r>
        <w:r w:rsidR="00E2059A">
          <w:rPr>
            <w:webHidden/>
          </w:rPr>
          <w:t>39</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94" w:history="1">
        <w:r w:rsidR="00420696" w:rsidRPr="005D6D9C">
          <w:rPr>
            <w:rStyle w:val="Lienhypertexte"/>
          </w:rPr>
          <w:t>22.</w:t>
        </w:r>
        <w:r w:rsidR="00420696">
          <w:rPr>
            <w:rFonts w:asciiTheme="minorHAnsi" w:eastAsiaTheme="minorEastAsia" w:hAnsiTheme="minorHAnsi" w:cstheme="minorBidi"/>
            <w:bCs w:val="0"/>
            <w:sz w:val="22"/>
            <w:szCs w:val="22"/>
          </w:rPr>
          <w:tab/>
        </w:r>
        <w:r w:rsidR="00420696" w:rsidRPr="005D6D9C">
          <w:rPr>
            <w:rStyle w:val="Lienhypertexte"/>
          </w:rPr>
          <w:t>Annexe relative à la sécurité des moyens de paiement scripturaux  mis à disposition ou gérés par l’établissement et de l’accès aux comptes de paiement et à leurs informations</w:t>
        </w:r>
        <w:r w:rsidR="00420696">
          <w:rPr>
            <w:webHidden/>
          </w:rPr>
          <w:tab/>
        </w:r>
        <w:r w:rsidR="00420696">
          <w:rPr>
            <w:webHidden/>
          </w:rPr>
          <w:fldChar w:fldCharType="begin"/>
        </w:r>
        <w:r w:rsidR="00420696">
          <w:rPr>
            <w:webHidden/>
          </w:rPr>
          <w:instrText xml:space="preserve"> PAGEREF _Toc137799894 \h </w:instrText>
        </w:r>
        <w:r w:rsidR="00420696">
          <w:rPr>
            <w:webHidden/>
          </w:rPr>
        </w:r>
        <w:r w:rsidR="00420696">
          <w:rPr>
            <w:webHidden/>
          </w:rPr>
          <w:fldChar w:fldCharType="separate"/>
        </w:r>
        <w:r w:rsidR="00E2059A">
          <w:rPr>
            <w:webHidden/>
          </w:rPr>
          <w:t>41</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95" w:history="1">
        <w:r w:rsidR="00420696" w:rsidRPr="005D6D9C">
          <w:rPr>
            <w:rStyle w:val="Lienhypertexte"/>
          </w:rPr>
          <w:t>Annexe 1</w:t>
        </w:r>
        <w:r w:rsidR="00420696">
          <w:rPr>
            <w:webHidden/>
          </w:rPr>
          <w:tab/>
        </w:r>
        <w:r w:rsidR="00420696">
          <w:rPr>
            <w:webHidden/>
          </w:rPr>
          <w:tab/>
        </w:r>
        <w:r w:rsidR="00420696">
          <w:rPr>
            <w:webHidden/>
          </w:rPr>
          <w:fldChar w:fldCharType="begin"/>
        </w:r>
        <w:r w:rsidR="00420696">
          <w:rPr>
            <w:webHidden/>
          </w:rPr>
          <w:instrText xml:space="preserve"> PAGEREF _Toc137799895 \h </w:instrText>
        </w:r>
        <w:r w:rsidR="00420696">
          <w:rPr>
            <w:webHidden/>
          </w:rPr>
        </w:r>
        <w:r w:rsidR="00420696">
          <w:rPr>
            <w:webHidden/>
          </w:rPr>
          <w:fldChar w:fldCharType="separate"/>
        </w:r>
        <w:r w:rsidR="00E2059A">
          <w:rPr>
            <w:webHidden/>
          </w:rPr>
          <w:t>95</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96" w:history="1">
        <w:r w:rsidR="00420696" w:rsidRPr="005D6D9C">
          <w:rPr>
            <w:rStyle w:val="Lienhypertexte"/>
          </w:rPr>
          <w:t>Annexe 2</w:t>
        </w:r>
        <w:r w:rsidR="00420696">
          <w:rPr>
            <w:webHidden/>
          </w:rPr>
          <w:tab/>
        </w:r>
        <w:r w:rsidR="00420696">
          <w:rPr>
            <w:webHidden/>
          </w:rPr>
          <w:tab/>
        </w:r>
        <w:r w:rsidR="00420696">
          <w:rPr>
            <w:webHidden/>
          </w:rPr>
          <w:fldChar w:fldCharType="begin"/>
        </w:r>
        <w:r w:rsidR="00420696">
          <w:rPr>
            <w:webHidden/>
          </w:rPr>
          <w:instrText xml:space="preserve"> PAGEREF _Toc137799896 \h </w:instrText>
        </w:r>
        <w:r w:rsidR="00420696">
          <w:rPr>
            <w:webHidden/>
          </w:rPr>
        </w:r>
        <w:r w:rsidR="00420696">
          <w:rPr>
            <w:webHidden/>
          </w:rPr>
          <w:fldChar w:fldCharType="separate"/>
        </w:r>
        <w:r w:rsidR="00E2059A">
          <w:rPr>
            <w:webHidden/>
          </w:rPr>
          <w:t>97</w:t>
        </w:r>
        <w:r w:rsidR="00420696">
          <w:rPr>
            <w:webHidden/>
          </w:rPr>
          <w:fldChar w:fldCharType="end"/>
        </w:r>
      </w:hyperlink>
    </w:p>
    <w:p w:rsidR="00420696" w:rsidRDefault="003B20EE">
      <w:pPr>
        <w:pStyle w:val="TM1"/>
        <w:rPr>
          <w:rFonts w:asciiTheme="minorHAnsi" w:eastAsiaTheme="minorEastAsia" w:hAnsiTheme="minorHAnsi" w:cstheme="minorBidi"/>
          <w:bCs w:val="0"/>
          <w:sz w:val="22"/>
          <w:szCs w:val="22"/>
        </w:rPr>
      </w:pPr>
      <w:hyperlink w:anchor="_Toc137799897" w:history="1">
        <w:r w:rsidR="00420696" w:rsidRPr="005D6D9C">
          <w:rPr>
            <w:rStyle w:val="Lienhypertexte"/>
          </w:rPr>
          <w:t>Annexe 3</w:t>
        </w:r>
        <w:r w:rsidR="00420696">
          <w:rPr>
            <w:webHidden/>
          </w:rPr>
          <w:tab/>
        </w:r>
        <w:r w:rsidR="00420696">
          <w:rPr>
            <w:webHidden/>
          </w:rPr>
          <w:tab/>
        </w:r>
        <w:r w:rsidR="00420696">
          <w:rPr>
            <w:webHidden/>
          </w:rPr>
          <w:fldChar w:fldCharType="begin"/>
        </w:r>
        <w:r w:rsidR="00420696">
          <w:rPr>
            <w:webHidden/>
          </w:rPr>
          <w:instrText xml:space="preserve"> PAGEREF _Toc137799897 \h </w:instrText>
        </w:r>
        <w:r w:rsidR="00420696">
          <w:rPr>
            <w:webHidden/>
          </w:rPr>
        </w:r>
        <w:r w:rsidR="00420696">
          <w:rPr>
            <w:webHidden/>
          </w:rPr>
          <w:fldChar w:fldCharType="separate"/>
        </w:r>
        <w:r w:rsidR="00E2059A">
          <w:rPr>
            <w:webHidden/>
          </w:rPr>
          <w:t>98</w:t>
        </w:r>
        <w:r w:rsidR="00420696">
          <w:rPr>
            <w:webHidden/>
          </w:rPr>
          <w:fldChar w:fldCharType="end"/>
        </w:r>
      </w:hyperlink>
    </w:p>
    <w:p w:rsidR="001F6E5F" w:rsidRDefault="002D4552" w:rsidP="000845E4">
      <w:pPr>
        <w:pStyle w:val="SGACP-titrederubriqueniveau1"/>
        <w:numPr>
          <w:ilvl w:val="0"/>
          <w:numId w:val="0"/>
        </w:numPr>
        <w:sectPr w:rsidR="001F6E5F" w:rsidSect="00427A32">
          <w:headerReference w:type="default" r:id="rId13"/>
          <w:footerReference w:type="even" r:id="rId14"/>
          <w:footerReference w:type="default" r:id="rId15"/>
          <w:footnotePr>
            <w:numRestart w:val="eachSect"/>
          </w:footnotePr>
          <w:pgSz w:w="11906" w:h="16838" w:code="9"/>
          <w:pgMar w:top="1191" w:right="1134" w:bottom="1134" w:left="1134" w:header="567" w:footer="510" w:gutter="0"/>
          <w:cols w:space="567"/>
          <w:docGrid w:linePitch="326"/>
        </w:sectPr>
      </w:pPr>
      <w:r>
        <w:rPr>
          <w:noProof/>
          <w:sz w:val="18"/>
        </w:rPr>
        <w:fldChar w:fldCharType="end"/>
      </w:r>
    </w:p>
    <w:p w:rsidR="00F55976" w:rsidRDefault="00463A1C" w:rsidP="002C1BF5">
      <w:pPr>
        <w:pStyle w:val="StyleSGACP-titrederubriqueniveau1CouleurpersonnaliseRVB"/>
        <w:numPr>
          <w:ilvl w:val="0"/>
          <w:numId w:val="0"/>
        </w:numPr>
        <w:ind w:left="360" w:hanging="360"/>
      </w:pPr>
      <w:bookmarkStart w:id="1" w:name="_Toc266969689"/>
      <w:bookmarkStart w:id="2" w:name="_Toc137799872"/>
      <w:r w:rsidRPr="0029051C">
        <w:lastRenderedPageBreak/>
        <w:t>Préambule</w:t>
      </w:r>
      <w:bookmarkEnd w:id="1"/>
      <w:bookmarkEnd w:id="2"/>
    </w:p>
    <w:p w:rsidR="00463A1C" w:rsidRPr="007F2900" w:rsidRDefault="00463A1C" w:rsidP="00463A1C"/>
    <w:p w:rsidR="00463A1C" w:rsidRDefault="00463A1C" w:rsidP="000845E4">
      <w:pPr>
        <w:pStyle w:val="SGACP-textecourant"/>
      </w:pPr>
      <w:r w:rsidRPr="007F2900">
        <w:t>Ce rapport a pour objet de rendre compte de l</w:t>
      </w:r>
      <w:r w:rsidR="001224E7">
        <w:t>’</w:t>
      </w:r>
      <w:r w:rsidRPr="007F2900">
        <w:t>activité du contrôle interne au cours de l</w:t>
      </w:r>
      <w:r w:rsidR="001224E7">
        <w:t>’</w:t>
      </w:r>
      <w:r w:rsidRPr="007F2900">
        <w:t>exercice écoulé et de retracer les dispositifs de mesure, de surveillance, d</w:t>
      </w:r>
      <w:r w:rsidR="001224E7">
        <w:t>’</w:t>
      </w:r>
      <w:r w:rsidRPr="007F2900">
        <w:t>encadrement des risques auxquels l</w:t>
      </w:r>
      <w:r w:rsidR="001224E7">
        <w:t>’</w:t>
      </w:r>
      <w:r w:rsidRPr="007F2900">
        <w:t>établissement est exposé et de diffus</w:t>
      </w:r>
      <w:r w:rsidR="000845E4">
        <w:t>ion d</w:t>
      </w:r>
      <w:r w:rsidR="001224E7">
        <w:t>’</w:t>
      </w:r>
      <w:r w:rsidR="000845E4">
        <w:t>information à leur sujet.</w:t>
      </w:r>
    </w:p>
    <w:p w:rsidR="000845E4" w:rsidRPr="007F2900" w:rsidRDefault="000845E4" w:rsidP="000845E4">
      <w:pPr>
        <w:pStyle w:val="SGACP-textecourant"/>
      </w:pPr>
    </w:p>
    <w:p w:rsidR="00463A1C" w:rsidRDefault="00463A1C" w:rsidP="000845E4">
      <w:pPr>
        <w:pStyle w:val="SGACP-textecourant"/>
      </w:pPr>
      <w:r w:rsidRPr="00686728">
        <w:rPr>
          <w:b/>
        </w:rPr>
        <w:t>Les éléments ci-après mentionnés le sont à titre indicatif dans la mesure où ils s</w:t>
      </w:r>
      <w:r w:rsidR="001224E7">
        <w:rPr>
          <w:b/>
        </w:rPr>
        <w:t>’</w:t>
      </w:r>
      <w:r w:rsidRPr="00686728">
        <w:rPr>
          <w:b/>
        </w:rPr>
        <w:t>avèrent pertinents au vu de l</w:t>
      </w:r>
      <w:r w:rsidR="001224E7">
        <w:rPr>
          <w:b/>
        </w:rPr>
        <w:t>’</w:t>
      </w:r>
      <w:r w:rsidRPr="00686728">
        <w:rPr>
          <w:b/>
        </w:rPr>
        <w:t>activité et de l</w:t>
      </w:r>
      <w:r w:rsidR="001224E7">
        <w:rPr>
          <w:b/>
        </w:rPr>
        <w:t>’</w:t>
      </w:r>
      <w:r w:rsidRPr="00686728">
        <w:rPr>
          <w:b/>
        </w:rPr>
        <w:t>organisation de l</w:t>
      </w:r>
      <w:r w:rsidR="001224E7">
        <w:rPr>
          <w:b/>
        </w:rPr>
        <w:t>’</w:t>
      </w:r>
      <w:r w:rsidRPr="00686728">
        <w:rPr>
          <w:b/>
        </w:rPr>
        <w:t>établissement</w:t>
      </w:r>
      <w:r w:rsidR="00F703DC">
        <w:rPr>
          <w:rStyle w:val="Appelnotedebasdep"/>
          <w:b/>
        </w:rPr>
        <w:footnoteReference w:id="1"/>
      </w:r>
      <w:r w:rsidRPr="007F2900">
        <w:t>. Ils sont complétés par toute autre information de nature à permettre une appréciation du fonctionnement du système de contrôle interne et une évaluation des risques effectifs de l</w:t>
      </w:r>
      <w:r w:rsidR="001224E7">
        <w:t>’</w:t>
      </w:r>
      <w:r w:rsidRPr="007F2900">
        <w:t xml:space="preserve">établissement. </w:t>
      </w:r>
    </w:p>
    <w:p w:rsidR="000845E4" w:rsidRDefault="000845E4" w:rsidP="000845E4">
      <w:pPr>
        <w:pStyle w:val="SGACP-textecourant"/>
      </w:pPr>
    </w:p>
    <w:p w:rsidR="00387A3C" w:rsidRDefault="00463A1C" w:rsidP="00387A3C">
      <w:pPr>
        <w:pStyle w:val="SGACP-textecourant"/>
      </w:pPr>
      <w:r w:rsidRPr="007F2900">
        <w:t>Le présent document s</w:t>
      </w:r>
      <w:r w:rsidR="001224E7">
        <w:t>’</w:t>
      </w:r>
      <w:r w:rsidRPr="007F2900">
        <w:t xml:space="preserve">appuie sur une version « fusionnée » des rapports établis en application des </w:t>
      </w:r>
      <w:r w:rsidR="00902903" w:rsidRPr="007F2900">
        <w:t>articles</w:t>
      </w:r>
      <w:r w:rsidR="00902903">
        <w:t> </w:t>
      </w:r>
      <w:r w:rsidR="00B1279E">
        <w:t xml:space="preserve">258 </w:t>
      </w:r>
      <w:r w:rsidR="002A65C7">
        <w:t>à 266</w:t>
      </w:r>
      <w:r w:rsidR="00B1279E">
        <w:t xml:space="preserve"> de l’arrêté du 3 novembre 2014</w:t>
      </w:r>
      <w:r w:rsidR="005E4A09">
        <w:t xml:space="preserve"> modifié</w:t>
      </w:r>
      <w:r w:rsidRPr="007F2900">
        <w:t>. Toutefois, les établissements qui le souhaitent peuvent continuer de remettre des rapports distincts dès lors que ces derniers couvrent l</w:t>
      </w:r>
      <w:r w:rsidR="001224E7">
        <w:t>’</w:t>
      </w:r>
      <w:r w:rsidRPr="007F2900">
        <w:t>ensemble de</w:t>
      </w:r>
      <w:r w:rsidR="000845E4">
        <w:t>s éléments mentionnés ci-après.</w:t>
      </w:r>
      <w:r w:rsidR="000623EE">
        <w:t xml:space="preserve"> </w:t>
      </w:r>
    </w:p>
    <w:p w:rsidR="00686728" w:rsidRPr="007F2900" w:rsidRDefault="00686728" w:rsidP="000845E4">
      <w:pPr>
        <w:pStyle w:val="SGACP-textecourant"/>
      </w:pPr>
    </w:p>
    <w:p w:rsidR="00463A1C" w:rsidRDefault="00463A1C" w:rsidP="000845E4">
      <w:pPr>
        <w:pStyle w:val="SGACP-textecourant"/>
      </w:pPr>
      <w:r w:rsidRPr="007F2900">
        <w:t xml:space="preserve">Les derniers documents transmis </w:t>
      </w:r>
      <w:r w:rsidR="00330E90">
        <w:t xml:space="preserve">par les dirigeants effectifs </w:t>
      </w:r>
      <w:r w:rsidRPr="007F2900">
        <w:t>à l</w:t>
      </w:r>
      <w:r w:rsidR="001224E7">
        <w:t>’</w:t>
      </w:r>
      <w:r w:rsidRPr="007F2900">
        <w:t xml:space="preserve">organe </w:t>
      </w:r>
      <w:r w:rsidR="0094273B">
        <w:t xml:space="preserve">de surveillance </w:t>
      </w:r>
      <w:r w:rsidRPr="007F2900">
        <w:t xml:space="preserve">et, le cas échéant, au comité </w:t>
      </w:r>
      <w:r w:rsidR="0003780F">
        <w:t>des risques</w:t>
      </w:r>
      <w:r w:rsidR="00330E90">
        <w:t>, en application de l’article 253 de l’arrêté du 3 novembre 2014</w:t>
      </w:r>
      <w:r w:rsidR="005E4A09">
        <w:t xml:space="preserve"> modifié</w:t>
      </w:r>
      <w:r w:rsidR="00330E90">
        <w:t>,</w:t>
      </w:r>
      <w:r w:rsidR="0003780F">
        <w:t xml:space="preserve"> </w:t>
      </w:r>
      <w:r w:rsidRPr="007F2900">
        <w:t xml:space="preserve">sur </w:t>
      </w:r>
      <w:r w:rsidR="00330E90">
        <w:t xml:space="preserve">l’analyse et le suivi </w:t>
      </w:r>
      <w:r w:rsidRPr="007F2900">
        <w:t>des risques auxquels l</w:t>
      </w:r>
      <w:r w:rsidR="001224E7">
        <w:t>’</w:t>
      </w:r>
      <w:r w:rsidRPr="007F2900">
        <w:t>établissement est exposé doivent être inclus dans le présent rapport (tableaux de bord internes).</w:t>
      </w:r>
    </w:p>
    <w:p w:rsidR="00686728" w:rsidRPr="007F2900" w:rsidRDefault="00686728" w:rsidP="000845E4">
      <w:pPr>
        <w:pStyle w:val="SGACP-textecourant"/>
      </w:pPr>
    </w:p>
    <w:p w:rsidR="00463A1C" w:rsidRDefault="00463A1C" w:rsidP="000845E4">
      <w:pPr>
        <w:pStyle w:val="SGACP-textecourant"/>
      </w:pPr>
      <w:r w:rsidRPr="007F2900">
        <w:t xml:space="preserve">Par ailleurs, il est </w:t>
      </w:r>
      <w:r w:rsidR="00DE2210">
        <w:t>rappelé que conformément aux dispositions de l’article 4 de l’instruction n°2017-I-24</w:t>
      </w:r>
      <w:r w:rsidR="00D34141">
        <w:t xml:space="preserve"> modifiée</w:t>
      </w:r>
      <w:r w:rsidR="00DE2210">
        <w:t>,</w:t>
      </w:r>
      <w:r w:rsidRPr="007F2900">
        <w:t xml:space="preserve"> les documents examinés par l</w:t>
      </w:r>
      <w:r w:rsidR="001224E7">
        <w:t>’</w:t>
      </w:r>
      <w:r w:rsidRPr="007F2900">
        <w:t xml:space="preserve">organe </w:t>
      </w:r>
      <w:r w:rsidR="0094273B">
        <w:t>de surveillance</w:t>
      </w:r>
      <w:r w:rsidR="0094273B" w:rsidRPr="007F2900">
        <w:t xml:space="preserve"> </w:t>
      </w:r>
      <w:r w:rsidRPr="007F2900">
        <w:t>dans le cadre de l</w:t>
      </w:r>
      <w:r w:rsidR="001224E7">
        <w:t>’</w:t>
      </w:r>
      <w:r w:rsidRPr="007F2900">
        <w:t>examen de l</w:t>
      </w:r>
      <w:r w:rsidR="001224E7">
        <w:t>’</w:t>
      </w:r>
      <w:r w:rsidRPr="007F2900">
        <w:t xml:space="preserve">activité et des résultats du contrôle interne, </w:t>
      </w:r>
      <w:r w:rsidRPr="00266335">
        <w:t xml:space="preserve">en application </w:t>
      </w:r>
      <w:r w:rsidR="009767B5" w:rsidRPr="002C1BF5">
        <w:t>de</w:t>
      </w:r>
      <w:r w:rsidR="002A65C7" w:rsidRPr="002C1BF5">
        <w:t xml:space="preserve">s </w:t>
      </w:r>
      <w:r w:rsidR="009767B5" w:rsidRPr="002C1BF5">
        <w:t>article</w:t>
      </w:r>
      <w:r w:rsidR="002A65C7" w:rsidRPr="002C1BF5">
        <w:t>s 252 et</w:t>
      </w:r>
      <w:r w:rsidR="009767B5" w:rsidRPr="002C1BF5">
        <w:t xml:space="preserve"> 253 de l’arrêté du 3</w:t>
      </w:r>
      <w:r w:rsidR="00CC264B">
        <w:t> </w:t>
      </w:r>
      <w:r w:rsidR="009767B5" w:rsidRPr="002C1BF5">
        <w:t>novembre 2014</w:t>
      </w:r>
      <w:r w:rsidR="00DE2210">
        <w:t xml:space="preserve"> </w:t>
      </w:r>
      <w:r w:rsidR="005E4A09">
        <w:t xml:space="preserve">modifié </w:t>
      </w:r>
      <w:r w:rsidR="00DE2210">
        <w:t>ainsi que</w:t>
      </w:r>
      <w:r w:rsidR="00DE2210" w:rsidRPr="00DE2210">
        <w:t xml:space="preserve"> </w:t>
      </w:r>
      <w:r w:rsidR="00DE2210" w:rsidRPr="007F2900">
        <w:t>les extraits des procès-verbaux des réunions au cours desquelles ils sont examinés</w:t>
      </w:r>
      <w:r w:rsidR="009767B5" w:rsidRPr="002C1BF5">
        <w:t>,</w:t>
      </w:r>
      <w:r w:rsidRPr="00266335">
        <w:t xml:space="preserve"> </w:t>
      </w:r>
      <w:r w:rsidRPr="007F2900">
        <w:t>doivent être adressés</w:t>
      </w:r>
      <w:r w:rsidR="00DE2210">
        <w:t>, de façon trimestrielle,</w:t>
      </w:r>
      <w:r w:rsidRPr="007F2900">
        <w:t xml:space="preserve"> au Secrétariat général de l</w:t>
      </w:r>
      <w:r w:rsidR="001224E7">
        <w:t>’</w:t>
      </w:r>
      <w:r w:rsidRPr="007F2900">
        <w:t xml:space="preserve">Autorité de contrôle prudentiel </w:t>
      </w:r>
      <w:r w:rsidR="002A54BD">
        <w:t xml:space="preserve">et de résolution </w:t>
      </w:r>
      <w:r w:rsidRPr="007F2900">
        <w:t>(SGACP</w:t>
      </w:r>
      <w:r w:rsidR="002A54BD">
        <w:t>R</w:t>
      </w:r>
      <w:r w:rsidRPr="007F2900">
        <w:t>).</w:t>
      </w:r>
    </w:p>
    <w:p w:rsidR="00402307" w:rsidRDefault="00402307" w:rsidP="000845E4">
      <w:pPr>
        <w:pStyle w:val="SGACP-textecourant"/>
      </w:pPr>
    </w:p>
    <w:p w:rsidR="00402307" w:rsidRDefault="00402307" w:rsidP="00402307">
      <w:pPr>
        <w:pStyle w:val="SGACP-textecourant"/>
      </w:pPr>
      <w:r>
        <w:t>Ces documents ainsi que le rapport de contrôle interne doivent être, co</w:t>
      </w:r>
      <w:r w:rsidR="007C443C">
        <w:t>nformément aux dispositions de</w:t>
      </w:r>
      <w:r w:rsidR="004B6385">
        <w:t xml:space="preserve">s </w:t>
      </w:r>
      <w:r>
        <w:t>article</w:t>
      </w:r>
      <w:r w:rsidR="004B6385">
        <w:t>s</w:t>
      </w:r>
      <w:r>
        <w:t xml:space="preserve"> 12</w:t>
      </w:r>
      <w:r w:rsidR="004B6385">
        <w:t xml:space="preserve"> </w:t>
      </w:r>
      <w:r w:rsidR="004B6385" w:rsidRPr="007C480A">
        <w:t>et 13</w:t>
      </w:r>
      <w:r>
        <w:t xml:space="preserve"> de l’instruction n°2017-I-24</w:t>
      </w:r>
      <w:r w:rsidR="00775F01">
        <w:t xml:space="preserve"> modifiée</w:t>
      </w:r>
      <w:r>
        <w:t xml:space="preserve">, communiqués au SGACPR </w:t>
      </w:r>
      <w:r w:rsidRPr="00402307">
        <w:rPr>
          <w:b/>
        </w:rPr>
        <w:t>par télétransmission sous format bureautique</w:t>
      </w:r>
      <w:r>
        <w:t xml:space="preserve">, selon des modalités techniques définies par l’ACPR </w:t>
      </w:r>
      <w:r w:rsidRPr="00D63D99">
        <w:rPr>
          <w:b/>
        </w:rPr>
        <w:t>et signés électroniquement</w:t>
      </w:r>
      <w:r>
        <w:t xml:space="preserve"> selon les modalités définies par l’instruction n° 2015-I-19 modifiée et par l’annexe I de l’instruction</w:t>
      </w:r>
      <w:r w:rsidRPr="00402307">
        <w:t xml:space="preserve"> n°2017-I-24</w:t>
      </w:r>
      <w:r w:rsidR="00775F01">
        <w:t xml:space="preserve"> modifiée</w:t>
      </w:r>
      <w:r>
        <w:t>.</w:t>
      </w:r>
    </w:p>
    <w:p w:rsidR="00024EC2" w:rsidRDefault="00024EC2" w:rsidP="00402307">
      <w:pPr>
        <w:pStyle w:val="SGACP-textecourant"/>
      </w:pPr>
    </w:p>
    <w:p w:rsidR="00024EC2" w:rsidRPr="007C480A" w:rsidRDefault="00024EC2" w:rsidP="00024EC2">
      <w:pPr>
        <w:pStyle w:val="SGACP-textecourant"/>
      </w:pPr>
      <w:r w:rsidRPr="007C480A">
        <w:t>Le rapport de contrôle interne doit être remis au SGACPR au plus tard :</w:t>
      </w:r>
    </w:p>
    <w:p w:rsidR="00024EC2" w:rsidRPr="007C480A" w:rsidRDefault="00024EC2" w:rsidP="00024EC2">
      <w:pPr>
        <w:pStyle w:val="SGACP-textecourant"/>
        <w:ind w:left="993" w:hanging="426"/>
      </w:pPr>
      <w:r w:rsidRPr="007C480A">
        <w:t>-</w:t>
      </w:r>
      <w:r w:rsidRPr="007C480A">
        <w:tab/>
        <w:t>le 31 mars suivant la fin de chaque exercice pour les groupes et les établissements soumis à la supervision directe de la Banque centrale européenne, à l'exception de la partie relative à la politique et aux pratiques de rémunération qui peut être remise au plus tard le 30 avril suivant la fin de chaque exercice ;</w:t>
      </w:r>
    </w:p>
    <w:p w:rsidR="00024EC2" w:rsidRDefault="00024EC2" w:rsidP="00024EC2">
      <w:pPr>
        <w:pStyle w:val="SGACP-textecourant"/>
        <w:ind w:left="993" w:hanging="426"/>
      </w:pPr>
      <w:r w:rsidRPr="007C480A">
        <w:t>-</w:t>
      </w:r>
      <w:r w:rsidRPr="007C480A">
        <w:tab/>
        <w:t>le 30 avril suivant la fin de chaque exercice pour les autres assujettis, y compris la partie relative à la politique et aux pratiques de rémunération pour les établissements qui y sont soumis.</w:t>
      </w:r>
    </w:p>
    <w:p w:rsidR="003F2EE8" w:rsidRDefault="003F2EE8" w:rsidP="000845E4">
      <w:pPr>
        <w:pStyle w:val="SGACP-textecourant"/>
      </w:pPr>
    </w:p>
    <w:p w:rsidR="00F56F68" w:rsidRDefault="00F56F68" w:rsidP="000845E4">
      <w:pPr>
        <w:pStyle w:val="SGACP-textecourant"/>
      </w:pPr>
      <w:r>
        <w:t xml:space="preserve">La rédaction est en français. Par exception, les rapports des établissements soumis à la supervision directe de la BCE peuvent être rédigés en anglais, à l’exception des </w:t>
      </w:r>
      <w:r w:rsidR="00B2333C">
        <w:t xml:space="preserve">parties relevant des </w:t>
      </w:r>
      <w:r>
        <w:t>champs de compétence en propre de l’ACPR</w:t>
      </w:r>
      <w:r w:rsidDel="00F56F68">
        <w:t xml:space="preserve"> </w:t>
      </w:r>
      <w:r>
        <w:t xml:space="preserve">(parties </w:t>
      </w:r>
      <w:r w:rsidR="00775F01">
        <w:t>18</w:t>
      </w:r>
      <w:r>
        <w:t xml:space="preserve">, </w:t>
      </w:r>
      <w:r w:rsidR="00775F01">
        <w:t>19</w:t>
      </w:r>
      <w:r w:rsidR="003A6487">
        <w:t xml:space="preserve">, </w:t>
      </w:r>
      <w:r w:rsidR="00775F01">
        <w:t xml:space="preserve">22 </w:t>
      </w:r>
      <w:r>
        <w:t xml:space="preserve">et annexe </w:t>
      </w:r>
      <w:r w:rsidR="007B14D8">
        <w:t>2</w:t>
      </w:r>
      <w:r>
        <w:t>).</w:t>
      </w:r>
    </w:p>
    <w:p w:rsidR="00463A1C" w:rsidRPr="007F2900" w:rsidRDefault="00463A1C" w:rsidP="000845E4">
      <w:pPr>
        <w:pStyle w:val="SGACP-textecourant"/>
      </w:pPr>
    </w:p>
    <w:p w:rsidR="00463A1C" w:rsidRPr="000845E4" w:rsidRDefault="00463A1C" w:rsidP="000845E4">
      <w:pPr>
        <w:pStyle w:val="SGACP-textecourant"/>
        <w:rPr>
          <w:i/>
        </w:rPr>
      </w:pPr>
      <w:r w:rsidRPr="000845E4">
        <w:rPr>
          <w:i/>
        </w:rPr>
        <w:t xml:space="preserve">N.B. : </w:t>
      </w:r>
      <w:r w:rsidR="000845E4" w:rsidRPr="000845E4">
        <w:rPr>
          <w:i/>
        </w:rPr>
        <w:t>l</w:t>
      </w:r>
      <w:r w:rsidRPr="000845E4">
        <w:rPr>
          <w:i/>
        </w:rPr>
        <w:t>orsque l</w:t>
      </w:r>
      <w:r w:rsidR="001224E7">
        <w:rPr>
          <w:i/>
        </w:rPr>
        <w:t>’</w:t>
      </w:r>
      <w:r w:rsidRPr="000845E4">
        <w:rPr>
          <w:i/>
        </w:rPr>
        <w:t>établissement fait l</w:t>
      </w:r>
      <w:r w:rsidR="001224E7">
        <w:rPr>
          <w:i/>
        </w:rPr>
        <w:t>’</w:t>
      </w:r>
      <w:r w:rsidRPr="000845E4">
        <w:rPr>
          <w:i/>
        </w:rPr>
        <w:t>objet d</w:t>
      </w:r>
      <w:r w:rsidR="001224E7">
        <w:rPr>
          <w:i/>
        </w:rPr>
        <w:t>’</w:t>
      </w:r>
      <w:r w:rsidRPr="000845E4">
        <w:rPr>
          <w:i/>
        </w:rPr>
        <w:t>une surveillance sur une base consolidée et/ou d</w:t>
      </w:r>
      <w:r w:rsidR="001224E7">
        <w:rPr>
          <w:i/>
        </w:rPr>
        <w:t>’</w:t>
      </w:r>
      <w:r w:rsidRPr="000845E4">
        <w:rPr>
          <w:i/>
        </w:rPr>
        <w:t>une surveillance complémentaire au titre des conglomérats financiers, les rapports sur le contrôle interne comprennent une information relative aux conditions dans lesquelles le contrôle interne est assuré au niveau de l</w:t>
      </w:r>
      <w:r w:rsidR="001224E7">
        <w:rPr>
          <w:i/>
        </w:rPr>
        <w:t>’</w:t>
      </w:r>
      <w:r w:rsidRPr="000845E4">
        <w:rPr>
          <w:i/>
        </w:rPr>
        <w:t>ensemble du groupe et/ou du conglomérat. Lorsque le dispositif de contrôle interne d</w:t>
      </w:r>
      <w:r w:rsidR="001224E7">
        <w:rPr>
          <w:i/>
        </w:rPr>
        <w:t>’</w:t>
      </w:r>
      <w:r w:rsidRPr="000845E4">
        <w:rPr>
          <w:i/>
        </w:rPr>
        <w:t xml:space="preserve">une </w:t>
      </w:r>
      <w:r w:rsidRPr="000845E4">
        <w:rPr>
          <w:i/>
        </w:rPr>
        <w:lastRenderedPageBreak/>
        <w:t>filiale est totalement intégré au dispositif du groupe, il n</w:t>
      </w:r>
      <w:r w:rsidR="001224E7">
        <w:rPr>
          <w:i/>
        </w:rPr>
        <w:t>’</w:t>
      </w:r>
      <w:r w:rsidRPr="000845E4">
        <w:rPr>
          <w:i/>
        </w:rPr>
        <w:t>est pas nécessaire de remettre un rapport relatif à l</w:t>
      </w:r>
      <w:r w:rsidR="001224E7">
        <w:rPr>
          <w:i/>
        </w:rPr>
        <w:t>’</w:t>
      </w:r>
      <w:r w:rsidRPr="000845E4">
        <w:rPr>
          <w:i/>
        </w:rPr>
        <w:t>organisation du contrôle interne pour cette filiale. En revanche les dispositifs de mesure, de surveillance et d</w:t>
      </w:r>
      <w:r w:rsidR="001224E7">
        <w:rPr>
          <w:i/>
        </w:rPr>
        <w:t>’</w:t>
      </w:r>
      <w:r w:rsidRPr="000845E4">
        <w:rPr>
          <w:i/>
        </w:rPr>
        <w:t>encadrement des risques doivent être exposés pour chaque établissement assujetti.</w:t>
      </w:r>
    </w:p>
    <w:p w:rsidR="000845E4" w:rsidRPr="007F2900" w:rsidRDefault="000845E4" w:rsidP="000845E4">
      <w:pPr>
        <w:pStyle w:val="SGACP-textecourant"/>
      </w:pPr>
    </w:p>
    <w:p w:rsidR="00463A1C" w:rsidRPr="007F2900" w:rsidRDefault="00463A1C" w:rsidP="00463A1C">
      <w:pPr>
        <w:sectPr w:rsidR="00463A1C" w:rsidRPr="007F2900" w:rsidSect="00460E3D">
          <w:footnotePr>
            <w:numRestart w:val="eachSect"/>
          </w:footnotePr>
          <w:pgSz w:w="11906" w:h="16838" w:code="9"/>
          <w:pgMar w:top="1417" w:right="1417" w:bottom="1417" w:left="1417" w:header="720" w:footer="510" w:gutter="0"/>
          <w:cols w:space="567"/>
          <w:docGrid w:linePitch="326"/>
        </w:sectPr>
      </w:pPr>
    </w:p>
    <w:p w:rsidR="004A229A" w:rsidRDefault="005B2FBD">
      <w:pPr>
        <w:pStyle w:val="StyleSGACP-titrederubriqueniveau1CouleurpersonnaliseRVB"/>
        <w:ind w:left="425" w:hanging="425"/>
      </w:pPr>
      <w:bookmarkStart w:id="3" w:name="_Toc137799873"/>
      <w:bookmarkStart w:id="4" w:name="_Toc266799770"/>
      <w:bookmarkStart w:id="5" w:name="_Toc266799853"/>
      <w:r w:rsidRPr="005B2FBD">
        <w:lastRenderedPageBreak/>
        <w:t xml:space="preserve">Présentation générale des activités exercées et des risques encourus </w:t>
      </w:r>
      <w:r w:rsidR="00FC763A">
        <w:br/>
      </w:r>
      <w:r w:rsidR="00FC763A" w:rsidRPr="005B2FBD">
        <w:t>par l</w:t>
      </w:r>
      <w:r w:rsidR="001224E7">
        <w:t>’</w:t>
      </w:r>
      <w:r w:rsidR="00FC763A" w:rsidRPr="005B2FBD">
        <w:t>établissement</w:t>
      </w:r>
      <w:bookmarkEnd w:id="3"/>
    </w:p>
    <w:p w:rsidR="000845E4" w:rsidRPr="00440703" w:rsidRDefault="000845E4" w:rsidP="000845E4">
      <w:pPr>
        <w:pStyle w:val="SGACP-sous-titrederubriquenivaeu2"/>
      </w:pPr>
      <w:bookmarkStart w:id="6" w:name="_Toc266799771"/>
      <w:bookmarkStart w:id="7" w:name="_Toc258846314"/>
      <w:bookmarkEnd w:id="4"/>
      <w:bookmarkEnd w:id="5"/>
    </w:p>
    <w:p w:rsidR="00463A1C" w:rsidRPr="003637E1" w:rsidRDefault="00463A1C" w:rsidP="00924745">
      <w:pPr>
        <w:pStyle w:val="SGACP-sous-titrederubriquenivaeu2"/>
        <w:numPr>
          <w:ilvl w:val="1"/>
          <w:numId w:val="2"/>
        </w:numPr>
        <w:ind w:left="567" w:hanging="567"/>
      </w:pPr>
      <w:r w:rsidRPr="003637E1">
        <w:t>Description des activités</w:t>
      </w:r>
      <w:bookmarkEnd w:id="6"/>
      <w:r w:rsidR="0026421C">
        <w:t> </w:t>
      </w:r>
      <w:bookmarkEnd w:id="7"/>
      <w:r w:rsidR="0026421C">
        <w:t>:</w:t>
      </w:r>
    </w:p>
    <w:p w:rsidR="00331B88" w:rsidRDefault="005B2FBD" w:rsidP="004F3BB8">
      <w:pPr>
        <w:pStyle w:val="SGACP-enumerationniveau1"/>
        <w:ind w:left="284" w:hanging="284"/>
      </w:pPr>
      <w:r w:rsidRPr="005B2FBD">
        <w:t>description synthétique des activités exercées ;</w:t>
      </w:r>
    </w:p>
    <w:p w:rsidR="00331B88" w:rsidRDefault="005B2FBD" w:rsidP="004F3BB8">
      <w:pPr>
        <w:pStyle w:val="SGACP-enumerationniveau1"/>
        <w:ind w:left="284" w:hanging="284"/>
      </w:pPr>
      <w:r w:rsidRPr="005B2FBD">
        <w:t>pour les nouvelles activités :</w:t>
      </w:r>
    </w:p>
    <w:p w:rsidR="004A229A" w:rsidRDefault="0026421C" w:rsidP="00924745">
      <w:pPr>
        <w:pStyle w:val="SGACP-enumerationniveau2"/>
        <w:numPr>
          <w:ilvl w:val="0"/>
          <w:numId w:val="25"/>
        </w:numPr>
        <w:ind w:left="567" w:hanging="283"/>
      </w:pPr>
      <w:r w:rsidRPr="00DD61ED">
        <w:t>d</w:t>
      </w:r>
      <w:r w:rsidR="00463A1C" w:rsidRPr="00DD61ED">
        <w:t>escription détaillée des nouvelles activités exercées par l</w:t>
      </w:r>
      <w:r w:rsidR="001224E7">
        <w:t>’</w:t>
      </w:r>
      <w:r w:rsidR="00463A1C" w:rsidRPr="00DD61ED">
        <w:t>établissement au cours du dernier exercice (par métiers et/ou zones géographiques et/ou filiales…)</w:t>
      </w:r>
      <w:r w:rsidRPr="00DD61ED">
        <w:t>,</w:t>
      </w:r>
    </w:p>
    <w:p w:rsidR="004A229A" w:rsidRDefault="00434191" w:rsidP="00924745">
      <w:pPr>
        <w:pStyle w:val="SGACP-enumerationniveau2"/>
        <w:numPr>
          <w:ilvl w:val="0"/>
          <w:numId w:val="25"/>
        </w:numPr>
        <w:ind w:left="567" w:hanging="283"/>
      </w:pPr>
      <w:r w:rsidRPr="00434191">
        <w:t>présentation des procédures définies pour ces nouvelles activités,</w:t>
      </w:r>
    </w:p>
    <w:p w:rsidR="004A229A" w:rsidRPr="002D5EEC" w:rsidRDefault="00434191" w:rsidP="00924745">
      <w:pPr>
        <w:pStyle w:val="SGACP-enumerationniveau2"/>
        <w:numPr>
          <w:ilvl w:val="0"/>
          <w:numId w:val="25"/>
        </w:numPr>
        <w:ind w:left="567" w:hanging="283"/>
      </w:pPr>
      <w:r w:rsidRPr="002D5EEC">
        <w:t>description du contrôle interne des nouvelles activités ;</w:t>
      </w:r>
    </w:p>
    <w:p w:rsidR="00114699" w:rsidRPr="002D5EEC" w:rsidRDefault="0026421C" w:rsidP="00A3726A">
      <w:pPr>
        <w:pStyle w:val="SGACP-enumerationniveau1"/>
        <w:ind w:left="284" w:hanging="284"/>
      </w:pPr>
      <w:r w:rsidRPr="002D5EEC">
        <w:t>d</w:t>
      </w:r>
      <w:r w:rsidR="00463A1C" w:rsidRPr="002D5EEC">
        <w:t>escription des changements organisationnels ou humains importants</w:t>
      </w:r>
      <w:r w:rsidR="00114699" w:rsidRPr="002D5EEC">
        <w:t> : intégration des membres du conseil d’administration à jour (da</w:t>
      </w:r>
      <w:r w:rsidR="00B23180" w:rsidRPr="002D5EEC">
        <w:t>te de début et fin des mandats)</w:t>
      </w:r>
      <w:r w:rsidR="00114699" w:rsidRPr="002D5EEC">
        <w:t xml:space="preserve"> et de l’organisation du directoire ;</w:t>
      </w:r>
    </w:p>
    <w:p w:rsidR="00A3726A" w:rsidRPr="002D5EEC" w:rsidRDefault="00114699" w:rsidP="00A3726A">
      <w:pPr>
        <w:pStyle w:val="SGACP-enumerationniveau1"/>
        <w:ind w:left="284" w:hanging="284"/>
      </w:pPr>
      <w:r w:rsidRPr="002D5EEC">
        <w:t xml:space="preserve">description </w:t>
      </w:r>
      <w:r w:rsidR="00463A1C" w:rsidRPr="002D5EEC">
        <w:t>des projets significatifs lancés ou menés au cours du dernier exercice</w:t>
      </w:r>
      <w:r w:rsidR="0026421C" w:rsidRPr="002D5EEC">
        <w:t>.</w:t>
      </w:r>
    </w:p>
    <w:p w:rsidR="007B746A" w:rsidRDefault="007B746A" w:rsidP="002D5EEC">
      <w:pPr>
        <w:pStyle w:val="SGACP-enumerationniveau1"/>
        <w:numPr>
          <w:ilvl w:val="0"/>
          <w:numId w:val="0"/>
        </w:numPr>
      </w:pPr>
    </w:p>
    <w:p w:rsidR="00462DED" w:rsidRDefault="00462DED" w:rsidP="00462DED">
      <w:pPr>
        <w:pStyle w:val="SGACP-sous-titrederubriquenivaeu2"/>
      </w:pPr>
      <w:bookmarkStart w:id="8" w:name="_Toc258846315"/>
      <w:bookmarkStart w:id="9" w:name="_Toc266799772"/>
    </w:p>
    <w:p w:rsidR="00463A1C" w:rsidRPr="007F2900" w:rsidRDefault="003637E1" w:rsidP="00254858">
      <w:pPr>
        <w:pStyle w:val="SGACP-sous-titrederubriquenivaeu2"/>
      </w:pPr>
      <w:r>
        <w:t>1.2.</w:t>
      </w:r>
      <w:r>
        <w:tab/>
      </w:r>
      <w:r w:rsidR="00463A1C" w:rsidRPr="007F2900">
        <w:t>Présentation des principaux risques générés par les activités exercées par l</w:t>
      </w:r>
      <w:r w:rsidR="001224E7">
        <w:t>’</w:t>
      </w:r>
      <w:r w:rsidR="00463A1C" w:rsidRPr="007F2900">
        <w:t>établissement :</w:t>
      </w:r>
      <w:bookmarkEnd w:id="8"/>
      <w:bookmarkEnd w:id="9"/>
    </w:p>
    <w:p w:rsidR="00331B88" w:rsidRDefault="0026421C" w:rsidP="004F3BB8">
      <w:pPr>
        <w:pStyle w:val="SGACP-enumerationniveau1"/>
        <w:ind w:left="284" w:hanging="284"/>
      </w:pPr>
      <w:r>
        <w:t>d</w:t>
      </w:r>
      <w:r w:rsidR="00463A1C" w:rsidRPr="007F2900">
        <w:t>escription, formalisation et mise à jour de la car</w:t>
      </w:r>
      <w:r>
        <w:t>tographie des risques ;</w:t>
      </w:r>
    </w:p>
    <w:p w:rsidR="00331B88" w:rsidRDefault="0026421C" w:rsidP="004F3BB8">
      <w:pPr>
        <w:pStyle w:val="SGACP-enumerationniveau1"/>
        <w:ind w:left="284" w:hanging="284"/>
      </w:pPr>
      <w:r>
        <w:t>d</w:t>
      </w:r>
      <w:r w:rsidR="00463A1C" w:rsidRPr="007F2900">
        <w:t>escription des actions mises en œuvre sur les risques identifiés par la cartographie</w:t>
      </w:r>
      <w:r>
        <w:t> ;</w:t>
      </w:r>
    </w:p>
    <w:p w:rsidR="001258AA" w:rsidRDefault="0026421C" w:rsidP="004F3BB8">
      <w:pPr>
        <w:pStyle w:val="SGACP-enumerationniveau1"/>
        <w:ind w:left="284" w:hanging="284"/>
      </w:pPr>
      <w:r>
        <w:t>p</w:t>
      </w:r>
      <w:r w:rsidR="00463A1C" w:rsidRPr="007F2900">
        <w:t xml:space="preserve">résentation des informations quantitatives et qualitatives des risques présentés dans les états de synthèse transmises </w:t>
      </w:r>
      <w:r w:rsidR="0056414E">
        <w:t>aux dirigeants effectifs</w:t>
      </w:r>
      <w:r w:rsidR="00463A1C" w:rsidRPr="007F2900">
        <w:t>, à l</w:t>
      </w:r>
      <w:r w:rsidR="001224E7">
        <w:t>’</w:t>
      </w:r>
      <w:r w:rsidR="00463A1C" w:rsidRPr="007F2900">
        <w:t xml:space="preserve">organe </w:t>
      </w:r>
      <w:r w:rsidR="0056414E">
        <w:t>de surveillance</w:t>
      </w:r>
      <w:r w:rsidR="0094273B">
        <w:t xml:space="preserve">, </w:t>
      </w:r>
      <w:r w:rsidR="00463A1C" w:rsidRPr="007F2900">
        <w:t xml:space="preserve">et le cas échéant au comité des risques </w:t>
      </w:r>
      <w:r w:rsidR="00036F86">
        <w:t xml:space="preserve">et au comité </w:t>
      </w:r>
      <w:r w:rsidR="00036F86" w:rsidRPr="00036F86">
        <w:rPr>
          <w:i/>
        </w:rPr>
        <w:t>ad hoc</w:t>
      </w:r>
      <w:r w:rsidR="00036F86" w:rsidRPr="007F2900" w:rsidDel="0056414E">
        <w:t xml:space="preserve"> </w:t>
      </w:r>
      <w:r w:rsidR="00463A1C" w:rsidRPr="007F2900">
        <w:t>permettant d</w:t>
      </w:r>
      <w:r w:rsidR="001224E7">
        <w:t>’</w:t>
      </w:r>
      <w:r w:rsidR="00463A1C" w:rsidRPr="007F2900">
        <w:t>expliciter la portée des mesures utilisées pour évaluer le niveau des risques encourus et fixer les limites (</w:t>
      </w:r>
      <w:r w:rsidR="000B1005">
        <w:t xml:space="preserve">cf. </w:t>
      </w:r>
      <w:r w:rsidR="00463A1C" w:rsidRPr="007F2900">
        <w:t>article</w:t>
      </w:r>
      <w:r w:rsidR="009767B5">
        <w:t xml:space="preserve"> 230 de l’arrêté du 3 novembre 2014</w:t>
      </w:r>
      <w:r w:rsidR="006653E9">
        <w:t xml:space="preserve"> modifié</w:t>
      </w:r>
      <w:r w:rsidR="00463A1C" w:rsidRPr="007F2900">
        <w:t>)</w:t>
      </w:r>
      <w:r w:rsidR="001258AA">
        <w:t> ;</w:t>
      </w:r>
    </w:p>
    <w:p w:rsidR="001258AA" w:rsidRDefault="001258AA" w:rsidP="001258AA">
      <w:pPr>
        <w:pStyle w:val="SGACP-enumerationniveau1"/>
        <w:ind w:left="284" w:hanging="284"/>
      </w:pPr>
      <w:r>
        <w:rPr>
          <w:szCs w:val="22"/>
        </w:rPr>
        <w:t>pour les entreprises d’investissement soumises à la règlementation IFR, i</w:t>
      </w:r>
      <w:r w:rsidRPr="0059679C">
        <w:t>dentification et justification des facteurs k concernés par l</w:t>
      </w:r>
      <w:r w:rsidR="001544D6">
        <w:t xml:space="preserve">es </w:t>
      </w:r>
      <w:r w:rsidRPr="0059679C">
        <w:t>activité</w:t>
      </w:r>
      <w:r w:rsidR="001544D6">
        <w:t>s</w:t>
      </w:r>
      <w:r w:rsidRPr="0059679C">
        <w:t xml:space="preserve"> de l’établissement (cf. tableau descriptif des facteurs k </w:t>
      </w:r>
      <w:r>
        <w:t>en annexe</w:t>
      </w:r>
      <w:r w:rsidRPr="0059679C">
        <w:t>)</w:t>
      </w:r>
    </w:p>
    <w:p w:rsidR="001258AA" w:rsidRDefault="001258AA" w:rsidP="001258AA">
      <w:pPr>
        <w:pStyle w:val="SGACP-enumerationniveau1"/>
        <w:ind w:left="284" w:hanging="284"/>
      </w:pPr>
      <w:r>
        <w:rPr>
          <w:szCs w:val="22"/>
        </w:rPr>
        <w:t>pour les entreprises d’investissement soumises à la règlementation IFR</w:t>
      </w:r>
      <w:r>
        <w:t>, identification des activités de l’établissement qui ne sont captées par aucun facteur k</w:t>
      </w:r>
    </w:p>
    <w:p w:rsidR="002A65C7" w:rsidRDefault="002A65C7" w:rsidP="00890013">
      <w:pPr>
        <w:pStyle w:val="SGACP-enumerationniveau1"/>
        <w:numPr>
          <w:ilvl w:val="0"/>
          <w:numId w:val="0"/>
        </w:numPr>
        <w:ind w:left="284"/>
      </w:pPr>
    </w:p>
    <w:p w:rsidR="002A65C7" w:rsidRPr="0054173A" w:rsidRDefault="002A65C7" w:rsidP="002A65C7">
      <w:pPr>
        <w:rPr>
          <w:rFonts w:ascii="Arial" w:hAnsi="Arial"/>
          <w:sz w:val="22"/>
        </w:rPr>
      </w:pPr>
      <w:r>
        <w:rPr>
          <w:rFonts w:ascii="Arial" w:hAnsi="Arial"/>
          <w:sz w:val="22"/>
        </w:rPr>
        <w:t xml:space="preserve">1.3.   </w:t>
      </w:r>
      <w:r w:rsidRPr="002C1BF5">
        <w:rPr>
          <w:rFonts w:ascii="Arial" w:hAnsi="Arial"/>
          <w:sz w:val="22"/>
        </w:rPr>
        <w:t>Présentation de la stratégie et de la politique en matière de risques :</w:t>
      </w:r>
    </w:p>
    <w:p w:rsidR="00CF05CC" w:rsidRDefault="00CF05CC" w:rsidP="00924745">
      <w:pPr>
        <w:pStyle w:val="SGACP-enumerationniveau1"/>
        <w:numPr>
          <w:ilvl w:val="0"/>
          <w:numId w:val="102"/>
        </w:numPr>
        <w:tabs>
          <w:tab w:val="left" w:pos="284"/>
        </w:tabs>
        <w:ind w:left="284" w:hanging="284"/>
        <w:rPr>
          <w:szCs w:val="22"/>
        </w:rPr>
      </w:pPr>
      <w:r>
        <w:rPr>
          <w:szCs w:val="22"/>
        </w:rPr>
        <w:t>description de</w:t>
      </w:r>
      <w:r w:rsidR="00DE47CE" w:rsidRPr="00CF05CC">
        <w:rPr>
          <w:szCs w:val="22"/>
        </w:rPr>
        <w:t xml:space="preserve">s processus mis en place pour </w:t>
      </w:r>
      <w:r w:rsidR="009B775A">
        <w:rPr>
          <w:szCs w:val="22"/>
        </w:rPr>
        <w:t>détecter, gérer, suivre et déclarer</w:t>
      </w:r>
      <w:r w:rsidR="00DE47CE" w:rsidRPr="00CF05CC">
        <w:rPr>
          <w:szCs w:val="22"/>
        </w:rPr>
        <w:t xml:space="preserve"> chaque risque significatif</w:t>
      </w:r>
      <w:r w:rsidR="00E90797">
        <w:rPr>
          <w:szCs w:val="22"/>
        </w:rPr>
        <w:t xml:space="preserve"> </w:t>
      </w:r>
      <w:r w:rsidR="00CB6DB7" w:rsidRPr="00874824">
        <w:rPr>
          <w:szCs w:val="22"/>
        </w:rPr>
        <w:t>(</w:t>
      </w:r>
      <w:r w:rsidR="00CB6DB7">
        <w:rPr>
          <w:szCs w:val="22"/>
        </w:rPr>
        <w:t xml:space="preserve">cf. </w:t>
      </w:r>
      <w:r w:rsidR="00CB6DB7" w:rsidRPr="00874824">
        <w:rPr>
          <w:szCs w:val="22"/>
        </w:rPr>
        <w:t>article</w:t>
      </w:r>
      <w:r w:rsidR="00134277">
        <w:rPr>
          <w:szCs w:val="22"/>
        </w:rPr>
        <w:t>s</w:t>
      </w:r>
      <w:r w:rsidR="00CB6DB7" w:rsidRPr="00874824">
        <w:rPr>
          <w:szCs w:val="22"/>
        </w:rPr>
        <w:t xml:space="preserve"> L</w:t>
      </w:r>
      <w:r w:rsidR="00CB6DB7">
        <w:rPr>
          <w:szCs w:val="22"/>
        </w:rPr>
        <w:t>.</w:t>
      </w:r>
      <w:r w:rsidR="00CB6DB7" w:rsidRPr="00874824">
        <w:rPr>
          <w:szCs w:val="22"/>
        </w:rPr>
        <w:t xml:space="preserve">511-55 </w:t>
      </w:r>
      <w:r w:rsidR="00134277">
        <w:rPr>
          <w:szCs w:val="22"/>
        </w:rPr>
        <w:t xml:space="preserve">ou L. 533-29 </w:t>
      </w:r>
      <w:r w:rsidR="00CB6DB7" w:rsidRPr="00874824">
        <w:rPr>
          <w:szCs w:val="22"/>
        </w:rPr>
        <w:t>du Code monétaire et financier)</w:t>
      </w:r>
      <w:r w:rsidR="005B70E0">
        <w:rPr>
          <w:szCs w:val="22"/>
        </w:rPr>
        <w:t> ;</w:t>
      </w:r>
    </w:p>
    <w:p w:rsidR="00AE4A1D" w:rsidRDefault="00CF05CC" w:rsidP="00924745">
      <w:pPr>
        <w:pStyle w:val="SGACP-enumerationniveau1"/>
        <w:numPr>
          <w:ilvl w:val="0"/>
          <w:numId w:val="102"/>
        </w:numPr>
        <w:tabs>
          <w:tab w:val="left" w:pos="284"/>
        </w:tabs>
        <w:ind w:left="284" w:hanging="284"/>
        <w:rPr>
          <w:szCs w:val="22"/>
        </w:rPr>
      </w:pPr>
      <w:r w:rsidRPr="00CF05CC">
        <w:rPr>
          <w:szCs w:val="22"/>
        </w:rPr>
        <w:t>précis</w:t>
      </w:r>
      <w:r>
        <w:rPr>
          <w:szCs w:val="22"/>
        </w:rPr>
        <w:t>er</w:t>
      </w:r>
      <w:r w:rsidR="008723BD" w:rsidRPr="00CF05CC">
        <w:rPr>
          <w:szCs w:val="22"/>
        </w:rPr>
        <w:t xml:space="preserve"> le </w:t>
      </w:r>
      <w:r w:rsidR="008723BD" w:rsidRPr="007D2D09">
        <w:rPr>
          <w:szCs w:val="22"/>
        </w:rPr>
        <w:t>cadre d’appét</w:t>
      </w:r>
      <w:r w:rsidR="00A735BD">
        <w:rPr>
          <w:szCs w:val="22"/>
        </w:rPr>
        <w:t>ence</w:t>
      </w:r>
      <w:r w:rsidR="008723BD" w:rsidRPr="00CF05CC">
        <w:rPr>
          <w:szCs w:val="22"/>
        </w:rPr>
        <w:t xml:space="preserve"> pour le risque</w:t>
      </w:r>
      <w:r w:rsidR="00724D63" w:rsidRPr="007D2D09">
        <w:rPr>
          <w:szCs w:val="22"/>
        </w:rPr>
        <w:t>, ses modalités de définition et de révision</w:t>
      </w:r>
      <w:r w:rsidR="00BA073B">
        <w:rPr>
          <w:szCs w:val="22"/>
        </w:rPr>
        <w:t xml:space="preserve"> </w:t>
      </w:r>
      <w:r w:rsidR="00BA073B" w:rsidRPr="00874824">
        <w:rPr>
          <w:szCs w:val="22"/>
        </w:rPr>
        <w:t>(</w:t>
      </w:r>
      <w:r w:rsidR="00BA073B">
        <w:rPr>
          <w:szCs w:val="22"/>
        </w:rPr>
        <w:t xml:space="preserve">cf. </w:t>
      </w:r>
      <w:r w:rsidR="00BA073B" w:rsidRPr="00874824">
        <w:rPr>
          <w:szCs w:val="22"/>
        </w:rPr>
        <w:t>article</w:t>
      </w:r>
      <w:r w:rsidR="00134277">
        <w:rPr>
          <w:szCs w:val="22"/>
        </w:rPr>
        <w:t>s</w:t>
      </w:r>
      <w:r w:rsidR="00BA073B" w:rsidRPr="00874824">
        <w:rPr>
          <w:szCs w:val="22"/>
        </w:rPr>
        <w:t xml:space="preserve"> L</w:t>
      </w:r>
      <w:r w:rsidR="00BA073B">
        <w:rPr>
          <w:szCs w:val="22"/>
        </w:rPr>
        <w:t>.511-9</w:t>
      </w:r>
      <w:r w:rsidR="00823F9E">
        <w:rPr>
          <w:szCs w:val="22"/>
        </w:rPr>
        <w:t>3</w:t>
      </w:r>
      <w:r w:rsidR="00134277">
        <w:rPr>
          <w:szCs w:val="22"/>
        </w:rPr>
        <w:t xml:space="preserve"> ou L. 533-31-2</w:t>
      </w:r>
      <w:r w:rsidR="00BA073B" w:rsidRPr="00874824">
        <w:rPr>
          <w:szCs w:val="22"/>
        </w:rPr>
        <w:t xml:space="preserve"> du Code monétaire et financier)</w:t>
      </w:r>
      <w:r w:rsidR="00D82F7B">
        <w:rPr>
          <w:szCs w:val="22"/>
        </w:rPr>
        <w:t> ;</w:t>
      </w:r>
    </w:p>
    <w:p w:rsidR="001258AA" w:rsidRPr="001544D6" w:rsidRDefault="00E76AEA" w:rsidP="001258AA">
      <w:pPr>
        <w:pStyle w:val="Paragraphedeliste"/>
        <w:numPr>
          <w:ilvl w:val="0"/>
          <w:numId w:val="102"/>
        </w:numPr>
        <w:tabs>
          <w:tab w:val="left" w:pos="284"/>
        </w:tabs>
        <w:spacing w:before="120" w:after="120"/>
        <w:ind w:left="284" w:hanging="284"/>
        <w:contextualSpacing w:val="0"/>
        <w:rPr>
          <w:i/>
          <w:szCs w:val="22"/>
        </w:rPr>
      </w:pPr>
      <w:r w:rsidRPr="009E21B7">
        <w:rPr>
          <w:szCs w:val="22"/>
        </w:rPr>
        <w:t>description d</w:t>
      </w:r>
      <w:r w:rsidR="00187F7B" w:rsidRPr="009E21B7">
        <w:rPr>
          <w:szCs w:val="22"/>
        </w:rPr>
        <w:t xml:space="preserve">es politiques régissant la gestion, la qualité et l’agrégation des </w:t>
      </w:r>
      <w:r w:rsidRPr="009E21B7">
        <w:rPr>
          <w:szCs w:val="22"/>
        </w:rPr>
        <w:t>données sur les risques à différents niveaux dans l’établissement, y compris pour l’activité à l’étranger et les activités externalisées</w:t>
      </w:r>
      <w:r w:rsidR="00187F7B" w:rsidRPr="009E21B7">
        <w:rPr>
          <w:szCs w:val="22"/>
        </w:rPr>
        <w:t xml:space="preserve"> : </w:t>
      </w:r>
      <w:r w:rsidR="00FE081D" w:rsidRPr="0070105F">
        <w:rPr>
          <w:i/>
          <w:szCs w:val="22"/>
        </w:rPr>
        <w:t>mise en place</w:t>
      </w:r>
      <w:r w:rsidR="001B388A" w:rsidRPr="001B388A">
        <w:rPr>
          <w:i/>
          <w:szCs w:val="22"/>
        </w:rPr>
        <w:t>, selon des modalités adaptées à la taille, la nature et à la complexité de l’activité</w:t>
      </w:r>
      <w:r w:rsidR="001B388A" w:rsidRPr="009E21B7">
        <w:rPr>
          <w:i/>
          <w:szCs w:val="22"/>
        </w:rPr>
        <w:t xml:space="preserve"> de l’établissement,</w:t>
      </w:r>
      <w:r w:rsidR="00FE081D">
        <w:rPr>
          <w:i/>
          <w:szCs w:val="22"/>
        </w:rPr>
        <w:t xml:space="preserve"> </w:t>
      </w:r>
      <w:r w:rsidR="000B5A93">
        <w:rPr>
          <w:i/>
          <w:szCs w:val="22"/>
        </w:rPr>
        <w:t>d’une</w:t>
      </w:r>
      <w:r w:rsidR="000B5A93" w:rsidRPr="009E21B7">
        <w:rPr>
          <w:i/>
          <w:szCs w:val="22"/>
        </w:rPr>
        <w:t xml:space="preserve"> structure de données uniforme ou homogène </w:t>
      </w:r>
      <w:r w:rsidR="00FE081D" w:rsidRPr="00FE081D">
        <w:rPr>
          <w:i/>
          <w:szCs w:val="22"/>
        </w:rPr>
        <w:t>p</w:t>
      </w:r>
      <w:r w:rsidR="00FE081D">
        <w:rPr>
          <w:i/>
          <w:szCs w:val="22"/>
        </w:rPr>
        <w:t>ermettant d’i</w:t>
      </w:r>
      <w:r w:rsidR="00FE081D" w:rsidRPr="00FE081D">
        <w:rPr>
          <w:i/>
          <w:szCs w:val="22"/>
        </w:rPr>
        <w:t xml:space="preserve">dentifier sans équivoque les données sur les risques </w:t>
      </w:r>
      <w:r w:rsidR="000B5A93">
        <w:rPr>
          <w:i/>
          <w:szCs w:val="22"/>
        </w:rPr>
        <w:t xml:space="preserve">ainsi que </w:t>
      </w:r>
      <w:r w:rsidR="00FE081D">
        <w:rPr>
          <w:i/>
          <w:szCs w:val="22"/>
        </w:rPr>
        <w:t>des</w:t>
      </w:r>
      <w:r w:rsidR="00187F7B" w:rsidRPr="009E21B7">
        <w:rPr>
          <w:i/>
          <w:szCs w:val="22"/>
        </w:rPr>
        <w:t xml:space="preserve"> mesures </w:t>
      </w:r>
      <w:r w:rsidR="009E21B7">
        <w:rPr>
          <w:i/>
          <w:szCs w:val="22"/>
        </w:rPr>
        <w:t>permettant d’assurer</w:t>
      </w:r>
      <w:r w:rsidR="009E21B7" w:rsidRPr="009E21B7">
        <w:rPr>
          <w:i/>
          <w:szCs w:val="22"/>
        </w:rPr>
        <w:t xml:space="preserve"> l’exactitude, l’intégrité</w:t>
      </w:r>
      <w:r w:rsidR="009E21B7">
        <w:rPr>
          <w:i/>
          <w:szCs w:val="22"/>
        </w:rPr>
        <w:t>,</w:t>
      </w:r>
      <w:r w:rsidR="009E21B7" w:rsidRPr="009E21B7">
        <w:rPr>
          <w:i/>
          <w:szCs w:val="22"/>
        </w:rPr>
        <w:t xml:space="preserve"> l’</w:t>
      </w:r>
      <w:r w:rsidR="00187F7B" w:rsidRPr="009E21B7">
        <w:rPr>
          <w:i/>
          <w:szCs w:val="22"/>
        </w:rPr>
        <w:t>exhaustivité</w:t>
      </w:r>
      <w:r w:rsidR="009E21B7">
        <w:rPr>
          <w:i/>
          <w:szCs w:val="22"/>
        </w:rPr>
        <w:t xml:space="preserve"> et</w:t>
      </w:r>
      <w:r w:rsidR="00187F7B" w:rsidRPr="009E21B7">
        <w:rPr>
          <w:i/>
          <w:szCs w:val="22"/>
        </w:rPr>
        <w:t xml:space="preserve"> </w:t>
      </w:r>
      <w:r w:rsidR="009E21B7" w:rsidRPr="009E21B7">
        <w:rPr>
          <w:i/>
          <w:szCs w:val="22"/>
        </w:rPr>
        <w:t xml:space="preserve">la disponibilité en temps utile </w:t>
      </w:r>
      <w:r w:rsidR="00187F7B" w:rsidRPr="009E21B7">
        <w:rPr>
          <w:i/>
          <w:szCs w:val="22"/>
        </w:rPr>
        <w:t>des données sur les risques</w:t>
      </w:r>
      <w:r w:rsidR="0070105F">
        <w:rPr>
          <w:i/>
          <w:szCs w:val="22"/>
        </w:rPr>
        <w:t>, définition</w:t>
      </w:r>
      <w:r w:rsidR="000B5A93">
        <w:rPr>
          <w:i/>
          <w:szCs w:val="22"/>
        </w:rPr>
        <w:t xml:space="preserve"> </w:t>
      </w:r>
      <w:r w:rsidR="00FE081D" w:rsidRPr="001B388A">
        <w:rPr>
          <w:i/>
          <w:szCs w:val="22"/>
        </w:rPr>
        <w:t>d’un</w:t>
      </w:r>
      <w:r w:rsidR="00FE081D">
        <w:rPr>
          <w:i/>
          <w:szCs w:val="22"/>
        </w:rPr>
        <w:t xml:space="preserve"> processus de gouvernance</w:t>
      </w:r>
      <w:r w:rsidR="00FE081D" w:rsidRPr="001B388A">
        <w:rPr>
          <w:szCs w:val="22"/>
        </w:rPr>
        <w:t xml:space="preserve"> </w:t>
      </w:r>
      <w:r w:rsidR="0070105F" w:rsidRPr="0070105F">
        <w:rPr>
          <w:i/>
          <w:szCs w:val="22"/>
        </w:rPr>
        <w:t xml:space="preserve">du </w:t>
      </w:r>
      <w:r w:rsidR="008C0E80">
        <w:rPr>
          <w:i/>
          <w:szCs w:val="22"/>
        </w:rPr>
        <w:t>dispositif</w:t>
      </w:r>
      <w:r w:rsidR="0070105F" w:rsidRPr="0070105F">
        <w:rPr>
          <w:i/>
          <w:szCs w:val="22"/>
        </w:rPr>
        <w:t xml:space="preserve"> d'agrégation des données sur les risques</w:t>
      </w:r>
      <w:r w:rsidR="0070105F" w:rsidRPr="0070105F">
        <w:rPr>
          <w:szCs w:val="22"/>
        </w:rPr>
        <w:t xml:space="preserve"> </w:t>
      </w:r>
      <w:r w:rsidR="00187F7B" w:rsidRPr="001B388A">
        <w:rPr>
          <w:szCs w:val="22"/>
        </w:rPr>
        <w:t>(</w:t>
      </w:r>
      <w:r w:rsidR="00187F7B">
        <w:t xml:space="preserve">cf. </w:t>
      </w:r>
      <w:r w:rsidR="00187F7B" w:rsidRPr="007F2900">
        <w:t>article</w:t>
      </w:r>
      <w:r w:rsidR="00187F7B">
        <w:t xml:space="preserve"> 104 de l’arrêté du 3 novembre 2014</w:t>
      </w:r>
      <w:r w:rsidR="00F14EC1">
        <w:t xml:space="preserve"> modifié</w:t>
      </w:r>
      <w:r w:rsidR="00187F7B">
        <w:t>)</w:t>
      </w:r>
      <w:r w:rsidR="001258AA">
        <w:t> </w:t>
      </w:r>
      <w:r w:rsidR="001258AA">
        <w:rPr>
          <w:szCs w:val="22"/>
        </w:rPr>
        <w:t>;</w:t>
      </w:r>
    </w:p>
    <w:p w:rsidR="001B43FF" w:rsidRPr="001258AA" w:rsidRDefault="001258AA" w:rsidP="001258AA">
      <w:pPr>
        <w:pStyle w:val="Paragraphedeliste"/>
        <w:numPr>
          <w:ilvl w:val="0"/>
          <w:numId w:val="102"/>
        </w:numPr>
        <w:spacing w:after="160"/>
        <w:ind w:left="284" w:hanging="284"/>
        <w:rPr>
          <w:szCs w:val="22"/>
        </w:rPr>
      </w:pPr>
      <w:r>
        <w:rPr>
          <w:szCs w:val="22"/>
        </w:rPr>
        <w:t xml:space="preserve">pour les entreprises d’investissement soumises à la règlementation IFR, </w:t>
      </w:r>
      <w:r w:rsidRPr="001258AA">
        <w:rPr>
          <w:szCs w:val="22"/>
        </w:rPr>
        <w:t xml:space="preserve">présentation </w:t>
      </w:r>
      <w:r>
        <w:rPr>
          <w:szCs w:val="22"/>
        </w:rPr>
        <w:t xml:space="preserve">succincte </w:t>
      </w:r>
      <w:r w:rsidRPr="001258AA">
        <w:rPr>
          <w:szCs w:val="22"/>
        </w:rPr>
        <w:t xml:space="preserve">du dispositif de fermeture ordonnée : </w:t>
      </w:r>
      <w:r w:rsidRPr="001544D6">
        <w:rPr>
          <w:i/>
          <w:szCs w:val="22"/>
        </w:rPr>
        <w:t>descriptif du raisonnement et des impacts généraux dans des circonstances de fermeture ordonnée de l’établissement</w:t>
      </w:r>
      <w:r w:rsidRPr="001544D6">
        <w:rPr>
          <w:szCs w:val="22"/>
        </w:rPr>
        <w:t xml:space="preserve">. </w:t>
      </w:r>
    </w:p>
    <w:p w:rsidR="001B43FF" w:rsidRDefault="001B43FF" w:rsidP="00462DED"/>
    <w:p w:rsidR="00924745" w:rsidRPr="00440703" w:rsidRDefault="00924745" w:rsidP="00462DED"/>
    <w:p w:rsidR="004A229A" w:rsidRDefault="005B2FBD">
      <w:pPr>
        <w:pStyle w:val="StyleSGACP-titrederubriqueniveau1CouleurpersonnaliseRVB"/>
        <w:ind w:left="426" w:hanging="426"/>
      </w:pPr>
      <w:bookmarkStart w:id="10" w:name="_Toc137799874"/>
      <w:bookmarkStart w:id="11" w:name="_Toc266799773"/>
      <w:bookmarkStart w:id="12" w:name="_Toc266799854"/>
      <w:r w:rsidRPr="005B2FBD">
        <w:t>Modifications significatives apportées à l</w:t>
      </w:r>
      <w:r w:rsidR="001224E7">
        <w:t>’</w:t>
      </w:r>
      <w:r w:rsidRPr="005B2FBD">
        <w:t xml:space="preserve">organisation du dispositif </w:t>
      </w:r>
      <w:r w:rsidR="00FC763A">
        <w:br/>
      </w:r>
      <w:r w:rsidR="00FC763A" w:rsidRPr="005B2FBD">
        <w:t>de contrôle interne</w:t>
      </w:r>
      <w:bookmarkEnd w:id="10"/>
    </w:p>
    <w:bookmarkEnd w:id="11"/>
    <w:bookmarkEnd w:id="12"/>
    <w:p w:rsidR="00462DED" w:rsidRPr="009E5533" w:rsidRDefault="00462DED" w:rsidP="00462DED">
      <w:pPr>
        <w:pStyle w:val="SGACP-textecourant"/>
        <w:rPr>
          <w:i/>
          <w:iCs/>
        </w:rPr>
      </w:pPr>
    </w:p>
    <w:p w:rsidR="00463A1C" w:rsidRDefault="00463A1C" w:rsidP="00462DED">
      <w:pPr>
        <w:pStyle w:val="SGACP-textecourant"/>
        <w:rPr>
          <w:i/>
          <w:iCs/>
        </w:rPr>
      </w:pPr>
      <w:r w:rsidRPr="00462DED">
        <w:rPr>
          <w:i/>
          <w:iCs/>
        </w:rPr>
        <w:t>Lorsque l</w:t>
      </w:r>
      <w:r w:rsidR="001224E7">
        <w:rPr>
          <w:i/>
          <w:iCs/>
        </w:rPr>
        <w:t>’</w:t>
      </w:r>
      <w:r w:rsidRPr="00462DED">
        <w:rPr>
          <w:i/>
          <w:iCs/>
        </w:rPr>
        <w:t xml:space="preserve">organisation du dispositif de contrôle interne </w:t>
      </w:r>
      <w:r w:rsidR="00514BCE">
        <w:rPr>
          <w:i/>
          <w:iCs/>
        </w:rPr>
        <w:t xml:space="preserve">qui contient les trois lignes de défense </w:t>
      </w:r>
      <w:r w:rsidR="00212C15">
        <w:rPr>
          <w:i/>
          <w:iCs/>
        </w:rPr>
        <w:t>correspondant aux</w:t>
      </w:r>
      <w:r w:rsidR="00514BCE">
        <w:rPr>
          <w:i/>
          <w:iCs/>
        </w:rPr>
        <w:t xml:space="preserve"> niveaux de contrôle décrits ci-dessous, </w:t>
      </w:r>
      <w:r w:rsidRPr="00462DED">
        <w:rPr>
          <w:i/>
          <w:iCs/>
        </w:rPr>
        <w:t>ne présente pas de changements significatifs, elle peut être présentée de manière synthétique dans une annexe ou en communiquant la charte de contrôle interne en vigueur</w:t>
      </w:r>
      <w:r w:rsidR="00292843">
        <w:rPr>
          <w:i/>
          <w:iCs/>
        </w:rPr>
        <w:t>.</w:t>
      </w:r>
    </w:p>
    <w:p w:rsidR="00462DED" w:rsidRPr="009E5533" w:rsidRDefault="00462DED" w:rsidP="00463A1C">
      <w:bookmarkStart w:id="13" w:name="_Toc266799774"/>
    </w:p>
    <w:p w:rsidR="0094780D" w:rsidRDefault="00463A1C" w:rsidP="007D12DD">
      <w:pPr>
        <w:pStyle w:val="SGACP-sous-titrederubriquenivaeu2"/>
      </w:pPr>
      <w:r w:rsidRPr="007F2900">
        <w:t>2.1</w:t>
      </w:r>
      <w:r w:rsidR="00CF70AC">
        <w:t>.</w:t>
      </w:r>
      <w:r w:rsidRPr="007F2900">
        <w:t xml:space="preserve"> </w:t>
      </w:r>
      <w:r w:rsidRPr="007F2900">
        <w:tab/>
        <w:t xml:space="preserve">Au dispositif de contrôle permanent </w:t>
      </w:r>
      <w:r w:rsidR="00D316E5">
        <w:t>« 1</w:t>
      </w:r>
      <w:r w:rsidR="00D316E5" w:rsidRPr="00D316E5">
        <w:rPr>
          <w:vertAlign w:val="superscript"/>
        </w:rPr>
        <w:t>er</w:t>
      </w:r>
      <w:r w:rsidR="00D316E5">
        <w:t xml:space="preserve"> et 2</w:t>
      </w:r>
      <w:r w:rsidR="00D316E5" w:rsidRPr="00D316E5">
        <w:rPr>
          <w:vertAlign w:val="superscript"/>
        </w:rPr>
        <w:t>ème</w:t>
      </w:r>
      <w:r w:rsidR="00D316E5">
        <w:t xml:space="preserve"> niveau de contrôle » </w:t>
      </w:r>
      <w:r w:rsidRPr="007F2900">
        <w:t>(y compris l</w:t>
      </w:r>
      <w:r w:rsidR="001224E7">
        <w:t>’</w:t>
      </w:r>
      <w:r w:rsidRPr="007F2900">
        <w:t>organisation du contrôle de l</w:t>
      </w:r>
      <w:r w:rsidR="001224E7">
        <w:t>’</w:t>
      </w:r>
      <w:r w:rsidRPr="007F2900">
        <w:t xml:space="preserve">activité </w:t>
      </w:r>
      <w:r w:rsidR="00E55A5D" w:rsidRPr="007F2900">
        <w:t>à l</w:t>
      </w:r>
      <w:r w:rsidR="001224E7">
        <w:t>’</w:t>
      </w:r>
      <w:r w:rsidR="00E55A5D" w:rsidRPr="007F2900">
        <w:t>étranger et des activités externalisées)</w:t>
      </w:r>
      <w:r w:rsidR="00E55A5D">
        <w:t> :</w:t>
      </w:r>
    </w:p>
    <w:bookmarkEnd w:id="13"/>
    <w:p w:rsidR="00331B88" w:rsidRDefault="0026421C" w:rsidP="004F3BB8">
      <w:pPr>
        <w:pStyle w:val="SGACP-enumerationniveau1"/>
        <w:ind w:left="284" w:hanging="284"/>
      </w:pPr>
      <w:r>
        <w:t>d</w:t>
      </w:r>
      <w:r w:rsidR="00463A1C" w:rsidRPr="007F2900">
        <w:t>escription des changements significatifs dans l</w:t>
      </w:r>
      <w:r w:rsidR="001224E7">
        <w:t>’</w:t>
      </w:r>
      <w:r w:rsidR="00463A1C" w:rsidRPr="007F2900">
        <w:t xml:space="preserve">organisation du dispositif de contrôle permanent </w:t>
      </w:r>
      <w:r w:rsidR="008A72FA">
        <w:t>qui correspond au</w:t>
      </w:r>
      <w:r w:rsidR="003C010E">
        <w:t>x</w:t>
      </w:r>
      <w:r w:rsidR="008A72FA">
        <w:t xml:space="preserve"> premier et deuxième niveau</w:t>
      </w:r>
      <w:r w:rsidR="003C010E">
        <w:t>x</w:t>
      </w:r>
      <w:r w:rsidR="008A72FA">
        <w:t xml:space="preserve"> de contrôle tel que défini à l’article 12 de l’arrêté du 3 novembre 2014</w:t>
      </w:r>
      <w:r w:rsidR="00F14EC1">
        <w:t xml:space="preserve"> modifié</w:t>
      </w:r>
      <w:r w:rsidR="008A72FA">
        <w:t xml:space="preserve"> </w:t>
      </w:r>
      <w:r w:rsidR="00463A1C" w:rsidRPr="007F2900">
        <w:t>(y compris les principales actions projetées dans le domaine du contrôle permanent</w:t>
      </w:r>
      <w:r w:rsidR="000B1005">
        <w:t>, cf.</w:t>
      </w:r>
      <w:r w:rsidR="00463A1C" w:rsidRPr="007F2900">
        <w:t xml:space="preserve"> </w:t>
      </w:r>
      <w:r w:rsidR="00292843">
        <w:t>a</w:t>
      </w:r>
      <w:r w:rsidR="00292843" w:rsidRPr="007F2900">
        <w:t>rt</w:t>
      </w:r>
      <w:r w:rsidR="00292843">
        <w:t>icle</w:t>
      </w:r>
      <w:r w:rsidR="00134277">
        <w:t>s</w:t>
      </w:r>
      <w:r w:rsidR="009767B5">
        <w:t xml:space="preserve"> 259 f) </w:t>
      </w:r>
      <w:r w:rsidR="00134277">
        <w:t xml:space="preserve">ou 259 bis d) </w:t>
      </w:r>
      <w:r w:rsidR="009767B5">
        <w:t>d</w:t>
      </w:r>
      <w:r w:rsidR="008A72FA">
        <w:t xml:space="preserve">udit </w:t>
      </w:r>
      <w:r w:rsidR="009767B5">
        <w:t>arrêté</w:t>
      </w:r>
      <w:r w:rsidR="00463A1C" w:rsidRPr="007F2900">
        <w:t>)</w:t>
      </w:r>
      <w:r w:rsidR="0008212F">
        <w:t> :</w:t>
      </w:r>
      <w:r>
        <w:t> </w:t>
      </w:r>
      <w:r w:rsidR="007422BC" w:rsidRPr="007422BC">
        <w:rPr>
          <w:i/>
        </w:rPr>
        <w:t>préciser notamment</w:t>
      </w:r>
      <w:r w:rsidR="00B40286">
        <w:t xml:space="preserve"> </w:t>
      </w:r>
      <w:r w:rsidR="00B40286" w:rsidRPr="00B40286">
        <w:rPr>
          <w:i/>
        </w:rPr>
        <w:t>l</w:t>
      </w:r>
      <w:r w:rsidR="001224E7">
        <w:rPr>
          <w:i/>
        </w:rPr>
        <w:t>’</w:t>
      </w:r>
      <w:r w:rsidR="00B40286" w:rsidRPr="00B40286">
        <w:rPr>
          <w:i/>
        </w:rPr>
        <w:t>identité, le rattachement hiérarchique et fonctionnel du</w:t>
      </w:r>
      <w:r w:rsidR="005609B3">
        <w:rPr>
          <w:i/>
        </w:rPr>
        <w:t xml:space="preserve"> ou des</w:t>
      </w:r>
      <w:r w:rsidR="00B40286" w:rsidRPr="00B40286">
        <w:rPr>
          <w:i/>
        </w:rPr>
        <w:t xml:space="preserve"> responsable</w:t>
      </w:r>
      <w:r w:rsidR="005609B3">
        <w:rPr>
          <w:i/>
        </w:rPr>
        <w:t>(s)</w:t>
      </w:r>
      <w:r w:rsidR="00B40286">
        <w:rPr>
          <w:i/>
        </w:rPr>
        <w:t xml:space="preserve"> de contrôle permanent</w:t>
      </w:r>
      <w:r w:rsidR="00C651EF">
        <w:rPr>
          <w:i/>
        </w:rPr>
        <w:t xml:space="preserve"> </w:t>
      </w:r>
      <w:r w:rsidR="00B40286">
        <w:rPr>
          <w:i/>
        </w:rPr>
        <w:t>ainsi que les autres fonctions éventuellement exercées par ce</w:t>
      </w:r>
      <w:r w:rsidR="005609B3">
        <w:rPr>
          <w:i/>
        </w:rPr>
        <w:t>(s)</w:t>
      </w:r>
      <w:r w:rsidR="00B40286">
        <w:rPr>
          <w:i/>
        </w:rPr>
        <w:t xml:space="preserve"> dernier</w:t>
      </w:r>
      <w:r w:rsidR="005609B3">
        <w:rPr>
          <w:i/>
        </w:rPr>
        <w:t>(s)</w:t>
      </w:r>
      <w:r w:rsidR="00B40286">
        <w:rPr>
          <w:i/>
        </w:rPr>
        <w:t xml:space="preserve"> au sein de l</w:t>
      </w:r>
      <w:r w:rsidR="001224E7">
        <w:rPr>
          <w:i/>
        </w:rPr>
        <w:t>’</w:t>
      </w:r>
      <w:r w:rsidR="00B40286">
        <w:rPr>
          <w:i/>
        </w:rPr>
        <w:t>établissement ou au sein d</w:t>
      </w:r>
      <w:r w:rsidR="001224E7">
        <w:rPr>
          <w:i/>
        </w:rPr>
        <w:t>’</w:t>
      </w:r>
      <w:r w:rsidR="00B40286">
        <w:rPr>
          <w:i/>
        </w:rPr>
        <w:t xml:space="preserve">autres entités du même </w:t>
      </w:r>
      <w:r w:rsidR="00292843">
        <w:rPr>
          <w:i/>
        </w:rPr>
        <w:t>groupe</w:t>
      </w:r>
      <w:r w:rsidR="005609B3">
        <w:rPr>
          <w:i/>
        </w:rPr>
        <w:t xml:space="preserve">, </w:t>
      </w:r>
      <w:r w:rsidR="00D4232F">
        <w:rPr>
          <w:i/>
        </w:rPr>
        <w:t xml:space="preserve">préciser </w:t>
      </w:r>
      <w:r w:rsidR="0070105F">
        <w:rPr>
          <w:i/>
        </w:rPr>
        <w:t>l</w:t>
      </w:r>
      <w:r w:rsidR="00D4232F">
        <w:rPr>
          <w:i/>
        </w:rPr>
        <w:t xml:space="preserve">es unités </w:t>
      </w:r>
      <w:r w:rsidR="008A72FA">
        <w:rPr>
          <w:i/>
        </w:rPr>
        <w:t xml:space="preserve">en charge du contrôle de deuxième niveau, </w:t>
      </w:r>
      <w:r w:rsidR="008A72FA" w:rsidRPr="00B40286">
        <w:rPr>
          <w:i/>
        </w:rPr>
        <w:t>l</w:t>
      </w:r>
      <w:r w:rsidR="008A72FA">
        <w:rPr>
          <w:i/>
        </w:rPr>
        <w:t>’</w:t>
      </w:r>
      <w:r w:rsidR="00D32155">
        <w:rPr>
          <w:i/>
        </w:rPr>
        <w:t xml:space="preserve">identité, pour chacune d’elles, </w:t>
      </w:r>
      <w:r w:rsidR="008A72FA" w:rsidRPr="00B40286">
        <w:rPr>
          <w:i/>
        </w:rPr>
        <w:t>d</w:t>
      </w:r>
      <w:r w:rsidR="0070105F">
        <w:rPr>
          <w:i/>
        </w:rPr>
        <w:t xml:space="preserve">e leur </w:t>
      </w:r>
      <w:r w:rsidR="008A72FA" w:rsidRPr="00B40286">
        <w:rPr>
          <w:i/>
        </w:rPr>
        <w:t>responsable</w:t>
      </w:r>
      <w:r w:rsidR="00C16374">
        <w:rPr>
          <w:i/>
        </w:rPr>
        <w:t xml:space="preserve"> </w:t>
      </w:r>
      <w:r w:rsidR="008A72FA">
        <w:rPr>
          <w:i/>
        </w:rPr>
        <w:t>;</w:t>
      </w:r>
    </w:p>
    <w:p w:rsidR="00331B88" w:rsidRDefault="0026421C" w:rsidP="00D4232F">
      <w:pPr>
        <w:pStyle w:val="SGACP-enumerationniveau1"/>
        <w:ind w:left="284" w:hanging="284"/>
      </w:pPr>
      <w:r>
        <w:t>d</w:t>
      </w:r>
      <w:r w:rsidR="00463A1C" w:rsidRPr="007F2900">
        <w:t>escription des changements significatifs dans l</w:t>
      </w:r>
      <w:r w:rsidR="001224E7">
        <w:t>’</w:t>
      </w:r>
      <w:r w:rsidR="00463A1C" w:rsidRPr="007F2900">
        <w:t xml:space="preserve">organisation </w:t>
      </w:r>
      <w:r w:rsidR="00D520C8">
        <w:t>de la fonction de vérification</w:t>
      </w:r>
      <w:r w:rsidR="00BB34B2">
        <w:t xml:space="preserve"> de la conformité</w:t>
      </w:r>
      <w:r w:rsidR="00B40286">
        <w:t xml:space="preserve"> : </w:t>
      </w:r>
      <w:r w:rsidR="00F55976" w:rsidRPr="00F55976">
        <w:rPr>
          <w:i/>
        </w:rPr>
        <w:t>préciser notamment l</w:t>
      </w:r>
      <w:r w:rsidR="001224E7">
        <w:rPr>
          <w:i/>
        </w:rPr>
        <w:t>’</w:t>
      </w:r>
      <w:r w:rsidR="00F55976" w:rsidRPr="00F55976">
        <w:rPr>
          <w:i/>
        </w:rPr>
        <w:t>identité</w:t>
      </w:r>
      <w:r w:rsidR="00D754A6">
        <w:rPr>
          <w:i/>
        </w:rPr>
        <w:t xml:space="preserve"> et</w:t>
      </w:r>
      <w:r w:rsidR="003C010E">
        <w:rPr>
          <w:i/>
        </w:rPr>
        <w:t xml:space="preserve"> </w:t>
      </w:r>
      <w:r w:rsidR="00F55976" w:rsidRPr="00F55976">
        <w:rPr>
          <w:i/>
        </w:rPr>
        <w:t xml:space="preserve">le rattachement hiérarchique et fonctionnel du responsable de la </w:t>
      </w:r>
      <w:r w:rsidR="00D4232F" w:rsidRPr="00D4232F">
        <w:rPr>
          <w:i/>
        </w:rPr>
        <w:t>fonction de vérification de la</w:t>
      </w:r>
      <w:r w:rsidR="00D4232F">
        <w:rPr>
          <w:i/>
        </w:rPr>
        <w:t xml:space="preserve"> </w:t>
      </w:r>
      <w:r w:rsidR="00F55976" w:rsidRPr="00F55976">
        <w:rPr>
          <w:i/>
        </w:rPr>
        <w:t>conformité ainsi que les autres fonctions éventuellement exercées par ce dernier au sein de l</w:t>
      </w:r>
      <w:r w:rsidR="001224E7">
        <w:rPr>
          <w:i/>
        </w:rPr>
        <w:t>’</w:t>
      </w:r>
      <w:r w:rsidR="00F55976" w:rsidRPr="00F55976">
        <w:rPr>
          <w:i/>
        </w:rPr>
        <w:t>établissement ou au sein d</w:t>
      </w:r>
      <w:r w:rsidR="001224E7">
        <w:rPr>
          <w:i/>
        </w:rPr>
        <w:t>’</w:t>
      </w:r>
      <w:r w:rsidR="00F55976" w:rsidRPr="00F55976">
        <w:rPr>
          <w:i/>
        </w:rPr>
        <w:t>autres entités du même groupe</w:t>
      </w:r>
      <w:r w:rsidR="00292843">
        <w:t> </w:t>
      </w:r>
      <w:r>
        <w:t>;</w:t>
      </w:r>
    </w:p>
    <w:p w:rsidR="008A72FA" w:rsidRDefault="008A72FA" w:rsidP="008A72FA">
      <w:pPr>
        <w:pStyle w:val="SGACP-enumerationniveau1"/>
        <w:ind w:left="284" w:hanging="284"/>
      </w:pPr>
      <w:r>
        <w:t>description des procédures internes mises en place pour en</w:t>
      </w:r>
      <w:r w:rsidRPr="008A72FA">
        <w:t>cadr</w:t>
      </w:r>
      <w:r>
        <w:t>er</w:t>
      </w:r>
      <w:r w:rsidRPr="008A72FA">
        <w:t xml:space="preserve"> la désignation et la révocation du responsable</w:t>
      </w:r>
      <w:r>
        <w:t xml:space="preserve"> de la fonction de vérification de la conformité (cf. article 28 de l’arrêté du 3 novembre 2014</w:t>
      </w:r>
      <w:r w:rsidR="00F14EC1">
        <w:t xml:space="preserve"> modifié</w:t>
      </w:r>
      <w:r>
        <w:t>) ;</w:t>
      </w:r>
    </w:p>
    <w:p w:rsidR="007D12DD" w:rsidRDefault="007D12DD" w:rsidP="004F3BB8">
      <w:pPr>
        <w:pStyle w:val="SGACP-enumerationniveau1"/>
        <w:ind w:left="284" w:hanging="284"/>
      </w:pPr>
      <w:r>
        <w:t xml:space="preserve">description des changements significatifs dans l’organisation des comités des risques, des nominations et des rémunérations (le cas échéant) : </w:t>
      </w:r>
      <w:r w:rsidRPr="002C1BF5">
        <w:rPr>
          <w:i/>
        </w:rPr>
        <w:t>préciser notamment la date de constitution, la composition, la durée du mandat, les modalités de fonctionnement et les compétences de chaque comité</w:t>
      </w:r>
      <w:r>
        <w:t> ;</w:t>
      </w:r>
    </w:p>
    <w:p w:rsidR="00331B88" w:rsidRDefault="00AF1AAC" w:rsidP="004F3BB8">
      <w:pPr>
        <w:pStyle w:val="SGACP-enumerationniveau1"/>
        <w:ind w:left="284" w:hanging="284"/>
      </w:pPr>
      <w:r>
        <w:t>d</w:t>
      </w:r>
      <w:r w:rsidRPr="007F2900">
        <w:t xml:space="preserve">escription </w:t>
      </w:r>
      <w:r>
        <w:t>des changements significatifs dans l</w:t>
      </w:r>
      <w:r w:rsidR="001224E7">
        <w:t>’</w:t>
      </w:r>
      <w:r>
        <w:t xml:space="preserve">organisation de la </w:t>
      </w:r>
      <w:r w:rsidR="005F347F">
        <w:t>fonction de gestion des risques</w:t>
      </w:r>
      <w:r w:rsidR="00B40286">
        <w:t xml:space="preserve"> : </w:t>
      </w:r>
      <w:r w:rsidR="00F55976" w:rsidRPr="00F55976">
        <w:rPr>
          <w:i/>
        </w:rPr>
        <w:t>préciser notamment l</w:t>
      </w:r>
      <w:r w:rsidR="001224E7">
        <w:rPr>
          <w:i/>
        </w:rPr>
        <w:t>’</w:t>
      </w:r>
      <w:r w:rsidR="00F55976" w:rsidRPr="00F55976">
        <w:rPr>
          <w:i/>
        </w:rPr>
        <w:t xml:space="preserve">identité, le positionnement hiérarchique et fonctionnel du responsable de la </w:t>
      </w:r>
      <w:r w:rsidR="005F347F">
        <w:rPr>
          <w:i/>
        </w:rPr>
        <w:t>fonction de gestion des risques</w:t>
      </w:r>
      <w:r w:rsidR="00F55976" w:rsidRPr="00F55976">
        <w:rPr>
          <w:i/>
        </w:rPr>
        <w:t xml:space="preserve"> ainsi que les autres fonctions éventuellement exercées par ce dernier au sein de l</w:t>
      </w:r>
      <w:r w:rsidR="001224E7">
        <w:rPr>
          <w:i/>
        </w:rPr>
        <w:t>’</w:t>
      </w:r>
      <w:r w:rsidR="00F55976" w:rsidRPr="00F55976">
        <w:rPr>
          <w:i/>
        </w:rPr>
        <w:t>établissement ou au sein d</w:t>
      </w:r>
      <w:r w:rsidR="001224E7">
        <w:rPr>
          <w:i/>
        </w:rPr>
        <w:t>’</w:t>
      </w:r>
      <w:r w:rsidR="00F55976" w:rsidRPr="00F55976">
        <w:rPr>
          <w:i/>
        </w:rPr>
        <w:t>autres entités du même groupe</w:t>
      </w:r>
      <w:r w:rsidR="00110755">
        <w:t> ;</w:t>
      </w:r>
    </w:p>
    <w:p w:rsidR="00667D60" w:rsidRDefault="00667D60" w:rsidP="00667D60">
      <w:pPr>
        <w:pStyle w:val="SGACP-enumerationniveau1"/>
        <w:ind w:left="284" w:hanging="284"/>
      </w:pPr>
      <w:r>
        <w:t>identification du</w:t>
      </w:r>
      <w:r w:rsidRPr="002A6A83">
        <w:t xml:space="preserve"> dirigeant effectif en charge de la cohérence et de l'efficacité du contrôle p</w:t>
      </w:r>
      <w:r>
        <w:t>ermanent de 2</w:t>
      </w:r>
      <w:r w:rsidRPr="00667D60">
        <w:rPr>
          <w:vertAlign w:val="superscript"/>
        </w:rPr>
        <w:t>ème</w:t>
      </w:r>
      <w:r>
        <w:t xml:space="preserve"> niveau</w:t>
      </w:r>
      <w:r w:rsidR="00F31131">
        <w:t>.</w:t>
      </w:r>
    </w:p>
    <w:p w:rsidR="000B0FFE" w:rsidRPr="00935917" w:rsidRDefault="000B0FFE" w:rsidP="00935917">
      <w:pPr>
        <w:pStyle w:val="SGACP-textecourant"/>
        <w:rPr>
          <w:sz w:val="24"/>
          <w:szCs w:val="24"/>
        </w:rPr>
      </w:pPr>
    </w:p>
    <w:p w:rsidR="004A229A" w:rsidRDefault="00463A1C" w:rsidP="004A229A">
      <w:pPr>
        <w:pStyle w:val="SGACP-sous-titrederubriquenivaeu2"/>
        <w:keepNext/>
      </w:pPr>
      <w:bookmarkStart w:id="14" w:name="_Toc266799775"/>
      <w:r w:rsidRPr="007F2900">
        <w:t xml:space="preserve">2.2. </w:t>
      </w:r>
      <w:r w:rsidRPr="007F2900">
        <w:tab/>
        <w:t>Au dispositif de contrôle périodique</w:t>
      </w:r>
      <w:r w:rsidR="00D316E5">
        <w:t xml:space="preserve"> « 3</w:t>
      </w:r>
      <w:r w:rsidR="00D316E5" w:rsidRPr="00827D7A">
        <w:rPr>
          <w:vertAlign w:val="superscript"/>
        </w:rPr>
        <w:t>ème</w:t>
      </w:r>
      <w:r w:rsidR="00D316E5">
        <w:t xml:space="preserve"> niveau de contrôle »</w:t>
      </w:r>
      <w:r w:rsidR="002A6A83" w:rsidRPr="002A6A83">
        <w:t xml:space="preserve"> assuré par la fonction d'audit interne</w:t>
      </w:r>
      <w:r w:rsidRPr="007F2900">
        <w:t xml:space="preserve"> (y compris l</w:t>
      </w:r>
      <w:r w:rsidR="001224E7">
        <w:t>’</w:t>
      </w:r>
      <w:r w:rsidRPr="007F2900">
        <w:t>organisation du contrôle de l</w:t>
      </w:r>
      <w:r w:rsidR="001224E7">
        <w:t>’</w:t>
      </w:r>
      <w:r w:rsidRPr="007F2900">
        <w:t xml:space="preserve">activité </w:t>
      </w:r>
      <w:r w:rsidR="00E55A5D" w:rsidRPr="007F2900">
        <w:t>à l</w:t>
      </w:r>
      <w:r w:rsidR="001224E7">
        <w:t>’</w:t>
      </w:r>
      <w:r w:rsidR="00E55A5D" w:rsidRPr="007F2900">
        <w:t>étranger et des activités externalisées)</w:t>
      </w:r>
      <w:r w:rsidR="00E55A5D">
        <w:t> :</w:t>
      </w:r>
    </w:p>
    <w:bookmarkEnd w:id="14"/>
    <w:p w:rsidR="004A229A" w:rsidRDefault="0093520A" w:rsidP="00D82F7B">
      <w:pPr>
        <w:pStyle w:val="SGACP-enumerationniveau1"/>
        <w:keepNext/>
        <w:spacing w:before="240"/>
        <w:ind w:left="284" w:hanging="284"/>
      </w:pPr>
      <w:r w:rsidRPr="0093520A">
        <w:t xml:space="preserve">identification du responsable de </w:t>
      </w:r>
      <w:r w:rsidR="00D520C8">
        <w:t>la fonction d’audit interne</w:t>
      </w:r>
      <w:r w:rsidR="00827D7A">
        <w:t xml:space="preserve"> en charge du troisième niveau de contrôle tel que défini à l’article 12 de l’arrêté du 3 novembre 2014</w:t>
      </w:r>
      <w:r w:rsidR="00F14EC1">
        <w:t xml:space="preserve"> modifié</w:t>
      </w:r>
      <w:r w:rsidR="00D316E5">
        <w:t xml:space="preserve"> </w:t>
      </w:r>
      <w:r w:rsidRPr="0093520A">
        <w:t>;</w:t>
      </w:r>
    </w:p>
    <w:p w:rsidR="002A6A83" w:rsidRDefault="002A6A83" w:rsidP="002A6A83">
      <w:pPr>
        <w:pStyle w:val="SGACP-enumerationniveau1"/>
        <w:ind w:left="284" w:hanging="284"/>
      </w:pPr>
      <w:r>
        <w:t>identification du</w:t>
      </w:r>
      <w:r w:rsidRPr="002A6A83">
        <w:t xml:space="preserve"> dirigeant effectif en charge de la cohérence et de l'efficacité du contrôle périodique</w:t>
      </w:r>
      <w:r>
        <w:t> ;</w:t>
      </w:r>
    </w:p>
    <w:p w:rsidR="007D12DD" w:rsidRDefault="007D12DD" w:rsidP="002C1BF5">
      <w:pPr>
        <w:pStyle w:val="SGACP-enumerationniveau1"/>
        <w:ind w:left="284" w:hanging="284"/>
      </w:pPr>
      <w:r>
        <w:t>description des changements significatifs dans l’organisation d</w:t>
      </w:r>
      <w:r w:rsidR="00D520C8">
        <w:t>e la fonction</w:t>
      </w:r>
      <w:r>
        <w:t xml:space="preserve"> d’audit interne ;</w:t>
      </w:r>
    </w:p>
    <w:p w:rsidR="00D316E5" w:rsidRDefault="00743C3A" w:rsidP="004A229A">
      <w:pPr>
        <w:pStyle w:val="SGACP-enumerationniveau1"/>
        <w:keepNext/>
        <w:spacing w:before="100"/>
        <w:ind w:left="284" w:hanging="284"/>
      </w:pPr>
      <w:r>
        <w:t>p</w:t>
      </w:r>
      <w:r w:rsidR="00463A1C" w:rsidRPr="007F2900">
        <w:t>rincipales actions projetées dans le domaine du contrôle périodique (plan d</w:t>
      </w:r>
      <w:r w:rsidR="001224E7">
        <w:t>’</w:t>
      </w:r>
      <w:r w:rsidR="00463A1C" w:rsidRPr="007F2900">
        <w:t xml:space="preserve">audit… </w:t>
      </w:r>
      <w:r w:rsidR="000B1005">
        <w:t xml:space="preserve">cf. </w:t>
      </w:r>
      <w:r w:rsidR="00463A1C" w:rsidRPr="007F2900">
        <w:t>art</w:t>
      </w:r>
      <w:r w:rsidR="00292843">
        <w:t>icle</w:t>
      </w:r>
      <w:r w:rsidR="00134277">
        <w:t>s</w:t>
      </w:r>
      <w:r w:rsidR="00356A20">
        <w:t xml:space="preserve"> </w:t>
      </w:r>
      <w:r w:rsidR="009767B5">
        <w:t xml:space="preserve">259 f) </w:t>
      </w:r>
      <w:r w:rsidR="00134277">
        <w:t xml:space="preserve">ou 259 bis d) </w:t>
      </w:r>
      <w:r w:rsidR="009767B5">
        <w:t>de l’arrêté du 3 novembre 2014</w:t>
      </w:r>
      <w:r w:rsidR="00F14EC1">
        <w:t xml:space="preserve"> modifié</w:t>
      </w:r>
      <w:r w:rsidR="00463A1C" w:rsidRPr="007F2900">
        <w:t>)</w:t>
      </w:r>
      <w:r w:rsidR="00D316E5">
        <w:t> ;</w:t>
      </w:r>
    </w:p>
    <w:p w:rsidR="000E1D57" w:rsidRDefault="00D316E5" w:rsidP="00827D7A">
      <w:pPr>
        <w:pStyle w:val="SGACP-enumerationniveau1"/>
        <w:ind w:left="284" w:hanging="284"/>
      </w:pPr>
      <w:r>
        <w:t>description des procédures internes mises en place pour en</w:t>
      </w:r>
      <w:r w:rsidRPr="008A72FA">
        <w:t>cadr</w:t>
      </w:r>
      <w:r>
        <w:t>er</w:t>
      </w:r>
      <w:r w:rsidRPr="008A72FA">
        <w:t xml:space="preserve"> la désignation et la révocation du responsable</w:t>
      </w:r>
      <w:r>
        <w:t xml:space="preserve"> de la fonction d’audit interne (cf. article 17 de l’arrêté du 3 novembre 2014</w:t>
      </w:r>
      <w:r w:rsidR="00F14EC1">
        <w:t xml:space="preserve"> modifié</w:t>
      </w:r>
      <w:r>
        <w:t>)</w:t>
      </w:r>
      <w:r w:rsidR="000E1D57">
        <w:t> ;</w:t>
      </w:r>
    </w:p>
    <w:p w:rsidR="001F0CE4" w:rsidRDefault="000E1D57" w:rsidP="00495B6F">
      <w:pPr>
        <w:pStyle w:val="Paragraphedeliste"/>
        <w:numPr>
          <w:ilvl w:val="0"/>
          <w:numId w:val="102"/>
        </w:numPr>
        <w:spacing w:before="120"/>
        <w:ind w:left="284" w:hanging="284"/>
      </w:pPr>
      <w:r>
        <w:lastRenderedPageBreak/>
        <w:t>dispositions prises le cas échéant pour s’assurer que le</w:t>
      </w:r>
      <w:r w:rsidRPr="000E1D57">
        <w:t xml:space="preserve"> cycle complet d'investigations de l'ensemble des activités </w:t>
      </w:r>
      <w:r w:rsidR="00932DC4">
        <w:t xml:space="preserve">de l’établissement ou le cas échéant du groupe, </w:t>
      </w:r>
      <w:r>
        <w:t>n’</w:t>
      </w:r>
      <w:r w:rsidRPr="000E1D57">
        <w:t>excède</w:t>
      </w:r>
      <w:r>
        <w:t xml:space="preserve"> pas</w:t>
      </w:r>
      <w:r w:rsidRPr="000E1D57">
        <w:t xml:space="preserve"> cinq ans</w:t>
      </w:r>
      <w:r w:rsidR="00495B6F">
        <w:t xml:space="preserve"> (cf. article 25 de l’arrêté du 3 novembre 2014 modifié)</w:t>
      </w:r>
      <w:r w:rsidR="001F0CE4">
        <w:t> ;</w:t>
      </w:r>
    </w:p>
    <w:p w:rsidR="00492EAD" w:rsidRPr="004E7222" w:rsidRDefault="001F0CE4" w:rsidP="00C96B52">
      <w:pPr>
        <w:pStyle w:val="Paragraphedeliste"/>
        <w:numPr>
          <w:ilvl w:val="0"/>
          <w:numId w:val="102"/>
        </w:numPr>
        <w:spacing w:before="120"/>
        <w:ind w:left="284" w:hanging="284"/>
        <w:contextualSpacing w:val="0"/>
      </w:pPr>
      <w:r w:rsidRPr="004E7222">
        <w:t>dispositions prises le cas échéant pour s’assurer que le cycle d’audit est déterminé selon une approche proportionnée aux risques identifiés au sein</w:t>
      </w:r>
      <w:r w:rsidRPr="004E7222">
        <w:rPr>
          <w:rFonts w:ascii="Arial" w:hAnsi="Arial" w:cs="Arial"/>
          <w:color w:val="3C3C3C"/>
          <w:sz w:val="21"/>
          <w:szCs w:val="21"/>
          <w:shd w:val="clear" w:color="auto" w:fill="FFFFFF"/>
        </w:rPr>
        <w:t> </w:t>
      </w:r>
      <w:r w:rsidR="00492EAD" w:rsidRPr="004E7222">
        <w:t>de l’établissement</w:t>
      </w:r>
      <w:r w:rsidRPr="004E7222">
        <w:t xml:space="preserve"> ou le cas échéant du groupe.</w:t>
      </w:r>
    </w:p>
    <w:p w:rsidR="00254858" w:rsidRDefault="00254858" w:rsidP="00C96B52">
      <w:pPr>
        <w:pStyle w:val="Paragraphedeliste"/>
        <w:spacing w:before="120"/>
        <w:ind w:left="284"/>
      </w:pPr>
      <w:bookmarkStart w:id="15" w:name="_Toc266799776"/>
      <w:bookmarkStart w:id="16" w:name="_Toc266799855"/>
    </w:p>
    <w:p w:rsidR="00D50807" w:rsidRDefault="00D50807" w:rsidP="00463A1C"/>
    <w:p w:rsidR="00331B88" w:rsidRDefault="00463A1C" w:rsidP="00FC763A">
      <w:pPr>
        <w:pStyle w:val="StyleSGACP-titrederubriqueniveau1CouleurpersonnaliseRVB"/>
        <w:ind w:left="426" w:hanging="426"/>
      </w:pPr>
      <w:bookmarkStart w:id="17" w:name="_Toc137799875"/>
      <w:r w:rsidRPr="007D7872">
        <w:t>Gouvernance</w:t>
      </w:r>
      <w:bookmarkEnd w:id="15"/>
      <w:bookmarkEnd w:id="16"/>
      <w:bookmarkEnd w:id="17"/>
    </w:p>
    <w:p w:rsidR="00BD006D" w:rsidRDefault="00BD006D" w:rsidP="007655D3">
      <w:pPr>
        <w:pStyle w:val="StyleSGACP-titrederubriqueniveau1CouleurpersonnaliseRVB"/>
        <w:numPr>
          <w:ilvl w:val="0"/>
          <w:numId w:val="0"/>
        </w:numPr>
        <w:ind w:left="426"/>
      </w:pPr>
    </w:p>
    <w:p w:rsidR="00C832E3" w:rsidRPr="007655D3" w:rsidRDefault="00C832E3" w:rsidP="007655D3">
      <w:pPr>
        <w:rPr>
          <w:i/>
          <w:sz w:val="22"/>
          <w:szCs w:val="22"/>
        </w:rPr>
      </w:pPr>
    </w:p>
    <w:p w:rsidR="00770518" w:rsidRDefault="004C6EB7" w:rsidP="007655D3">
      <w:pPr>
        <w:pStyle w:val="SGACP-sous-titrederubriquenivaeu2"/>
        <w:keepNext/>
        <w:keepLines/>
        <w:numPr>
          <w:ilvl w:val="1"/>
          <w:numId w:val="2"/>
        </w:numPr>
        <w:ind w:left="567" w:hanging="567"/>
      </w:pPr>
      <w:r>
        <w:t>Principes généraux de gouvernance</w:t>
      </w:r>
    </w:p>
    <w:p w:rsidR="00146E0C" w:rsidRDefault="00C832E3" w:rsidP="007655D3">
      <w:pPr>
        <w:pStyle w:val="SGACP-enumerationniveau1"/>
        <w:ind w:left="284" w:hanging="284"/>
      </w:pPr>
      <w:r>
        <w:t>d</w:t>
      </w:r>
      <w:r w:rsidR="00705F53">
        <w:t>escription de la</w:t>
      </w:r>
      <w:r w:rsidR="00705F53" w:rsidRPr="00E94559">
        <w:t xml:space="preserve"> politique de </w:t>
      </w:r>
      <w:r w:rsidR="00705F53" w:rsidRPr="007655D3">
        <w:t xml:space="preserve">« </w:t>
      </w:r>
      <w:r w:rsidR="00705F53" w:rsidRPr="00A74297">
        <w:rPr>
          <w:i/>
        </w:rPr>
        <w:t>culture du risque</w:t>
      </w:r>
      <w:r w:rsidR="00705F53" w:rsidRPr="007655D3">
        <w:t xml:space="preserve"> » </w:t>
      </w:r>
      <w:r w:rsidR="007520FD">
        <w:t xml:space="preserve">déployée au sein </w:t>
      </w:r>
      <w:r w:rsidR="00CB7ACD">
        <w:t>de l’établissement</w:t>
      </w:r>
      <w:r w:rsidR="00146E0C">
        <w:t> :</w:t>
      </w:r>
      <w:r w:rsidR="006C76E3">
        <w:t xml:space="preserve"> </w:t>
      </w:r>
      <w:r w:rsidR="00CB7ACD" w:rsidRPr="007655D3">
        <w:t>présentation</w:t>
      </w:r>
      <w:r w:rsidR="00CB7ACD">
        <w:t xml:space="preserve"> synthétique des p</w:t>
      </w:r>
      <w:r w:rsidR="00CB7ACD" w:rsidRPr="007655D3">
        <w:t>rocédures de communication et de</w:t>
      </w:r>
      <w:r w:rsidR="005A1316">
        <w:t>s</w:t>
      </w:r>
      <w:r w:rsidR="00CB7ACD" w:rsidRPr="007655D3">
        <w:t xml:space="preserve"> programmes de formation</w:t>
      </w:r>
      <w:r w:rsidR="00CB7ACD">
        <w:t xml:space="preserve"> </w:t>
      </w:r>
      <w:r w:rsidR="00CB7ACD" w:rsidRPr="007655D3">
        <w:t xml:space="preserve">du personnel </w:t>
      </w:r>
      <w:r w:rsidR="005A1316">
        <w:t>sur le profil de risque et</w:t>
      </w:r>
      <w:r w:rsidR="00CB7ACD" w:rsidRPr="007655D3">
        <w:t xml:space="preserve"> </w:t>
      </w:r>
      <w:r w:rsidR="00CB7ACD">
        <w:t>leur</w:t>
      </w:r>
      <w:r w:rsidR="00CB7ACD" w:rsidRPr="00A74297">
        <w:t xml:space="preserve"> responsabilité</w:t>
      </w:r>
      <w:r w:rsidR="00CB7ACD" w:rsidRPr="007655D3">
        <w:t xml:space="preserve"> en matière de </w:t>
      </w:r>
      <w:r w:rsidR="005A1316">
        <w:t xml:space="preserve">gestion des </w:t>
      </w:r>
      <w:r w:rsidR="00CB7ACD" w:rsidRPr="007655D3">
        <w:t>risques</w:t>
      </w:r>
      <w:r w:rsidR="005A1316">
        <w:t>…</w:t>
      </w:r>
      <w:r w:rsidR="00146E0C">
        <w:t> ;</w:t>
      </w:r>
    </w:p>
    <w:p w:rsidR="00611735" w:rsidRDefault="00C832E3" w:rsidP="007655D3">
      <w:pPr>
        <w:pStyle w:val="SGACP-enumerationniveau1"/>
        <w:ind w:left="284" w:hanging="284"/>
      </w:pPr>
      <w:bookmarkStart w:id="18" w:name="_Toc266799777"/>
      <w:r>
        <w:t>p</w:t>
      </w:r>
      <w:r w:rsidR="00611735" w:rsidRPr="007655D3">
        <w:t xml:space="preserve">résentation des normes éthiques et professionnelles </w:t>
      </w:r>
      <w:r w:rsidR="00146E0C" w:rsidRPr="007655D3">
        <w:t>promues par l’établissement</w:t>
      </w:r>
      <w:r w:rsidR="007520FD">
        <w:t> </w:t>
      </w:r>
      <w:r w:rsidR="007520FD" w:rsidRPr="007655D3">
        <w:rPr>
          <w:i/>
        </w:rPr>
        <w:t>(</w:t>
      </w:r>
      <w:r w:rsidR="006C76E3" w:rsidRPr="007655D3">
        <w:rPr>
          <w:i/>
        </w:rPr>
        <w:t xml:space="preserve">indiquer s’il s’agit de </w:t>
      </w:r>
      <w:r w:rsidR="00146E0C" w:rsidRPr="007655D3">
        <w:rPr>
          <w:i/>
        </w:rPr>
        <w:t>normes élaborées</w:t>
      </w:r>
      <w:r w:rsidR="006C76E3" w:rsidRPr="007655D3">
        <w:rPr>
          <w:i/>
        </w:rPr>
        <w:t xml:space="preserve"> en interne </w:t>
      </w:r>
      <w:r w:rsidR="00146E0C" w:rsidRPr="007655D3">
        <w:rPr>
          <w:i/>
        </w:rPr>
        <w:t xml:space="preserve">ou </w:t>
      </w:r>
      <w:r w:rsidR="006C76E3" w:rsidRPr="007655D3">
        <w:rPr>
          <w:i/>
        </w:rPr>
        <w:t xml:space="preserve">si application de normes </w:t>
      </w:r>
      <w:r w:rsidR="00146E0C" w:rsidRPr="007655D3">
        <w:rPr>
          <w:i/>
        </w:rPr>
        <w:t>publiées</w:t>
      </w:r>
      <w:r w:rsidR="00611735" w:rsidRPr="007655D3">
        <w:rPr>
          <w:i/>
        </w:rPr>
        <w:t xml:space="preserve"> </w:t>
      </w:r>
      <w:r w:rsidR="00146E0C" w:rsidRPr="007655D3">
        <w:rPr>
          <w:i/>
        </w:rPr>
        <w:t>par des associations</w:t>
      </w:r>
      <w:r w:rsidR="00E01CE0" w:rsidRPr="007655D3">
        <w:rPr>
          <w:i/>
        </w:rPr>
        <w:t>/</w:t>
      </w:r>
      <w:r w:rsidR="00146E0C" w:rsidRPr="007655D3">
        <w:rPr>
          <w:i/>
        </w:rPr>
        <w:t>organismes</w:t>
      </w:r>
      <w:r w:rsidR="006C76E3" w:rsidRPr="007655D3">
        <w:rPr>
          <w:i/>
        </w:rPr>
        <w:t xml:space="preserve"> externes</w:t>
      </w:r>
      <w:r w:rsidR="007520FD" w:rsidRPr="007655D3">
        <w:rPr>
          <w:i/>
        </w:rPr>
        <w:t>)</w:t>
      </w:r>
      <w:r w:rsidR="007520FD">
        <w:t>, description du</w:t>
      </w:r>
      <w:r w:rsidR="00146E0C" w:rsidRPr="007655D3">
        <w:t xml:space="preserve"> dispositif mis en œuvre pour s’assurer de leur bonne application </w:t>
      </w:r>
      <w:r w:rsidR="00E01CE0">
        <w:t>en interne</w:t>
      </w:r>
      <w:r w:rsidR="006C76E3">
        <w:t xml:space="preserve">, </w:t>
      </w:r>
      <w:r w:rsidR="007520FD">
        <w:t xml:space="preserve">du </w:t>
      </w:r>
      <w:r w:rsidR="006C76E3">
        <w:t xml:space="preserve">processus </w:t>
      </w:r>
      <w:r w:rsidR="00E01CE0">
        <w:t xml:space="preserve">mis en œuvre </w:t>
      </w:r>
      <w:r w:rsidR="006C76E3">
        <w:t>en cas de manquement</w:t>
      </w:r>
      <w:r w:rsidR="00E01CE0">
        <w:t xml:space="preserve"> et</w:t>
      </w:r>
      <w:r w:rsidR="007520FD">
        <w:t xml:space="preserve"> des</w:t>
      </w:r>
      <w:r w:rsidR="00E01CE0">
        <w:t xml:space="preserve"> modalités d’information aux instances dirigeantes… ;</w:t>
      </w:r>
    </w:p>
    <w:p w:rsidR="007520FD" w:rsidRDefault="00C832E3" w:rsidP="007655D3">
      <w:pPr>
        <w:pStyle w:val="SGACP-enumerationniveau1"/>
        <w:ind w:left="284" w:hanging="284"/>
      </w:pPr>
      <w:r>
        <w:t>d</w:t>
      </w:r>
      <w:r w:rsidR="007520FD" w:rsidRPr="00811ED9">
        <w:t xml:space="preserve">escription des </w:t>
      </w:r>
      <w:r w:rsidR="007520FD">
        <w:t xml:space="preserve">procédures mises en place pour identifier, gérer et prévenir les conflits d’intérêts </w:t>
      </w:r>
      <w:r w:rsidR="00323C56" w:rsidRPr="00742D4E">
        <w:t xml:space="preserve">(y compris </w:t>
      </w:r>
      <w:r w:rsidR="00323C56" w:rsidRPr="00ED2681">
        <w:t>dans le contexte de l’octroi de prêts et de l’exécution d’autres transactions</w:t>
      </w:r>
      <w:r w:rsidR="00323C56">
        <w:t xml:space="preserve"> ) </w:t>
      </w:r>
      <w:r w:rsidR="00827D7A">
        <w:t xml:space="preserve">tant </w:t>
      </w:r>
      <w:r w:rsidR="007520FD">
        <w:t xml:space="preserve">au </w:t>
      </w:r>
      <w:r w:rsidR="00767E72">
        <w:t xml:space="preserve">niveau </w:t>
      </w:r>
      <w:r w:rsidR="007520FD">
        <w:t>de l’établissement</w:t>
      </w:r>
      <w:r w:rsidR="00767E72">
        <w:t xml:space="preserve"> </w:t>
      </w:r>
      <w:r w:rsidR="00827D7A">
        <w:t>que ceux</w:t>
      </w:r>
      <w:r w:rsidR="00767E72">
        <w:t xml:space="preserve"> </w:t>
      </w:r>
      <w:r w:rsidR="00767E72" w:rsidRPr="00767E72">
        <w:t>concernant</w:t>
      </w:r>
      <w:r w:rsidR="00767E72">
        <w:t xml:space="preserve"> </w:t>
      </w:r>
      <w:r w:rsidR="00767E72" w:rsidRPr="00767E72">
        <w:t>s</w:t>
      </w:r>
      <w:r w:rsidR="00767E72">
        <w:t xml:space="preserve">on </w:t>
      </w:r>
      <w:r w:rsidR="00767E72" w:rsidRPr="00767E72">
        <w:t>personnel</w:t>
      </w:r>
      <w:r w:rsidR="007520FD">
        <w:t>, modalités d’approbation et de révision de ces dernières</w:t>
      </w:r>
      <w:r w:rsidR="00767E72">
        <w:t xml:space="preserve"> (cf. article 38 de l’arrêté du 3 novembre 2014</w:t>
      </w:r>
      <w:r w:rsidR="0068699A">
        <w:t xml:space="preserve"> modifié</w:t>
      </w:r>
      <w:r w:rsidR="00323C56">
        <w:t xml:space="preserve"> et Orientations n°2021/05 de l’ABE</w:t>
      </w:r>
      <w:r w:rsidR="00767E72">
        <w:t>)</w:t>
      </w:r>
      <w:r>
        <w:t>.</w:t>
      </w:r>
    </w:p>
    <w:p w:rsidR="00602F51" w:rsidRDefault="00134277" w:rsidP="00602F51">
      <w:pPr>
        <w:pStyle w:val="SGACP-enumerationniveau1"/>
        <w:ind w:left="284" w:hanging="284"/>
      </w:pPr>
      <w:r>
        <w:t>d</w:t>
      </w:r>
      <w:r w:rsidR="00323C56">
        <w:t xml:space="preserve">escription des procédures mises </w:t>
      </w:r>
      <w:r w:rsidR="00602F51">
        <w:t xml:space="preserve">en place pour identifier, gérer et prévenir les discriminations sur la base du genre, de la race, de l’origine sociale ou ethnique, de l’orientation sexuelle, etc. entre </w:t>
      </w:r>
      <w:r w:rsidR="00323C56">
        <w:t>les membres</w:t>
      </w:r>
      <w:r w:rsidR="00602F51">
        <w:t xml:space="preserve"> du personnel (cf. </w:t>
      </w:r>
      <w:r w:rsidR="007868C6">
        <w:t>O</w:t>
      </w:r>
      <w:r w:rsidR="00602F51">
        <w:t>rientations n°2021/05 de l’ABE).</w:t>
      </w:r>
    </w:p>
    <w:p w:rsidR="00602F51" w:rsidRPr="007655D3" w:rsidRDefault="00134277" w:rsidP="00E1593F">
      <w:pPr>
        <w:pStyle w:val="SGACP-enumerationniveau1"/>
        <w:ind w:left="284" w:hanging="284"/>
      </w:pPr>
      <w:r>
        <w:t>d</w:t>
      </w:r>
      <w:r w:rsidR="00602F51">
        <w:t xml:space="preserve">escription des procédures mises en place pour </w:t>
      </w:r>
      <w:r w:rsidR="00602F51" w:rsidRPr="001E24CB">
        <w:t>garantir de</w:t>
      </w:r>
      <w:r w:rsidR="00602F51">
        <w:t xml:space="preserve">s opportunités égales entre les membres du personnel </w:t>
      </w:r>
      <w:r w:rsidR="00602F51" w:rsidRPr="001E24CB">
        <w:t>s</w:t>
      </w:r>
      <w:r w:rsidR="00602F51">
        <w:t>ans tenir compte de leur genre, et améliorer</w:t>
      </w:r>
      <w:r w:rsidR="00602F51" w:rsidRPr="001E24CB">
        <w:t xml:space="preserve"> la représentation du genre sous-représenté dans l’organe de direction</w:t>
      </w:r>
      <w:r w:rsidR="007868C6">
        <w:t xml:space="preserve"> (cf. O</w:t>
      </w:r>
      <w:r w:rsidR="00602F51">
        <w:t>rientations n°2021/05 de l’ABE)</w:t>
      </w:r>
    </w:p>
    <w:p w:rsidR="00611735" w:rsidRPr="00A74297" w:rsidRDefault="00611735" w:rsidP="00611735">
      <w:pPr>
        <w:autoSpaceDE w:val="0"/>
        <w:autoSpaceDN w:val="0"/>
        <w:adjustRightInd w:val="0"/>
        <w:jc w:val="left"/>
        <w:rPr>
          <w:rFonts w:ascii="Calibri" w:hAnsi="Calibri" w:cs="Calibri"/>
          <w:color w:val="000000"/>
          <w:szCs w:val="24"/>
        </w:rPr>
      </w:pPr>
    </w:p>
    <w:p w:rsidR="00463A1C" w:rsidRPr="007F2900" w:rsidRDefault="00463A1C" w:rsidP="00D63D99">
      <w:pPr>
        <w:pStyle w:val="SGACP-sous-titrederubriquenivaeu2"/>
        <w:keepNext/>
        <w:keepLines/>
        <w:numPr>
          <w:ilvl w:val="1"/>
          <w:numId w:val="2"/>
        </w:numPr>
        <w:ind w:left="567" w:hanging="567"/>
      </w:pPr>
      <w:r w:rsidRPr="007F2900">
        <w:t xml:space="preserve">Implication des </w:t>
      </w:r>
      <w:r w:rsidR="0070603D">
        <w:t>organes dirigeants</w:t>
      </w:r>
      <w:r w:rsidRPr="007F2900">
        <w:t xml:space="preserve"> dans le contrôle interne</w:t>
      </w:r>
      <w:bookmarkEnd w:id="18"/>
    </w:p>
    <w:p w:rsidR="00254858" w:rsidRDefault="00254858" w:rsidP="007D7872">
      <w:pPr>
        <w:keepNext/>
        <w:keepLines/>
      </w:pPr>
      <w:bookmarkStart w:id="19" w:name="_Toc244576438"/>
      <w:bookmarkStart w:id="20" w:name="_Toc244938691"/>
      <w:bookmarkStart w:id="21" w:name="_Toc266799778"/>
    </w:p>
    <w:p w:rsidR="00463A1C" w:rsidRPr="00254858" w:rsidRDefault="00254858" w:rsidP="007D7872">
      <w:pPr>
        <w:pStyle w:val="SGACP-sous-titrederubriqueniveau3"/>
        <w:keepNext/>
        <w:keepLines/>
      </w:pPr>
      <w:r w:rsidRPr="00254858">
        <w:t>3.</w:t>
      </w:r>
      <w:r w:rsidR="00C832E3">
        <w:t>2</w:t>
      </w:r>
      <w:r w:rsidRPr="00254858">
        <w:t>.1</w:t>
      </w:r>
      <w:r w:rsidR="00710008">
        <w:t>.</w:t>
      </w:r>
      <w:r w:rsidRPr="00254858">
        <w:tab/>
      </w:r>
      <w:r w:rsidR="00463A1C" w:rsidRPr="00254858">
        <w:t>Modalités d</w:t>
      </w:r>
      <w:r w:rsidR="001224E7">
        <w:t>’</w:t>
      </w:r>
      <w:r w:rsidR="00463A1C" w:rsidRPr="00254858">
        <w:t>information de l</w:t>
      </w:r>
      <w:r w:rsidR="001224E7">
        <w:t>’</w:t>
      </w:r>
      <w:r w:rsidR="00463A1C" w:rsidRPr="00254858">
        <w:t xml:space="preserve">organe </w:t>
      </w:r>
      <w:bookmarkEnd w:id="19"/>
      <w:bookmarkEnd w:id="20"/>
      <w:bookmarkEnd w:id="21"/>
      <w:r w:rsidR="0094273B">
        <w:t>de surveillance</w:t>
      </w:r>
      <w:r w:rsidR="00BA073B">
        <w:t xml:space="preserve"> et, le cas échéant, du comité des risques</w:t>
      </w:r>
      <w:r w:rsidR="0094273B">
        <w:t> </w:t>
      </w:r>
      <w:r w:rsidR="00743C3A">
        <w:t>:</w:t>
      </w:r>
    </w:p>
    <w:p w:rsidR="009256B0" w:rsidRDefault="009256B0" w:rsidP="004F3BB8">
      <w:pPr>
        <w:pStyle w:val="SGACP-enumerationniveau1"/>
        <w:ind w:left="284" w:hanging="284"/>
      </w:pPr>
      <w:r>
        <w:t>modalités d’approbation des limites par l’organe de surveillance</w:t>
      </w:r>
      <w:r w:rsidR="00BA073B" w:rsidRPr="00BA073B">
        <w:t xml:space="preserve"> </w:t>
      </w:r>
      <w:r w:rsidR="00BA073B">
        <w:t>ainsi que, le cas échéant, par le comité des risques</w:t>
      </w:r>
      <w:r>
        <w:t> </w:t>
      </w:r>
      <w:r w:rsidR="00186B7C">
        <w:t>(</w:t>
      </w:r>
      <w:r w:rsidR="000B1005">
        <w:t xml:space="preserve">cf. </w:t>
      </w:r>
      <w:r w:rsidR="00186B7C">
        <w:t>article 224 de l’arrêté du 3 novembre 2014</w:t>
      </w:r>
      <w:r w:rsidR="0068699A">
        <w:t xml:space="preserve"> modifié</w:t>
      </w:r>
      <w:r w:rsidR="00186B7C">
        <w:t xml:space="preserve">) </w:t>
      </w:r>
      <w:r>
        <w:t>;</w:t>
      </w:r>
    </w:p>
    <w:p w:rsidR="00331B88" w:rsidRDefault="00743C3A" w:rsidP="004F3BB8">
      <w:pPr>
        <w:pStyle w:val="SGACP-enumerationniveau1"/>
        <w:ind w:left="284" w:hanging="284"/>
      </w:pPr>
      <w:r>
        <w:t>m</w:t>
      </w:r>
      <w:r w:rsidR="00463A1C" w:rsidRPr="007F2900">
        <w:t>odalités d</w:t>
      </w:r>
      <w:r w:rsidR="001224E7">
        <w:t>’</w:t>
      </w:r>
      <w:r w:rsidR="00463A1C" w:rsidRPr="007F2900">
        <w:t>information de l</w:t>
      </w:r>
      <w:r w:rsidR="001224E7">
        <w:t>’</w:t>
      </w:r>
      <w:r w:rsidR="00463A1C" w:rsidRPr="007F2900">
        <w:t xml:space="preserve">organe </w:t>
      </w:r>
      <w:r w:rsidR="0094273B">
        <w:t xml:space="preserve">de </w:t>
      </w:r>
      <w:r w:rsidR="0070603D">
        <w:t>surveillance</w:t>
      </w:r>
      <w:r w:rsidR="00297D2B">
        <w:t xml:space="preserve">, </w:t>
      </w:r>
      <w:r w:rsidR="00463A1C" w:rsidRPr="007F2900">
        <w:t>de l</w:t>
      </w:r>
      <w:r w:rsidR="001224E7">
        <w:t>’</w:t>
      </w:r>
      <w:r w:rsidR="00463A1C" w:rsidRPr="007F2900">
        <w:t>organe central,</w:t>
      </w:r>
      <w:r w:rsidR="00297D2B">
        <w:t xml:space="preserve"> ainsi que</w:t>
      </w:r>
      <w:r w:rsidR="00E67CC2">
        <w:t>,</w:t>
      </w:r>
      <w:r w:rsidR="00297D2B">
        <w:t xml:space="preserve"> le cas échéant</w:t>
      </w:r>
      <w:r w:rsidR="00E67CC2">
        <w:t>,</w:t>
      </w:r>
      <w:r w:rsidR="00297D2B">
        <w:t xml:space="preserve"> du comité des risques</w:t>
      </w:r>
      <w:r w:rsidR="00463A1C" w:rsidRPr="007F2900">
        <w:t xml:space="preserve"> en cas de survenance d</w:t>
      </w:r>
      <w:r w:rsidR="001224E7">
        <w:t>’</w:t>
      </w:r>
      <w:r w:rsidR="00463A1C" w:rsidRPr="007F2900">
        <w:t>incidents significatifs au sens de l</w:t>
      </w:r>
      <w:r w:rsidR="001224E7">
        <w:t>’</w:t>
      </w:r>
      <w:r w:rsidR="00463A1C" w:rsidRPr="007F2900">
        <w:t>article</w:t>
      </w:r>
      <w:r w:rsidR="00CE33E8">
        <w:t xml:space="preserve"> 98</w:t>
      </w:r>
      <w:r w:rsidR="00463A1C" w:rsidRPr="007F2900">
        <w:t xml:space="preserve"> (cf. article</w:t>
      </w:r>
      <w:r w:rsidR="009767B5">
        <w:t> 245 de l’arrêté du 3 novembre 2014</w:t>
      </w:r>
      <w:r w:rsidR="0068699A">
        <w:t xml:space="preserve"> modifié</w:t>
      </w:r>
      <w:r w:rsidR="00463A1C" w:rsidRPr="007F2900">
        <w:t>)</w:t>
      </w:r>
      <w:r>
        <w:t> ;</w:t>
      </w:r>
    </w:p>
    <w:p w:rsidR="00310E2B" w:rsidRDefault="008F37E8" w:rsidP="004F3BB8">
      <w:pPr>
        <w:pStyle w:val="SGACP-enumerationniveau1"/>
        <w:ind w:left="284" w:hanging="284"/>
      </w:pPr>
      <w:r>
        <w:t xml:space="preserve">si nécessaire, </w:t>
      </w:r>
      <w:r w:rsidR="00122345">
        <w:t xml:space="preserve">modalités d’information de l’organe de surveillance, ou le cas échéant du </w:t>
      </w:r>
      <w:r w:rsidR="00FB440F">
        <w:t>c</w:t>
      </w:r>
      <w:r w:rsidR="00122345">
        <w:t xml:space="preserve">omité des risques, par </w:t>
      </w:r>
      <w:r w:rsidR="00693B91">
        <w:t xml:space="preserve">le responsable de </w:t>
      </w:r>
      <w:r w:rsidR="00122345">
        <w:t>la fonction de ge</w:t>
      </w:r>
      <w:r>
        <w:t>stion des risques</w:t>
      </w:r>
      <w:r w:rsidR="00122345">
        <w:t>, en précisant les sujets concernés</w:t>
      </w:r>
      <w:r w:rsidR="00310E2B">
        <w:t> </w:t>
      </w:r>
      <w:r w:rsidR="00FE2D0A">
        <w:t>(cf. article 77 de l’arrêté du 3 novembre 2014</w:t>
      </w:r>
      <w:r w:rsidR="0068699A">
        <w:t xml:space="preserve"> modifié</w:t>
      </w:r>
      <w:r w:rsidR="00FE2D0A">
        <w:t xml:space="preserve">) </w:t>
      </w:r>
      <w:r w:rsidR="00310E2B">
        <w:t>;</w:t>
      </w:r>
    </w:p>
    <w:p w:rsidR="00331B88" w:rsidRDefault="00743C3A" w:rsidP="004F3BB8">
      <w:pPr>
        <w:pStyle w:val="SGACP-enumerationniveau1"/>
        <w:ind w:left="284" w:hanging="284"/>
      </w:pPr>
      <w:r>
        <w:t>m</w:t>
      </w:r>
      <w:r w:rsidR="00463A1C" w:rsidRPr="007F2900">
        <w:t>odalités d</w:t>
      </w:r>
      <w:r w:rsidR="001224E7">
        <w:t>’</w:t>
      </w:r>
      <w:r w:rsidR="00463A1C" w:rsidRPr="007F2900">
        <w:t>information d</w:t>
      </w:r>
      <w:r w:rsidR="00717A06">
        <w:t xml:space="preserve">e l’organe de surveillance et, le cas échéant, du </w:t>
      </w:r>
      <w:r w:rsidR="0003780F">
        <w:t>comité des risques</w:t>
      </w:r>
      <w:r w:rsidR="00463A1C" w:rsidRPr="007F2900">
        <w:t>, par le responsable d</w:t>
      </w:r>
      <w:r w:rsidR="008C4037">
        <w:t>e la fonction d’audit interne</w:t>
      </w:r>
      <w:r w:rsidR="00463A1C" w:rsidRPr="007F2900">
        <w:t>, de l</w:t>
      </w:r>
      <w:r w:rsidR="001224E7">
        <w:t>’</w:t>
      </w:r>
      <w:r w:rsidR="00463A1C" w:rsidRPr="007F2900">
        <w:t>absence d</w:t>
      </w:r>
      <w:r w:rsidR="001224E7">
        <w:t>’</w:t>
      </w:r>
      <w:r w:rsidR="00463A1C" w:rsidRPr="007F2900">
        <w:t>exécution des mesures correctrices décidées (cf. article</w:t>
      </w:r>
      <w:r w:rsidR="009767B5">
        <w:t xml:space="preserve"> 26 b) de l’arrêté du 3 novembre 2014</w:t>
      </w:r>
      <w:r w:rsidR="0068699A">
        <w:t xml:space="preserve"> modifié</w:t>
      </w:r>
      <w:r w:rsidR="00463A1C" w:rsidRPr="007F2900">
        <w:t>)</w:t>
      </w:r>
      <w:r>
        <w:t> ;</w:t>
      </w:r>
    </w:p>
    <w:p w:rsidR="00C95AFE" w:rsidRDefault="00C95AFE" w:rsidP="00C95AFE">
      <w:pPr>
        <w:pStyle w:val="SGACP-enumerationniveau1"/>
        <w:numPr>
          <w:ilvl w:val="0"/>
          <w:numId w:val="102"/>
        </w:numPr>
        <w:ind w:left="284" w:hanging="284"/>
      </w:pPr>
      <w:r>
        <w:t>m</w:t>
      </w:r>
      <w:r w:rsidRPr="007F2900">
        <w:t>odalités d</w:t>
      </w:r>
      <w:r>
        <w:t>’</w:t>
      </w:r>
      <w:r w:rsidRPr="007F2900">
        <w:t>information par</w:t>
      </w:r>
      <w:r>
        <w:t xml:space="preserve"> le responsable de la fonction de vérification de la conformité </w:t>
      </w:r>
      <w:r w:rsidRPr="007F2900">
        <w:t>de l</w:t>
      </w:r>
      <w:r>
        <w:t>’</w:t>
      </w:r>
      <w:r w:rsidRPr="007F2900">
        <w:t xml:space="preserve">exercice de ses missions </w:t>
      </w:r>
      <w:r>
        <w:t>à l’organe de surveillance (cf. article 31 de l’arrêté du 3 novembre 2014</w:t>
      </w:r>
      <w:r w:rsidR="0068699A">
        <w:t xml:space="preserve"> modifié</w:t>
      </w:r>
      <w:r>
        <w:t>) ;</w:t>
      </w:r>
    </w:p>
    <w:p w:rsidR="006C423E" w:rsidRDefault="00743C3A" w:rsidP="004F3BB8">
      <w:pPr>
        <w:pStyle w:val="SGACP-enumerationniveau1"/>
        <w:ind w:left="284" w:hanging="284"/>
      </w:pPr>
      <w:r>
        <w:lastRenderedPageBreak/>
        <w:t>c</w:t>
      </w:r>
      <w:r w:rsidR="00463A1C" w:rsidRPr="007F2900">
        <w:t>onclusions des contrôles effectués portés à la connaissance de l</w:t>
      </w:r>
      <w:r w:rsidR="001224E7">
        <w:t>’</w:t>
      </w:r>
      <w:r w:rsidR="00463A1C" w:rsidRPr="007F2900">
        <w:t xml:space="preserve">organe </w:t>
      </w:r>
      <w:r w:rsidR="0094273B">
        <w:t>de surveillance</w:t>
      </w:r>
      <w:r w:rsidR="00BA073B">
        <w:t xml:space="preserve"> ainsi que, le cas échéant, du comité des risques</w:t>
      </w:r>
      <w:r w:rsidR="00463A1C" w:rsidRPr="007F2900">
        <w:t>, et en particulier éventuelles défaillances relevées, et mesures décidées pour y remédier</w:t>
      </w:r>
      <w:r w:rsidR="00186B7C">
        <w:t xml:space="preserve"> (cf. article 243 de l’arrêté du 3 novembre 2014</w:t>
      </w:r>
      <w:r w:rsidR="0068699A">
        <w:t xml:space="preserve"> modifié</w:t>
      </w:r>
      <w:r w:rsidR="00186B7C">
        <w:t>)</w:t>
      </w:r>
      <w:r w:rsidR="006C423E">
        <w:t> ;</w:t>
      </w:r>
    </w:p>
    <w:p w:rsidR="00AE30E7" w:rsidRPr="00AE30E7" w:rsidRDefault="006C423E" w:rsidP="00AE30E7">
      <w:pPr>
        <w:pStyle w:val="SGACP-enumerationniveau1"/>
        <w:ind w:left="360"/>
      </w:pPr>
      <w:r>
        <w:t>modalités d’information de l’organe de surveillance concernant</w:t>
      </w:r>
      <w:r w:rsidRPr="006C423E">
        <w:t xml:space="preserve"> l’évaluation périodique effectuée par le Comité des nominations sur les connaissances, les compétences et l'expérience des membres de l’organe de surveillance, tant individuellement que collectivement</w:t>
      </w:r>
      <w:r w:rsidR="00F7177B">
        <w:t xml:space="preserve"> (cf. article L. 511-100 du C</w:t>
      </w:r>
      <w:r>
        <w:t>ode monétaire et financier). Communiquer au SGACPR les conclusions de cette évaluation</w:t>
      </w:r>
      <w:r w:rsidR="00AE30E7" w:rsidRPr="00AE30E7">
        <w:t xml:space="preserve"> ainsi que le détail du suivi des mesures imposées dans le cadre des procédures d’autorisation des nominations des membres administrateurs et dirigeants effectifs par le superviseur prudentiel.</w:t>
      </w:r>
    </w:p>
    <w:p w:rsidR="00937489" w:rsidRDefault="00937489" w:rsidP="00890013">
      <w:pPr>
        <w:pStyle w:val="SGACP-enumerationniveau1"/>
        <w:numPr>
          <w:ilvl w:val="0"/>
          <w:numId w:val="0"/>
        </w:numPr>
        <w:ind w:left="284"/>
      </w:pPr>
      <w:bookmarkStart w:id="22" w:name="_Toc266799779"/>
    </w:p>
    <w:p w:rsidR="00463A1C" w:rsidRPr="007F2900" w:rsidRDefault="00937489" w:rsidP="00937489">
      <w:pPr>
        <w:pStyle w:val="SGACP-sous-titrederubriqueniveau3"/>
      </w:pPr>
      <w:r>
        <w:t>3.</w:t>
      </w:r>
      <w:r w:rsidR="00C832E3">
        <w:t>2</w:t>
      </w:r>
      <w:r>
        <w:t>.2</w:t>
      </w:r>
      <w:r w:rsidR="00710008">
        <w:t>.</w:t>
      </w:r>
      <w:r>
        <w:tab/>
      </w:r>
      <w:r w:rsidR="00463A1C" w:rsidRPr="007F2900">
        <w:t>Modalités d</w:t>
      </w:r>
      <w:r w:rsidR="001224E7">
        <w:t>’</w:t>
      </w:r>
      <w:r w:rsidR="00463A1C" w:rsidRPr="007F2900">
        <w:t xml:space="preserve">information </w:t>
      </w:r>
      <w:bookmarkEnd w:id="22"/>
      <w:r w:rsidR="0003780F">
        <w:t>des dirigeants effectifs</w:t>
      </w:r>
      <w:r w:rsidR="00743C3A">
        <w:t> :</w:t>
      </w:r>
    </w:p>
    <w:p w:rsidR="00331B88" w:rsidRDefault="00743C3A" w:rsidP="004F3BB8">
      <w:pPr>
        <w:pStyle w:val="SGACP-enumerationniveau1"/>
        <w:ind w:left="284" w:hanging="284"/>
      </w:pPr>
      <w:r>
        <w:t>m</w:t>
      </w:r>
      <w:r w:rsidR="00463A1C" w:rsidRPr="007F2900">
        <w:t>odalités d</w:t>
      </w:r>
      <w:r w:rsidR="001224E7">
        <w:t>’</w:t>
      </w:r>
      <w:r w:rsidR="00463A1C" w:rsidRPr="007F2900">
        <w:t xml:space="preserve">information </w:t>
      </w:r>
      <w:r w:rsidR="0003780F">
        <w:t>des dirigeants effectifs</w:t>
      </w:r>
      <w:r w:rsidR="00463A1C" w:rsidRPr="007F2900">
        <w:t xml:space="preserve"> en cas de survenance d</w:t>
      </w:r>
      <w:r w:rsidR="001224E7">
        <w:t>’</w:t>
      </w:r>
      <w:r w:rsidR="00463A1C" w:rsidRPr="007F2900">
        <w:t>incidents significatifs au sens de l</w:t>
      </w:r>
      <w:r w:rsidR="001224E7">
        <w:t>’</w:t>
      </w:r>
      <w:r w:rsidR="00463A1C" w:rsidRPr="007F2900">
        <w:t xml:space="preserve">article </w:t>
      </w:r>
      <w:r w:rsidR="00CE33E8">
        <w:t>98</w:t>
      </w:r>
      <w:r w:rsidR="00463A1C" w:rsidRPr="007F2900">
        <w:t xml:space="preserve"> </w:t>
      </w:r>
      <w:r w:rsidR="00186B7C">
        <w:t>de l’arrêté du 3 novembre 2014</w:t>
      </w:r>
      <w:r w:rsidR="00192F7C">
        <w:t xml:space="preserve"> modifié</w:t>
      </w:r>
      <w:r w:rsidR="00186B7C">
        <w:t xml:space="preserve"> </w:t>
      </w:r>
      <w:r w:rsidR="00463A1C" w:rsidRPr="007F2900">
        <w:t>(cf. article</w:t>
      </w:r>
      <w:r w:rsidR="00292843">
        <w:t> </w:t>
      </w:r>
      <w:r w:rsidR="00266335">
        <w:t>245</w:t>
      </w:r>
      <w:r w:rsidR="009767B5">
        <w:t xml:space="preserve"> de l’arrêté du 3 novembre 2014</w:t>
      </w:r>
      <w:r w:rsidR="0068699A">
        <w:t xml:space="preserve"> modifié</w:t>
      </w:r>
      <w:r w:rsidR="00463A1C" w:rsidRPr="007F2900">
        <w:t>)</w:t>
      </w:r>
      <w:r>
        <w:t> ;</w:t>
      </w:r>
      <w:r w:rsidR="00717A06">
        <w:t xml:space="preserve"> </w:t>
      </w:r>
    </w:p>
    <w:p w:rsidR="00331B88" w:rsidRDefault="00743C3A" w:rsidP="004F3BB8">
      <w:pPr>
        <w:pStyle w:val="SGACP-enumerationniveau1"/>
        <w:ind w:left="284" w:hanging="284"/>
      </w:pPr>
      <w:r>
        <w:t>m</w:t>
      </w:r>
      <w:r w:rsidR="00463A1C" w:rsidRPr="007F2900">
        <w:t>odalités d</w:t>
      </w:r>
      <w:r w:rsidR="001224E7">
        <w:t>’</w:t>
      </w:r>
      <w:r w:rsidR="00463A1C" w:rsidRPr="007F2900">
        <w:t>information par</w:t>
      </w:r>
      <w:r w:rsidR="00D8301F">
        <w:t xml:space="preserve"> </w:t>
      </w:r>
      <w:r w:rsidR="009231A6">
        <w:t xml:space="preserve">le responsable de </w:t>
      </w:r>
      <w:r w:rsidR="00D8301F">
        <w:t xml:space="preserve">la fonction </w:t>
      </w:r>
      <w:r w:rsidR="00233A9A">
        <w:t xml:space="preserve">de </w:t>
      </w:r>
      <w:r w:rsidR="00D8301F">
        <w:t>gestion des risques</w:t>
      </w:r>
      <w:r w:rsidR="00463A1C" w:rsidRPr="007F2900">
        <w:t xml:space="preserve"> de l</w:t>
      </w:r>
      <w:r w:rsidR="001224E7">
        <w:t>’</w:t>
      </w:r>
      <w:r w:rsidR="00463A1C" w:rsidRPr="007F2900">
        <w:t xml:space="preserve">exercice de ses missions </w:t>
      </w:r>
      <w:r w:rsidR="0003780F">
        <w:t>aux dirigeants effectifs</w:t>
      </w:r>
      <w:r>
        <w:t> </w:t>
      </w:r>
      <w:r w:rsidR="009231A6">
        <w:t>(cf. article 77 de l’arrêté du 3 novembre 2014</w:t>
      </w:r>
      <w:r w:rsidR="0068699A">
        <w:t xml:space="preserve"> modifié</w:t>
      </w:r>
      <w:r w:rsidR="009231A6">
        <w:t xml:space="preserve">) </w:t>
      </w:r>
      <w:r>
        <w:t>;</w:t>
      </w:r>
    </w:p>
    <w:p w:rsidR="00331B88" w:rsidRDefault="00743C3A" w:rsidP="004F3BB8">
      <w:pPr>
        <w:pStyle w:val="SGACP-enumerationniveau1"/>
        <w:ind w:left="284" w:hanging="284"/>
      </w:pPr>
      <w:r>
        <w:t>m</w:t>
      </w:r>
      <w:r w:rsidR="00463A1C" w:rsidRPr="007F2900">
        <w:t>odalités d</w:t>
      </w:r>
      <w:r w:rsidR="001224E7">
        <w:t>’</w:t>
      </w:r>
      <w:r w:rsidR="00463A1C" w:rsidRPr="007F2900">
        <w:t>alerte</w:t>
      </w:r>
      <w:r w:rsidR="009231A6">
        <w:t xml:space="preserve"> des dirigeants effectifs</w:t>
      </w:r>
      <w:r w:rsidR="00463A1C" w:rsidRPr="007F2900">
        <w:t>, par le respon</w:t>
      </w:r>
      <w:r w:rsidR="00D8301F">
        <w:t xml:space="preserve">sable de la fonction </w:t>
      </w:r>
      <w:r w:rsidR="00233A9A">
        <w:t xml:space="preserve">de </w:t>
      </w:r>
      <w:r w:rsidR="00D8301F">
        <w:t>gestion des risques</w:t>
      </w:r>
      <w:r w:rsidR="00463A1C" w:rsidRPr="007F2900">
        <w:t>, de toute situation susceptible d</w:t>
      </w:r>
      <w:r w:rsidR="001224E7">
        <w:t>’</w:t>
      </w:r>
      <w:r w:rsidR="00463A1C" w:rsidRPr="007F2900">
        <w:t>avoir des répercussions significatives sur la maîtrise des risques (</w:t>
      </w:r>
      <w:r w:rsidR="00536A71">
        <w:t>c</w:t>
      </w:r>
      <w:r w:rsidR="00463A1C" w:rsidRPr="007F2900">
        <w:t>f. article</w:t>
      </w:r>
      <w:r w:rsidR="00292843">
        <w:t> </w:t>
      </w:r>
      <w:r w:rsidR="009767B5">
        <w:t>77 de l’arrêté du 3 novembre 2014</w:t>
      </w:r>
      <w:r w:rsidR="0068699A">
        <w:t xml:space="preserve"> modifié</w:t>
      </w:r>
      <w:r w:rsidR="00463A1C" w:rsidRPr="007F2900">
        <w:t>)</w:t>
      </w:r>
      <w:r>
        <w:t>.</w:t>
      </w:r>
    </w:p>
    <w:p w:rsidR="00DB1318" w:rsidRDefault="00DB1318" w:rsidP="00463A1C">
      <w:bookmarkStart w:id="23" w:name="_Toc266799780"/>
    </w:p>
    <w:p w:rsidR="00463A1C" w:rsidRPr="007F2900" w:rsidRDefault="00937489" w:rsidP="00937489">
      <w:pPr>
        <w:pStyle w:val="SGACP-sous-titrederubriqueniveau3"/>
      </w:pPr>
      <w:r>
        <w:t>3.</w:t>
      </w:r>
      <w:r w:rsidR="00C832E3">
        <w:t>2</w:t>
      </w:r>
      <w:r>
        <w:t>.3</w:t>
      </w:r>
      <w:r w:rsidR="00710008">
        <w:t>.</w:t>
      </w:r>
      <w:r>
        <w:tab/>
      </w:r>
      <w:r w:rsidR="00463A1C" w:rsidRPr="007F2900">
        <w:t>Diligences effectuées par les dirigeants</w:t>
      </w:r>
      <w:bookmarkEnd w:id="23"/>
      <w:r w:rsidR="00743C3A">
        <w:t> </w:t>
      </w:r>
      <w:r w:rsidR="009231A6">
        <w:t xml:space="preserve">effectifs et l’organe de surveillance </w:t>
      </w:r>
      <w:r w:rsidR="00743C3A">
        <w:t>:</w:t>
      </w:r>
    </w:p>
    <w:p w:rsidR="004A229A" w:rsidRDefault="00743C3A" w:rsidP="004A229A">
      <w:pPr>
        <w:pStyle w:val="SGACP-enumerationniveau1"/>
        <w:ind w:left="284" w:hanging="284"/>
      </w:pPr>
      <w:r>
        <w:t>d</w:t>
      </w:r>
      <w:r w:rsidR="00463A1C" w:rsidRPr="007F2900">
        <w:t xml:space="preserve">escription des diligences effectuées par </w:t>
      </w:r>
      <w:r w:rsidR="0003780F">
        <w:t>les dirigeants effectifs</w:t>
      </w:r>
      <w:r w:rsidR="00463A1C" w:rsidRPr="007F2900">
        <w:t xml:space="preserve"> et l</w:t>
      </w:r>
      <w:r w:rsidR="001224E7">
        <w:t>’</w:t>
      </w:r>
      <w:r w:rsidR="00463A1C" w:rsidRPr="007F2900">
        <w:t xml:space="preserve">organe </w:t>
      </w:r>
      <w:r w:rsidR="0094273B">
        <w:t>de surveillance</w:t>
      </w:r>
      <w:r w:rsidR="0094273B" w:rsidRPr="007F2900">
        <w:t xml:space="preserve"> </w:t>
      </w:r>
      <w:r w:rsidR="00463A1C" w:rsidRPr="007F2900">
        <w:t>pour vérifier l</w:t>
      </w:r>
      <w:r w:rsidR="001224E7">
        <w:t>’</w:t>
      </w:r>
      <w:r w:rsidR="00463A1C" w:rsidRPr="007F2900">
        <w:t>efficacité des dispositifs et procédures de co</w:t>
      </w:r>
      <w:r>
        <w:t>ntrôle interne</w:t>
      </w:r>
      <w:r w:rsidR="00545B0F">
        <w:t xml:space="preserve"> (cf. article</w:t>
      </w:r>
      <w:r w:rsidR="00266335">
        <w:t>s 241 à</w:t>
      </w:r>
      <w:r w:rsidR="00545B0F">
        <w:t xml:space="preserve"> 243 de l’arrêté du 3 novembre 2014</w:t>
      </w:r>
      <w:r w:rsidR="0068699A">
        <w:t xml:space="preserve"> modifié</w:t>
      </w:r>
      <w:r w:rsidR="00545B0F">
        <w:t>)</w:t>
      </w:r>
      <w:r>
        <w:t>.</w:t>
      </w:r>
    </w:p>
    <w:p w:rsidR="00847799" w:rsidRDefault="00847799">
      <w:pPr>
        <w:jc w:val="left"/>
        <w:rPr>
          <w:sz w:val="22"/>
        </w:rPr>
      </w:pPr>
    </w:p>
    <w:p w:rsidR="00463A1C" w:rsidRPr="007F2900" w:rsidRDefault="00937489" w:rsidP="00937489">
      <w:pPr>
        <w:pStyle w:val="SGACP-sous-titrederubriqueniveau3"/>
      </w:pPr>
      <w:bookmarkStart w:id="24" w:name="_Toc244576442"/>
      <w:bookmarkStart w:id="25" w:name="_Toc266799781"/>
      <w:r>
        <w:t>3.</w:t>
      </w:r>
      <w:r w:rsidR="00C832E3">
        <w:t>2</w:t>
      </w:r>
      <w:r>
        <w:t>.4</w:t>
      </w:r>
      <w:r w:rsidR="00710008">
        <w:t>.</w:t>
      </w:r>
      <w:r>
        <w:tab/>
      </w:r>
      <w:r w:rsidR="00463A1C" w:rsidRPr="007F2900">
        <w:t>Traitement des informations par l</w:t>
      </w:r>
      <w:r w:rsidR="000F6A5C">
        <w:t>’</w:t>
      </w:r>
      <w:r w:rsidR="00463A1C" w:rsidRPr="007F2900">
        <w:t>organe</w:t>
      </w:r>
      <w:r w:rsidR="000F6A5C">
        <w:t xml:space="preserve"> de surveillance</w:t>
      </w:r>
      <w:bookmarkEnd w:id="24"/>
      <w:bookmarkEnd w:id="25"/>
      <w:r w:rsidR="00743C3A">
        <w:t> :</w:t>
      </w:r>
    </w:p>
    <w:p w:rsidR="00B77234" w:rsidRDefault="00B77234" w:rsidP="00266335">
      <w:pPr>
        <w:pStyle w:val="SGACP-enumerationniveau1"/>
        <w:ind w:left="284" w:hanging="284"/>
      </w:pPr>
      <w:r>
        <w:t>modalités d’examen du dispositif de gouvernance et d’évaluation périodique de son efficacité (</w:t>
      </w:r>
      <w:r w:rsidR="00266335">
        <w:t xml:space="preserve">cf. </w:t>
      </w:r>
      <w:r>
        <w:t>article L.511-59 du Code monétaire et financier) ;</w:t>
      </w:r>
    </w:p>
    <w:p w:rsidR="00B77234" w:rsidRDefault="00B77234" w:rsidP="004A229A">
      <w:pPr>
        <w:pStyle w:val="SGACP-enumerationniveau1"/>
        <w:ind w:left="284" w:hanging="284"/>
      </w:pPr>
      <w:r>
        <w:t>modalités d’approbation et de révision régulière des stratégies et politiques en matière de risques (</w:t>
      </w:r>
      <w:r w:rsidR="00266335">
        <w:t xml:space="preserve">cf. </w:t>
      </w:r>
      <w:r>
        <w:t>article</w:t>
      </w:r>
      <w:r w:rsidR="007564B0">
        <w:t>s</w:t>
      </w:r>
      <w:r>
        <w:t xml:space="preserve"> L.511-60 </w:t>
      </w:r>
      <w:r w:rsidR="007564B0">
        <w:t xml:space="preserve">ou L. 533-29-1 </w:t>
      </w:r>
      <w:r>
        <w:t>du Code monétaire et financier) ;</w:t>
      </w:r>
    </w:p>
    <w:p w:rsidR="00B77234" w:rsidRDefault="00B77234" w:rsidP="004A229A">
      <w:pPr>
        <w:pStyle w:val="SGACP-enumerationniveau1"/>
        <w:ind w:left="284" w:hanging="284"/>
      </w:pPr>
      <w:r>
        <w:t>modalités de détermination des orientations et du contrôle de la mise en œuvre des dispositifs de surveillance afin de garantir une gestion efficace et prudente de l’établissement (cf. article L.511-67 du Code monétaire et financier) ;</w:t>
      </w:r>
    </w:p>
    <w:p w:rsidR="00B77234" w:rsidRDefault="00B77234" w:rsidP="004A229A">
      <w:pPr>
        <w:pStyle w:val="SGACP-enumerationniveau1"/>
        <w:ind w:left="284" w:hanging="284"/>
      </w:pPr>
      <w:r>
        <w:t>modalités d’adopti</w:t>
      </w:r>
      <w:r w:rsidR="00156279">
        <w:t>on et de révision des principes</w:t>
      </w:r>
      <w:r>
        <w:t xml:space="preserve"> généraux de la politique de rémunération et de sa mise en œuvre (</w:t>
      </w:r>
      <w:r w:rsidR="00266335">
        <w:t xml:space="preserve">cf. </w:t>
      </w:r>
      <w:r>
        <w:t>article</w:t>
      </w:r>
      <w:r w:rsidR="007564B0">
        <w:t>s</w:t>
      </w:r>
      <w:r>
        <w:t xml:space="preserve"> L.511-72 </w:t>
      </w:r>
      <w:r w:rsidR="007564B0">
        <w:t xml:space="preserve">ou L. 533-30-1 </w:t>
      </w:r>
      <w:r>
        <w:t>du Code monétaire et financier) ;</w:t>
      </w:r>
    </w:p>
    <w:p w:rsidR="00A735BD" w:rsidRDefault="00743C3A" w:rsidP="004A229A">
      <w:pPr>
        <w:pStyle w:val="SGACP-enumerationniveau1"/>
        <w:ind w:left="284" w:hanging="284"/>
      </w:pPr>
      <w:r>
        <w:t>d</w:t>
      </w:r>
      <w:r w:rsidR="00463A1C" w:rsidRPr="007F2900">
        <w:t>ans le cadre de l</w:t>
      </w:r>
      <w:r w:rsidR="001224E7">
        <w:t>’</w:t>
      </w:r>
      <w:r w:rsidR="00463A1C" w:rsidRPr="007F2900">
        <w:t>examen par l</w:t>
      </w:r>
      <w:r w:rsidR="001224E7">
        <w:t>’</w:t>
      </w:r>
      <w:r w:rsidR="00463A1C" w:rsidRPr="007F2900">
        <w:t xml:space="preserve">organe </w:t>
      </w:r>
      <w:r w:rsidR="0094273B">
        <w:t>de surveillance</w:t>
      </w:r>
      <w:r w:rsidR="0094273B" w:rsidRPr="007F2900">
        <w:t xml:space="preserve"> </w:t>
      </w:r>
      <w:r w:rsidR="00463A1C" w:rsidRPr="007F2900">
        <w:t>des incidents significatifs révélés par les procédures de contrôle interne, principales insuffisances constatées, enseignements tirés de l</w:t>
      </w:r>
      <w:r w:rsidR="001224E7">
        <w:t>’</w:t>
      </w:r>
      <w:r w:rsidR="00463A1C" w:rsidRPr="007F2900">
        <w:t>analyse et mesures prises le cas échéant pour y remédier (cf. article</w:t>
      </w:r>
      <w:r w:rsidR="00A735BD">
        <w:t> 252</w:t>
      </w:r>
      <w:r w:rsidR="002B4164">
        <w:t xml:space="preserve"> de l’arrêté du 3 novembre 2014</w:t>
      </w:r>
      <w:r w:rsidR="0068699A">
        <w:t xml:space="preserve"> modifié</w:t>
      </w:r>
      <w:r w:rsidR="00536A71">
        <w:t>)</w:t>
      </w:r>
      <w:r w:rsidR="00A735BD">
        <w:t> ;</w:t>
      </w:r>
    </w:p>
    <w:p w:rsidR="00A735BD" w:rsidRDefault="00A735BD" w:rsidP="004A229A">
      <w:pPr>
        <w:pStyle w:val="SGACP-enumerationniveau1"/>
        <w:ind w:left="284" w:hanging="284"/>
      </w:pPr>
      <w:r>
        <w:t>d</w:t>
      </w:r>
      <w:r w:rsidRPr="007F2900">
        <w:t>ates auxquelles l</w:t>
      </w:r>
      <w:r>
        <w:t>’</w:t>
      </w:r>
      <w:r w:rsidRPr="007F2900">
        <w:t xml:space="preserve">organe </w:t>
      </w:r>
      <w:r>
        <w:t>de surveillance</w:t>
      </w:r>
      <w:r w:rsidRPr="007F2900">
        <w:t xml:space="preserve"> a examiné l</w:t>
      </w:r>
      <w:r>
        <w:t>’</w:t>
      </w:r>
      <w:r w:rsidRPr="007F2900">
        <w:t>activité et les résultats du contrôle intern</w:t>
      </w:r>
      <w:r>
        <w:t>e au cours de l’exercice écoulé ;</w:t>
      </w:r>
    </w:p>
    <w:p w:rsidR="004A229A" w:rsidRDefault="00A735BD" w:rsidP="004A229A">
      <w:pPr>
        <w:pStyle w:val="SGACP-enumerationniveau1"/>
        <w:ind w:left="284" w:hanging="284"/>
      </w:pPr>
      <w:r>
        <w:t>dates d’approbation des limites globales de risques par l’organe de surveillance, après consultation le cas échéant du comité des risques (cf. article 224 de l’arrêté du 3 novembre 2014</w:t>
      </w:r>
      <w:r w:rsidR="0068699A">
        <w:t xml:space="preserve"> modifié</w:t>
      </w:r>
      <w:r>
        <w:t>)</w:t>
      </w:r>
      <w:r w:rsidR="00743C3A">
        <w:t>.</w:t>
      </w:r>
    </w:p>
    <w:p w:rsidR="00D30821" w:rsidRDefault="00D30821" w:rsidP="00460E3D">
      <w:pPr>
        <w:pStyle w:val="SGACP-sous-titrederubriqueniveau3"/>
        <w:ind w:left="0" w:firstLine="0"/>
      </w:pPr>
      <w:bookmarkStart w:id="26" w:name="_Toc266799782"/>
      <w:r>
        <w:br w:type="page"/>
      </w:r>
    </w:p>
    <w:p w:rsidR="007D2D09" w:rsidRDefault="00463A1C" w:rsidP="00D63D99">
      <w:pPr>
        <w:pStyle w:val="SGACP-sous-titrederubriquenivaeu2"/>
        <w:keepNext/>
        <w:keepLines/>
        <w:numPr>
          <w:ilvl w:val="1"/>
          <w:numId w:val="2"/>
        </w:numPr>
        <w:ind w:left="567" w:hanging="567"/>
      </w:pPr>
      <w:r w:rsidRPr="007F2900">
        <w:lastRenderedPageBreak/>
        <w:t xml:space="preserve">Politique et pratiques de rémunération (y compris pour les filiales et succursales situées </w:t>
      </w:r>
      <w:r w:rsidR="00E55A5D" w:rsidRPr="007F2900">
        <w:t>à l</w:t>
      </w:r>
      <w:r w:rsidR="001224E7">
        <w:t>’</w:t>
      </w:r>
      <w:r w:rsidR="00E55A5D" w:rsidRPr="007F2900">
        <w:t xml:space="preserve">étranger) </w:t>
      </w:r>
    </w:p>
    <w:bookmarkEnd w:id="26"/>
    <w:p w:rsidR="005E2EF3" w:rsidRDefault="005E2EF3" w:rsidP="00460E3D"/>
    <w:p w:rsidR="00463A1C" w:rsidRPr="008335E0" w:rsidRDefault="00463A1C" w:rsidP="002C1BF5">
      <w:pPr>
        <w:pStyle w:val="SGACP-textecourant"/>
        <w:keepNext/>
        <w:keepLines/>
        <w:rPr>
          <w:b/>
          <w:i/>
          <w:iCs/>
        </w:rPr>
      </w:pPr>
      <w:r w:rsidRPr="008335E0">
        <w:rPr>
          <w:b/>
          <w:i/>
          <w:iCs/>
        </w:rPr>
        <w:t>Cette partie peut faire l</w:t>
      </w:r>
      <w:r w:rsidR="001224E7">
        <w:rPr>
          <w:b/>
          <w:i/>
          <w:iCs/>
        </w:rPr>
        <w:t>’</w:t>
      </w:r>
      <w:r w:rsidRPr="008335E0">
        <w:rPr>
          <w:b/>
          <w:i/>
          <w:iCs/>
        </w:rPr>
        <w:t>objet d</w:t>
      </w:r>
      <w:r w:rsidR="001224E7">
        <w:rPr>
          <w:b/>
          <w:i/>
          <w:iCs/>
        </w:rPr>
        <w:t>’</w:t>
      </w:r>
      <w:r w:rsidRPr="008335E0">
        <w:rPr>
          <w:b/>
          <w:i/>
          <w:iCs/>
        </w:rPr>
        <w:t>un rapport distinct</w:t>
      </w:r>
      <w:r w:rsidR="00A61041">
        <w:rPr>
          <w:b/>
          <w:i/>
          <w:iCs/>
        </w:rPr>
        <w:t>.</w:t>
      </w:r>
    </w:p>
    <w:p w:rsidR="00937489" w:rsidRDefault="00937489" w:rsidP="00460E3D">
      <w:bookmarkStart w:id="27" w:name="_Toc266799783"/>
    </w:p>
    <w:p w:rsidR="000E3BD9" w:rsidRDefault="00937489">
      <w:pPr>
        <w:pStyle w:val="SGACP-sous-titrederubriqueniveau3"/>
        <w:keepNext/>
        <w:keepLines/>
      </w:pPr>
      <w:r>
        <w:t>3.</w:t>
      </w:r>
      <w:r w:rsidR="00C832E3">
        <w:t>3</w:t>
      </w:r>
      <w:r>
        <w:t>.1</w:t>
      </w:r>
      <w:r w:rsidR="00710008">
        <w:t>.</w:t>
      </w:r>
      <w:r>
        <w:tab/>
      </w:r>
      <w:r w:rsidR="00463A1C" w:rsidRPr="007F2900">
        <w:t>Gouvernance de la politique de rémunération</w:t>
      </w:r>
      <w:bookmarkEnd w:id="27"/>
      <w:r w:rsidR="00743C3A">
        <w:t> :</w:t>
      </w:r>
    </w:p>
    <w:p w:rsidR="000E3BD9" w:rsidRPr="007F2900" w:rsidRDefault="000E3BD9" w:rsidP="002C1BF5">
      <w:pPr>
        <w:pStyle w:val="SGACP-enumerationniveau1"/>
        <w:ind w:left="284" w:hanging="284"/>
      </w:pPr>
      <w:r>
        <w:t>d</w:t>
      </w:r>
      <w:r w:rsidRPr="007F2900">
        <w:t>ate de constitution, composition</w:t>
      </w:r>
      <w:r>
        <w:t>,</w:t>
      </w:r>
      <w:r w:rsidRPr="007F2900">
        <w:t xml:space="preserve"> </w:t>
      </w:r>
      <w:r>
        <w:t xml:space="preserve">durée du </w:t>
      </w:r>
      <w:r w:rsidRPr="007F2900">
        <w:t>mandat</w:t>
      </w:r>
      <w:r w:rsidR="001B43FF">
        <w:t>, modalités de fonctionnement</w:t>
      </w:r>
      <w:r w:rsidRPr="007F2900">
        <w:t xml:space="preserve"> </w:t>
      </w:r>
      <w:r>
        <w:t>et compétences</w:t>
      </w:r>
      <w:r w:rsidRPr="007F2900">
        <w:t xml:space="preserve"> du comité de rémunération</w:t>
      </w:r>
      <w:r>
        <w:t> </w:t>
      </w:r>
      <w:r w:rsidR="00575B1D">
        <w:t xml:space="preserve">visé à l’article L.511-102 </w:t>
      </w:r>
      <w:r w:rsidR="00134277">
        <w:t xml:space="preserve">ou L. 533-31-4 </w:t>
      </w:r>
      <w:r w:rsidR="00575B1D">
        <w:t xml:space="preserve">du Code monétaire et financier </w:t>
      </w:r>
      <w:r w:rsidR="00B276BE">
        <w:t xml:space="preserve">et à la partie 2.4.2 des Orientations </w:t>
      </w:r>
      <w:r w:rsidR="007B779D">
        <w:t>ABE</w:t>
      </w:r>
      <w:r w:rsidR="00B276BE">
        <w:t xml:space="preserve"> </w:t>
      </w:r>
      <w:r w:rsidR="00134277">
        <w:t>n°2021/04 ou à la partie 2.3.2 des Orientations ABE n°2021/13</w:t>
      </w:r>
      <w:r>
        <w:t>;</w:t>
      </w:r>
    </w:p>
    <w:p w:rsidR="004A229A" w:rsidRDefault="00743C3A" w:rsidP="004A229A">
      <w:pPr>
        <w:pStyle w:val="SGACP-enumerationniveau1"/>
        <w:ind w:left="284" w:hanging="284"/>
      </w:pPr>
      <w:r>
        <w:t>d</w:t>
      </w:r>
      <w:r w:rsidR="00463A1C" w:rsidRPr="007F2900">
        <w:t xml:space="preserve">escription </w:t>
      </w:r>
      <w:r w:rsidR="00627647">
        <w:t>des principes généraux</w:t>
      </w:r>
      <w:r w:rsidR="00463A1C" w:rsidRPr="007F2900">
        <w:t xml:space="preserve"> de la politique de rémunération </w:t>
      </w:r>
      <w:r w:rsidR="00627647">
        <w:t>définie en application de l’article L</w:t>
      </w:r>
      <w:r w:rsidR="005E2EF3">
        <w:t xml:space="preserve">. </w:t>
      </w:r>
      <w:r w:rsidR="00627647">
        <w:t xml:space="preserve">511-72 </w:t>
      </w:r>
      <w:r w:rsidR="00134277">
        <w:t xml:space="preserve">ou L. 533-30 </w:t>
      </w:r>
      <w:r w:rsidR="00627647">
        <w:t xml:space="preserve">du </w:t>
      </w:r>
      <w:r w:rsidR="00C8170B">
        <w:t>C</w:t>
      </w:r>
      <w:r w:rsidR="00627647">
        <w:t xml:space="preserve">ode monétaire et financier </w:t>
      </w:r>
      <w:r w:rsidR="00804561">
        <w:t>(</w:t>
      </w:r>
      <w:r w:rsidR="00804561" w:rsidRPr="00FF0758">
        <w:t>modalités et date d</w:t>
      </w:r>
      <w:r w:rsidR="001224E7">
        <w:t>’</w:t>
      </w:r>
      <w:r w:rsidR="00804561" w:rsidRPr="00FF0758">
        <w:t>adoption, date de mise en œuvre, modalités de revue)</w:t>
      </w:r>
      <w:r w:rsidR="00804561">
        <w:t xml:space="preserve"> </w:t>
      </w:r>
      <w:r w:rsidR="00804561" w:rsidRPr="00FF0758">
        <w:t>ainsi que, le cas échéant, l</w:t>
      </w:r>
      <w:r w:rsidR="001224E7">
        <w:t>’</w:t>
      </w:r>
      <w:r w:rsidR="00804561" w:rsidRPr="00FF0758">
        <w:t>identité des consultants externes dont les services ont été utilisés pour définir la politique de rémunération</w:t>
      </w:r>
      <w:r w:rsidR="00804561" w:rsidRPr="007F2900">
        <w:t xml:space="preserve"> </w:t>
      </w:r>
      <w:r w:rsidR="00292843">
        <w:t>(</w:t>
      </w:r>
      <w:r w:rsidR="00463A1C" w:rsidRPr="007F2900">
        <w:t>cf. article</w:t>
      </w:r>
      <w:r w:rsidR="00292843">
        <w:t> </w:t>
      </w:r>
      <w:r w:rsidR="009767B5">
        <w:t>266</w:t>
      </w:r>
      <w:r w:rsidR="002906E2">
        <w:t xml:space="preserve"> </w:t>
      </w:r>
      <w:r w:rsidR="009767B5">
        <w:t>de l’arrêté du 3 novembre 2014</w:t>
      </w:r>
      <w:r w:rsidR="006653E9">
        <w:t xml:space="preserve"> modifié</w:t>
      </w:r>
      <w:r w:rsidR="00292843">
        <w:t>)</w:t>
      </w:r>
      <w:r>
        <w:t> ;</w:t>
      </w:r>
    </w:p>
    <w:p w:rsidR="00B276BE" w:rsidRDefault="00B276BE" w:rsidP="00B276BE">
      <w:pPr>
        <w:pStyle w:val="SGACP-enumerationniveau1"/>
        <w:ind w:left="284" w:hanging="284"/>
      </w:pPr>
      <w:r>
        <w:t>description du rôle des fonctions risques, conformité et support dans la conception et la mise en œuvre de la politique de rémunération (cf. paragraphes 3</w:t>
      </w:r>
      <w:r w:rsidR="00C80DDC">
        <w:t>6</w:t>
      </w:r>
      <w:r>
        <w:t>, 3</w:t>
      </w:r>
      <w:r w:rsidR="00C80DDC">
        <w:t>8</w:t>
      </w:r>
      <w:r>
        <w:t xml:space="preserve"> à </w:t>
      </w:r>
      <w:r w:rsidR="00C80DDC">
        <w:t>41</w:t>
      </w:r>
      <w:r>
        <w:t xml:space="preserve">, </w:t>
      </w:r>
      <w:r w:rsidR="00C80DDC">
        <w:t xml:space="preserve">60 </w:t>
      </w:r>
      <w:r>
        <w:t>à 6</w:t>
      </w:r>
      <w:r w:rsidR="00C80DDC">
        <w:t>2</w:t>
      </w:r>
      <w:r>
        <w:t xml:space="preserve"> des Orientations </w:t>
      </w:r>
      <w:r w:rsidR="007B779D">
        <w:t>ABE</w:t>
      </w:r>
      <w:r w:rsidR="00C80DDC" w:rsidRPr="00C80DDC">
        <w:t xml:space="preserve"> </w:t>
      </w:r>
      <w:r w:rsidR="00C80DDC">
        <w:t>n°2021/04 ou paragraphes 35, 37 à 40, 56 à 58 des Orientations ABE n°2021/13</w:t>
      </w:r>
      <w:r>
        <w:t>)</w:t>
      </w:r>
      <w:r w:rsidR="00D82F7B">
        <w:t> ;</w:t>
      </w:r>
    </w:p>
    <w:p w:rsidR="00FB7A7F" w:rsidRDefault="00FB7A7F" w:rsidP="004A229A">
      <w:pPr>
        <w:pStyle w:val="SGACP-enumerationniveau1"/>
        <w:ind w:left="284" w:hanging="284"/>
      </w:pPr>
      <w:r>
        <w:t>date et relevé des conclusions de l’évaluation interne destinée à s’assurer du respect de la politique et des procédures en matière de rémunérations adoptées par l’organe de surveillance (cf. article L</w:t>
      </w:r>
      <w:r w:rsidR="00545B0F">
        <w:t>.511-</w:t>
      </w:r>
      <w:r>
        <w:t xml:space="preserve">74 </w:t>
      </w:r>
      <w:r w:rsidR="00134277">
        <w:t xml:space="preserve">ou L. 533-30-2 </w:t>
      </w:r>
      <w:r>
        <w:t>du Code monétaire et financier).</w:t>
      </w:r>
    </w:p>
    <w:p w:rsidR="00937489" w:rsidRDefault="00937489" w:rsidP="00460E3D">
      <w:bookmarkStart w:id="28" w:name="_Toc266799784"/>
    </w:p>
    <w:p w:rsidR="00463A1C" w:rsidRDefault="00937489" w:rsidP="00937489">
      <w:pPr>
        <w:pStyle w:val="SGACP-sous-titrederubriqueniveau3"/>
      </w:pPr>
      <w:r>
        <w:t>3.</w:t>
      </w:r>
      <w:r w:rsidR="00C832E3">
        <w:t>3</w:t>
      </w:r>
      <w:r>
        <w:t>.2</w:t>
      </w:r>
      <w:r w:rsidR="00710008">
        <w:t>.</w:t>
      </w:r>
      <w:r>
        <w:tab/>
      </w:r>
      <w:r w:rsidR="00463A1C" w:rsidRPr="007F2900">
        <w:t>Principales caractéristiques de la politique de rémunération</w:t>
      </w:r>
      <w:bookmarkEnd w:id="28"/>
      <w:r w:rsidR="00A61041">
        <w:t> :</w:t>
      </w:r>
    </w:p>
    <w:p w:rsidR="004A229A" w:rsidRDefault="00743C3A" w:rsidP="004A229A">
      <w:pPr>
        <w:pStyle w:val="SGACP-enumerationniveau1"/>
        <w:ind w:left="284" w:hanging="284"/>
      </w:pPr>
      <w:r>
        <w:t>d</w:t>
      </w:r>
      <w:r w:rsidR="00463A1C" w:rsidRPr="007F2900">
        <w:t>escription de la politique de rémunération de l</w:t>
      </w:r>
      <w:r w:rsidR="001224E7">
        <w:t>’</w:t>
      </w:r>
      <w:r w:rsidR="00463A1C" w:rsidRPr="007F2900">
        <w:t>établissement notamment (</w:t>
      </w:r>
      <w:r w:rsidR="00292843">
        <w:t>c</w:t>
      </w:r>
      <w:r w:rsidR="00292843" w:rsidRPr="007F2900">
        <w:t>f</w:t>
      </w:r>
      <w:r w:rsidR="00463A1C" w:rsidRPr="007F2900">
        <w:t xml:space="preserve">. </w:t>
      </w:r>
      <w:r w:rsidR="00292843" w:rsidRPr="007F2900">
        <w:t>article</w:t>
      </w:r>
      <w:r w:rsidR="00292843">
        <w:t> </w:t>
      </w:r>
      <w:r w:rsidR="009767B5">
        <w:t>266 de l’arrêté du 3 novembre 2014</w:t>
      </w:r>
      <w:r w:rsidR="006653E9">
        <w:t xml:space="preserve"> modifié</w:t>
      </w:r>
      <w:r w:rsidR="00463A1C" w:rsidRPr="007F2900">
        <w:t>) :</w:t>
      </w:r>
    </w:p>
    <w:p w:rsidR="004A229A" w:rsidRDefault="00743C3A" w:rsidP="00924745">
      <w:pPr>
        <w:pStyle w:val="SGACP-enumerationniveau2"/>
        <w:numPr>
          <w:ilvl w:val="0"/>
          <w:numId w:val="26"/>
        </w:numPr>
        <w:ind w:left="567" w:hanging="283"/>
      </w:pPr>
      <w:r w:rsidRPr="00DD61ED">
        <w:t>d</w:t>
      </w:r>
      <w:r w:rsidR="00463A1C" w:rsidRPr="00DD61ED">
        <w:t xml:space="preserve">es critères </w:t>
      </w:r>
      <w:r w:rsidR="00B276BE">
        <w:t xml:space="preserve">(relatifs, absolus, quantitatifs, qualitatifs) </w:t>
      </w:r>
      <w:r w:rsidR="00463A1C" w:rsidRPr="00DD61ED">
        <w:t>utilisés pour mesurer la performance et ajuster la rémunération au risque</w:t>
      </w:r>
      <w:r w:rsidR="00B276BE">
        <w:t xml:space="preserve"> (cf. paragraphe </w:t>
      </w:r>
      <w:r w:rsidR="00134277">
        <w:t xml:space="preserve">215 </w:t>
      </w:r>
      <w:r w:rsidR="00B276BE">
        <w:t xml:space="preserve">des Orientations </w:t>
      </w:r>
      <w:r w:rsidR="007B779D">
        <w:t>ABE</w:t>
      </w:r>
      <w:r w:rsidR="00134277">
        <w:t xml:space="preserve"> n°2021/04 ou paragraphe 209 des Orientations ABE n°2021/13</w:t>
      </w:r>
      <w:r w:rsidR="00B276BE">
        <w:t>)</w:t>
      </w:r>
      <w:r w:rsidR="004A229A" w:rsidRPr="004A229A">
        <w:t>,</w:t>
      </w:r>
    </w:p>
    <w:p w:rsidR="004A229A" w:rsidRDefault="004A229A" w:rsidP="00924745">
      <w:pPr>
        <w:pStyle w:val="SGACP-enumerationniveau2"/>
        <w:numPr>
          <w:ilvl w:val="0"/>
          <w:numId w:val="26"/>
        </w:numPr>
        <w:ind w:left="567" w:hanging="283"/>
      </w:pPr>
      <w:r w:rsidRPr="004A229A">
        <w:t xml:space="preserve">des critères </w:t>
      </w:r>
      <w:r w:rsidR="00B276BE">
        <w:t xml:space="preserve">(relatifs, absolus, quantitatifs, qualitatifs) </w:t>
      </w:r>
      <w:r w:rsidRPr="004A229A">
        <w:t>définis pour définir le lien entre rémunération et performance</w:t>
      </w:r>
      <w:r w:rsidR="00B276BE">
        <w:t xml:space="preserve"> (cf. paragraphe </w:t>
      </w:r>
      <w:r w:rsidR="00134277">
        <w:t xml:space="preserve">215 </w:t>
      </w:r>
      <w:r w:rsidR="00B276BE">
        <w:t xml:space="preserve">des Orientations </w:t>
      </w:r>
      <w:r w:rsidR="007B779D">
        <w:t>ABE</w:t>
      </w:r>
      <w:r w:rsidR="00134277">
        <w:t xml:space="preserve"> n°2021/04 ou paragraphe 209 des </w:t>
      </w:r>
      <w:r w:rsidR="009644F4">
        <w:t>Orientations ABE n°2021/13</w:t>
      </w:r>
      <w:r w:rsidR="00B276BE">
        <w:t>)</w:t>
      </w:r>
      <w:r w:rsidRPr="004A229A">
        <w:t>,</w:t>
      </w:r>
    </w:p>
    <w:p w:rsidR="004A229A" w:rsidRDefault="004A229A" w:rsidP="00924745">
      <w:pPr>
        <w:pStyle w:val="SGACP-enumerationniveau2"/>
        <w:numPr>
          <w:ilvl w:val="0"/>
          <w:numId w:val="26"/>
        </w:numPr>
        <w:ind w:left="567" w:hanging="283"/>
      </w:pPr>
      <w:r w:rsidRPr="004A229A">
        <w:t>de la politique en matière d</w:t>
      </w:r>
      <w:r w:rsidR="001224E7">
        <w:t>’</w:t>
      </w:r>
      <w:r w:rsidRPr="004A229A">
        <w:t>étalement des rémunérations,</w:t>
      </w:r>
    </w:p>
    <w:p w:rsidR="004A229A" w:rsidRDefault="004A229A" w:rsidP="00924745">
      <w:pPr>
        <w:pStyle w:val="SGACP-enumerationniveau2"/>
        <w:numPr>
          <w:ilvl w:val="0"/>
          <w:numId w:val="26"/>
        </w:numPr>
        <w:ind w:left="567" w:hanging="283"/>
      </w:pPr>
      <w:r w:rsidRPr="004A229A">
        <w:t xml:space="preserve">de la politique de rémunérations </w:t>
      </w:r>
      <w:r w:rsidR="00092995">
        <w:t xml:space="preserve">variables </w:t>
      </w:r>
      <w:r w:rsidRPr="004A229A">
        <w:t>garanties</w:t>
      </w:r>
      <w:r w:rsidR="00092995">
        <w:t xml:space="preserve"> exceptionnellement accordées</w:t>
      </w:r>
      <w:r w:rsidR="00823F9E">
        <w:t xml:space="preserve"> dans les conditions prévues à l’article L.511-77 </w:t>
      </w:r>
      <w:r w:rsidR="00134277">
        <w:t xml:space="preserve">ou L. 533-30-8 </w:t>
      </w:r>
      <w:r w:rsidR="00823F9E">
        <w:t>du Code monétaire et financier</w:t>
      </w:r>
      <w:r w:rsidRPr="004A229A">
        <w:t>,</w:t>
      </w:r>
    </w:p>
    <w:p w:rsidR="004A229A" w:rsidRDefault="004A229A" w:rsidP="00924745">
      <w:pPr>
        <w:pStyle w:val="SGACP-enumerationniveau2"/>
        <w:numPr>
          <w:ilvl w:val="0"/>
          <w:numId w:val="26"/>
        </w:numPr>
        <w:ind w:left="567" w:hanging="283"/>
      </w:pPr>
      <w:r w:rsidRPr="004A229A">
        <w:t>des critères utilisés pour déterminer la proportion des montants en espèces par rapport à d</w:t>
      </w:r>
      <w:r w:rsidR="001224E7">
        <w:t>’</w:t>
      </w:r>
      <w:r w:rsidRPr="004A229A">
        <w:t>autres formes de rémunération</w:t>
      </w:r>
      <w:r w:rsidR="00D82F7B">
        <w:t>,</w:t>
      </w:r>
    </w:p>
    <w:p w:rsidR="00B276BE" w:rsidRDefault="00B276BE" w:rsidP="00924745">
      <w:pPr>
        <w:pStyle w:val="SGACP-enumerationniveau2"/>
        <w:numPr>
          <w:ilvl w:val="0"/>
          <w:numId w:val="26"/>
        </w:numPr>
        <w:ind w:left="567" w:hanging="283"/>
      </w:pPr>
      <w:r>
        <w:t>des critères utilisés pour déterminer les montants en cas de résiliation anticipée du contrat de travail, sous réserve des dispositions applicables du code du travail (cf. paragraphe 1</w:t>
      </w:r>
      <w:r w:rsidR="00134277">
        <w:t>62</w:t>
      </w:r>
      <w:r>
        <w:t xml:space="preserve"> des Orientations</w:t>
      </w:r>
      <w:r w:rsidR="00134277">
        <w:t xml:space="preserve"> n°2021/04 ou paragraphe 155 des Orientations ABE n°2021/13</w:t>
      </w:r>
      <w:r>
        <w:t>)</w:t>
      </w:r>
      <w:r w:rsidR="00D82F7B">
        <w:t>,</w:t>
      </w:r>
    </w:p>
    <w:p w:rsidR="00B276BE" w:rsidRDefault="00B276BE" w:rsidP="00924745">
      <w:pPr>
        <w:pStyle w:val="SGACP-enumerationniveau2"/>
        <w:numPr>
          <w:ilvl w:val="0"/>
          <w:numId w:val="26"/>
        </w:numPr>
        <w:ind w:left="567" w:hanging="283"/>
      </w:pPr>
      <w:r>
        <w:t>de la politique en place pour prévenir le contournement de la réglementation par le personnel à travers les mécanismes de couverture individuelle (cf. partie 10.1 des Orientations</w:t>
      </w:r>
      <w:r w:rsidR="00134277">
        <w:t xml:space="preserve"> ABE</w:t>
      </w:r>
      <w:r w:rsidR="00785726">
        <w:t xml:space="preserve"> n°2021/04 ou n°2021/13</w:t>
      </w:r>
      <w:r>
        <w:t>)</w:t>
      </w:r>
      <w:r w:rsidR="00A632BF">
        <w:t>,</w:t>
      </w:r>
    </w:p>
    <w:p w:rsidR="00A632BF" w:rsidRDefault="00A632BF" w:rsidP="00922D48">
      <w:pPr>
        <w:pStyle w:val="SGACP-enumerationniveau2"/>
        <w:numPr>
          <w:ilvl w:val="0"/>
          <w:numId w:val="26"/>
        </w:numPr>
        <w:ind w:left="567" w:hanging="283"/>
      </w:pPr>
      <w:r>
        <w:t>des écarts de rémunération entre les femmes et les hommes</w:t>
      </w:r>
      <w:r w:rsidR="009644F4">
        <w:t> : détail du dispositif permettant de réaliser un suivi des écarts de rémunération pour la population concernée</w:t>
      </w:r>
      <w:r w:rsidR="00B13BB1">
        <w:rPr>
          <w:rStyle w:val="Appelnotedebasdep"/>
        </w:rPr>
        <w:footnoteReference w:id="2"/>
      </w:r>
      <w:r w:rsidR="009644F4">
        <w:t xml:space="preserve"> (cf. a</w:t>
      </w:r>
      <w:r w:rsidR="009644F4">
        <w:rPr>
          <w:rFonts w:cs="Arial"/>
          <w:bCs/>
        </w:rPr>
        <w:t>rticle 511-71 du Code monétaire et f</w:t>
      </w:r>
      <w:r w:rsidR="009644F4" w:rsidRPr="00C432DC">
        <w:rPr>
          <w:rFonts w:cs="Arial"/>
          <w:bCs/>
        </w:rPr>
        <w:t>inancier</w:t>
      </w:r>
      <w:r w:rsidR="009644F4">
        <w:t>, a</w:t>
      </w:r>
      <w:r w:rsidR="009644F4" w:rsidRPr="00C432DC">
        <w:t>rtic</w:t>
      </w:r>
      <w:r w:rsidR="009644F4">
        <w:t>le 266 de l’a</w:t>
      </w:r>
      <w:r w:rsidR="009644F4" w:rsidRPr="00C432DC">
        <w:t>rrêté du 3 novembre 201</w:t>
      </w:r>
      <w:r w:rsidR="009644F4">
        <w:t xml:space="preserve">4 modifié et paragraphes </w:t>
      </w:r>
      <w:r w:rsidR="009644F4" w:rsidRPr="00C432DC">
        <w:t>63, 64 et 65</w:t>
      </w:r>
      <w:r w:rsidR="009644F4">
        <w:t xml:space="preserve"> des </w:t>
      </w:r>
      <w:r w:rsidR="009644F4" w:rsidRPr="00C432DC">
        <w:t xml:space="preserve">Orientations </w:t>
      </w:r>
      <w:r w:rsidR="009644F4">
        <w:t xml:space="preserve">ABE </w:t>
      </w:r>
      <w:r w:rsidR="00F92ADD">
        <w:t>n°2021/04 ou paragraphes 59, 60 et 61 des Orientations ABE n°2021/13</w:t>
      </w:r>
      <w:r w:rsidR="009644F4">
        <w:t>)</w:t>
      </w:r>
      <w:r>
        <w:t>.</w:t>
      </w:r>
    </w:p>
    <w:p w:rsidR="00B276BE" w:rsidRDefault="00B276BE" w:rsidP="00B276BE">
      <w:pPr>
        <w:pStyle w:val="SGACP-enumerationniveau1"/>
        <w:ind w:left="284" w:hanging="284"/>
      </w:pPr>
      <w:r>
        <w:lastRenderedPageBreak/>
        <w:t>le cas échéant, description</w:t>
      </w:r>
      <w:r w:rsidR="00330247">
        <w:t xml:space="preserve">, </w:t>
      </w:r>
      <w:r>
        <w:t>périmètre</w:t>
      </w:r>
      <w:r w:rsidR="00330247">
        <w:t xml:space="preserve"> et justification</w:t>
      </w:r>
      <w:r>
        <w:t xml:space="preserve"> des exemptions prévues aux articles 198 et 199 de l’arrêté du 3 novembre 2014 </w:t>
      </w:r>
      <w:r w:rsidR="00192F7C">
        <w:t xml:space="preserve">modifié </w:t>
      </w:r>
      <w:r>
        <w:t>appliquées par l’établissement</w:t>
      </w:r>
      <w:r w:rsidR="007F067C">
        <w:t xml:space="preserve"> </w:t>
      </w:r>
      <w:r>
        <w:t xml:space="preserve">; </w:t>
      </w:r>
    </w:p>
    <w:p w:rsidR="007665F5" w:rsidRDefault="007F067C" w:rsidP="007F067C">
      <w:pPr>
        <w:pStyle w:val="SGACP-enumerationniveau1"/>
        <w:ind w:left="284" w:hanging="284"/>
      </w:pPr>
      <w:r>
        <w:t xml:space="preserve">dans le cas </w:t>
      </w:r>
      <w:r w:rsidRPr="007F067C">
        <w:t>d’un groupe bancaire soumis à la surveillance sur base consolidée</w:t>
      </w:r>
      <w:r>
        <w:t xml:space="preserve">, description du dispositif mis en place le cas échéant au sein des filiales </w:t>
      </w:r>
      <w:r w:rsidRPr="007F067C">
        <w:t>soci</w:t>
      </w:r>
      <w:r>
        <w:t>étés de gestion de portefeuille</w:t>
      </w:r>
      <w:r w:rsidRPr="007F067C">
        <w:t xml:space="preserve"> </w:t>
      </w:r>
      <w:r>
        <w:t>ou entreprises d’assurance ou</w:t>
      </w:r>
      <w:r w:rsidRPr="007F067C">
        <w:t xml:space="preserve"> réassurance</w:t>
      </w:r>
      <w:r>
        <w:t xml:space="preserve"> pour les personnels dont l’activité peut avoir une incidence significative directe sur le profil de risque ou les activités des établissements de crédit, des entreprises d’investissement et des sociétés de financement du groupe </w:t>
      </w:r>
      <w:r w:rsidRPr="007F2900">
        <w:t>(</w:t>
      </w:r>
      <w:r>
        <w:t>c</w:t>
      </w:r>
      <w:r w:rsidRPr="007F2900">
        <w:t>f. article</w:t>
      </w:r>
      <w:r>
        <w:t> 200 de l’arrêté du 3 novembre 2014 modifié</w:t>
      </w:r>
      <w:r w:rsidRPr="007F2900">
        <w:t>)</w:t>
      </w:r>
      <w:r>
        <w:t> ;</w:t>
      </w:r>
    </w:p>
    <w:p w:rsidR="00331B88" w:rsidRDefault="00743C3A" w:rsidP="004F3BB8">
      <w:pPr>
        <w:pStyle w:val="SGACP-enumerationniveau1"/>
        <w:ind w:left="284" w:hanging="284"/>
      </w:pPr>
      <w:r>
        <w:t>d</w:t>
      </w:r>
      <w:r w:rsidR="00463A1C" w:rsidRPr="007F2900">
        <w:t xml:space="preserve">escription de la politique de rémunération des personnels des unités chargées de la validation et de la vérification des opérations </w:t>
      </w:r>
      <w:r w:rsidR="00463A1C" w:rsidRPr="00156279">
        <w:t>(</w:t>
      </w:r>
      <w:r w:rsidR="00292843" w:rsidRPr="00156279">
        <w:t>cf</w:t>
      </w:r>
      <w:r w:rsidR="00463A1C" w:rsidRPr="00156279">
        <w:t xml:space="preserve">. </w:t>
      </w:r>
      <w:r w:rsidR="00292843" w:rsidRPr="00156279">
        <w:t>articles </w:t>
      </w:r>
      <w:r w:rsidR="002B4164" w:rsidRPr="00156279">
        <w:t>15 de l’arrêté du 3 novembre 2014</w:t>
      </w:r>
      <w:r w:rsidR="006653E9">
        <w:t xml:space="preserve"> modifié</w:t>
      </w:r>
      <w:r w:rsidR="007F3C6C" w:rsidRPr="005813F0">
        <w:t>, L. 511-71 et L.</w:t>
      </w:r>
      <w:r w:rsidR="00681F94">
        <w:t> </w:t>
      </w:r>
      <w:r w:rsidR="007F3C6C" w:rsidRPr="005813F0">
        <w:t>511-75</w:t>
      </w:r>
      <w:r w:rsidR="001F786C">
        <w:t xml:space="preserve"> ou L. 533-30 et L.533-30-3</w:t>
      </w:r>
      <w:r w:rsidR="007F3C6C" w:rsidRPr="005813F0">
        <w:t xml:space="preserve"> du Code monétaire et financier</w:t>
      </w:r>
      <w:r w:rsidR="00B276BE" w:rsidRPr="00B276BE">
        <w:t xml:space="preserve"> </w:t>
      </w:r>
      <w:r w:rsidR="00B276BE">
        <w:t xml:space="preserve">et parties 12 et 14.1.3 des Orientations </w:t>
      </w:r>
      <w:r w:rsidR="007B779D">
        <w:t>ABE</w:t>
      </w:r>
      <w:r w:rsidR="00785726" w:rsidRPr="00785726">
        <w:t xml:space="preserve"> </w:t>
      </w:r>
      <w:r w:rsidR="00785726">
        <w:t>n°2021/04 ou n°2021/13</w:t>
      </w:r>
      <w:r w:rsidR="00463A1C" w:rsidRPr="00156279">
        <w:t>)</w:t>
      </w:r>
      <w:r w:rsidRPr="00156279">
        <w:t> ;</w:t>
      </w:r>
    </w:p>
    <w:p w:rsidR="00480DCD" w:rsidRDefault="00743C3A" w:rsidP="004F3BB8">
      <w:pPr>
        <w:pStyle w:val="SGACP-enumerationniveau1"/>
        <w:ind w:left="284" w:hanging="284"/>
      </w:pPr>
      <w:r>
        <w:t>m</w:t>
      </w:r>
      <w:r w:rsidR="00463A1C" w:rsidRPr="007F2900">
        <w:t>odalités de prise en compte de l</w:t>
      </w:r>
      <w:r w:rsidR="001224E7">
        <w:t>’</w:t>
      </w:r>
      <w:r w:rsidR="00463A1C" w:rsidRPr="007F2900">
        <w:t>ensemble des risques dans la détermination de l</w:t>
      </w:r>
      <w:r w:rsidR="001224E7">
        <w:t>’</w:t>
      </w:r>
      <w:r w:rsidR="00463A1C" w:rsidRPr="007F2900">
        <w:t xml:space="preserve">assiette de rémunération variable </w:t>
      </w:r>
      <w:r w:rsidR="00463A1C" w:rsidRPr="00210431">
        <w:t>(y compris d</w:t>
      </w:r>
      <w:r w:rsidR="007A7524" w:rsidRPr="00210431">
        <w:t>es</w:t>
      </w:r>
      <w:r w:rsidR="00463A1C" w:rsidRPr="00210431">
        <w:t xml:space="preserve"> risque</w:t>
      </w:r>
      <w:r w:rsidR="007A7524" w:rsidRPr="00210431">
        <w:t>s</w:t>
      </w:r>
      <w:r w:rsidR="00463A1C" w:rsidRPr="00210431">
        <w:t xml:space="preserve"> de liquidité inhérent</w:t>
      </w:r>
      <w:r w:rsidR="007A7524" w:rsidRPr="00210431">
        <w:t>s</w:t>
      </w:r>
      <w:r w:rsidR="00463A1C" w:rsidRPr="00210431">
        <w:t xml:space="preserve"> aux activités concernées ainsi que du capital nécessaire eu égard aux risques encourus)</w:t>
      </w:r>
      <w:r w:rsidR="00463A1C" w:rsidRPr="007F2900">
        <w:t xml:space="preserve"> </w:t>
      </w:r>
      <w:r w:rsidR="00CD5F54">
        <w:t>(cf. article</w:t>
      </w:r>
      <w:r w:rsidR="00A03D91">
        <w:t>s L. 511-76, L.511</w:t>
      </w:r>
      <w:r w:rsidR="00341AC9">
        <w:t xml:space="preserve">-77, </w:t>
      </w:r>
      <w:r w:rsidR="00A03D91">
        <w:t>L. 511-82</w:t>
      </w:r>
      <w:r w:rsidR="00CC5EB8">
        <w:t xml:space="preserve"> et L. 511-83 </w:t>
      </w:r>
      <w:r w:rsidR="001F786C">
        <w:t xml:space="preserve">ou L. 533-30-5, L. 533-30-8 et L. 533-30-12 </w:t>
      </w:r>
      <w:r w:rsidR="00A03D91">
        <w:t>du Code monétaire et financier</w:t>
      </w:r>
      <w:r w:rsidR="00B276BE" w:rsidRPr="00B276BE">
        <w:t xml:space="preserve"> </w:t>
      </w:r>
      <w:r w:rsidR="00B276BE">
        <w:t xml:space="preserve">et paragraphes </w:t>
      </w:r>
      <w:r w:rsidR="00B276BE" w:rsidRPr="00FA522B">
        <w:t>22</w:t>
      </w:r>
      <w:r w:rsidR="00FA522B">
        <w:t>3</w:t>
      </w:r>
      <w:r w:rsidR="00B276BE">
        <w:t xml:space="preserve">, </w:t>
      </w:r>
      <w:r w:rsidR="00C80DDC">
        <w:t xml:space="preserve">239 </w:t>
      </w:r>
      <w:r w:rsidR="0071051B">
        <w:t xml:space="preserve">des Orientations </w:t>
      </w:r>
      <w:r w:rsidR="007B779D">
        <w:t>ABE</w:t>
      </w:r>
      <w:r w:rsidR="00DF21EF" w:rsidRPr="00DF21EF">
        <w:t xml:space="preserve"> </w:t>
      </w:r>
      <w:r w:rsidR="00DF21EF">
        <w:t xml:space="preserve">n°2021/04 ou paragraphes 217 et </w:t>
      </w:r>
      <w:r w:rsidR="00A23DB2">
        <w:t>234</w:t>
      </w:r>
      <w:r w:rsidR="00DF21EF">
        <w:t xml:space="preserve"> des Orientations ABE n°2021/13</w:t>
      </w:r>
      <w:r w:rsidR="00CD5F54">
        <w:t>)</w:t>
      </w:r>
      <w:r w:rsidR="00B276BE" w:rsidRPr="00B276BE">
        <w:t xml:space="preserve"> </w:t>
      </w:r>
      <w:r w:rsidR="00B276BE">
        <w:t xml:space="preserve">ainsi que l’impact de la politique de rémunération sur le capital et la liquidité (cf. paragraphes </w:t>
      </w:r>
      <w:r w:rsidR="00C80DDC">
        <w:t xml:space="preserve">123 </w:t>
      </w:r>
      <w:r w:rsidR="00B276BE">
        <w:t xml:space="preserve">et </w:t>
      </w:r>
      <w:r w:rsidR="00C80DDC">
        <w:t xml:space="preserve">125 </w:t>
      </w:r>
      <w:r w:rsidR="00B276BE">
        <w:t xml:space="preserve">des Orientations </w:t>
      </w:r>
      <w:r w:rsidR="007B779D">
        <w:t>ABE</w:t>
      </w:r>
      <w:r w:rsidR="00863E7C">
        <w:t xml:space="preserve"> n°2021/04 ou paragraphes 118 et 120 des Orientations ABE n°2021/13</w:t>
      </w:r>
      <w:r w:rsidR="00B276BE">
        <w:t>) </w:t>
      </w:r>
      <w:r w:rsidR="00480DCD">
        <w:t> ;</w:t>
      </w:r>
    </w:p>
    <w:p w:rsidR="00331B88" w:rsidRDefault="00480DCD" w:rsidP="004F3BB8">
      <w:pPr>
        <w:pStyle w:val="SGACP-enumerationniveau1"/>
        <w:ind w:left="284" w:hanging="284"/>
      </w:pPr>
      <w:r>
        <w:t>date de la communication à l’ACPR</w:t>
      </w:r>
      <w:r w:rsidR="00F56F68">
        <w:t>, ou à la BCE selon les cas,</w:t>
      </w:r>
      <w:r>
        <w:t xml:space="preserve"> du plafond de la part variable proposé à l’assemblée générale compétente </w:t>
      </w:r>
      <w:r w:rsidR="00B276BE">
        <w:t>(</w:t>
      </w:r>
      <w:r w:rsidR="00B276BE" w:rsidRPr="005B1D5E">
        <w:rPr>
          <w:i/>
        </w:rPr>
        <w:t>pour rappel, l’assemblée générale compétente pour les employés d’une filiale est celle de la filiale</w:t>
      </w:r>
      <w:r w:rsidR="00B276BE">
        <w:rPr>
          <w:i/>
        </w:rPr>
        <w:t xml:space="preserve"> et non pas celle de l’entreprise-mère</w:t>
      </w:r>
      <w:r w:rsidR="00B276BE">
        <w:t xml:space="preserve">) </w:t>
      </w:r>
      <w:r>
        <w:t>et liste des personnes concernées par le plafonnement de la part variable de la rémunération et justification des choix, en application de l’article L.511-78 du Code monétaire et financier</w:t>
      </w:r>
      <w:r w:rsidR="00B276BE" w:rsidRPr="00B276BE">
        <w:t xml:space="preserve"> </w:t>
      </w:r>
      <w:r w:rsidR="00B276BE">
        <w:t xml:space="preserve">et de la section 2.3 des Orientations </w:t>
      </w:r>
      <w:r w:rsidR="007B779D">
        <w:t>ABE</w:t>
      </w:r>
      <w:r w:rsidR="00B276BE">
        <w:t xml:space="preserve">, et mention de toute éventuelle réduction du plafond en application du paragraphe 43 des Orientations </w:t>
      </w:r>
      <w:r w:rsidR="007B779D">
        <w:t>ABE</w:t>
      </w:r>
      <w:r w:rsidR="00CD5F54">
        <w:t xml:space="preserve">. </w:t>
      </w:r>
    </w:p>
    <w:p w:rsidR="00937489" w:rsidRDefault="00937489" w:rsidP="00463A1C">
      <w:bookmarkStart w:id="29" w:name="_Toc266799785"/>
    </w:p>
    <w:p w:rsidR="00E77850" w:rsidRDefault="00937489" w:rsidP="00935917">
      <w:pPr>
        <w:pStyle w:val="SGACP-sous-titrederubriqueniveau3"/>
        <w:jc w:val="left"/>
      </w:pPr>
      <w:r>
        <w:t>3.</w:t>
      </w:r>
      <w:r w:rsidR="00C832E3">
        <w:t>3</w:t>
      </w:r>
      <w:r>
        <w:t>.3</w:t>
      </w:r>
      <w:r w:rsidR="00710008">
        <w:t>.</w:t>
      </w:r>
      <w:r>
        <w:tab/>
      </w:r>
      <w:r w:rsidR="00463A1C" w:rsidRPr="007F2900">
        <w:t xml:space="preserve">Informations relatives aux rémunérations des </w:t>
      </w:r>
      <w:r w:rsidR="0003780F">
        <w:t>dirigeants effectifs</w:t>
      </w:r>
      <w:r w:rsidR="00463A1C" w:rsidRPr="007F2900">
        <w:t xml:space="preserve"> et des </w:t>
      </w:r>
      <w:r w:rsidR="00804561">
        <w:rPr>
          <w:szCs w:val="24"/>
        </w:rPr>
        <w:t xml:space="preserve">personnes </w:t>
      </w:r>
      <w:r w:rsidR="00404A3A">
        <w:rPr>
          <w:szCs w:val="24"/>
        </w:rPr>
        <w:t>dont les activités professionnelles ont une incidence significative sur le profil de risque de l</w:t>
      </w:r>
      <w:r w:rsidR="001224E7">
        <w:rPr>
          <w:szCs w:val="24"/>
        </w:rPr>
        <w:t>’</w:t>
      </w:r>
      <w:r w:rsidR="00404A3A">
        <w:rPr>
          <w:szCs w:val="24"/>
        </w:rPr>
        <w:t xml:space="preserve">entreprise </w:t>
      </w:r>
      <w:r w:rsidR="00404A3A">
        <w:t>(</w:t>
      </w:r>
      <w:r w:rsidR="00266335">
        <w:t xml:space="preserve">cf. </w:t>
      </w:r>
      <w:r w:rsidR="009E54C4">
        <w:t>article</w:t>
      </w:r>
      <w:r w:rsidR="005813F0">
        <w:t xml:space="preserve">s </w:t>
      </w:r>
      <w:r w:rsidR="009E54C4">
        <w:t>202</w:t>
      </w:r>
      <w:r w:rsidR="005813F0">
        <w:t xml:space="preserve"> </w:t>
      </w:r>
      <w:r w:rsidR="00410CA7">
        <w:t>ou, le cas échéant, 199</w:t>
      </w:r>
      <w:r w:rsidR="005813F0">
        <w:t>,</w:t>
      </w:r>
      <w:r w:rsidR="009E54C4">
        <w:t xml:space="preserve"> </w:t>
      </w:r>
      <w:r w:rsidR="00625CFE">
        <w:t>et au 5°) de l’article 266 de l’arrêté du 3 novembre 2014</w:t>
      </w:r>
      <w:r w:rsidR="00192F7C">
        <w:t xml:space="preserve"> modifié</w:t>
      </w:r>
      <w:r w:rsidR="00625CFE">
        <w:t xml:space="preserve">, ainsi qu’à l’article R.511-18 </w:t>
      </w:r>
      <w:r w:rsidR="002F7254" w:rsidRPr="002F7254">
        <w:t xml:space="preserve">ou R. 533-19 </w:t>
      </w:r>
      <w:r w:rsidR="00625CFE">
        <w:t>du Code monétaire et financier)</w:t>
      </w:r>
      <w:r w:rsidR="00707138">
        <w:t xml:space="preserve"> </w:t>
      </w:r>
      <w:r w:rsidR="00404A3A">
        <w:t>:</w:t>
      </w:r>
      <w:bookmarkEnd w:id="29"/>
    </w:p>
    <w:p w:rsidR="00707138" w:rsidRDefault="00707138" w:rsidP="00E77850">
      <w:pPr>
        <w:pStyle w:val="SGACP-textecourant"/>
      </w:pPr>
    </w:p>
    <w:p w:rsidR="00E77850" w:rsidRDefault="00E77850" w:rsidP="00E77850">
      <w:pPr>
        <w:pStyle w:val="SGACP-textecourant"/>
      </w:pPr>
      <w:r>
        <w:t>Indiquer :</w:t>
      </w:r>
    </w:p>
    <w:p w:rsidR="00331B88" w:rsidRDefault="00804561" w:rsidP="004F3BB8">
      <w:pPr>
        <w:pStyle w:val="SGACP-enumerationniveau1"/>
        <w:ind w:left="284" w:hanging="284"/>
      </w:pPr>
      <w:r>
        <w:t>les catégories de personnels concernés</w:t>
      </w:r>
      <w:r w:rsidR="00292843">
        <w:t> ;</w:t>
      </w:r>
    </w:p>
    <w:p w:rsidR="00331B88" w:rsidRDefault="00463A1C" w:rsidP="004F3BB8">
      <w:pPr>
        <w:pStyle w:val="SGACP-enumerationniveau1"/>
        <w:ind w:left="284" w:hanging="284"/>
      </w:pPr>
      <w:r w:rsidRPr="007F2900">
        <w:t>les montants globaux des rémunérations correspondant à l</w:t>
      </w:r>
      <w:r w:rsidR="001224E7">
        <w:t>’</w:t>
      </w:r>
      <w:r w:rsidRPr="007F2900">
        <w:t>exercice, répartis entre part fixe et part variable</w:t>
      </w:r>
      <w:r w:rsidR="00743C3A">
        <w:t>, et le nombre de bénéficiaires</w:t>
      </w:r>
      <w:r w:rsidR="00804561">
        <w:t>,</w:t>
      </w:r>
      <w:r w:rsidR="00804561" w:rsidRPr="00804561">
        <w:t xml:space="preserve"> </w:t>
      </w:r>
      <w:r w:rsidR="00804561">
        <w:t>indiquer également ces informations par domaine d</w:t>
      </w:r>
      <w:r w:rsidR="001224E7">
        <w:t>’</w:t>
      </w:r>
      <w:r w:rsidR="00804561">
        <w:t>activités</w:t>
      </w:r>
      <w:r w:rsidR="00743C3A">
        <w:t> ;</w:t>
      </w:r>
    </w:p>
    <w:p w:rsidR="00331B88" w:rsidRPr="005813F0" w:rsidRDefault="00463A1C" w:rsidP="005813F0">
      <w:pPr>
        <w:pStyle w:val="SGACP-enumerationniveau1"/>
        <w:ind w:left="284" w:hanging="284"/>
      </w:pPr>
      <w:r w:rsidRPr="007F2900">
        <w:t xml:space="preserve">les montants globaux et forme des rémunérations variables, répartis entre paiements en espèces, en actions et </w:t>
      </w:r>
      <w:r w:rsidR="00821A23">
        <w:t>droits de propriété équivalents</w:t>
      </w:r>
      <w:r w:rsidRPr="007F2900">
        <w:t xml:space="preserve">, et autres </w:t>
      </w:r>
      <w:r w:rsidR="003B7539">
        <w:t>instruments</w:t>
      </w:r>
      <w:r w:rsidR="005813F0" w:rsidRPr="005813F0">
        <w:t xml:space="preserve"> mentionnés aux articles 52 ou 63 du règlement (UE) n° 575/2013 du Parlement européen et </w:t>
      </w:r>
      <w:r w:rsidR="00AC73A6">
        <w:t xml:space="preserve">du Conseil du 26 juin 2013 ou </w:t>
      </w:r>
      <w:r w:rsidR="005813F0" w:rsidRPr="005813F0">
        <w:t>autres instruments susceptibles d'être totalement convertis en instruments de fonds propres de base ou amortis</w:t>
      </w:r>
      <w:r w:rsidR="003B7539">
        <w:t xml:space="preserve"> </w:t>
      </w:r>
      <w:r w:rsidRPr="00937489">
        <w:rPr>
          <w:i/>
        </w:rPr>
        <w:t>(indiquer la période d</w:t>
      </w:r>
      <w:r w:rsidR="001224E7">
        <w:rPr>
          <w:i/>
        </w:rPr>
        <w:t>’</w:t>
      </w:r>
      <w:r w:rsidRPr="00937489">
        <w:rPr>
          <w:i/>
        </w:rPr>
        <w:t>acquisition ou de durée de détention minimale des titres</w:t>
      </w:r>
      <w:r w:rsidRPr="005813F0">
        <w:t>)</w:t>
      </w:r>
      <w:r w:rsidR="004A6527">
        <w:t xml:space="preserve"> </w:t>
      </w:r>
      <w:r w:rsidR="00C8170B" w:rsidRPr="005813F0">
        <w:t>(cf. art</w:t>
      </w:r>
      <w:r w:rsidR="00B165B5" w:rsidRPr="005813F0">
        <w:t xml:space="preserve">icles L. 511-81, </w:t>
      </w:r>
      <w:r w:rsidR="000D6889">
        <w:t>L. 533-30-11</w:t>
      </w:r>
      <w:r w:rsidR="00785726">
        <w:t>,</w:t>
      </w:r>
      <w:r w:rsidR="000D6889">
        <w:t xml:space="preserve"> </w:t>
      </w:r>
      <w:r w:rsidR="00B165B5" w:rsidRPr="005813F0">
        <w:t xml:space="preserve">R.511-22 et </w:t>
      </w:r>
      <w:r w:rsidR="00C8170B" w:rsidRPr="005813F0">
        <w:t>R. 511-23</w:t>
      </w:r>
      <w:r w:rsidR="00197F2E">
        <w:t>, R. 533-21 et R. 533-21-2</w:t>
      </w:r>
      <w:r w:rsidR="00C8170B" w:rsidRPr="005813F0">
        <w:t xml:space="preserve"> du Code monétaire et financier</w:t>
      </w:r>
      <w:r w:rsidR="003B7539" w:rsidRPr="005813F0">
        <w:t>)</w:t>
      </w:r>
      <w:r w:rsidR="00743C3A" w:rsidRPr="005813F0">
        <w:t> ;</w:t>
      </w:r>
    </w:p>
    <w:p w:rsidR="00331B88" w:rsidRDefault="00463A1C" w:rsidP="004F3BB8">
      <w:pPr>
        <w:pStyle w:val="SGACP-enumerationniveau1"/>
        <w:ind w:left="284" w:hanging="284"/>
      </w:pPr>
      <w:r w:rsidRPr="007F2900">
        <w:t>les montants globaux des rémunérations différées, réparties entre rémunérations acquises et non acquises</w:t>
      </w:r>
      <w:r w:rsidR="00E90797">
        <w:t xml:space="preserve"> </w:t>
      </w:r>
      <w:r w:rsidR="00B165B5">
        <w:t xml:space="preserve">(cf. article R.511-18 </w:t>
      </w:r>
      <w:r w:rsidR="002F7254">
        <w:t xml:space="preserve">ou R. 533-19 </w:t>
      </w:r>
      <w:r w:rsidR="00B165B5">
        <w:t>du Code monétaire et financier) </w:t>
      </w:r>
      <w:r w:rsidR="00743C3A">
        <w:t>;</w:t>
      </w:r>
    </w:p>
    <w:p w:rsidR="00331B88" w:rsidRDefault="00463A1C" w:rsidP="004F3BB8">
      <w:pPr>
        <w:pStyle w:val="SGACP-enumerationniveau1"/>
        <w:ind w:left="284" w:hanging="284"/>
      </w:pPr>
      <w:r w:rsidRPr="007F2900">
        <w:t>les montants globaux des rémunérations différées attribués au cours de l</w:t>
      </w:r>
      <w:r w:rsidR="001224E7">
        <w:t>’</w:t>
      </w:r>
      <w:r w:rsidRPr="007F2900">
        <w:t>exercice, versés ou réduits, après ajustements en fonction des résultats</w:t>
      </w:r>
      <w:r w:rsidR="00743C3A">
        <w:t> </w:t>
      </w:r>
      <w:r w:rsidR="00B165B5">
        <w:t xml:space="preserve">(cf. article R.511-18 </w:t>
      </w:r>
      <w:r w:rsidR="002F7254">
        <w:t xml:space="preserve">ou R. 533-19 </w:t>
      </w:r>
      <w:r w:rsidR="00B165B5">
        <w:t>du Code monétaire et financier) </w:t>
      </w:r>
      <w:r w:rsidR="00743C3A">
        <w:t>;</w:t>
      </w:r>
    </w:p>
    <w:p w:rsidR="00331B88" w:rsidRDefault="00463A1C" w:rsidP="004F3BB8">
      <w:pPr>
        <w:pStyle w:val="SGACP-enumerationniveau1"/>
        <w:ind w:left="284" w:hanging="284"/>
      </w:pPr>
      <w:r w:rsidRPr="007F2900">
        <w:lastRenderedPageBreak/>
        <w:t>les paiements au titre de nouvelles embauches ou indemnités de licenciement et le nombre de bénéficiaires</w:t>
      </w:r>
      <w:r w:rsidR="00743C3A">
        <w:t> </w:t>
      </w:r>
      <w:r w:rsidR="00B165B5">
        <w:t xml:space="preserve">(cf. article R.511-18 </w:t>
      </w:r>
      <w:r w:rsidR="00AC4100">
        <w:t xml:space="preserve">ou R. 533-19 </w:t>
      </w:r>
      <w:r w:rsidR="00B165B5">
        <w:t>du Code monétaire et financier) </w:t>
      </w:r>
      <w:r w:rsidR="00743C3A">
        <w:t>;</w:t>
      </w:r>
    </w:p>
    <w:p w:rsidR="007D3EEC" w:rsidRDefault="00463A1C" w:rsidP="004F3BB8">
      <w:pPr>
        <w:pStyle w:val="SGACP-enumerationniveau1"/>
        <w:ind w:left="284" w:hanging="284"/>
      </w:pPr>
      <w:r w:rsidRPr="007F2900">
        <w:t>les garanties d</w:t>
      </w:r>
      <w:r w:rsidR="001224E7">
        <w:t>’</w:t>
      </w:r>
      <w:r w:rsidRPr="007F2900">
        <w:t>indemnités de licenciement accordées au cours de l</w:t>
      </w:r>
      <w:r w:rsidR="001224E7">
        <w:t>’</w:t>
      </w:r>
      <w:r w:rsidRPr="007F2900">
        <w:t>exercice, le nombre de bénéficiaires et la somme la plus élevée accordée à ce titre à un seul bénéficiaire</w:t>
      </w:r>
      <w:r w:rsidR="00B165B5">
        <w:t xml:space="preserve"> (cf. article R.511-18 </w:t>
      </w:r>
      <w:r w:rsidR="00AC4100">
        <w:t xml:space="preserve">ou R. 533-19 </w:t>
      </w:r>
      <w:r w:rsidR="00B165B5">
        <w:t>du Code monétaire et financier)</w:t>
      </w:r>
      <w:r w:rsidR="007D3EEC">
        <w:t> ;</w:t>
      </w:r>
    </w:p>
    <w:p w:rsidR="00331B88" w:rsidRDefault="007D3EEC" w:rsidP="004F3BB8">
      <w:pPr>
        <w:pStyle w:val="SGACP-enumerationniveau1"/>
        <w:ind w:left="284" w:hanging="284"/>
      </w:pPr>
      <w:r>
        <w:t xml:space="preserve">les </w:t>
      </w:r>
      <w:r w:rsidR="00286F75">
        <w:t>méthodes employées pour les</w:t>
      </w:r>
      <w:r>
        <w:t xml:space="preserve"> calculs d’actualisation</w:t>
      </w:r>
      <w:r w:rsidR="00286F75">
        <w:t xml:space="preserve"> (cf. articles 203 à 210 de l’arrêté du 3 novembre 2014</w:t>
      </w:r>
      <w:r w:rsidR="006653E9">
        <w:t xml:space="preserve"> modifié</w:t>
      </w:r>
      <w:r w:rsidR="00286F75">
        <w:t>)</w:t>
      </w:r>
      <w:r w:rsidR="00D82F7B">
        <w:t> ;</w:t>
      </w:r>
    </w:p>
    <w:p w:rsidR="002A10D4" w:rsidRDefault="002A10D4" w:rsidP="003463F8">
      <w:pPr>
        <w:pStyle w:val="SGACP-enumerationniveau1"/>
        <w:ind w:left="284" w:hanging="284"/>
      </w:pPr>
      <w:r>
        <w:t xml:space="preserve">la rémunération totale de chaque dirigeant effectif ainsi que celle du responsable de la fonction de gestion des risques et, le cas échéant, du responsable </w:t>
      </w:r>
      <w:r w:rsidR="003463F8" w:rsidRPr="003463F8">
        <w:t xml:space="preserve">de la fonction de vérification </w:t>
      </w:r>
      <w:r>
        <w:t>de la conformité (cf. article 266 de l’arrêté du 3 novembre 2014</w:t>
      </w:r>
      <w:r w:rsidR="006653E9">
        <w:t xml:space="preserve"> modifié</w:t>
      </w:r>
      <w:r>
        <w:t>)</w:t>
      </w:r>
      <w:r w:rsidR="00D82F7B">
        <w:t>.</w:t>
      </w:r>
    </w:p>
    <w:p w:rsidR="004A229A" w:rsidRDefault="004A229A" w:rsidP="004A229A">
      <w:pPr>
        <w:pStyle w:val="SGACP-enumerationniveau1"/>
        <w:numPr>
          <w:ilvl w:val="0"/>
          <w:numId w:val="0"/>
        </w:numPr>
        <w:spacing w:before="0"/>
        <w:ind w:left="425"/>
      </w:pPr>
    </w:p>
    <w:p w:rsidR="00463A1C" w:rsidRPr="007F2900" w:rsidRDefault="00937489" w:rsidP="00937489">
      <w:pPr>
        <w:pStyle w:val="SGACP-sous-titrederubriqueniveau3"/>
      </w:pPr>
      <w:bookmarkStart w:id="30" w:name="_Toc266799786"/>
      <w:r>
        <w:t>3.</w:t>
      </w:r>
      <w:r w:rsidR="00C832E3">
        <w:t>3</w:t>
      </w:r>
      <w:r>
        <w:t>.4</w:t>
      </w:r>
      <w:r w:rsidR="00710008">
        <w:t>.</w:t>
      </w:r>
      <w:r>
        <w:tab/>
      </w:r>
      <w:r w:rsidR="00463A1C" w:rsidRPr="007F2900">
        <w:t>Transparence et contrôle de la politique de rémunération</w:t>
      </w:r>
      <w:bookmarkEnd w:id="30"/>
      <w:r w:rsidR="00743C3A">
        <w:t> :</w:t>
      </w:r>
    </w:p>
    <w:p w:rsidR="00331B88" w:rsidRPr="00156279" w:rsidRDefault="00743C3A" w:rsidP="006D1AEB">
      <w:pPr>
        <w:pStyle w:val="SGACP-enumerationniveau1"/>
        <w:ind w:left="284" w:hanging="284"/>
      </w:pPr>
      <w:r>
        <w:t>m</w:t>
      </w:r>
      <w:r w:rsidR="00463A1C" w:rsidRPr="007F2900">
        <w:t>odalités de vérification de l</w:t>
      </w:r>
      <w:r w:rsidR="001224E7">
        <w:t>’</w:t>
      </w:r>
      <w:r w:rsidR="00463A1C" w:rsidRPr="007F2900">
        <w:t>adéquation entre la politique de rémunération et les objectifs de maîtrise des risques</w:t>
      </w:r>
      <w:r w:rsidR="00386970">
        <w:t>, notamment compte tenu de la taille et de l’importance systémique de l’établissement ainsi que de la nature, l’échelle et de la complexité de ses activités</w:t>
      </w:r>
      <w:r w:rsidR="009256B0">
        <w:t>, en tenant compte</w:t>
      </w:r>
      <w:r w:rsidR="00386970">
        <w:t xml:space="preserve"> du principe de proportionnalité </w:t>
      </w:r>
      <w:r w:rsidR="00386970" w:rsidRPr="00156279">
        <w:t>(cf. article</w:t>
      </w:r>
      <w:r w:rsidR="00C705AE" w:rsidRPr="00C705AE">
        <w:t xml:space="preserve"> </w:t>
      </w:r>
      <w:r w:rsidR="00C705AE">
        <w:t>4</w:t>
      </w:r>
      <w:r w:rsidR="00C872FF" w:rsidRPr="005813F0">
        <w:t xml:space="preserve"> de l’arrêté du 3 novembre 2014</w:t>
      </w:r>
      <w:r w:rsidR="006653E9">
        <w:t xml:space="preserve"> modifié</w:t>
      </w:r>
      <w:r w:rsidR="00386970" w:rsidRPr="005813F0">
        <w:t>)</w:t>
      </w:r>
      <w:r w:rsidRPr="00156279">
        <w:t> ;</w:t>
      </w:r>
    </w:p>
    <w:p w:rsidR="00331B88" w:rsidRDefault="00743C3A" w:rsidP="006D1AEB">
      <w:pPr>
        <w:pStyle w:val="SGACP-enumerationniveau1"/>
        <w:ind w:left="284" w:hanging="284"/>
      </w:pPr>
      <w:r>
        <w:t>m</w:t>
      </w:r>
      <w:r w:rsidR="00463A1C" w:rsidRPr="007F2900">
        <w:t>odalités de publication des informations relatives à la politique et aux pratiques de rémunération</w:t>
      </w:r>
      <w:r w:rsidR="00FA1F77">
        <w:t xml:space="preserve"> prévues par l’article 450 du règlement 575/2013 du Parlement européen et du Conseil du 26 juin 2013</w:t>
      </w:r>
      <w:r w:rsidR="00C705AE">
        <w:t xml:space="preserve"> (cf. article 268 de l’arrêté du 3 novembre 2014</w:t>
      </w:r>
      <w:r w:rsidR="002A10D4">
        <w:t xml:space="preserve"> </w:t>
      </w:r>
      <w:r w:rsidR="006653E9">
        <w:t xml:space="preserve">modifié </w:t>
      </w:r>
      <w:r w:rsidR="002A10D4">
        <w:t xml:space="preserve">et </w:t>
      </w:r>
      <w:r w:rsidR="002A10D4" w:rsidRPr="00975E06">
        <w:t xml:space="preserve">partie </w:t>
      </w:r>
      <w:r w:rsidR="005B28BF">
        <w:t>20</w:t>
      </w:r>
      <w:r w:rsidR="002A10D4">
        <w:t xml:space="preserve"> des Orientations de </w:t>
      </w:r>
      <w:r w:rsidR="007B779D">
        <w:t>l’ABE</w:t>
      </w:r>
      <w:r w:rsidR="00975E06">
        <w:t xml:space="preserve"> n°2021/04</w:t>
      </w:r>
      <w:r w:rsidR="00C705AE">
        <w:t>)</w:t>
      </w:r>
      <w:r>
        <w:t>.</w:t>
      </w:r>
    </w:p>
    <w:p w:rsidR="00AC4100" w:rsidRDefault="00AC4100" w:rsidP="00FA522B">
      <w:pPr>
        <w:pStyle w:val="SGACP-enumerationniveau1"/>
        <w:ind w:left="284" w:hanging="284"/>
      </w:pPr>
      <w:r>
        <w:t>m</w:t>
      </w:r>
      <w:r w:rsidRPr="007F2900">
        <w:t>odalités de publication des informations relatives à la politique et aux pratiques de rémunération</w:t>
      </w:r>
      <w:r>
        <w:t xml:space="preserve"> prévues par l’article 51 du règlement 2019/2033 du Parlement européen et du Conseil du 27 novembre 2019 (cf. </w:t>
      </w:r>
      <w:r w:rsidR="00975E06">
        <w:t xml:space="preserve">partie 20 </w:t>
      </w:r>
      <w:r>
        <w:t>des Orientations de l’ABE</w:t>
      </w:r>
      <w:r w:rsidR="00975E06">
        <w:t xml:space="preserve"> n°2021/13</w:t>
      </w:r>
      <w:r>
        <w:t>).</w:t>
      </w:r>
    </w:p>
    <w:p w:rsidR="0084636D" w:rsidRDefault="0084636D" w:rsidP="00463A1C">
      <w:bookmarkStart w:id="31" w:name="_Toc266799787"/>
      <w:bookmarkStart w:id="32" w:name="_Toc266799856"/>
    </w:p>
    <w:p w:rsidR="0084636D" w:rsidRPr="00440703" w:rsidRDefault="0084636D" w:rsidP="00463A1C"/>
    <w:p w:rsidR="004A229A" w:rsidRPr="00290219" w:rsidRDefault="005B2FBD" w:rsidP="004A229A">
      <w:pPr>
        <w:pStyle w:val="StyleSGACP-titrederubriqueniveau1CouleurpersonnaliseRVB"/>
        <w:ind w:left="426" w:hanging="426"/>
        <w:rPr>
          <w:bCs w:val="0"/>
        </w:rPr>
      </w:pPr>
      <w:bookmarkStart w:id="33" w:name="_Toc137799876"/>
      <w:r w:rsidRPr="005B2FBD">
        <w:t>Résultats des contrôles périodiques effectués au cours de l</w:t>
      </w:r>
      <w:r w:rsidR="001224E7">
        <w:t>’</w:t>
      </w:r>
      <w:r w:rsidRPr="005B2FBD">
        <w:t xml:space="preserve">exercice écoulé </w:t>
      </w:r>
      <w:r w:rsidR="00A264FD">
        <w:t xml:space="preserve">(cf. article </w:t>
      </w:r>
      <w:r w:rsidR="00E51556">
        <w:t xml:space="preserve">12 </w:t>
      </w:r>
      <w:r w:rsidR="00A264FD">
        <w:t>de l’arrêté du 3 novembre 2014</w:t>
      </w:r>
      <w:r w:rsidR="006653E9">
        <w:t xml:space="preserve"> modifié</w:t>
      </w:r>
      <w:r w:rsidR="00A264FD">
        <w:t>)</w:t>
      </w:r>
      <w:r w:rsidR="0071777E">
        <w:br/>
      </w:r>
      <w:r w:rsidRPr="005B2FBD">
        <w:t xml:space="preserve">(y compris pour les activités </w:t>
      </w:r>
      <w:r w:rsidR="00BB5031" w:rsidRPr="005B2FBD">
        <w:t>à</w:t>
      </w:r>
      <w:r w:rsidR="00BB5031">
        <w:t> </w:t>
      </w:r>
      <w:r w:rsidRPr="005B2FBD">
        <w:t>l</w:t>
      </w:r>
      <w:r w:rsidR="001224E7">
        <w:t>’</w:t>
      </w:r>
      <w:r w:rsidRPr="005B2FBD">
        <w:t>étranger)</w:t>
      </w:r>
      <w:bookmarkEnd w:id="31"/>
      <w:bookmarkEnd w:id="32"/>
      <w:bookmarkEnd w:id="33"/>
    </w:p>
    <w:p w:rsidR="00821A23" w:rsidRPr="005813F0" w:rsidRDefault="00821A23" w:rsidP="005813F0">
      <w:pPr>
        <w:pStyle w:val="StyleSGACP-titrederubriqueniveau1CouleurpersonnaliseRVB"/>
        <w:numPr>
          <w:ilvl w:val="0"/>
          <w:numId w:val="0"/>
        </w:numPr>
        <w:ind w:left="360" w:hanging="360"/>
        <w:rPr>
          <w:bCs w:val="0"/>
          <w:sz w:val="22"/>
          <w:szCs w:val="22"/>
        </w:rPr>
      </w:pPr>
    </w:p>
    <w:p w:rsidR="00331B88" w:rsidRDefault="00700F94" w:rsidP="004F3BB8">
      <w:pPr>
        <w:pStyle w:val="SGACP-enumerationniveau1"/>
        <w:ind w:left="284" w:hanging="284"/>
      </w:pPr>
      <w:r>
        <w:t>p</w:t>
      </w:r>
      <w:r w:rsidR="00291E2F">
        <w:t>rogramme</w:t>
      </w:r>
      <w:r>
        <w:t xml:space="preserve"> des missions (</w:t>
      </w:r>
      <w:r w:rsidR="00743C3A">
        <w:t>r</w:t>
      </w:r>
      <w:r w:rsidR="00463A1C" w:rsidRPr="007F2900">
        <w:t>isques et/ou entités ayant fait l</w:t>
      </w:r>
      <w:r w:rsidR="001224E7">
        <w:t>’</w:t>
      </w:r>
      <w:r w:rsidR="00463A1C" w:rsidRPr="007F2900">
        <w:t>objet d</w:t>
      </w:r>
      <w:r w:rsidR="001224E7">
        <w:t>’</w:t>
      </w:r>
      <w:r w:rsidR="00463A1C" w:rsidRPr="007F2900">
        <w:t>une vérification d</w:t>
      </w:r>
      <w:r w:rsidR="00291E2F">
        <w:t>e la fonction d’audit interne</w:t>
      </w:r>
      <w:r w:rsidR="00743C3A">
        <w:t xml:space="preserve"> au cours de l</w:t>
      </w:r>
      <w:r w:rsidR="001224E7">
        <w:t>’</w:t>
      </w:r>
      <w:r w:rsidR="00743C3A">
        <w:t>exercice écoulé</w:t>
      </w:r>
      <w:r>
        <w:t xml:space="preserve">), état d’achèvement et </w:t>
      </w:r>
      <w:r w:rsidR="008C04C9">
        <w:t>ressources allouées en jour-homme, si recours à un prestataire externe : fréquence d’intervention et dimension de l’équipe</w:t>
      </w:r>
      <w:r>
        <w:t> </w:t>
      </w:r>
      <w:r w:rsidR="00743C3A">
        <w:t>;</w:t>
      </w:r>
    </w:p>
    <w:p w:rsidR="00331B88" w:rsidRDefault="00743C3A" w:rsidP="004F3BB8">
      <w:pPr>
        <w:pStyle w:val="SGACP-enumerationniveau1"/>
        <w:ind w:left="284" w:hanging="284"/>
      </w:pPr>
      <w:r>
        <w:t>p</w:t>
      </w:r>
      <w:r w:rsidR="00463A1C" w:rsidRPr="007F2900">
        <w:t>rincipales insuffisances relevées</w:t>
      </w:r>
      <w:r>
        <w:t> ;</w:t>
      </w:r>
    </w:p>
    <w:p w:rsidR="00331B88" w:rsidRDefault="00743C3A" w:rsidP="004F3BB8">
      <w:pPr>
        <w:pStyle w:val="SGACP-enumerationniveau1"/>
        <w:ind w:left="284" w:hanging="284"/>
      </w:pPr>
      <w:r>
        <w:t>m</w:t>
      </w:r>
      <w:r w:rsidR="00463A1C" w:rsidRPr="007F2900">
        <w:t>esures correctives engagées pour remédier aux insuffisances relevées, date de réalisation prévisionnelle de ces mesures et état d</w:t>
      </w:r>
      <w:r w:rsidR="001224E7">
        <w:t>’</w:t>
      </w:r>
      <w:r w:rsidR="00463A1C" w:rsidRPr="007F2900">
        <w:t>avancement de leur mise en œuvre à la date de rédaction du présent rapport</w:t>
      </w:r>
      <w:r>
        <w:t> ;</w:t>
      </w:r>
    </w:p>
    <w:p w:rsidR="00331B88" w:rsidRDefault="00743C3A" w:rsidP="004F3BB8">
      <w:pPr>
        <w:pStyle w:val="SGACP-enumerationniveau1"/>
        <w:ind w:left="284" w:hanging="284"/>
      </w:pPr>
      <w:r>
        <w:t>m</w:t>
      </w:r>
      <w:r w:rsidR="00463A1C" w:rsidRPr="007F2900">
        <w:t xml:space="preserve">odalités de suivi des recommandations résultant des contrôles périodiques </w:t>
      </w:r>
      <w:r w:rsidR="00463A1C" w:rsidRPr="00C26DE4">
        <w:rPr>
          <w:i/>
        </w:rPr>
        <w:t>(outils, personnes en charge)</w:t>
      </w:r>
      <w:r w:rsidR="00463A1C" w:rsidRPr="007F2900">
        <w:t xml:space="preserve"> et résultats du suivi des recommandations</w:t>
      </w:r>
      <w:r>
        <w:t> ;</w:t>
      </w:r>
    </w:p>
    <w:p w:rsidR="00331B88" w:rsidRDefault="00743C3A" w:rsidP="004F3BB8">
      <w:pPr>
        <w:pStyle w:val="SGACP-enumerationniveau1"/>
        <w:ind w:left="284" w:hanging="284"/>
      </w:pPr>
      <w:r>
        <w:t>e</w:t>
      </w:r>
      <w:r w:rsidR="00463A1C" w:rsidRPr="007F2900">
        <w:t>nquêtes réalisées par l</w:t>
      </w:r>
      <w:r w:rsidR="00F648D0">
        <w:t>a fonction d’audit interne</w:t>
      </w:r>
      <w:r w:rsidR="00463A1C" w:rsidRPr="007F2900">
        <w:t xml:space="preserve"> de la maison-mère, des organismes extérieurs (cabinets extérieurs, etc.), résumé des principales conclusions et précisions sur les décisions prises pour pallier les éventuelles insuffisances relevées</w:t>
      </w:r>
      <w:r w:rsidR="00CC750C">
        <w:t>.</w:t>
      </w:r>
    </w:p>
    <w:p w:rsidR="00BB6AE4" w:rsidRDefault="00BB6AE4" w:rsidP="00463A1C">
      <w:bookmarkStart w:id="34" w:name="_Toc263679147"/>
      <w:bookmarkStart w:id="35" w:name="_Toc266799788"/>
      <w:bookmarkStart w:id="36" w:name="_Toc266799857"/>
      <w:bookmarkEnd w:id="34"/>
    </w:p>
    <w:p w:rsidR="00D30821" w:rsidRDefault="00D30821" w:rsidP="00463A1C">
      <w:r>
        <w:br w:type="page"/>
      </w:r>
    </w:p>
    <w:p w:rsidR="004A229A" w:rsidRDefault="00463A1C" w:rsidP="004A229A">
      <w:pPr>
        <w:pStyle w:val="StyleSGACP-titrederubriqueniveau1CouleurpersonnaliseRVB"/>
        <w:ind w:left="426" w:hanging="426"/>
        <w:rPr>
          <w:bCs w:val="0"/>
        </w:rPr>
      </w:pPr>
      <w:bookmarkStart w:id="37" w:name="_Toc137799877"/>
      <w:r w:rsidRPr="007D7872">
        <w:lastRenderedPageBreak/>
        <w:t>Recensement d</w:t>
      </w:r>
      <w:hyperlink w:anchor="_Toc244938692" w:history="1">
        <w:r w:rsidRPr="007D7872">
          <w:t xml:space="preserve">es opérations avec les dirigeants </w:t>
        </w:r>
        <w:r w:rsidR="00513AFD">
          <w:t xml:space="preserve">effectifs, les membres de l’organe de surveillance </w:t>
        </w:r>
        <w:r w:rsidRPr="007D7872">
          <w:t xml:space="preserve">et </w:t>
        </w:r>
        <w:r w:rsidR="00513AFD">
          <w:t xml:space="preserve">les </w:t>
        </w:r>
        <w:r w:rsidRPr="007D7872">
          <w:t xml:space="preserve">actionnaires principaux </w:t>
        </w:r>
        <w:r w:rsidR="00513AFD">
          <w:t xml:space="preserve">(cf. articles 113 et 259 g) </w:t>
        </w:r>
        <w:r w:rsidR="00FA522B">
          <w:t xml:space="preserve">ou 259 bis e) </w:t>
        </w:r>
        <w:r w:rsidR="00513AFD">
          <w:t>de l’arrêté du 3 novembre 2014</w:t>
        </w:r>
        <w:r w:rsidR="006653E9">
          <w:t xml:space="preserve"> modifié</w:t>
        </w:r>
        <w:r w:rsidR="00513AFD">
          <w:t>)</w:t>
        </w:r>
        <w:bookmarkEnd w:id="37"/>
        <w:r w:rsidR="0071777E">
          <w:br/>
        </w:r>
        <w:bookmarkEnd w:id="35"/>
        <w:bookmarkEnd w:id="36"/>
      </w:hyperlink>
    </w:p>
    <w:p w:rsidR="00463A1C" w:rsidRPr="0071777E" w:rsidRDefault="00136213" w:rsidP="00463A1C">
      <w:pPr>
        <w:rPr>
          <w:sz w:val="22"/>
          <w:szCs w:val="22"/>
        </w:rPr>
      </w:pPr>
      <w:r>
        <w:rPr>
          <w:sz w:val="22"/>
          <w:szCs w:val="22"/>
        </w:rPr>
        <w:t>Pour les sociétés de financement, j</w:t>
      </w:r>
      <w:r w:rsidR="005B2FBD" w:rsidRPr="005B2FBD">
        <w:rPr>
          <w:sz w:val="22"/>
          <w:szCs w:val="22"/>
        </w:rPr>
        <w:t>oindre une annexe comprenant :</w:t>
      </w:r>
    </w:p>
    <w:p w:rsidR="00331B88" w:rsidRDefault="005B2FBD" w:rsidP="00136213">
      <w:pPr>
        <w:pStyle w:val="SGACP-enumerationniveau1"/>
        <w:ind w:left="284" w:hanging="284"/>
      </w:pPr>
      <w:r w:rsidRPr="005B2FBD">
        <w:rPr>
          <w:b/>
        </w:rPr>
        <w:t>caractéristiques des engagements ayant fait l</w:t>
      </w:r>
      <w:r w:rsidR="001224E7">
        <w:rPr>
          <w:b/>
        </w:rPr>
        <w:t>’</w:t>
      </w:r>
      <w:r w:rsidRPr="005B2FBD">
        <w:rPr>
          <w:b/>
        </w:rPr>
        <w:t>objet d</w:t>
      </w:r>
      <w:r w:rsidR="001224E7">
        <w:rPr>
          <w:b/>
        </w:rPr>
        <w:t>’</w:t>
      </w:r>
      <w:r w:rsidRPr="005B2FBD">
        <w:rPr>
          <w:b/>
        </w:rPr>
        <w:t>une déduction des fonds propres prudentiels</w:t>
      </w:r>
      <w:r w:rsidR="00136213">
        <w:rPr>
          <w:b/>
        </w:rPr>
        <w:t xml:space="preserve"> </w:t>
      </w:r>
      <w:r w:rsidR="00136213" w:rsidRPr="00136213">
        <w:t xml:space="preserve">conformément </w:t>
      </w:r>
      <w:r w:rsidR="00136213" w:rsidRPr="00136213">
        <w:rPr>
          <w:szCs w:val="22"/>
        </w:rPr>
        <w:t>à l’article 5 de l’arrêté du 23 décembre 2013 relatif au régime prudentiel des sociétés de financement</w:t>
      </w:r>
      <w:r w:rsidRPr="005B2FBD">
        <w:t xml:space="preserve"> : identité des bénéficiaires, type de bénéficiaires </w:t>
      </w:r>
      <w:r w:rsidR="0071777E">
        <w:t>– </w:t>
      </w:r>
      <w:r w:rsidRPr="005B2FBD">
        <w:t>personne physique ou personne morale, actionnaire</w:t>
      </w:r>
      <w:r w:rsidR="00394986">
        <w:t>,</w:t>
      </w:r>
      <w:r w:rsidRPr="005B2FBD">
        <w:t xml:space="preserve"> dirigeant</w:t>
      </w:r>
      <w:r w:rsidR="00394986">
        <w:t xml:space="preserve"> ou membre de l’organe de surveillance</w:t>
      </w:r>
      <w:r w:rsidR="0071777E">
        <w:t> –</w:t>
      </w:r>
      <w:r w:rsidRPr="005B2FBD">
        <w:t>, nature des engagements, montant brut, déductions éventuelles et pondération, date de leur mise en place et date d</w:t>
      </w:r>
      <w:r w:rsidR="001224E7">
        <w:t>’</w:t>
      </w:r>
      <w:r w:rsidRPr="005B2FBD">
        <w:t>échéance ;</w:t>
      </w:r>
    </w:p>
    <w:p w:rsidR="00E94236" w:rsidRPr="00136213" w:rsidRDefault="005B2FBD" w:rsidP="005813F0">
      <w:pPr>
        <w:pStyle w:val="SGACP-enumerationniveau1"/>
        <w:ind w:left="284" w:hanging="284"/>
        <w:rPr>
          <w:szCs w:val="24"/>
        </w:rPr>
      </w:pPr>
      <w:r w:rsidRPr="005B2FBD">
        <w:rPr>
          <w:b/>
          <w:szCs w:val="22"/>
        </w:rPr>
        <w:t>nature des engagements envers des actionnaires principaux</w:t>
      </w:r>
      <w:r w:rsidR="00394986">
        <w:rPr>
          <w:b/>
          <w:szCs w:val="22"/>
        </w:rPr>
        <w:t>,</w:t>
      </w:r>
      <w:r w:rsidRPr="005B2FBD">
        <w:rPr>
          <w:b/>
          <w:szCs w:val="22"/>
        </w:rPr>
        <w:t xml:space="preserve"> des dirigeants</w:t>
      </w:r>
      <w:r w:rsidR="00394986">
        <w:rPr>
          <w:b/>
          <w:szCs w:val="22"/>
        </w:rPr>
        <w:t xml:space="preserve"> effectifs et des membres de l’organe de surveillance</w:t>
      </w:r>
      <w:r w:rsidRPr="005B2FBD">
        <w:rPr>
          <w:b/>
          <w:szCs w:val="22"/>
        </w:rPr>
        <w:t>, n</w:t>
      </w:r>
      <w:r w:rsidR="001224E7">
        <w:rPr>
          <w:b/>
          <w:szCs w:val="22"/>
        </w:rPr>
        <w:t>’</w:t>
      </w:r>
      <w:r w:rsidRPr="005B2FBD">
        <w:rPr>
          <w:b/>
          <w:szCs w:val="22"/>
        </w:rPr>
        <w:t>ayant pas fait l</w:t>
      </w:r>
      <w:r w:rsidR="001224E7">
        <w:rPr>
          <w:b/>
          <w:szCs w:val="22"/>
        </w:rPr>
        <w:t>’</w:t>
      </w:r>
      <w:r w:rsidRPr="005B2FBD">
        <w:rPr>
          <w:b/>
          <w:szCs w:val="22"/>
        </w:rPr>
        <w:t>objet d</w:t>
      </w:r>
      <w:r w:rsidR="001224E7">
        <w:rPr>
          <w:b/>
          <w:szCs w:val="22"/>
        </w:rPr>
        <w:t>’</w:t>
      </w:r>
      <w:r w:rsidRPr="005B2FBD">
        <w:rPr>
          <w:b/>
          <w:szCs w:val="22"/>
        </w:rPr>
        <w:t>une déduction</w:t>
      </w:r>
      <w:r w:rsidRPr="005B2FBD">
        <w:rPr>
          <w:szCs w:val="22"/>
        </w:rPr>
        <w:t xml:space="preserve"> en raison soit des dates auxquelles ont été conclus ces engagements, soit de la notation ou de la cotation attribuée aux bénéficiaires des engagements. Néanmoins, il n</w:t>
      </w:r>
      <w:r w:rsidR="001224E7">
        <w:rPr>
          <w:szCs w:val="22"/>
        </w:rPr>
        <w:t>’</w:t>
      </w:r>
      <w:r w:rsidRPr="005B2FBD">
        <w:rPr>
          <w:szCs w:val="22"/>
        </w:rPr>
        <w:t>apparaît pas nécessaire de mentionner les engagements dont le montant brut n</w:t>
      </w:r>
      <w:r w:rsidR="001224E7">
        <w:rPr>
          <w:szCs w:val="22"/>
        </w:rPr>
        <w:t>’</w:t>
      </w:r>
      <w:r w:rsidRPr="005B2FBD">
        <w:rPr>
          <w:szCs w:val="22"/>
        </w:rPr>
        <w:t>excède pas 3 % des fonds propres de l</w:t>
      </w:r>
      <w:r w:rsidR="001224E7">
        <w:rPr>
          <w:szCs w:val="22"/>
        </w:rPr>
        <w:t>’</w:t>
      </w:r>
      <w:r w:rsidRPr="005B2FBD">
        <w:rPr>
          <w:szCs w:val="22"/>
        </w:rPr>
        <w:t>établissement.</w:t>
      </w:r>
    </w:p>
    <w:p w:rsidR="00136213" w:rsidRPr="00E94236" w:rsidRDefault="00136213" w:rsidP="00136213">
      <w:pPr>
        <w:pStyle w:val="SGACP-enumerationniveau1"/>
        <w:numPr>
          <w:ilvl w:val="0"/>
          <w:numId w:val="0"/>
        </w:numPr>
        <w:ind w:left="284"/>
        <w:rPr>
          <w:szCs w:val="24"/>
        </w:rPr>
      </w:pPr>
    </w:p>
    <w:p w:rsidR="00E94236" w:rsidRDefault="00136213" w:rsidP="00460E3D">
      <w:pPr>
        <w:pStyle w:val="SGACP-enumerationniveau1"/>
        <w:numPr>
          <w:ilvl w:val="0"/>
          <w:numId w:val="0"/>
        </w:numPr>
        <w:spacing w:before="0"/>
      </w:pPr>
      <w:r>
        <w:rPr>
          <w:szCs w:val="22"/>
        </w:rPr>
        <w:t>Pour les établissements de crédit et les entreprises d’investissement, j</w:t>
      </w:r>
      <w:r w:rsidRPr="005B2FBD">
        <w:rPr>
          <w:szCs w:val="22"/>
        </w:rPr>
        <w:t>oindre une annexe comprenant</w:t>
      </w:r>
      <w:r w:rsidR="00B21488">
        <w:rPr>
          <w:b/>
          <w:szCs w:val="22"/>
        </w:rPr>
        <w:t xml:space="preserve"> </w:t>
      </w:r>
      <w:r w:rsidRPr="002D742A">
        <w:rPr>
          <w:b/>
          <w:szCs w:val="22"/>
        </w:rPr>
        <w:t>les caractéristiques des engagements envers des actionnaires principaux, des dirigeants effectifs et</w:t>
      </w:r>
      <w:r>
        <w:rPr>
          <w:b/>
          <w:szCs w:val="22"/>
        </w:rPr>
        <w:t xml:space="preserve"> des membres de l’organe de surveillance</w:t>
      </w:r>
      <w:r>
        <w:rPr>
          <w:szCs w:val="22"/>
        </w:rPr>
        <w:t xml:space="preserve"> : </w:t>
      </w:r>
      <w:r w:rsidRPr="005B2FBD">
        <w:rPr>
          <w:szCs w:val="22"/>
        </w:rPr>
        <w:t xml:space="preserve">identité des bénéficiaires, type de bénéficiaires </w:t>
      </w:r>
      <w:r>
        <w:rPr>
          <w:szCs w:val="22"/>
        </w:rPr>
        <w:t>– </w:t>
      </w:r>
      <w:r w:rsidRPr="005B2FBD">
        <w:rPr>
          <w:szCs w:val="22"/>
        </w:rPr>
        <w:t>personne physique ou personne morale, actionnaire</w:t>
      </w:r>
      <w:r>
        <w:rPr>
          <w:szCs w:val="22"/>
        </w:rPr>
        <w:t>,</w:t>
      </w:r>
      <w:r w:rsidRPr="005B2FBD">
        <w:rPr>
          <w:szCs w:val="22"/>
        </w:rPr>
        <w:t xml:space="preserve"> dirigeant</w:t>
      </w:r>
      <w:r>
        <w:rPr>
          <w:szCs w:val="22"/>
        </w:rPr>
        <w:t xml:space="preserve"> ou membre de l’organe de surveillance –</w:t>
      </w:r>
      <w:r w:rsidRPr="005B2FBD">
        <w:rPr>
          <w:szCs w:val="22"/>
        </w:rPr>
        <w:t>, nature des engagements, montant brut, déductions éventuelles et pondération, date de leur mise en place et date d</w:t>
      </w:r>
      <w:r>
        <w:rPr>
          <w:szCs w:val="22"/>
        </w:rPr>
        <w:t>’</w:t>
      </w:r>
      <w:r w:rsidRPr="005B2FBD">
        <w:rPr>
          <w:szCs w:val="22"/>
        </w:rPr>
        <w:t>échéance</w:t>
      </w:r>
      <w:r w:rsidR="002D742A">
        <w:rPr>
          <w:szCs w:val="22"/>
        </w:rPr>
        <w:t>.</w:t>
      </w:r>
      <w:r w:rsidRPr="005B2FBD">
        <w:rPr>
          <w:szCs w:val="22"/>
        </w:rPr>
        <w:t> </w:t>
      </w:r>
    </w:p>
    <w:p w:rsidR="007877BE" w:rsidRDefault="007877BE" w:rsidP="00460E3D">
      <w:pPr>
        <w:pStyle w:val="SGACP-enumerationniveau1"/>
        <w:numPr>
          <w:ilvl w:val="0"/>
          <w:numId w:val="0"/>
        </w:numPr>
        <w:spacing w:before="0"/>
      </w:pPr>
    </w:p>
    <w:p w:rsidR="0054173A" w:rsidRDefault="0054173A" w:rsidP="00460E3D">
      <w:pPr>
        <w:pStyle w:val="SGACP-enumerationniveau1"/>
        <w:numPr>
          <w:ilvl w:val="0"/>
          <w:numId w:val="0"/>
        </w:numPr>
        <w:spacing w:before="0"/>
      </w:pPr>
    </w:p>
    <w:p w:rsidR="00BB6AE4" w:rsidRDefault="00391450" w:rsidP="005813F0">
      <w:pPr>
        <w:pStyle w:val="StyleSGACP-titrederubriqueniveau1CouleurpersonnaliseRVB"/>
        <w:ind w:left="426" w:hanging="426"/>
      </w:pPr>
      <w:bookmarkStart w:id="38" w:name="_Toc482264804"/>
      <w:bookmarkStart w:id="39" w:name="_Toc483379352"/>
      <w:bookmarkStart w:id="40" w:name="_Toc482264805"/>
      <w:bookmarkStart w:id="41" w:name="_Toc483379353"/>
      <w:bookmarkStart w:id="42" w:name="_Toc137799878"/>
      <w:bookmarkEnd w:id="38"/>
      <w:bookmarkEnd w:id="39"/>
      <w:bookmarkEnd w:id="40"/>
      <w:bookmarkEnd w:id="41"/>
      <w:r>
        <w:t>Processus d’évaluation de l’adéquation du capital interne</w:t>
      </w:r>
      <w:bookmarkEnd w:id="42"/>
    </w:p>
    <w:p w:rsidR="00244B74" w:rsidRDefault="00244B74" w:rsidP="005813F0">
      <w:pPr>
        <w:pStyle w:val="StyleSGACP-titrederubriqueniveau1CouleurpersonnaliseRVB"/>
        <w:numPr>
          <w:ilvl w:val="0"/>
          <w:numId w:val="0"/>
        </w:numPr>
      </w:pPr>
    </w:p>
    <w:p w:rsidR="00463A1C" w:rsidRDefault="00463A1C" w:rsidP="00A509C0">
      <w:pPr>
        <w:pStyle w:val="SGACP-textecourant"/>
        <w:rPr>
          <w:i/>
        </w:rPr>
      </w:pPr>
      <w:r w:rsidRPr="00743C3A">
        <w:rPr>
          <w:i/>
        </w:rPr>
        <w:t>Ce dispositif n</w:t>
      </w:r>
      <w:r w:rsidR="001224E7">
        <w:rPr>
          <w:i/>
        </w:rPr>
        <w:t>’</w:t>
      </w:r>
      <w:r w:rsidRPr="00743C3A">
        <w:rPr>
          <w:i/>
        </w:rPr>
        <w:t xml:space="preserve">est pas obligatoire pour les établissements inclus dans une consolidation et qui sont exonérés </w:t>
      </w:r>
      <w:r w:rsidRPr="00111D78">
        <w:rPr>
          <w:i/>
        </w:rPr>
        <w:t>de l</w:t>
      </w:r>
      <w:r w:rsidR="001224E7">
        <w:rPr>
          <w:i/>
        </w:rPr>
        <w:t>’</w:t>
      </w:r>
      <w:r w:rsidRPr="00111D78">
        <w:rPr>
          <w:i/>
        </w:rPr>
        <w:t>assujettissement aux ratios de gestion sur base sociale ou sous consolidée</w:t>
      </w:r>
      <w:r w:rsidR="00742B49">
        <w:rPr>
          <w:i/>
        </w:rPr>
        <w:t>.</w:t>
      </w:r>
    </w:p>
    <w:p w:rsidR="00BD4E69" w:rsidRDefault="00BD4E69" w:rsidP="00A509C0">
      <w:pPr>
        <w:pStyle w:val="SGACP-textecourant"/>
        <w:rPr>
          <w:i/>
        </w:rPr>
      </w:pPr>
    </w:p>
    <w:p w:rsidR="00B84C1D" w:rsidRDefault="00B84C1D" w:rsidP="004A229A">
      <w:pPr>
        <w:pStyle w:val="SGACP-enumerationniveau1"/>
        <w:ind w:left="284" w:hanging="284"/>
      </w:pPr>
      <w:r>
        <w:t>description du périmètre des activités pertinentes pour l’étude de l’adéquation du capital interne, et de l’approche utilisée pour déterminer la matérialité des risques ;</w:t>
      </w:r>
    </w:p>
    <w:p w:rsidR="00B84C1D" w:rsidRDefault="00B84C1D" w:rsidP="007877BE">
      <w:pPr>
        <w:pStyle w:val="SGACP-enumerationniveau1"/>
        <w:ind w:left="284" w:hanging="284"/>
      </w:pPr>
      <w:r>
        <w:t>description des méthodologies employées pour la mesure, l’évaluation et l’agrégation des risques pour quantifier le capital interne (horizons d’analyse, approche par la valeur économique, description des modèles et paramètres de calcul…)</w:t>
      </w:r>
      <w:r w:rsidR="00C86CE7">
        <w:t>. Cette description doit inclure des explications concernant les limites ou faiblesses de la méthodologie de calcul employée</w:t>
      </w:r>
      <w:r w:rsidR="00902A14">
        <w:t>,</w:t>
      </w:r>
      <w:r w:rsidR="00C86CE7">
        <w:t xml:space="preserve"> ainsi que la façon dont ces éléments </w:t>
      </w:r>
      <w:r w:rsidR="003A51C1">
        <w:t>s</w:t>
      </w:r>
      <w:r w:rsidR="00C86CE7">
        <w:t>ont gérés, voire corrigés dans l’étude d’adéquation du capital interne</w:t>
      </w:r>
      <w:r w:rsidR="00D82F7B">
        <w:t xml:space="preserve"> </w:t>
      </w:r>
      <w:r>
        <w:t>;</w:t>
      </w:r>
    </w:p>
    <w:p w:rsidR="004A229A" w:rsidRDefault="00743C3A" w:rsidP="004A229A">
      <w:pPr>
        <w:pStyle w:val="SGACP-enumerationniveau1"/>
        <w:ind w:left="284" w:hanging="284"/>
      </w:pPr>
      <w:r w:rsidRPr="00111D78">
        <w:t>d</w:t>
      </w:r>
      <w:r w:rsidR="00463A1C" w:rsidRPr="00111D78">
        <w:t xml:space="preserve">escription des systèmes et procédures mis en place </w:t>
      </w:r>
      <w:r w:rsidR="000709B0" w:rsidRPr="00111D78">
        <w:t>pour s</w:t>
      </w:r>
      <w:r w:rsidR="001224E7">
        <w:t>’</w:t>
      </w:r>
      <w:r w:rsidR="000709B0" w:rsidRPr="00111D78">
        <w:t>assurer que</w:t>
      </w:r>
      <w:r w:rsidR="003D796E">
        <w:t xml:space="preserve"> le montant et la répartition du capital interne sont adaptés à la nature et au niveau des risques auquel l</w:t>
      </w:r>
      <w:r w:rsidR="001224E7">
        <w:t>’</w:t>
      </w:r>
      <w:r w:rsidR="003D796E">
        <w:t xml:space="preserve">établissement est exposé </w:t>
      </w:r>
      <w:r w:rsidR="003D796E">
        <w:rPr>
          <w:i/>
        </w:rPr>
        <w:t>(avec un accent particulier sur les risques non pris en compte par le pilier 1)</w:t>
      </w:r>
      <w:r w:rsidR="001E7E44">
        <w:rPr>
          <w:i/>
        </w:rPr>
        <w:t xml:space="preserve"> </w:t>
      </w:r>
      <w:r w:rsidR="001E7E44" w:rsidRPr="005813F0">
        <w:t>(cf. article 96 de l’arrêté du 3 novembre 2014</w:t>
      </w:r>
      <w:r w:rsidR="006653E9">
        <w:t xml:space="preserve"> modifié</w:t>
      </w:r>
      <w:r w:rsidR="001E7E44" w:rsidRPr="005813F0">
        <w:t>)</w:t>
      </w:r>
      <w:r w:rsidR="003D796E" w:rsidRPr="005813F0">
        <w:t> </w:t>
      </w:r>
      <w:r w:rsidR="003D796E" w:rsidRPr="00156279">
        <w:t xml:space="preserve">; </w:t>
      </w:r>
    </w:p>
    <w:p w:rsidR="007877BE" w:rsidRPr="00156279" w:rsidRDefault="007877BE" w:rsidP="0068478B">
      <w:pPr>
        <w:pStyle w:val="SGACP-enumerationniveau1"/>
        <w:ind w:left="284" w:hanging="284"/>
      </w:pPr>
      <w:r w:rsidRPr="007877BE">
        <w:t>description de l’élaboration et de la mise à jour d’un plan de capitalisation en vue de s’assurer du maintien d’un montant de capital réglementaire et interne suffisant sur une durée d’au moins 3 ans, même dans des circonstances adverses (simulation de crise)</w:t>
      </w:r>
      <w:r w:rsidR="00895B72">
        <w:t> :</w:t>
      </w:r>
      <w:r w:rsidRPr="007877BE">
        <w:t xml:space="preserve"> </w:t>
      </w:r>
    </w:p>
    <w:p w:rsidR="00B84C1D" w:rsidRDefault="000709B0" w:rsidP="00460E3D">
      <w:pPr>
        <w:pStyle w:val="SGACP-enumerationniveau1"/>
        <w:numPr>
          <w:ilvl w:val="0"/>
          <w:numId w:val="103"/>
        </w:numPr>
      </w:pPr>
      <w:r>
        <w:t xml:space="preserve">niveau </w:t>
      </w:r>
      <w:r w:rsidR="00B84C1D">
        <w:t xml:space="preserve">et définition </w:t>
      </w:r>
      <w:r>
        <w:t>d</w:t>
      </w:r>
      <w:r w:rsidR="00B84C1D">
        <w:t>u</w:t>
      </w:r>
      <w:r>
        <w:t xml:space="preserve"> capital interne alloué </w:t>
      </w:r>
      <w:r w:rsidR="00C86CE7">
        <w:t xml:space="preserve">par type de </w:t>
      </w:r>
      <w:r>
        <w:t>risques pour l</w:t>
      </w:r>
      <w:r w:rsidR="001224E7">
        <w:t>’</w:t>
      </w:r>
      <w:r>
        <w:t>exercice écoulé</w:t>
      </w:r>
      <w:r w:rsidR="00925E38">
        <w:t xml:space="preserve"> en expliquant les principales différences entre le capital interne et le capital réglementaire, ainsi que les méthodes et hypothèses utilisées pour l’allocation du capital au sein de l’établissement</w:t>
      </w:r>
      <w:r w:rsidR="00D82F7B">
        <w:t>,</w:t>
      </w:r>
    </w:p>
    <w:p w:rsidR="001D2468" w:rsidRDefault="00B84C1D" w:rsidP="00460E3D">
      <w:pPr>
        <w:pStyle w:val="SGACP-enumerationniveau1"/>
        <w:numPr>
          <w:ilvl w:val="0"/>
          <w:numId w:val="103"/>
        </w:numPr>
      </w:pPr>
      <w:r>
        <w:t>prévision</w:t>
      </w:r>
      <w:r w:rsidR="00925E38">
        <w:t>s</w:t>
      </w:r>
      <w:r>
        <w:t xml:space="preserve"> du niveau de capital interne</w:t>
      </w:r>
    </w:p>
    <w:p w:rsidR="00941637" w:rsidRDefault="000709B0" w:rsidP="00460E3D">
      <w:pPr>
        <w:pStyle w:val="SGACP-enumerationniveau1"/>
        <w:ind w:left="284" w:hanging="284"/>
      </w:pPr>
      <w:r>
        <w:t>s</w:t>
      </w:r>
      <w:r w:rsidRPr="007F2900">
        <w:t xml:space="preserve">imulations de crise </w:t>
      </w:r>
      <w:r>
        <w:t xml:space="preserve">réalisées </w:t>
      </w:r>
      <w:r w:rsidRPr="007F2900">
        <w:t>aux fins d</w:t>
      </w:r>
      <w:r w:rsidR="001224E7">
        <w:t>’</w:t>
      </w:r>
      <w:r w:rsidRPr="007F2900">
        <w:t>évaluation de l</w:t>
      </w:r>
      <w:r w:rsidR="001224E7">
        <w:t>’</w:t>
      </w:r>
      <w:r w:rsidRPr="007F2900">
        <w:t xml:space="preserve">adéquation du capital interne : </w:t>
      </w:r>
    </w:p>
    <w:p w:rsidR="00941637" w:rsidRPr="00A85C3C" w:rsidRDefault="000709B0" w:rsidP="00A85C3C">
      <w:pPr>
        <w:pStyle w:val="SGACP-enumerationniveau1"/>
        <w:numPr>
          <w:ilvl w:val="1"/>
          <w:numId w:val="3"/>
        </w:numPr>
        <w:ind w:left="1349" w:hanging="357"/>
        <w:rPr>
          <w:i/>
        </w:rPr>
      </w:pPr>
      <w:r w:rsidRPr="007F2900">
        <w:lastRenderedPageBreak/>
        <w:t xml:space="preserve">description </w:t>
      </w:r>
      <w:r w:rsidR="00941637">
        <w:t>du champ d’application </w:t>
      </w:r>
      <w:r w:rsidR="00941637" w:rsidRPr="0068478B">
        <w:t xml:space="preserve">et du processus </w:t>
      </w:r>
      <w:r w:rsidR="00941637">
        <w:t>d</w:t>
      </w:r>
      <w:r w:rsidR="00941637" w:rsidRPr="0068478B">
        <w:t>’élaboration</w:t>
      </w:r>
      <w:r w:rsidR="00941637">
        <w:t xml:space="preserve"> </w:t>
      </w:r>
      <w:r w:rsidR="00933438">
        <w:t xml:space="preserve">des simulations de crise </w:t>
      </w:r>
      <w:r w:rsidR="00941637">
        <w:t xml:space="preserve">: </w:t>
      </w:r>
      <w:r w:rsidR="00941637" w:rsidRPr="00A85C3C">
        <w:rPr>
          <w:i/>
        </w:rPr>
        <w:t>périmètre (entités et risques pris en compte), fréquence d’application,</w:t>
      </w:r>
      <w:r w:rsidR="00941637">
        <w:rPr>
          <w:i/>
        </w:rPr>
        <w:t xml:space="preserve"> outils utilisés, </w:t>
      </w:r>
      <w:r w:rsidR="00FC1673">
        <w:rPr>
          <w:i/>
        </w:rPr>
        <w:t>unité(s) en charge de leur élaboration</w:t>
      </w:r>
      <w:r w:rsidR="009E3996">
        <w:rPr>
          <w:i/>
        </w:rPr>
        <w:t>, implication des instances dirigeantes dans</w:t>
      </w:r>
      <w:r w:rsidR="00140451">
        <w:rPr>
          <w:i/>
        </w:rPr>
        <w:t xml:space="preserve"> le processus de</w:t>
      </w:r>
      <w:r w:rsidR="009E3996">
        <w:rPr>
          <w:i/>
        </w:rPr>
        <w:t xml:space="preserve"> validation</w:t>
      </w:r>
      <w:r w:rsidR="00941637">
        <w:rPr>
          <w:i/>
        </w:rPr>
        <w:t>…,</w:t>
      </w:r>
      <w:r w:rsidR="00941637" w:rsidRPr="00A85C3C">
        <w:rPr>
          <w:i/>
        </w:rPr>
        <w:t xml:space="preserve">  </w:t>
      </w:r>
    </w:p>
    <w:p w:rsidR="00941637" w:rsidRDefault="00941637" w:rsidP="00A85C3C">
      <w:pPr>
        <w:pStyle w:val="SGACP-enumerationniveau1"/>
        <w:numPr>
          <w:ilvl w:val="1"/>
          <w:numId w:val="3"/>
        </w:numPr>
        <w:ind w:left="1349" w:hanging="357"/>
      </w:pPr>
      <w:r>
        <w:t xml:space="preserve">description </w:t>
      </w:r>
      <w:r w:rsidR="000709B0" w:rsidRPr="007F2900">
        <w:t>des hypothèses et principes méthodologiques retenus ainsi que des résultats obtenus</w:t>
      </w:r>
      <w:r w:rsidR="0068478B" w:rsidRPr="0068478B">
        <w:t xml:space="preserve">, </w:t>
      </w:r>
    </w:p>
    <w:p w:rsidR="004A229A" w:rsidRDefault="0068478B" w:rsidP="00A85C3C">
      <w:pPr>
        <w:pStyle w:val="SGACP-enumerationniveau1"/>
        <w:numPr>
          <w:ilvl w:val="1"/>
          <w:numId w:val="3"/>
        </w:numPr>
        <w:ind w:left="1349" w:hanging="357"/>
      </w:pPr>
      <w:r w:rsidRPr="00895B72">
        <w:t>description</w:t>
      </w:r>
      <w:r>
        <w:t xml:space="preserve"> </w:t>
      </w:r>
      <w:r w:rsidR="009E3996">
        <w:t xml:space="preserve">du processus de </w:t>
      </w:r>
      <w:r w:rsidRPr="0068478B">
        <w:t xml:space="preserve">prise en compte </w:t>
      </w:r>
      <w:r w:rsidR="009E3996">
        <w:t xml:space="preserve">des simulations de crise </w:t>
      </w:r>
      <w:r w:rsidRPr="0068478B">
        <w:t>dans les processus de décision managériale</w:t>
      </w:r>
      <w:r w:rsidR="009E3996">
        <w:t xml:space="preserve"> notamment en matière d’appétence pour les risques</w:t>
      </w:r>
      <w:r w:rsidR="00140451">
        <w:t>, de planification du capital</w:t>
      </w:r>
      <w:r w:rsidR="009E3996">
        <w:t xml:space="preserve"> et </w:t>
      </w:r>
      <w:r w:rsidR="00933438">
        <w:t>de</w:t>
      </w:r>
      <w:r w:rsidR="009E3996">
        <w:t xml:space="preserve"> fixation des limites</w:t>
      </w:r>
      <w:r w:rsidR="00026A01">
        <w:t> ;</w:t>
      </w:r>
    </w:p>
    <w:p w:rsidR="004A229A" w:rsidRDefault="00743C3A" w:rsidP="004A229A">
      <w:pPr>
        <w:pStyle w:val="SGACP-enumerationniveau1"/>
        <w:ind w:left="284" w:hanging="284"/>
      </w:pPr>
      <w:r>
        <w:t>m</w:t>
      </w:r>
      <w:r w:rsidR="00463A1C" w:rsidRPr="007F2900">
        <w:t xml:space="preserve">odalités de contrôle prévues afin de vérifier que ces systèmes et procédures demeurent adaptés </w:t>
      </w:r>
      <w:r w:rsidR="000709B0">
        <w:t>à l</w:t>
      </w:r>
      <w:r w:rsidR="001224E7">
        <w:t>’</w:t>
      </w:r>
      <w:r w:rsidR="000709B0">
        <w:t>évolution d</w:t>
      </w:r>
      <w:r w:rsidR="00463A1C" w:rsidRPr="007F2900">
        <w:t>u profil de risques de l</w:t>
      </w:r>
      <w:r w:rsidR="001224E7">
        <w:t>’</w:t>
      </w:r>
      <w:r w:rsidR="00463A1C" w:rsidRPr="007F2900">
        <w:t>établissement</w:t>
      </w:r>
      <w:r w:rsidR="00925E38">
        <w:t> ;</w:t>
      </w:r>
    </w:p>
    <w:p w:rsidR="0068478B" w:rsidRDefault="001F03C7" w:rsidP="004A229A">
      <w:pPr>
        <w:pStyle w:val="SGACP-enumerationniveau1"/>
        <w:ind w:left="284" w:hanging="284"/>
      </w:pPr>
      <w:r>
        <w:t>d</w:t>
      </w:r>
      <w:r w:rsidR="00925E38">
        <w:t xml:space="preserve">ocumentation formalisant </w:t>
      </w:r>
      <w:r>
        <w:t>le process d</w:t>
      </w:r>
      <w:r w:rsidR="0068478B">
        <w:t>’élaboration et d</w:t>
      </w:r>
      <w:r>
        <w:t>e</w:t>
      </w:r>
      <w:r w:rsidR="00925E38">
        <w:t xml:space="preserve"> validation de l’adéquation du capital interne, des hypothèses</w:t>
      </w:r>
      <w:r w:rsidR="008810C5">
        <w:t>, du plan de capitalisation, des simulations de crise</w:t>
      </w:r>
      <w:r w:rsidR="00925E38">
        <w:t xml:space="preserve"> et </w:t>
      </w:r>
      <w:r w:rsidR="00F7177B">
        <w:t xml:space="preserve">des </w:t>
      </w:r>
      <w:r w:rsidR="00925E38">
        <w:t>méthodologies utilisées dans le process</w:t>
      </w:r>
      <w:r w:rsidR="0068478B">
        <w:t>, notamment la répartition des rôles ainsi que l’information et l’implication des organes de gestion et/ou de surveillance dans la validation ;</w:t>
      </w:r>
      <w:r w:rsidR="00925E38">
        <w:t xml:space="preserve"> </w:t>
      </w:r>
    </w:p>
    <w:p w:rsidR="00925E38" w:rsidRDefault="0068478B" w:rsidP="004A229A">
      <w:pPr>
        <w:pStyle w:val="SGACP-enumerationniveau1"/>
        <w:ind w:left="284" w:hanging="284"/>
      </w:pPr>
      <w:r>
        <w:t>documentation</w:t>
      </w:r>
      <w:r w:rsidR="00925E38">
        <w:t xml:space="preserve"> formalisant l’intégration de ce process dans la stratégie globale de l’établissement</w:t>
      </w:r>
      <w:r>
        <w:t>, notamment par l’intégration des problématiques de capital interne et d’appétit au risque dans les process de prises de décisions managériales via des reportings appropriés ;</w:t>
      </w:r>
    </w:p>
    <w:p w:rsidR="00DD69B2" w:rsidRDefault="00BC60B3" w:rsidP="00DD69B2">
      <w:pPr>
        <w:pStyle w:val="SGACP-enumerationniveau1"/>
        <w:ind w:left="284" w:hanging="284"/>
      </w:pPr>
      <w:r>
        <w:t>l</w:t>
      </w:r>
      <w:r w:rsidR="00DD69B2">
        <w:t xml:space="preserve">es établissements soumis à CRR et ne se trouvant pas sous la supervision directe de la BCE, doivent remettre un « manuel du lecteur », élaboré comme un document global facilitant l’évaluation de la documentation justifiant de leur adéquation en capital. </w:t>
      </w:r>
      <w:r w:rsidR="00DD69B2" w:rsidRPr="00DD69B2">
        <w:t>À cet ef</w:t>
      </w:r>
      <w:r w:rsidR="00DD69B2">
        <w:t>fet, le «</w:t>
      </w:r>
      <w:r w:rsidR="009514F6">
        <w:t> </w:t>
      </w:r>
      <w:r w:rsidR="00DD69B2">
        <w:t>manuel du lecteur</w:t>
      </w:r>
      <w:r w:rsidR="009514F6">
        <w:t> </w:t>
      </w:r>
      <w:r w:rsidR="00DD69B2">
        <w:t>» do</w:t>
      </w:r>
      <w:r w:rsidR="00DD69B2" w:rsidRPr="00DD69B2">
        <w:t>it fournir une vue d’ensemble</w:t>
      </w:r>
      <w:r w:rsidR="00DD69B2">
        <w:t xml:space="preserve"> </w:t>
      </w:r>
      <w:r w:rsidR="00DD69B2" w:rsidRPr="00DD69B2">
        <w:t>de tous les documents communiqués aux autorités compétentes</w:t>
      </w:r>
      <w:r w:rsidR="00DD69B2">
        <w:t xml:space="preserve"> sur</w:t>
      </w:r>
      <w:r w:rsidR="00DD69B2" w:rsidRPr="00DD69B2">
        <w:t xml:space="preserve"> </w:t>
      </w:r>
      <w:r w:rsidR="00DD69B2">
        <w:t>ce sujet</w:t>
      </w:r>
      <w:r w:rsidR="00DD69B2" w:rsidRPr="00DD69B2">
        <w:t>, ainsi que de leur statut (nouveau, non modifié, modifié avec des corrections mineures, et</w:t>
      </w:r>
      <w:r w:rsidR="00DD69B2">
        <w:t>c.). Le «</w:t>
      </w:r>
      <w:r w:rsidR="009514F6">
        <w:t> </w:t>
      </w:r>
      <w:r w:rsidR="00DD69B2">
        <w:t>manuel du lecteur</w:t>
      </w:r>
      <w:r w:rsidR="009514F6">
        <w:t> </w:t>
      </w:r>
      <w:r w:rsidR="00DD69B2">
        <w:t>» do</w:t>
      </w:r>
      <w:r w:rsidR="00DD69B2" w:rsidRPr="00DD69B2">
        <w:t>it essentiellement fonctionner comme un index reliant les éléments d’info</w:t>
      </w:r>
      <w:r w:rsidR="00DD69B2">
        <w:t xml:space="preserve">rmation spécifiques prévus pour le rapport de contrôle interne </w:t>
      </w:r>
      <w:r w:rsidR="00DD69B2" w:rsidRPr="00DD69B2">
        <w:t>aux documents fournis à l’autorité compétente</w:t>
      </w:r>
      <w:r w:rsidR="00DD69B2">
        <w:t xml:space="preserve"> concernant l’évaluation de son adéquation en capital. Le «</w:t>
      </w:r>
      <w:r w:rsidR="009514F6">
        <w:t> </w:t>
      </w:r>
      <w:r w:rsidR="00DD69B2">
        <w:t>manuel du lecteur</w:t>
      </w:r>
      <w:r w:rsidR="009514F6">
        <w:t> </w:t>
      </w:r>
      <w:r w:rsidR="00DD69B2">
        <w:t>» do</w:t>
      </w:r>
      <w:r w:rsidR="00DD69B2" w:rsidRPr="00DD69B2">
        <w:t>it également comporter des renseignements concernant les modifications significatives apportées aux informations par rapport à celles communiquées précédemment, les éléments éventuellement exclu</w:t>
      </w:r>
      <w:r w:rsidR="00DD69B2">
        <w:t>s des informations communiquées</w:t>
      </w:r>
      <w:r w:rsidR="00DD69B2" w:rsidRPr="00DD69B2">
        <w:t>, ainsi que toute autre information qui pourrait être utile à l’autorité compétente en vue de l’évaluation. En o</w:t>
      </w:r>
      <w:r w:rsidR="00DD69B2">
        <w:t>utre, le «</w:t>
      </w:r>
      <w:r w:rsidR="009514F6">
        <w:t> </w:t>
      </w:r>
      <w:r w:rsidR="00DD69B2">
        <w:t>manuel du lecteur</w:t>
      </w:r>
      <w:r w:rsidR="009514F6">
        <w:t> </w:t>
      </w:r>
      <w:r w:rsidR="00DD69B2">
        <w:t>» do</w:t>
      </w:r>
      <w:r w:rsidR="00DD69B2" w:rsidRPr="00DD69B2">
        <w:t>it contenir des références à toutes les informations rendues publiques par l’établissement</w:t>
      </w:r>
      <w:r w:rsidR="00C97F9B">
        <w:t xml:space="preserve"> </w:t>
      </w:r>
      <w:r w:rsidR="00DD69B2">
        <w:t>sur son adéquation en capital</w:t>
      </w:r>
      <w:r w:rsidR="00D82F7B">
        <w:t> ;</w:t>
      </w:r>
      <w:r w:rsidR="00DD69B2" w:rsidRPr="00DD69B2">
        <w:t xml:space="preserve"> </w:t>
      </w:r>
    </w:p>
    <w:p w:rsidR="002D5085" w:rsidRDefault="00DD69B2" w:rsidP="00DD69B2">
      <w:pPr>
        <w:pStyle w:val="SGACP-enumerationniveau1"/>
        <w:ind w:left="284" w:hanging="284"/>
      </w:pPr>
      <w:r>
        <w:t>l</w:t>
      </w:r>
      <w:r w:rsidRPr="00DD69B2">
        <w:t>es établissements soumis à CRR et ne se trouvant pas sous la supervision directe de la BCE,</w:t>
      </w:r>
      <w:r>
        <w:t xml:space="preserve"> doivent formaliser et remettre </w:t>
      </w:r>
      <w:r w:rsidRPr="00DD69B2">
        <w:t>les conclusions des évaluations de l’adéquation du capital interne ainsi que leur incidence sur la gestion du risque et sur la ges</w:t>
      </w:r>
      <w:r>
        <w:t>tion globale de l’établissement</w:t>
      </w:r>
      <w:r w:rsidR="002D5085">
        <w:t> ;</w:t>
      </w:r>
    </w:p>
    <w:p w:rsidR="00DD69B2" w:rsidRDefault="002D5085" w:rsidP="002D5085">
      <w:pPr>
        <w:pStyle w:val="SGACP-enumerationniveau1"/>
        <w:ind w:left="284" w:hanging="284"/>
      </w:pPr>
      <w:r>
        <w:t>les entreprises d’investissement de classe 2 doivent formaliser un rapport en applic</w:t>
      </w:r>
      <w:r w:rsidR="00B21488">
        <w:t>ation de l’article L533-2-2 du C</w:t>
      </w:r>
      <w:r>
        <w:t>ode monétaire et financier pour rendre compte du dispositif ICAAP mis en place par l’entreprise d’investissement et justifier de l’effectivité de l’adéquation entre ses fonds propres internes disponibles et les risques auxquels elle est exposée, de manière dynamique et dans le temps, dans des conditions de marché normales et tendues. Un canevas présentant à titre indicatif la liste des informations essentielles à fournir par l’entreprise d’investissement dans ce rapport est mis à disposition par le SGACPR.</w:t>
      </w:r>
    </w:p>
    <w:p w:rsidR="00BB6AE4" w:rsidRDefault="00BB6AE4" w:rsidP="00463A1C"/>
    <w:p w:rsidR="00D30821" w:rsidRDefault="00D30821" w:rsidP="00463A1C"/>
    <w:p w:rsidR="004A229A" w:rsidRDefault="003B20EE" w:rsidP="00A85C3C">
      <w:pPr>
        <w:pStyle w:val="StyleSGACP-titrederubriqueniveau1CouleurpersonnaliseRVB"/>
        <w:keepNext/>
        <w:ind w:left="426" w:hanging="426"/>
      </w:pPr>
      <w:hyperlink w:anchor="_Toc244938695" w:history="1">
        <w:bookmarkStart w:id="43" w:name="_Toc137799879"/>
        <w:bookmarkStart w:id="44" w:name="_Toc266799790"/>
        <w:bookmarkStart w:id="45" w:name="_Toc266799859"/>
        <w:r w:rsidR="00463A1C" w:rsidRPr="007D7872">
          <w:t>Risque de non conformité</w:t>
        </w:r>
      </w:hyperlink>
      <w:r w:rsidR="00463A1C" w:rsidRPr="007D7872">
        <w:t xml:space="preserve"> (hors risque de blanchiment des capitaux </w:t>
      </w:r>
      <w:r w:rsidR="00FC763A" w:rsidRPr="007D7872">
        <w:t>et de financement du terrorisme</w:t>
      </w:r>
      <w:r w:rsidR="00FC763A">
        <w:t>)</w:t>
      </w:r>
      <w:bookmarkEnd w:id="43"/>
    </w:p>
    <w:p w:rsidR="00104225" w:rsidRDefault="00104225" w:rsidP="004E7222"/>
    <w:p w:rsidR="00F2624B" w:rsidRPr="00F13733" w:rsidRDefault="009E6572" w:rsidP="00F2624B">
      <w:pPr>
        <w:keepNext/>
        <w:rPr>
          <w:sz w:val="22"/>
          <w:szCs w:val="22"/>
        </w:rPr>
      </w:pPr>
      <w:r w:rsidRPr="00A85C3C">
        <w:rPr>
          <w:b/>
          <w:i/>
          <w:iCs/>
          <w:color w:val="003B8E"/>
          <w:sz w:val="22"/>
          <w:szCs w:val="22"/>
        </w:rPr>
        <w:t>Rappel</w:t>
      </w:r>
      <w:r>
        <w:rPr>
          <w:b/>
          <w:i/>
          <w:iCs/>
          <w:color w:val="003B8E"/>
          <w:szCs w:val="22"/>
        </w:rPr>
        <w:t> :</w:t>
      </w:r>
      <w:r w:rsidR="00104225" w:rsidRPr="00F13733">
        <w:rPr>
          <w:sz w:val="22"/>
          <w:szCs w:val="22"/>
        </w:rPr>
        <w:t xml:space="preserve"> </w:t>
      </w:r>
      <w:r>
        <w:rPr>
          <w:i/>
          <w:sz w:val="22"/>
          <w:szCs w:val="22"/>
        </w:rPr>
        <w:t>L</w:t>
      </w:r>
      <w:r w:rsidR="00104225" w:rsidRPr="00F13733">
        <w:rPr>
          <w:i/>
          <w:sz w:val="22"/>
          <w:szCs w:val="22"/>
        </w:rPr>
        <w:t>es informations relatives au risque de blanchiment des capitaux et de financement du terrorisme</w:t>
      </w:r>
      <w:r w:rsidR="00B80FD9" w:rsidRPr="00F13733">
        <w:rPr>
          <w:i/>
          <w:sz w:val="22"/>
          <w:szCs w:val="22"/>
        </w:rPr>
        <w:t xml:space="preserve"> sont à </w:t>
      </w:r>
      <w:r w:rsidR="00487700" w:rsidRPr="00F13733">
        <w:rPr>
          <w:i/>
          <w:sz w:val="22"/>
          <w:szCs w:val="22"/>
        </w:rPr>
        <w:t xml:space="preserve">remettre dans </w:t>
      </w:r>
      <w:r w:rsidR="004D7458">
        <w:rPr>
          <w:i/>
          <w:sz w:val="22"/>
          <w:szCs w:val="22"/>
        </w:rPr>
        <w:t>le</w:t>
      </w:r>
      <w:r w:rsidR="004D7458" w:rsidRPr="00F13733">
        <w:rPr>
          <w:i/>
          <w:sz w:val="22"/>
          <w:szCs w:val="22"/>
        </w:rPr>
        <w:t xml:space="preserve"> </w:t>
      </w:r>
      <w:r w:rsidR="00487700" w:rsidRPr="00F13733">
        <w:rPr>
          <w:i/>
          <w:sz w:val="22"/>
          <w:szCs w:val="22"/>
        </w:rPr>
        <w:t>rapport</w:t>
      </w:r>
      <w:r w:rsidR="00DF0A81" w:rsidRPr="00F13733">
        <w:rPr>
          <w:i/>
          <w:sz w:val="22"/>
          <w:szCs w:val="22"/>
        </w:rPr>
        <w:t xml:space="preserve"> </w:t>
      </w:r>
      <w:r w:rsidR="004D7458">
        <w:rPr>
          <w:i/>
          <w:sz w:val="22"/>
          <w:szCs w:val="22"/>
        </w:rPr>
        <w:t>sur l’organisation des dispositifs de contrôle interne de LCB-</w:t>
      </w:r>
      <w:r w:rsidR="004D7458">
        <w:rPr>
          <w:i/>
          <w:sz w:val="22"/>
          <w:szCs w:val="22"/>
        </w:rPr>
        <w:lastRenderedPageBreak/>
        <w:t>FT et de gel des avoirs</w:t>
      </w:r>
      <w:r w:rsidR="00E931FD">
        <w:rPr>
          <w:i/>
          <w:sz w:val="22"/>
          <w:szCs w:val="22"/>
        </w:rPr>
        <w:t xml:space="preserve">, prévu </w:t>
      </w:r>
      <w:r w:rsidR="00A62657">
        <w:rPr>
          <w:i/>
          <w:sz w:val="22"/>
          <w:szCs w:val="22"/>
        </w:rPr>
        <w:t>aux</w:t>
      </w:r>
      <w:r w:rsidR="00E931FD">
        <w:rPr>
          <w:i/>
          <w:sz w:val="22"/>
          <w:szCs w:val="22"/>
        </w:rPr>
        <w:t xml:space="preserve"> articles R.561-38-6</w:t>
      </w:r>
      <w:r w:rsidR="0046009F">
        <w:rPr>
          <w:i/>
          <w:sz w:val="22"/>
          <w:szCs w:val="22"/>
        </w:rPr>
        <w:t xml:space="preserve"> et</w:t>
      </w:r>
      <w:r>
        <w:rPr>
          <w:i/>
          <w:sz w:val="22"/>
          <w:szCs w:val="22"/>
        </w:rPr>
        <w:t xml:space="preserve"> </w:t>
      </w:r>
      <w:r w:rsidR="00F2624B">
        <w:rPr>
          <w:i/>
          <w:sz w:val="22"/>
          <w:szCs w:val="22"/>
        </w:rPr>
        <w:t xml:space="preserve">R.561-38-7 </w:t>
      </w:r>
      <w:r>
        <w:rPr>
          <w:i/>
          <w:sz w:val="22"/>
          <w:szCs w:val="22"/>
        </w:rPr>
        <w:t>du Code monétaire et financier</w:t>
      </w:r>
      <w:r w:rsidR="0017657F">
        <w:rPr>
          <w:i/>
          <w:sz w:val="22"/>
          <w:szCs w:val="22"/>
        </w:rPr>
        <w:t>,</w:t>
      </w:r>
      <w:r>
        <w:rPr>
          <w:i/>
          <w:sz w:val="22"/>
          <w:szCs w:val="22"/>
        </w:rPr>
        <w:t xml:space="preserve"> selon les modalités définies dans l’arrêté du 21 décembre 2018</w:t>
      </w:r>
      <w:r w:rsidR="00DF0A81" w:rsidRPr="00F13733">
        <w:rPr>
          <w:i/>
          <w:sz w:val="22"/>
          <w:szCs w:val="22"/>
        </w:rPr>
        <w:t>.</w:t>
      </w:r>
    </w:p>
    <w:p w:rsidR="00104225" w:rsidRPr="00F13733" w:rsidRDefault="00104225" w:rsidP="00A85C3C">
      <w:pPr>
        <w:keepNext/>
        <w:rPr>
          <w:sz w:val="22"/>
          <w:szCs w:val="22"/>
        </w:rPr>
      </w:pPr>
    </w:p>
    <w:bookmarkEnd w:id="44"/>
    <w:bookmarkEnd w:id="45"/>
    <w:p w:rsidR="004A229A" w:rsidRDefault="00A509C0" w:rsidP="005813F0">
      <w:pPr>
        <w:pStyle w:val="SGACP-sous-titrederubriquenivaeu2"/>
        <w:jc w:val="both"/>
      </w:pPr>
      <w:r>
        <w:t>7.1.</w:t>
      </w:r>
      <w:r>
        <w:tab/>
      </w:r>
      <w:bookmarkStart w:id="46" w:name="_Toc266799791"/>
      <w:r w:rsidR="00463A1C" w:rsidRPr="007F2900">
        <w:t>Formation du personnel aux procédures de contrôle de la conformité et information immédiate du personnel concerné des modifications pouvant intervenir dans les textes applicables aux opérations réalisées</w:t>
      </w:r>
      <w:bookmarkEnd w:id="46"/>
      <w:r w:rsidR="008D475D">
        <w:t xml:space="preserve"> (cf. articles 39 et 40 de l’arrêté du 3 novembre 2014</w:t>
      </w:r>
      <w:r w:rsidR="006653E9">
        <w:t xml:space="preserve"> modifié</w:t>
      </w:r>
      <w:r w:rsidR="008D475D">
        <w:t>)</w:t>
      </w:r>
    </w:p>
    <w:p w:rsidR="00A509C0" w:rsidRPr="007F2900" w:rsidRDefault="006653E9" w:rsidP="00A509C0">
      <w:pPr>
        <w:pStyle w:val="SGACP-textecourant"/>
      </w:pPr>
      <w:r>
        <w:t xml:space="preserve"> </w:t>
      </w:r>
    </w:p>
    <w:p w:rsidR="00463A1C" w:rsidRPr="007F2900" w:rsidRDefault="00A509C0" w:rsidP="00A509C0">
      <w:pPr>
        <w:pStyle w:val="SGACP-sous-titrederubriquenivaeu2"/>
      </w:pPr>
      <w:bookmarkStart w:id="47" w:name="_Toc266799792"/>
      <w:r>
        <w:t>7.2.</w:t>
      </w:r>
      <w:r>
        <w:tab/>
      </w:r>
      <w:r w:rsidR="00463A1C" w:rsidRPr="007F2900">
        <w:t>Évaluation et maîtrise du risque de réputation</w:t>
      </w:r>
      <w:bookmarkEnd w:id="47"/>
      <w:r w:rsidR="00463A1C" w:rsidRPr="007F2900">
        <w:t xml:space="preserve"> </w:t>
      </w:r>
    </w:p>
    <w:p w:rsidR="00A509C0" w:rsidRDefault="00A509C0" w:rsidP="00A509C0">
      <w:pPr>
        <w:pStyle w:val="SGACP-textecourant"/>
      </w:pPr>
      <w:bookmarkStart w:id="48" w:name="_Toc266799793"/>
      <w:bookmarkStart w:id="49" w:name="_Toc263679151"/>
    </w:p>
    <w:p w:rsidR="00463A1C" w:rsidRDefault="00463A1C" w:rsidP="00A509C0">
      <w:pPr>
        <w:pStyle w:val="SGACP-sous-titrederubriquenivaeu2"/>
      </w:pPr>
      <w:r w:rsidRPr="007F2900">
        <w:t>7.3</w:t>
      </w:r>
      <w:r w:rsidR="00A509C0">
        <w:t>.</w:t>
      </w:r>
      <w:r w:rsidR="00A509C0">
        <w:tab/>
      </w:r>
      <w:r w:rsidRPr="007F2900">
        <w:t>Autres risques de non-conformité (déontologie bancaire et financière…)</w:t>
      </w:r>
      <w:bookmarkEnd w:id="48"/>
    </w:p>
    <w:p w:rsidR="00F56F68" w:rsidRDefault="00F56F68" w:rsidP="00A509C0">
      <w:pPr>
        <w:pStyle w:val="SGACP-sous-titrederubriquenivaeu2"/>
      </w:pPr>
    </w:p>
    <w:p w:rsidR="00F56F68" w:rsidRDefault="00F56F68" w:rsidP="00460E3D">
      <w:pPr>
        <w:pStyle w:val="Titre2"/>
        <w:numPr>
          <w:ilvl w:val="1"/>
          <w:numId w:val="34"/>
        </w:numPr>
        <w:spacing w:before="120"/>
        <w:ind w:left="567" w:hanging="567"/>
      </w:pPr>
      <w:r>
        <w:t>Procédures permettant le signalement des manquements, infractions et dysfonctionnements</w:t>
      </w:r>
    </w:p>
    <w:p w:rsidR="00F56F68" w:rsidRPr="001E5404" w:rsidRDefault="00F56F68" w:rsidP="00F56F68">
      <w:pPr>
        <w:rPr>
          <w:sz w:val="22"/>
          <w:szCs w:val="22"/>
        </w:rPr>
      </w:pPr>
      <w:r w:rsidRPr="001E5404">
        <w:rPr>
          <w:sz w:val="22"/>
          <w:szCs w:val="22"/>
        </w:rPr>
        <w:t>Indiquer :</w:t>
      </w:r>
    </w:p>
    <w:p w:rsidR="00F56F68" w:rsidRDefault="00F56F68" w:rsidP="00F56F68">
      <w:pPr>
        <w:pStyle w:val="SGACP-enumerationniveau1"/>
        <w:ind w:left="284" w:hanging="284"/>
      </w:pPr>
      <w:r>
        <w:t>les procédures mises en place pour</w:t>
      </w:r>
      <w:r w:rsidRPr="00C17F5F">
        <w:t xml:space="preserve"> </w:t>
      </w:r>
      <w:r w:rsidRPr="001E5404">
        <w:t xml:space="preserve">permettre </w:t>
      </w:r>
      <w:r>
        <w:t>au</w:t>
      </w:r>
      <w:r w:rsidRPr="001E5404">
        <w:t xml:space="preserve"> personnel de signaler </w:t>
      </w:r>
      <w:r>
        <w:t>aux responsables et comités compétents de leur entreprise ainsi qu'à l’ACPR (ou à la BCE selon les cas) les</w:t>
      </w:r>
      <w:r w:rsidRPr="00C17F5F">
        <w:t xml:space="preserve"> manquements ou infraction</w:t>
      </w:r>
      <w:r>
        <w:t xml:space="preserve">s </w:t>
      </w:r>
      <w:r w:rsidRPr="001E5404">
        <w:t>à la réglementation prudentiel</w:t>
      </w:r>
      <w:r w:rsidRPr="00C17F5F">
        <w:t>le</w:t>
      </w:r>
      <w:r w:rsidRPr="001E5404">
        <w:t xml:space="preserve"> commis </w:t>
      </w:r>
      <w:r>
        <w:t>au sein de l’établissement</w:t>
      </w:r>
      <w:r w:rsidRPr="001E5404">
        <w:t xml:space="preserve"> ou susceptible</w:t>
      </w:r>
      <w:r>
        <w:t>s</w:t>
      </w:r>
      <w:r w:rsidRPr="001E5404">
        <w:t xml:space="preserve"> de l’être </w:t>
      </w:r>
      <w:r>
        <w:t>(cf. article L.511-41 du Code monétaire et financier) ;</w:t>
      </w:r>
    </w:p>
    <w:p w:rsidR="00646DB1" w:rsidRDefault="00F56F68" w:rsidP="00F56F68">
      <w:pPr>
        <w:pStyle w:val="SGACP-enumerationniveau1"/>
        <w:ind w:left="284" w:hanging="284"/>
      </w:pPr>
      <w:r>
        <w:t xml:space="preserve">les procédures mises en place pour permettre à tout dirigeant ou préposé de faire part, au responsable </w:t>
      </w:r>
      <w:r w:rsidR="0046009F" w:rsidRPr="003463F8">
        <w:t xml:space="preserve">de la fonction de vérification </w:t>
      </w:r>
      <w:r>
        <w:t>de la conformité de l'entité ou de la ligne métier à laquelle ils appartiennent, ou au responsable mentionné à l'article 28 de l’arrêté du 3 novembre 2014</w:t>
      </w:r>
      <w:r w:rsidR="006653E9">
        <w:t xml:space="preserve"> modifié</w:t>
      </w:r>
      <w:r>
        <w:t>, de ses interrogations sur d’éventuels dysfonctionnements concernant le dispositif de contrôle de la conformité (cf. article 37 de l’arrêté du 3 novembre 2014</w:t>
      </w:r>
      <w:r w:rsidR="006653E9">
        <w:t xml:space="preserve"> modifié</w:t>
      </w:r>
      <w:r w:rsidR="00B97991">
        <w:t>)</w:t>
      </w:r>
      <w:r w:rsidR="006653E9">
        <w:t> </w:t>
      </w:r>
      <w:r w:rsidR="00646DB1">
        <w:t>;</w:t>
      </w:r>
    </w:p>
    <w:p w:rsidR="00F56F68" w:rsidRDefault="00646DB1" w:rsidP="00646DB1">
      <w:pPr>
        <w:pStyle w:val="SGACP-enumerationniveau1"/>
        <w:ind w:left="284" w:hanging="284"/>
      </w:pPr>
      <w:r>
        <w:t>les procédures mises en place pour permettre au personnel de signaler à l’ACPR tout manquement aux obligations définies par les règlements européens et par le Code monétaire et financier (cf. article L. 634-1 et L. 634-2 du Code monétaire et financier)</w:t>
      </w:r>
      <w:r w:rsidR="00F56F68">
        <w:t xml:space="preserve">. </w:t>
      </w:r>
    </w:p>
    <w:p w:rsidR="00E7222B" w:rsidRDefault="00E7222B" w:rsidP="00E7222B">
      <w:pPr>
        <w:pStyle w:val="SGACP-enumerationniveau1"/>
        <w:numPr>
          <w:ilvl w:val="0"/>
          <w:numId w:val="0"/>
        </w:numPr>
        <w:ind w:left="284"/>
      </w:pPr>
    </w:p>
    <w:p w:rsidR="00514CF7" w:rsidRDefault="00514CF7" w:rsidP="00514CF7">
      <w:pPr>
        <w:pStyle w:val="Titre2"/>
        <w:numPr>
          <w:ilvl w:val="1"/>
          <w:numId w:val="34"/>
        </w:numPr>
        <w:spacing w:before="120"/>
        <w:ind w:left="567" w:hanging="567"/>
      </w:pPr>
      <w:r>
        <w:t>Procédures lors d’opérations relatives à de nouveaux produits, de croissance externe et interne</w:t>
      </w:r>
    </w:p>
    <w:p w:rsidR="00514CF7" w:rsidRDefault="00514CF7" w:rsidP="00514CF7">
      <w:pPr>
        <w:pStyle w:val="SGACP-enumerationniveau1"/>
        <w:ind w:left="284" w:hanging="284"/>
      </w:pPr>
      <w:r>
        <w:t xml:space="preserve">présentation des procédures </w:t>
      </w:r>
      <w:r w:rsidRPr="0068699A">
        <w:t>d'examen de la conformité</w:t>
      </w:r>
      <w:r w:rsidR="005F398B">
        <w:t xml:space="preserve"> </w:t>
      </w:r>
      <w:r>
        <w:t>mises en œuvre lors</w:t>
      </w:r>
      <w:r w:rsidRPr="0068699A">
        <w:t xml:space="preserve"> de la réalisation d’</w:t>
      </w:r>
      <w:r>
        <w:t>opérations relatives à des nouveaux produits ou services, à des changements significatifs de ces derniers</w:t>
      </w:r>
      <w:r w:rsidRPr="00D32155">
        <w:t xml:space="preserve"> </w:t>
      </w:r>
      <w:r>
        <w:t xml:space="preserve">ou des systèmes associés aux produits, lors d’opérations de croissance externe et interne ou de transactions exceptionnelles : </w:t>
      </w:r>
      <w:r w:rsidRPr="0068699A">
        <w:rPr>
          <w:i/>
        </w:rPr>
        <w:t>avis requis, par écrit et de façon systématique, du responsable de la fonction de vérification de la conformité préalablement à l'exécution de ces opérations</w:t>
      </w:r>
      <w:r>
        <w:t xml:space="preserve"> (cf. articles 35 et 221 1</w:t>
      </w:r>
      <w:r w:rsidRPr="00D52530">
        <w:rPr>
          <w:vertAlign w:val="superscript"/>
        </w:rPr>
        <w:t>er</w:t>
      </w:r>
      <w:r>
        <w:t xml:space="preserve"> alinéa de l’arrêté du 3 novembre 2014</w:t>
      </w:r>
      <w:r w:rsidRPr="0068699A">
        <w:t xml:space="preserve"> </w:t>
      </w:r>
      <w:r>
        <w:t>modifié)</w:t>
      </w:r>
      <w:r w:rsidR="00CD63A7">
        <w:t>.</w:t>
      </w:r>
      <w:r>
        <w:t xml:space="preserve">   </w:t>
      </w:r>
    </w:p>
    <w:p w:rsidR="00514CF7" w:rsidRDefault="00514CF7" w:rsidP="00E7222B">
      <w:pPr>
        <w:pStyle w:val="SGACP-enumerationniveau1"/>
        <w:numPr>
          <w:ilvl w:val="0"/>
          <w:numId w:val="0"/>
        </w:numPr>
        <w:ind w:left="284"/>
      </w:pPr>
    </w:p>
    <w:p w:rsidR="00F56F68" w:rsidRPr="00E7222B" w:rsidRDefault="00E7222B" w:rsidP="00E7222B">
      <w:pPr>
        <w:pStyle w:val="SGACP-sous-titrederubriquenivaeu2"/>
      </w:pPr>
      <w:r w:rsidRPr="00E7222B">
        <w:t>7.</w:t>
      </w:r>
      <w:r w:rsidR="00445F76">
        <w:t>6</w:t>
      </w:r>
      <w:r w:rsidR="00F56F68" w:rsidRPr="00E7222B">
        <w:t>.</w:t>
      </w:r>
      <w:r>
        <w:t xml:space="preserve"> </w:t>
      </w:r>
      <w:r w:rsidR="002F066C">
        <w:tab/>
      </w:r>
      <w:r w:rsidR="00F56F68" w:rsidRPr="00E7222B">
        <w:t>Centralisation et mise en place de mesures de remédiation et de suivi</w:t>
      </w:r>
    </w:p>
    <w:p w:rsidR="00E7222B" w:rsidRDefault="00E7222B" w:rsidP="00F56F68">
      <w:pPr>
        <w:rPr>
          <w:sz w:val="22"/>
          <w:szCs w:val="22"/>
        </w:rPr>
      </w:pPr>
    </w:p>
    <w:p w:rsidR="00F56F68" w:rsidRPr="001E5404" w:rsidRDefault="00F56F68" w:rsidP="00F56F68">
      <w:pPr>
        <w:rPr>
          <w:sz w:val="22"/>
          <w:szCs w:val="22"/>
        </w:rPr>
      </w:pPr>
      <w:r w:rsidRPr="001E5404">
        <w:rPr>
          <w:sz w:val="22"/>
          <w:szCs w:val="22"/>
        </w:rPr>
        <w:t>Indiquer :</w:t>
      </w:r>
    </w:p>
    <w:p w:rsidR="00F56F68" w:rsidRDefault="00F56F68" w:rsidP="00F56F68">
      <w:pPr>
        <w:pStyle w:val="SGACP-enumerationniveau1"/>
        <w:ind w:left="284" w:hanging="284"/>
      </w:pPr>
      <w:r>
        <w:t>les procédures mises en place pour centraliser les informations relatives aux dysfonctionnements éventuels dans la mise en œuvre des obligations de conformité (cf. articles 36 et 37 de l’arrêté du 3 novembre 2014</w:t>
      </w:r>
      <w:r w:rsidR="006653E9">
        <w:t xml:space="preserve"> modifié</w:t>
      </w:r>
      <w:r>
        <w:t>) ;</w:t>
      </w:r>
    </w:p>
    <w:p w:rsidR="00F56F68" w:rsidRDefault="00F56F68" w:rsidP="00F56F68">
      <w:pPr>
        <w:pStyle w:val="SGACP-enumerationniveau1"/>
        <w:ind w:left="284" w:hanging="284"/>
      </w:pPr>
      <w:r>
        <w:t>les procédures mises en place pour suivre et évaluer la mise en œuvre effective des actions visant à remédier aux dysfonctionnements dans la mise en œuvre des obligations de conformité (cf. article 38 de l’arrêté du 3 novembre 2014</w:t>
      </w:r>
      <w:r w:rsidR="006653E9">
        <w:t xml:space="preserve"> modifié</w:t>
      </w:r>
      <w:r>
        <w:t>).</w:t>
      </w:r>
    </w:p>
    <w:p w:rsidR="00A509C0" w:rsidRDefault="00A509C0" w:rsidP="00A509C0">
      <w:pPr>
        <w:pStyle w:val="SGACP-textecourant"/>
      </w:pPr>
      <w:bookmarkStart w:id="50" w:name="_Toc266799794"/>
    </w:p>
    <w:p w:rsidR="00463A1C" w:rsidRPr="007F2900" w:rsidRDefault="00A509C0" w:rsidP="00A509C0">
      <w:pPr>
        <w:pStyle w:val="SGACP-sous-titrederubriquenivaeu2"/>
      </w:pPr>
      <w:r>
        <w:t>7.</w:t>
      </w:r>
      <w:r w:rsidR="00445F76">
        <w:t>7</w:t>
      </w:r>
      <w:r w:rsidR="00F56F68">
        <w:t>.</w:t>
      </w:r>
      <w:r>
        <w:tab/>
      </w:r>
      <w:r w:rsidR="00463A1C" w:rsidRPr="007F2900">
        <w:t>Description des principaux dysfonctionnements identifiés au cours de l</w:t>
      </w:r>
      <w:r w:rsidR="001224E7">
        <w:t>’</w:t>
      </w:r>
      <w:r w:rsidR="00463A1C" w:rsidRPr="007F2900">
        <w:t>exercice</w:t>
      </w:r>
      <w:bookmarkEnd w:id="49"/>
      <w:bookmarkEnd w:id="50"/>
    </w:p>
    <w:p w:rsidR="00A509C0" w:rsidRDefault="00A509C0" w:rsidP="00A509C0">
      <w:pPr>
        <w:pStyle w:val="SGACP-textecourant"/>
      </w:pPr>
      <w:bookmarkStart w:id="51" w:name="_Toc263679152"/>
      <w:bookmarkStart w:id="52" w:name="_Toc266799795"/>
    </w:p>
    <w:p w:rsidR="00463A1C" w:rsidRPr="007F2900" w:rsidRDefault="00A509C0" w:rsidP="00A509C0">
      <w:pPr>
        <w:pStyle w:val="SGACP-sous-titrederubriquenivaeu2"/>
      </w:pPr>
      <w:r>
        <w:lastRenderedPageBreak/>
        <w:t>7.</w:t>
      </w:r>
      <w:r w:rsidR="00445F76">
        <w:t>8</w:t>
      </w:r>
      <w:r>
        <w:t>.</w:t>
      </w:r>
      <w:r>
        <w:tab/>
      </w:r>
      <w:r w:rsidR="00463A1C" w:rsidRPr="007F2900">
        <w:t>Résultats des contrôles permanents</w:t>
      </w:r>
      <w:r w:rsidR="00D5659E">
        <w:t xml:space="preserve"> de 2</w:t>
      </w:r>
      <w:r w:rsidR="00D5659E" w:rsidRPr="002B7399">
        <w:rPr>
          <w:vertAlign w:val="superscript"/>
        </w:rPr>
        <w:t>ème</w:t>
      </w:r>
      <w:r w:rsidR="00D5659E">
        <w:t xml:space="preserve"> niveau</w:t>
      </w:r>
      <w:r w:rsidR="00463A1C" w:rsidRPr="007F2900">
        <w:t xml:space="preserve"> menés en matière de risque de non-conformité</w:t>
      </w:r>
      <w:bookmarkEnd w:id="51"/>
      <w:bookmarkEnd w:id="52"/>
      <w:r w:rsidR="00743C3A">
        <w:t> :</w:t>
      </w:r>
    </w:p>
    <w:p w:rsidR="00331B88" w:rsidRDefault="00743C3A" w:rsidP="004F3BB8">
      <w:pPr>
        <w:pStyle w:val="SGACP-enumerationniveau1"/>
        <w:ind w:left="284" w:hanging="284"/>
      </w:pPr>
      <w:r>
        <w:t>p</w:t>
      </w:r>
      <w:r w:rsidR="00463A1C" w:rsidRPr="007F2900">
        <w:t>rincipales insuffisances relevées</w:t>
      </w:r>
      <w:r>
        <w:t> ;</w:t>
      </w:r>
    </w:p>
    <w:p w:rsidR="00331B88" w:rsidRDefault="00743C3A" w:rsidP="004F3BB8">
      <w:pPr>
        <w:pStyle w:val="SGACP-enumerationniveau1"/>
        <w:ind w:left="284" w:hanging="284"/>
      </w:pPr>
      <w:r>
        <w:t>m</w:t>
      </w:r>
      <w:r w:rsidR="00463A1C" w:rsidRPr="007F2900">
        <w:t xml:space="preserve">esures correctives engagées pour remédier aux insuffisances relevées, </w:t>
      </w:r>
      <w:r w:rsidR="00463A1C" w:rsidRPr="008335E0">
        <w:t>date de réalisation prévisionnelle de ces mesures et état d</w:t>
      </w:r>
      <w:r w:rsidR="001224E7">
        <w:t>’</w:t>
      </w:r>
      <w:r w:rsidR="00463A1C" w:rsidRPr="008335E0">
        <w:t>avancement de leur mise en œuvre à la date de rédaction du présent rapport</w:t>
      </w:r>
      <w:r w:rsidRPr="008335E0">
        <w:t> ;</w:t>
      </w:r>
    </w:p>
    <w:p w:rsidR="00331B88" w:rsidRDefault="00743C3A" w:rsidP="004F3BB8">
      <w:pPr>
        <w:pStyle w:val="SGACP-enumerationniveau1"/>
        <w:ind w:left="284" w:hanging="284"/>
        <w:rPr>
          <w:i/>
        </w:rPr>
      </w:pPr>
      <w:r>
        <w:t>m</w:t>
      </w:r>
      <w:r w:rsidR="00463A1C" w:rsidRPr="007F2900">
        <w:t xml:space="preserve">odalités de suivi des recommandations résultant des contrôles permanents </w:t>
      </w:r>
      <w:r w:rsidR="00463A1C" w:rsidRPr="00C26DE4">
        <w:rPr>
          <w:i/>
        </w:rPr>
        <w:t>(outils, personnes en charge)</w:t>
      </w:r>
      <w:r w:rsidRPr="00743C3A">
        <w:t> ;</w:t>
      </w:r>
    </w:p>
    <w:p w:rsidR="00331B88" w:rsidRDefault="00743C3A" w:rsidP="004F3BB8">
      <w:pPr>
        <w:pStyle w:val="SGACP-enumerationniveau1"/>
        <w:ind w:left="284" w:hanging="284"/>
      </w:pPr>
      <w:r>
        <w:t>m</w:t>
      </w:r>
      <w:r w:rsidR="00463A1C" w:rsidRPr="007F2900">
        <w:t>odalités de vérification de l</w:t>
      </w:r>
      <w:r w:rsidR="001224E7">
        <w:t>’</w:t>
      </w:r>
      <w:r w:rsidR="00463A1C" w:rsidRPr="007F2900">
        <w:t xml:space="preserve">exécution dans des délais raisonnables des mesures correctrices décidées au sein des entreprises, par les personnes compétentes </w:t>
      </w:r>
      <w:r w:rsidR="00463A1C" w:rsidRPr="005813F0">
        <w:t>(cf. articles</w:t>
      </w:r>
      <w:r w:rsidR="0071777E" w:rsidRPr="005813F0">
        <w:t> </w:t>
      </w:r>
      <w:r w:rsidR="00290219" w:rsidRPr="005813F0">
        <w:t xml:space="preserve">11 f) et 26 </w:t>
      </w:r>
      <w:r w:rsidR="00813951" w:rsidRPr="005813F0">
        <w:t xml:space="preserve">a) </w:t>
      </w:r>
      <w:r w:rsidR="00813951" w:rsidRPr="00156279">
        <w:t>de l’arrêté du 3 novembre 2014</w:t>
      </w:r>
      <w:r w:rsidR="006653E9">
        <w:t xml:space="preserve"> modifié</w:t>
      </w:r>
      <w:r w:rsidR="00463A1C" w:rsidRPr="005813F0">
        <w:t>)</w:t>
      </w:r>
      <w:r w:rsidRPr="005813F0">
        <w:t>.</w:t>
      </w:r>
    </w:p>
    <w:p w:rsidR="0054173A" w:rsidRDefault="0054173A" w:rsidP="0054173A"/>
    <w:p w:rsidR="0054173A" w:rsidRPr="00156279" w:rsidRDefault="0054173A" w:rsidP="0054173A"/>
    <w:bookmarkStart w:id="53" w:name="_Toc482264808"/>
    <w:bookmarkStart w:id="54" w:name="_Toc482264809"/>
    <w:bookmarkStart w:id="55" w:name="_Toc482264810"/>
    <w:bookmarkStart w:id="56" w:name="_Toc482264811"/>
    <w:bookmarkStart w:id="57" w:name="_Toc482264812"/>
    <w:bookmarkStart w:id="58" w:name="_Toc482264813"/>
    <w:bookmarkStart w:id="59" w:name="_Toc482264814"/>
    <w:bookmarkStart w:id="60" w:name="_Toc482264815"/>
    <w:bookmarkStart w:id="61" w:name="_Toc482264816"/>
    <w:bookmarkStart w:id="62" w:name="_Toc482264817"/>
    <w:bookmarkStart w:id="63" w:name="_Toc482264818"/>
    <w:bookmarkStart w:id="64" w:name="_Toc482264819"/>
    <w:bookmarkStart w:id="65" w:name="_Toc482264820"/>
    <w:bookmarkStart w:id="66" w:name="_Toc482264821"/>
    <w:bookmarkStart w:id="67" w:name="_Toc482264822"/>
    <w:bookmarkStart w:id="68" w:name="_Toc482264823"/>
    <w:bookmarkStart w:id="69" w:name="_Toc482264824"/>
    <w:bookmarkStart w:id="70" w:name="_Toc482264825"/>
    <w:bookmarkStart w:id="71" w:name="_Toc482264826"/>
    <w:bookmarkStart w:id="72" w:name="_Toc482264827"/>
    <w:bookmarkStart w:id="73" w:name="_Toc482264828"/>
    <w:bookmarkStart w:id="74" w:name="_Toc482264829"/>
    <w:bookmarkStart w:id="75" w:name="_Toc482264830"/>
    <w:bookmarkStart w:id="76" w:name="_Toc482264831"/>
    <w:bookmarkStart w:id="77" w:name="_Toc48226483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rsidR="00331B88" w:rsidRDefault="00A72BE1">
      <w:pPr>
        <w:pStyle w:val="StyleSGACP-titrederubriqueniveau1CouleurpersonnaliseRVB"/>
        <w:ind w:left="426" w:hanging="426"/>
      </w:pPr>
      <w:r>
        <w:fldChar w:fldCharType="begin"/>
      </w:r>
      <w:r>
        <w:instrText xml:space="preserve"> HYPERLINK \l "_Toc244938696" </w:instrText>
      </w:r>
      <w:r>
        <w:fldChar w:fldCharType="separate"/>
      </w:r>
      <w:bookmarkStart w:id="78" w:name="_Toc266799861"/>
      <w:bookmarkStart w:id="79" w:name="_Toc266799801"/>
      <w:bookmarkStart w:id="80" w:name="_Toc137799880"/>
      <w:r w:rsidR="00463A1C" w:rsidRPr="007D7872">
        <w:t>Risque de crédit</w:t>
      </w:r>
      <w:bookmarkEnd w:id="78"/>
      <w:bookmarkEnd w:id="79"/>
      <w:r>
        <w:fldChar w:fldCharType="end"/>
      </w:r>
      <w:r w:rsidR="001F19C0">
        <w:t xml:space="preserve"> </w:t>
      </w:r>
      <w:r w:rsidR="00506F68">
        <w:t xml:space="preserve">et de contrepartie </w:t>
      </w:r>
      <w:r w:rsidR="00625CFE">
        <w:t>(cf. articles 106 à 121 de l’arrêté du 3 novembre 2014</w:t>
      </w:r>
      <w:r w:rsidR="006653E9">
        <w:t xml:space="preserve"> modifié</w:t>
      </w:r>
      <w:r w:rsidR="00625CFE">
        <w:t>)</w:t>
      </w:r>
      <w:bookmarkEnd w:id="80"/>
    </w:p>
    <w:p w:rsidR="00A509C0" w:rsidRPr="00440703" w:rsidRDefault="00A509C0" w:rsidP="00463A1C"/>
    <w:p w:rsidR="00463A1C" w:rsidRDefault="00463A1C" w:rsidP="00BB0752">
      <w:pPr>
        <w:pStyle w:val="SGACP-textecourant"/>
        <w:rPr>
          <w:i/>
          <w:iCs/>
        </w:rPr>
      </w:pPr>
      <w:r w:rsidRPr="00935917">
        <w:rPr>
          <w:b/>
          <w:i/>
          <w:iCs/>
          <w:color w:val="003B8E"/>
        </w:rPr>
        <w:t>N</w:t>
      </w:r>
      <w:r w:rsidR="001511E1" w:rsidRPr="00935917">
        <w:rPr>
          <w:b/>
          <w:i/>
          <w:iCs/>
          <w:color w:val="003B8E"/>
        </w:rPr>
        <w:t>ota bene</w:t>
      </w:r>
      <w:r w:rsidRPr="00A509C0">
        <w:rPr>
          <w:i/>
          <w:iCs/>
        </w:rPr>
        <w:t xml:space="preserve"> : </w:t>
      </w:r>
      <w:r w:rsidR="00A509C0">
        <w:rPr>
          <w:i/>
          <w:iCs/>
        </w:rPr>
        <w:t>p</w:t>
      </w:r>
      <w:r w:rsidRPr="00A509C0">
        <w:rPr>
          <w:i/>
          <w:iCs/>
        </w:rPr>
        <w:t>our les prestataires de services d</w:t>
      </w:r>
      <w:r w:rsidR="001224E7">
        <w:rPr>
          <w:i/>
          <w:iCs/>
        </w:rPr>
        <w:t>’</w:t>
      </w:r>
      <w:r w:rsidRPr="00A509C0">
        <w:rPr>
          <w:i/>
          <w:iCs/>
        </w:rPr>
        <w:t xml:space="preserve">investissement (PSI), le cas particulier des </w:t>
      </w:r>
      <w:r w:rsidRPr="008335E0">
        <w:rPr>
          <w:b/>
          <w:i/>
          <w:iCs/>
        </w:rPr>
        <w:t>opérations de service à règlement-livraison différé (SRD)</w:t>
      </w:r>
      <w:r w:rsidRPr="00A509C0">
        <w:rPr>
          <w:i/>
          <w:iCs/>
        </w:rPr>
        <w:t>, est traité dans ce chapitre avec notamment des éléments d</w:t>
      </w:r>
      <w:r w:rsidR="001224E7">
        <w:rPr>
          <w:i/>
          <w:iCs/>
        </w:rPr>
        <w:t>’</w:t>
      </w:r>
      <w:r w:rsidRPr="00A509C0">
        <w:rPr>
          <w:i/>
          <w:iCs/>
        </w:rPr>
        <w:t>information sur la sélection des clients pour lesquels ce type d</w:t>
      </w:r>
      <w:r w:rsidR="001224E7">
        <w:rPr>
          <w:i/>
          <w:iCs/>
        </w:rPr>
        <w:t>’</w:t>
      </w:r>
      <w:r w:rsidRPr="00A509C0">
        <w:rPr>
          <w:i/>
          <w:iCs/>
        </w:rPr>
        <w:t>ordre est autorisé, sur les limites d</w:t>
      </w:r>
      <w:r w:rsidR="001224E7">
        <w:rPr>
          <w:i/>
          <w:iCs/>
        </w:rPr>
        <w:t>’</w:t>
      </w:r>
      <w:r w:rsidRPr="00A509C0">
        <w:rPr>
          <w:i/>
          <w:iCs/>
        </w:rPr>
        <w:t>intervention fixées et sur la gestion du risque (couverture initiale, maintien de cette couverture, suivi des prorogations, provisionnement des créances douteuses).</w:t>
      </w:r>
    </w:p>
    <w:p w:rsidR="007B6E6E" w:rsidRDefault="007B6E6E" w:rsidP="00BB0752">
      <w:pPr>
        <w:pStyle w:val="SGACP-textecourant"/>
        <w:rPr>
          <w:i/>
          <w:iCs/>
        </w:rPr>
      </w:pPr>
    </w:p>
    <w:p w:rsidR="00463A1C" w:rsidRPr="007F2900" w:rsidRDefault="008F3AF1" w:rsidP="00A73147">
      <w:pPr>
        <w:pStyle w:val="SGACP-sous-titrederubriquenivaeu2"/>
      </w:pPr>
      <w:bookmarkStart w:id="81" w:name="_Toc266799802"/>
      <w:r>
        <w:t>8</w:t>
      </w:r>
      <w:r w:rsidR="00A73147">
        <w:t>.1.</w:t>
      </w:r>
      <w:r w:rsidR="00A73147">
        <w:tab/>
      </w:r>
      <w:r w:rsidR="00463A1C" w:rsidRPr="007F2900">
        <w:t>Dispositif de sélection des opérations</w:t>
      </w:r>
      <w:bookmarkEnd w:id="81"/>
      <w:r w:rsidR="00F26BD5">
        <w:t> :</w:t>
      </w:r>
    </w:p>
    <w:p w:rsidR="00331B88" w:rsidRDefault="00F26BD5" w:rsidP="004F3BB8">
      <w:pPr>
        <w:pStyle w:val="SGACP-enumerationniveau1"/>
        <w:ind w:left="284" w:hanging="284"/>
      </w:pPr>
      <w:r>
        <w:t>c</w:t>
      </w:r>
      <w:r w:rsidR="00463A1C" w:rsidRPr="007F2900">
        <w:t>ritères prédéfinis de sélection des opérations</w:t>
      </w:r>
      <w:r>
        <w:t> ;</w:t>
      </w:r>
    </w:p>
    <w:p w:rsidR="00331B88" w:rsidRDefault="00F26BD5" w:rsidP="004F3BB8">
      <w:pPr>
        <w:pStyle w:val="SGACP-enumerationniveau1"/>
        <w:ind w:left="284" w:hanging="284"/>
      </w:pPr>
      <w:r>
        <w:t>é</w:t>
      </w:r>
      <w:r w:rsidR="00463A1C" w:rsidRPr="007F2900">
        <w:t>léments d</w:t>
      </w:r>
      <w:r w:rsidR="001224E7">
        <w:t>’</w:t>
      </w:r>
      <w:r w:rsidR="00463A1C" w:rsidRPr="007F2900">
        <w:t>analyse de la rentabilité prévisionnelle des opérations de crédit pris en compte lors des décisions d</w:t>
      </w:r>
      <w:r w:rsidR="001224E7">
        <w:t>’</w:t>
      </w:r>
      <w:r w:rsidR="00463A1C" w:rsidRPr="007F2900">
        <w:t xml:space="preserve">engagement : </w:t>
      </w:r>
      <w:r w:rsidR="00463A1C" w:rsidRPr="00A73147">
        <w:rPr>
          <w:i/>
          <w:iCs/>
        </w:rPr>
        <w:t>méthodologie, données prises en compte (sinistralité, etc.)</w:t>
      </w:r>
      <w:r w:rsidRPr="00935917">
        <w:rPr>
          <w:iCs/>
        </w:rPr>
        <w:t> ;</w:t>
      </w:r>
    </w:p>
    <w:p w:rsidR="00331B88" w:rsidRDefault="00F26BD5" w:rsidP="004F3BB8">
      <w:pPr>
        <w:pStyle w:val="SGACP-enumerationniveau1"/>
        <w:ind w:left="284" w:hanging="284"/>
      </w:pPr>
      <w:r>
        <w:t>d</w:t>
      </w:r>
      <w:r w:rsidR="00463A1C" w:rsidRPr="007F2900">
        <w:t>escription des procédures d</w:t>
      </w:r>
      <w:r w:rsidR="001224E7">
        <w:t>’</w:t>
      </w:r>
      <w:r w:rsidR="00463A1C" w:rsidRPr="007F2900">
        <w:t>octroi de crédit, incluant le cas échéant un dispositif de délégation</w:t>
      </w:r>
      <w:r w:rsidR="00E40A8F">
        <w:t>, d’escalade et/ou de limites</w:t>
      </w:r>
      <w:r w:rsidR="006242B3">
        <w:t> ;</w:t>
      </w:r>
    </w:p>
    <w:p w:rsidR="00331B88" w:rsidRDefault="00EA6D5F" w:rsidP="004F3BB8">
      <w:pPr>
        <w:pStyle w:val="SGACP-enumerationniveau1"/>
        <w:ind w:left="284" w:hanging="284"/>
      </w:pPr>
      <w:r>
        <w:t>p</w:t>
      </w:r>
      <w:r w:rsidR="00B23D5B" w:rsidRPr="00B23D5B">
        <w:t>olitique d</w:t>
      </w:r>
      <w:r w:rsidR="001224E7">
        <w:t>’</w:t>
      </w:r>
      <w:r w:rsidR="00B23D5B" w:rsidRPr="00B23D5B">
        <w:t>octroi des crédits à l</w:t>
      </w:r>
      <w:r w:rsidR="001224E7">
        <w:t>’</w:t>
      </w:r>
      <w:r w:rsidR="00B23D5B" w:rsidRPr="00B23D5B">
        <w:t>habitat à la clientèle française, notamment en ce qui concerne les critères relatifs à la charge de remboursement en fonction du revenu disponible des emprunteurs, au rapport entre le montant des prêts accordés et la valeur des biens financés et à la durée des crédits</w:t>
      </w:r>
      <w:r w:rsidR="006242B3">
        <w:t>.</w:t>
      </w:r>
    </w:p>
    <w:p w:rsidR="00A73147" w:rsidRPr="00440703" w:rsidRDefault="00A73147" w:rsidP="00463A1C">
      <w:bookmarkStart w:id="82" w:name="_Toc244576447"/>
      <w:bookmarkStart w:id="83" w:name="_Toc266799803"/>
    </w:p>
    <w:p w:rsidR="00F11B34" w:rsidRDefault="008F3AF1" w:rsidP="00724D63">
      <w:pPr>
        <w:pStyle w:val="SGACP-sous-titrederubriquenivaeu2"/>
      </w:pPr>
      <w:r>
        <w:t>8</w:t>
      </w:r>
      <w:r w:rsidR="00A73147">
        <w:t>.2.</w:t>
      </w:r>
      <w:r w:rsidR="00A73147">
        <w:tab/>
      </w:r>
      <w:r w:rsidR="00463A1C" w:rsidRPr="007F2900">
        <w:t>Dispositif de mesure et de surveillance des risques</w:t>
      </w:r>
      <w:bookmarkEnd w:id="82"/>
      <w:bookmarkEnd w:id="83"/>
      <w:r w:rsidR="00F26BD5">
        <w:t> :</w:t>
      </w:r>
    </w:p>
    <w:p w:rsidR="005E4A09" w:rsidRDefault="005E4A09" w:rsidP="00724D63">
      <w:pPr>
        <w:pStyle w:val="SGACP-sous-titrederubriquenivaeu2"/>
      </w:pPr>
    </w:p>
    <w:p w:rsidR="00096096" w:rsidRPr="003D1AFF" w:rsidRDefault="00096096" w:rsidP="003D1AFF">
      <w:pPr>
        <w:pStyle w:val="SGACP-enumerationniveau1"/>
        <w:ind w:left="284" w:hanging="284"/>
        <w:rPr>
          <w:i/>
        </w:rPr>
      </w:pPr>
      <w:r w:rsidRPr="003D6269">
        <w:rPr>
          <w:i/>
        </w:rPr>
        <w:t>stress scenarii</w:t>
      </w:r>
      <w:r>
        <w:rPr>
          <w:i/>
        </w:rPr>
        <w:t xml:space="preserve"> </w:t>
      </w:r>
      <w:r>
        <w:t>utilisés pour mesurer le risque encouru, hypothèses retenues, résultats et description de leur intégration opérationnelle ;</w:t>
      </w:r>
    </w:p>
    <w:p w:rsidR="00331B88" w:rsidRDefault="00F26BD5" w:rsidP="004F3BB8">
      <w:pPr>
        <w:pStyle w:val="SGACP-enumerationniveau1"/>
        <w:ind w:left="284" w:hanging="284"/>
      </w:pPr>
      <w:r>
        <w:t>d</w:t>
      </w:r>
      <w:r w:rsidR="00463A1C" w:rsidRPr="007F2900">
        <w:t>escription synthétique des limites d</w:t>
      </w:r>
      <w:r w:rsidR="001224E7">
        <w:t>’</w:t>
      </w:r>
      <w:r w:rsidR="00463A1C" w:rsidRPr="007F2900">
        <w:t xml:space="preserve">engagement fixées en matière de risque de crédit – par bénéficiaire, par débiteurs liés, </w:t>
      </w:r>
      <w:r w:rsidR="00E40A8F">
        <w:t xml:space="preserve">par secteurs d’activité </w:t>
      </w:r>
      <w:r w:rsidR="00463A1C" w:rsidRPr="007F2900">
        <w:t xml:space="preserve">etc. </w:t>
      </w:r>
      <w:r w:rsidR="00463A1C" w:rsidRPr="00A73147">
        <w:rPr>
          <w:i/>
        </w:rPr>
        <w:t>(préciser le niveau des limites par rapport aux fonds propres et par rapport aux résultats)</w:t>
      </w:r>
      <w:r>
        <w:rPr>
          <w:i/>
        </w:rPr>
        <w:t> </w:t>
      </w:r>
      <w:r w:rsidRPr="00935917">
        <w:t>;</w:t>
      </w:r>
    </w:p>
    <w:p w:rsidR="00331B88" w:rsidRDefault="00F26BD5" w:rsidP="004F3BB8">
      <w:pPr>
        <w:pStyle w:val="SGACP-enumerationniveau1"/>
        <w:ind w:left="284" w:hanging="284"/>
      </w:pPr>
      <w:r>
        <w:t>m</w:t>
      </w:r>
      <w:r w:rsidR="00463A1C" w:rsidRPr="007F2900">
        <w:t xml:space="preserve">odalités et périodicité de la révision des limites fixées en matière de risque de crédit </w:t>
      </w:r>
      <w:r w:rsidR="00463A1C" w:rsidRPr="00A73147">
        <w:rPr>
          <w:i/>
        </w:rPr>
        <w:t>(indiquer la date de la dernière révision)</w:t>
      </w:r>
      <w:r>
        <w:rPr>
          <w:i/>
        </w:rPr>
        <w:t> </w:t>
      </w:r>
      <w:r w:rsidRPr="00935917">
        <w:t>;</w:t>
      </w:r>
    </w:p>
    <w:p w:rsidR="00331B88" w:rsidRDefault="00F26BD5" w:rsidP="004F3BB8">
      <w:pPr>
        <w:pStyle w:val="SGACP-enumerationniveau1"/>
        <w:ind w:left="284" w:hanging="284"/>
      </w:pPr>
      <w:r>
        <w:t>d</w:t>
      </w:r>
      <w:r w:rsidR="00463A1C" w:rsidRPr="007F2900">
        <w:t xml:space="preserve">épassements éventuels de limites observés au cours du dernier exercice </w:t>
      </w:r>
      <w:r w:rsidR="00463A1C" w:rsidRPr="00935917">
        <w:rPr>
          <w:i/>
        </w:rPr>
        <w:t>(préciser les causes, les contreparties concernées, le montant de l</w:t>
      </w:r>
      <w:r w:rsidR="001224E7" w:rsidRPr="00935917">
        <w:rPr>
          <w:i/>
        </w:rPr>
        <w:t>’</w:t>
      </w:r>
      <w:r w:rsidR="00463A1C" w:rsidRPr="00935917">
        <w:rPr>
          <w:i/>
        </w:rPr>
        <w:t>engagement total, le nombre des dépassements et leur montant)</w:t>
      </w:r>
      <w:r>
        <w:t> ;</w:t>
      </w:r>
    </w:p>
    <w:p w:rsidR="00331B88" w:rsidRDefault="00F26BD5" w:rsidP="004F3BB8">
      <w:pPr>
        <w:pStyle w:val="SGACP-enumerationniveau1"/>
        <w:ind w:left="284" w:hanging="284"/>
      </w:pPr>
      <w:r>
        <w:t>p</w:t>
      </w:r>
      <w:r w:rsidR="00463A1C" w:rsidRPr="007F2900">
        <w:t>rocédures suivies pour autoriser ces dépassements</w:t>
      </w:r>
      <w:r>
        <w:t> ;</w:t>
      </w:r>
    </w:p>
    <w:p w:rsidR="00331B88" w:rsidRDefault="00F26BD5" w:rsidP="004F3BB8">
      <w:pPr>
        <w:pStyle w:val="SGACP-enumerationniveau1"/>
        <w:ind w:left="284" w:hanging="284"/>
      </w:pPr>
      <w:r>
        <w:t>m</w:t>
      </w:r>
      <w:r w:rsidR="00463A1C" w:rsidRPr="007F2900">
        <w:t>esures mises en œuvre pour régulariser ces dépassements</w:t>
      </w:r>
      <w:r>
        <w:t> ;</w:t>
      </w:r>
    </w:p>
    <w:p w:rsidR="00331B88" w:rsidRDefault="00F26BD5" w:rsidP="004F3BB8">
      <w:pPr>
        <w:pStyle w:val="SGACP-enumerationniveau1"/>
        <w:ind w:left="284" w:hanging="284"/>
      </w:pPr>
      <w:r>
        <w:t>i</w:t>
      </w:r>
      <w:r w:rsidR="00463A1C" w:rsidRPr="007F2900">
        <w:t>dentification, effectifs et positionnement hiérarchique et fonctionnel de l</w:t>
      </w:r>
      <w:r w:rsidR="001224E7">
        <w:t>’</w:t>
      </w:r>
      <w:r w:rsidR="00463A1C" w:rsidRPr="007F2900">
        <w:t>unité chargée de la surveillance et de la maîtrise des risques de crédit</w:t>
      </w:r>
      <w:r>
        <w:t> ;</w:t>
      </w:r>
    </w:p>
    <w:p w:rsidR="00E40A8F" w:rsidRDefault="00E40A8F" w:rsidP="00E40A8F">
      <w:pPr>
        <w:pStyle w:val="SGACP-enumerationniveau1"/>
        <w:ind w:left="284" w:hanging="284"/>
      </w:pPr>
      <w:r>
        <w:lastRenderedPageBreak/>
        <w:t xml:space="preserve">description des dispositifs de suivi des indicateurs avancés du risque (préciser les principaux critères de placement des contreparties sous </w:t>
      </w:r>
      <w:r w:rsidRPr="00890013">
        <w:rPr>
          <w:i/>
        </w:rPr>
        <w:t>watch-list</w:t>
      </w:r>
      <w:r>
        <w:t>) ;</w:t>
      </w:r>
    </w:p>
    <w:p w:rsidR="00331B88" w:rsidRDefault="00F26BD5" w:rsidP="004F3BB8">
      <w:pPr>
        <w:pStyle w:val="SGACP-enumerationniveau1"/>
        <w:ind w:left="284" w:hanging="284"/>
      </w:pPr>
      <w:r>
        <w:t>m</w:t>
      </w:r>
      <w:r w:rsidR="00463A1C" w:rsidRPr="007F2900">
        <w:t>odalités et périodicité de l</w:t>
      </w:r>
      <w:r w:rsidR="001224E7">
        <w:t>’</w:t>
      </w:r>
      <w:r w:rsidR="00463A1C" w:rsidRPr="007F2900">
        <w:t>analyse de la qualité des engagements de crédit</w:t>
      </w:r>
      <w:r w:rsidR="00463A1C" w:rsidRPr="008335E0">
        <w:t> ;</w:t>
      </w:r>
      <w:r w:rsidR="00463A1C" w:rsidRPr="00A73147">
        <w:t xml:space="preserve"> indication des éventuels reclassements des engagements au sein des catégories internes d</w:t>
      </w:r>
      <w:r w:rsidR="001224E7">
        <w:t>’</w:t>
      </w:r>
      <w:r w:rsidR="00463A1C" w:rsidRPr="00A73147">
        <w:t>appréciation du niveau de risque, ainsi que les affectations dans les rubriques comptables de créances douteuses ou dépréciées ; indication de l</w:t>
      </w:r>
      <w:r w:rsidR="001224E7">
        <w:t>’</w:t>
      </w:r>
      <w:r w:rsidR="00463A1C" w:rsidRPr="00A73147">
        <w:t>ajustement éventuel du niveau de provisionnement ; date à laquelle cette analyse est intervenue au cours du dernier exercice</w:t>
      </w:r>
      <w:r>
        <w:t> ;</w:t>
      </w:r>
    </w:p>
    <w:p w:rsidR="00E40A8F" w:rsidRPr="00846FAA" w:rsidRDefault="00E40A8F" w:rsidP="00E40A8F">
      <w:pPr>
        <w:pStyle w:val="SGACP-enumerationniveau1"/>
        <w:ind w:left="284" w:hanging="284"/>
        <w:rPr>
          <w:i/>
          <w:iCs/>
        </w:rPr>
      </w:pPr>
      <w:r>
        <w:t>m</w:t>
      </w:r>
      <w:r w:rsidRPr="007F2900">
        <w:t>odalités et périodicité de</w:t>
      </w:r>
      <w:r>
        <w:t xml:space="preserve"> la réévaluation des garanties et collatéraux, ainsi que les principaux résultats des contrôles réalisés dans l’année le cas échéant</w:t>
      </w:r>
      <w:r w:rsidR="00D82F7B">
        <w:t xml:space="preserve"> </w:t>
      </w:r>
      <w:r>
        <w:t>;</w:t>
      </w:r>
    </w:p>
    <w:p w:rsidR="003743C8" w:rsidRDefault="00DF566F" w:rsidP="004F3BB8">
      <w:pPr>
        <w:pStyle w:val="SGACP-enumerationniveau1"/>
        <w:ind w:left="284" w:hanging="284"/>
      </w:pPr>
      <w:r>
        <w:t>présentation du système de mesure et de gestion des risques de crédit mis en place afin de détecter, gérer les crédits à problème, d’apporter les corrections de valeurs adéquates et d’enregistrer des provisions ou des dépréciations de montants appropriés (cf. article 115 de l’arrêté du 3 novembre 2014</w:t>
      </w:r>
      <w:r w:rsidR="006653E9">
        <w:t xml:space="preserve"> modifié</w:t>
      </w:r>
      <w:r>
        <w:t>) ;</w:t>
      </w:r>
    </w:p>
    <w:p w:rsidR="00D21E38" w:rsidRDefault="00A02E95" w:rsidP="00A85C3C">
      <w:pPr>
        <w:pStyle w:val="SGACP-enumerationniveau1"/>
        <w:ind w:left="284" w:hanging="284"/>
      </w:pPr>
      <w:r>
        <w:t>pour les établissements</w:t>
      </w:r>
      <w:r w:rsidR="00E72B15">
        <w:t xml:space="preserve"> </w:t>
      </w:r>
      <w:r w:rsidR="006B633A" w:rsidRPr="00716DB6">
        <w:t xml:space="preserve">de crédit </w:t>
      </w:r>
      <w:r w:rsidR="00F96C6A" w:rsidRPr="00716DB6">
        <w:t>et les entreprises d’investissement</w:t>
      </w:r>
      <w:r w:rsidR="00F96C6A">
        <w:t xml:space="preserve"> </w:t>
      </w:r>
      <w:r w:rsidR="00E72B15">
        <w:t xml:space="preserve">présentant </w:t>
      </w:r>
      <w:r w:rsidR="00E72B15" w:rsidRPr="00D91E59">
        <w:t xml:space="preserve">un niveau </w:t>
      </w:r>
      <w:r w:rsidR="00E72B15">
        <w:t>de prêts</w:t>
      </w:r>
      <w:r w:rsidR="00E72B15" w:rsidRPr="00D91E59">
        <w:t xml:space="preserve"> non performants</w:t>
      </w:r>
      <w:r w:rsidR="00C1119A">
        <w:t xml:space="preserve"> supérieur à 5%</w:t>
      </w:r>
      <w:r w:rsidR="00D91E59">
        <w:t> :</w:t>
      </w:r>
      <w:r w:rsidR="00E72B15" w:rsidRPr="00D91E59">
        <w:t xml:space="preserve"> présentation </w:t>
      </w:r>
      <w:r w:rsidR="00E72B15">
        <w:t xml:space="preserve">de la </w:t>
      </w:r>
      <w:r w:rsidR="00E72B15" w:rsidRPr="00D91E59">
        <w:t xml:space="preserve">stratégie </w:t>
      </w:r>
      <w:r w:rsidR="00D91E59">
        <w:t>de gestion</w:t>
      </w:r>
      <w:r w:rsidR="003256B8">
        <w:t xml:space="preserve"> et de réduction</w:t>
      </w:r>
      <w:r w:rsidR="00D91E59">
        <w:t xml:space="preserve"> des expositions non-performantes </w:t>
      </w:r>
      <w:r w:rsidR="00E72B15" w:rsidRPr="00D91E59">
        <w:t xml:space="preserve">poursuivie </w:t>
      </w:r>
      <w:r w:rsidR="00D91E59" w:rsidRPr="00D91E59">
        <w:rPr>
          <w:i/>
        </w:rPr>
        <w:t>(</w:t>
      </w:r>
      <w:r w:rsidR="00E72B15" w:rsidRPr="00D91E59">
        <w:rPr>
          <w:i/>
        </w:rPr>
        <w:t>plan d’action</w:t>
      </w:r>
      <w:r w:rsidR="003256B8">
        <w:rPr>
          <w:i/>
        </w:rPr>
        <w:t xml:space="preserve"> et calendrier</w:t>
      </w:r>
      <w:r w:rsidR="00E72B15" w:rsidRPr="00D91E59">
        <w:rPr>
          <w:i/>
        </w:rPr>
        <w:t xml:space="preserve">, </w:t>
      </w:r>
      <w:r w:rsidR="003256B8" w:rsidRPr="003256B8">
        <w:rPr>
          <w:i/>
        </w:rPr>
        <w:t>évaluation de l’environnement opérationnel, objectifs quantitatifs,</w:t>
      </w:r>
      <w:r w:rsidR="003256B8">
        <w:rPr>
          <w:i/>
        </w:rPr>
        <w:t xml:space="preserve"> </w:t>
      </w:r>
      <w:r w:rsidR="00E72B15" w:rsidRPr="00D91E59">
        <w:rPr>
          <w:i/>
        </w:rPr>
        <w:t>objectifs d’atteinte à court, moyen et long terme</w:t>
      </w:r>
      <w:r w:rsidR="003256B8" w:rsidRPr="003256B8">
        <w:rPr>
          <w:i/>
        </w:rPr>
        <w:t xml:space="preserve">, objectifs par principaux portefeuilles, objectifs par options de mise en œuvre </w:t>
      </w:r>
      <w:r w:rsidR="00E72B15" w:rsidRPr="00D91E59">
        <w:rPr>
          <w:i/>
        </w:rPr>
        <w:t>…</w:t>
      </w:r>
      <w:r w:rsidR="00D91E59" w:rsidRPr="00D91E59">
        <w:rPr>
          <w:i/>
        </w:rPr>
        <w:t>)</w:t>
      </w:r>
      <w:r w:rsidR="00EB7A5E">
        <w:rPr>
          <w:i/>
        </w:rPr>
        <w:t xml:space="preserve"> </w:t>
      </w:r>
      <w:r w:rsidR="00EB7A5E" w:rsidRPr="00EB7A5E">
        <w:t>et</w:t>
      </w:r>
      <w:r w:rsidR="003A0B34" w:rsidRPr="00EB7A5E">
        <w:t xml:space="preserve"> </w:t>
      </w:r>
      <w:r w:rsidR="003A0B34" w:rsidRPr="003A0B34">
        <w:t>description d</w:t>
      </w:r>
      <w:r w:rsidR="00D91E59">
        <w:t>u dispositif de</w:t>
      </w:r>
      <w:r w:rsidR="00A162D5">
        <w:t xml:space="preserve"> </w:t>
      </w:r>
      <w:r w:rsidR="00E37C6E">
        <w:t>m</w:t>
      </w:r>
      <w:r w:rsidR="00D91E59">
        <w:t xml:space="preserve">ise en œuvre opérationnelle </w:t>
      </w:r>
      <w:r w:rsidR="00D91E59" w:rsidRPr="00D91E59">
        <w:rPr>
          <w:i/>
        </w:rPr>
        <w:t>(</w:t>
      </w:r>
      <w:r w:rsidR="003256B8" w:rsidRPr="003256B8">
        <w:rPr>
          <w:i/>
        </w:rPr>
        <w:t xml:space="preserve">plan opérationnel approuvé par l’organe de direction, </w:t>
      </w:r>
      <w:r w:rsidR="00D91E59" w:rsidRPr="00D91E59">
        <w:rPr>
          <w:i/>
        </w:rPr>
        <w:t xml:space="preserve">unités impliquées, outils </w:t>
      </w:r>
      <w:r w:rsidR="00A162D5">
        <w:rPr>
          <w:i/>
        </w:rPr>
        <w:t>utilis</w:t>
      </w:r>
      <w:r w:rsidR="00D91E59" w:rsidRPr="00D91E59">
        <w:rPr>
          <w:i/>
        </w:rPr>
        <w:t>és, fréquence des états de reporting instaurés</w:t>
      </w:r>
      <w:r w:rsidR="00D91E59">
        <w:rPr>
          <w:i/>
        </w:rPr>
        <w:t>, implication des instances dirigeantes</w:t>
      </w:r>
      <w:r w:rsidR="00D91E59" w:rsidRPr="00D91E59">
        <w:rPr>
          <w:i/>
        </w:rPr>
        <w:t>…)</w:t>
      </w:r>
      <w:r w:rsidR="00D91E59">
        <w:t xml:space="preserve"> ; </w:t>
      </w:r>
    </w:p>
    <w:p w:rsidR="00A02E95" w:rsidRDefault="006B633A" w:rsidP="00A85C3C">
      <w:pPr>
        <w:pStyle w:val="SGACP-enumerationniveau1"/>
        <w:ind w:left="284" w:hanging="284"/>
      </w:pPr>
      <w:r w:rsidRPr="00716DB6">
        <w:t>pour les établissements de crédit</w:t>
      </w:r>
      <w:r w:rsidR="00F96C6A" w:rsidRPr="00716DB6">
        <w:t xml:space="preserve"> et les entreprises d’investissement</w:t>
      </w:r>
      <w:r w:rsidR="00716DB6">
        <w:t> :</w:t>
      </w:r>
      <w:r>
        <w:t xml:space="preserve"> </w:t>
      </w:r>
      <w:r w:rsidR="00A3135B">
        <w:t xml:space="preserve">présentation </w:t>
      </w:r>
      <w:r w:rsidR="00DD194F">
        <w:t>d</w:t>
      </w:r>
      <w:r w:rsidR="00DA5D0A">
        <w:t>u processus</w:t>
      </w:r>
      <w:r w:rsidR="00D21E38">
        <w:t xml:space="preserve"> </w:t>
      </w:r>
      <w:r w:rsidR="00DD194F">
        <w:t xml:space="preserve">de </w:t>
      </w:r>
      <w:r w:rsidR="00D21E38">
        <w:t>restructuration des expositions</w:t>
      </w:r>
      <w:r w:rsidR="00DD194F">
        <w:t> </w:t>
      </w:r>
      <w:r w:rsidR="00DA5D0A" w:rsidRPr="003A0B34">
        <w:rPr>
          <w:i/>
        </w:rPr>
        <w:t>(</w:t>
      </w:r>
      <w:r w:rsidR="00DD194F" w:rsidRPr="003A0B34">
        <w:rPr>
          <w:i/>
        </w:rPr>
        <w:t>c</w:t>
      </w:r>
      <w:r w:rsidR="00D21E38" w:rsidRPr="003A0B34">
        <w:rPr>
          <w:i/>
        </w:rPr>
        <w:t>ritères pris en compte</w:t>
      </w:r>
      <w:r w:rsidR="00DD194F" w:rsidRPr="003A0B34">
        <w:rPr>
          <w:i/>
        </w:rPr>
        <w:t xml:space="preserve"> dans la décision de restructuration</w:t>
      </w:r>
      <w:r w:rsidR="00D21E38" w:rsidRPr="003A0B34">
        <w:rPr>
          <w:i/>
        </w:rPr>
        <w:t>, délais appliqués</w:t>
      </w:r>
      <w:r w:rsidR="00DD194F" w:rsidRPr="003A0B34">
        <w:rPr>
          <w:i/>
        </w:rPr>
        <w:t>, procédures de contrôle mises en place pour s’assurer de la viabilité de la mesure de restructuration prise</w:t>
      </w:r>
      <w:r w:rsidR="00DA5D0A" w:rsidRPr="003A0B34">
        <w:rPr>
          <w:i/>
        </w:rPr>
        <w:t>…)</w:t>
      </w:r>
      <w:r w:rsidR="00DA5D0A">
        <w:t xml:space="preserve"> et modalités de suivi des expositions restructurées</w:t>
      </w:r>
      <w:r w:rsidR="003256B8" w:rsidRPr="003256B8">
        <w:t xml:space="preserve">, notamment par des indicateurs clés de performance </w:t>
      </w:r>
      <w:r w:rsidR="003256B8" w:rsidRPr="00A85C3C">
        <w:rPr>
          <w:i/>
        </w:rPr>
        <w:t xml:space="preserve">(paramètres des </w:t>
      </w:r>
      <w:r w:rsidR="003256B8" w:rsidRPr="003256B8">
        <w:rPr>
          <w:i/>
        </w:rPr>
        <w:t>expositions non performantes</w:t>
      </w:r>
      <w:r w:rsidR="003256B8" w:rsidRPr="00A85C3C">
        <w:rPr>
          <w:i/>
        </w:rPr>
        <w:t>, activités de renégociation, activités de liquidation, promesse de paiement de l’emprunteur et la collecte de liquidités…)</w:t>
      </w:r>
      <w:r w:rsidR="003256B8">
        <w:rPr>
          <w:i/>
        </w:rPr>
        <w:t xml:space="preserve"> </w:t>
      </w:r>
      <w:r w:rsidR="00DD194F">
        <w:t>;</w:t>
      </w:r>
    </w:p>
    <w:p w:rsidR="003A4420" w:rsidRDefault="003A4420" w:rsidP="00E72B15">
      <w:pPr>
        <w:pStyle w:val="SGACP-enumerationniveau1"/>
        <w:ind w:left="284" w:hanging="284"/>
      </w:pPr>
      <w:r>
        <w:t xml:space="preserve">description du processus d’évaluation comptable des pertes de crédit attendues (méthodes utilisées, facteurs et hypothèses </w:t>
      </w:r>
      <w:r w:rsidR="001C79CB">
        <w:t>pris en compte</w:t>
      </w:r>
      <w:r>
        <w:t xml:space="preserve"> dans les modèles</w:t>
      </w:r>
      <w:r w:rsidR="001C79CB">
        <w:t xml:space="preserve"> internes </w:t>
      </w:r>
      <w:r w:rsidR="00474936">
        <w:t>développés</w:t>
      </w:r>
      <w:r w:rsidR="001C79CB">
        <w:t>, périodicité de revue…) ;</w:t>
      </w:r>
      <w:r>
        <w:t xml:space="preserve"> </w:t>
      </w:r>
    </w:p>
    <w:p w:rsidR="00E40A8F" w:rsidRDefault="00E40A8F" w:rsidP="00E40A8F">
      <w:pPr>
        <w:pStyle w:val="SGACP-enumerationniveau1"/>
        <w:ind w:left="284" w:hanging="284"/>
      </w:pPr>
      <w:r>
        <w:t xml:space="preserve">modalités et périodicité des décisions de provisionnement, </w:t>
      </w:r>
      <w:r w:rsidRPr="007F2900">
        <w:t>incluant le cas échéant un dispositif de délégation</w:t>
      </w:r>
      <w:r>
        <w:t xml:space="preserve"> et/ou d’escalade ;</w:t>
      </w:r>
    </w:p>
    <w:p w:rsidR="00E40A8F" w:rsidRDefault="00E40A8F" w:rsidP="00E40A8F">
      <w:pPr>
        <w:pStyle w:val="SGACP-enumerationniveau1"/>
        <w:ind w:left="284" w:hanging="284"/>
      </w:pPr>
      <w:r>
        <w:t>modalités et périodicité des exercices de back-testing des modèles de provisionnement collectif et statistique, ainsi que les principaux résultats de l’année le cas échéant ;</w:t>
      </w:r>
    </w:p>
    <w:p w:rsidR="00331B88" w:rsidRPr="00846FAA" w:rsidRDefault="00F26BD5" w:rsidP="004F3BB8">
      <w:pPr>
        <w:pStyle w:val="SGACP-enumerationniveau1"/>
        <w:ind w:left="284" w:hanging="284"/>
        <w:rPr>
          <w:i/>
          <w:iCs/>
        </w:rPr>
      </w:pPr>
      <w:r>
        <w:t>m</w:t>
      </w:r>
      <w:r w:rsidR="00463A1C" w:rsidRPr="007F2900">
        <w:t>odalités et périodicité de l</w:t>
      </w:r>
      <w:r w:rsidR="001224E7">
        <w:t>’</w:t>
      </w:r>
      <w:r w:rsidR="00463A1C" w:rsidRPr="007F2900">
        <w:t xml:space="preserve">analyse des risques de perte de valeur des actifs loués </w:t>
      </w:r>
      <w:r w:rsidR="00463A1C" w:rsidRPr="00210431">
        <w:rPr>
          <w:iCs/>
        </w:rPr>
        <w:t>(opérations de location à caractère financier)</w:t>
      </w:r>
      <w:r w:rsidRPr="00210431">
        <w:rPr>
          <w:iCs/>
        </w:rPr>
        <w:t> ;</w:t>
      </w:r>
    </w:p>
    <w:p w:rsidR="00E40A8F" w:rsidRPr="00E40A8F" w:rsidRDefault="00E40A8F" w:rsidP="00E40A8F">
      <w:pPr>
        <w:pStyle w:val="SGACP-enumerationniveau1"/>
        <w:ind w:left="284" w:hanging="284"/>
        <w:rPr>
          <w:i/>
          <w:iCs/>
        </w:rPr>
      </w:pPr>
      <w:r>
        <w:t>m</w:t>
      </w:r>
      <w:r w:rsidRPr="007F2900">
        <w:t>odalités et périodicité de l</w:t>
      </w:r>
      <w:r>
        <w:t>’</w:t>
      </w:r>
      <w:r w:rsidRPr="007F2900">
        <w:t>analyse des risques de perte de valeur des actifs</w:t>
      </w:r>
      <w:r>
        <w:t xml:space="preserve"> immobiliers financés (y compris les actifs financés en crédit-bail) ;</w:t>
      </w:r>
    </w:p>
    <w:p w:rsidR="00331B88" w:rsidRDefault="00F26BD5" w:rsidP="004F3BB8">
      <w:pPr>
        <w:pStyle w:val="SGACP-enumerationniveau1"/>
        <w:ind w:left="284" w:hanging="284"/>
      </w:pPr>
      <w:r>
        <w:t>m</w:t>
      </w:r>
      <w:r w:rsidR="00463A1C" w:rsidRPr="007F2900">
        <w:t>odalités, périodicité et résultats de l</w:t>
      </w:r>
      <w:r w:rsidR="001224E7">
        <w:t>’</w:t>
      </w:r>
      <w:r w:rsidR="00463A1C" w:rsidRPr="007F2900">
        <w:t>actualisation et de l</w:t>
      </w:r>
      <w:r w:rsidR="001224E7">
        <w:t>’</w:t>
      </w:r>
      <w:r w:rsidR="00463A1C" w:rsidRPr="007F2900">
        <w:t xml:space="preserve">analyse des dossiers de crédit </w:t>
      </w:r>
      <w:r w:rsidR="00463A1C" w:rsidRPr="00A73147">
        <w:t>(au moins pour les contreparties dont les créances sont impayées ou douteuses ou dépréciées ou qui présentent des risques ou des volumes significatifs)</w:t>
      </w:r>
      <w:r>
        <w:t> ;</w:t>
      </w:r>
    </w:p>
    <w:p w:rsidR="00331B88" w:rsidRPr="005B70E0" w:rsidRDefault="00F26BD5" w:rsidP="004F3BB8">
      <w:pPr>
        <w:pStyle w:val="SGACP-enumerationniveau1"/>
        <w:ind w:left="284" w:hanging="284"/>
      </w:pPr>
      <w:r>
        <w:t>r</w:t>
      </w:r>
      <w:r w:rsidR="00463A1C" w:rsidRPr="007F2900">
        <w:t xml:space="preserve">épartition des engagements par niveau de risque </w:t>
      </w:r>
      <w:r w:rsidR="00463A1C" w:rsidRPr="003D1AFF">
        <w:rPr>
          <w:iCs/>
        </w:rPr>
        <w:t>(cf. art</w:t>
      </w:r>
      <w:r w:rsidR="0071777E" w:rsidRPr="003D1AFF">
        <w:rPr>
          <w:iCs/>
        </w:rPr>
        <w:t>icles</w:t>
      </w:r>
      <w:r w:rsidR="00813951" w:rsidRPr="003D1AFF">
        <w:rPr>
          <w:iCs/>
        </w:rPr>
        <w:t> 106 et 253 a)</w:t>
      </w:r>
      <w:r w:rsidR="00813951">
        <w:rPr>
          <w:i/>
          <w:iCs/>
        </w:rPr>
        <w:t xml:space="preserve"> </w:t>
      </w:r>
      <w:r w:rsidR="00813951">
        <w:t>de l’arrêté du 3 novembre 2014</w:t>
      </w:r>
      <w:r w:rsidR="006653E9">
        <w:t xml:space="preserve"> modifié</w:t>
      </w:r>
      <w:r w:rsidR="00463A1C" w:rsidRPr="00935917">
        <w:rPr>
          <w:iCs/>
        </w:rPr>
        <w:t>)</w:t>
      </w:r>
      <w:r w:rsidRPr="00935917">
        <w:rPr>
          <w:iCs/>
        </w:rPr>
        <w:t> ;</w:t>
      </w:r>
    </w:p>
    <w:p w:rsidR="00724D63" w:rsidRDefault="00F26BD5" w:rsidP="00724D63">
      <w:pPr>
        <w:pStyle w:val="SGACP-enumerationniveau1"/>
        <w:ind w:left="284" w:hanging="284"/>
      </w:pPr>
      <w:r>
        <w:t>m</w:t>
      </w:r>
      <w:r w:rsidR="00463A1C" w:rsidRPr="007F2900">
        <w:t>odalités d</w:t>
      </w:r>
      <w:r w:rsidR="001224E7">
        <w:t>’</w:t>
      </w:r>
      <w:r w:rsidR="00463A1C" w:rsidRPr="007F2900">
        <w:t xml:space="preserve">information </w:t>
      </w:r>
      <w:r w:rsidR="0003780F">
        <w:t>des dirigeants effectifs</w:t>
      </w:r>
      <w:r w:rsidR="00463A1C" w:rsidRPr="007F2900">
        <w:t xml:space="preserve"> (via des états de synthèse)</w:t>
      </w:r>
      <w:r w:rsidR="00324FF6">
        <w:t>, de l’organe de surveillance</w:t>
      </w:r>
      <w:r w:rsidR="00463A1C" w:rsidRPr="007F2900">
        <w:t xml:space="preserve"> </w:t>
      </w:r>
      <w:r w:rsidR="00324FF6">
        <w:t xml:space="preserve">et le cas échéant du comité des risques </w:t>
      </w:r>
      <w:r w:rsidR="00463A1C" w:rsidRPr="007F2900">
        <w:t>sur le niveau des risques de crédit</w:t>
      </w:r>
      <w:r>
        <w:t> </w:t>
      </w:r>
      <w:r w:rsidR="00324FF6">
        <w:t>(cf. article 230 de l’arrêté du 3 novembre 2014</w:t>
      </w:r>
      <w:r w:rsidR="006653E9">
        <w:t xml:space="preserve"> modifié</w:t>
      </w:r>
      <w:r w:rsidR="00324FF6">
        <w:t xml:space="preserve">) </w:t>
      </w:r>
      <w:r>
        <w:t>;</w:t>
      </w:r>
    </w:p>
    <w:p w:rsidR="0058734D" w:rsidRDefault="0058734D" w:rsidP="004F3BB8">
      <w:pPr>
        <w:pStyle w:val="SGACP-enumerationniveau1"/>
        <w:ind w:left="284" w:hanging="284"/>
      </w:pPr>
      <w:r>
        <w:t>rôle</w:t>
      </w:r>
      <w:r w:rsidR="008E631B">
        <w:t>s des dirigeants effectifs</w:t>
      </w:r>
      <w:r w:rsidR="00E914A0">
        <w:t>, de l’organe de surveillance</w:t>
      </w:r>
      <w:r w:rsidR="008E631B">
        <w:t xml:space="preserve"> et</w:t>
      </w:r>
      <w:r>
        <w:t xml:space="preserve"> </w:t>
      </w:r>
      <w:r w:rsidR="00E914A0">
        <w:t xml:space="preserve">le cas échéant </w:t>
      </w:r>
      <w:r>
        <w:t>du comité des risques dans la définition</w:t>
      </w:r>
      <w:r w:rsidR="008E631B">
        <w:t>, le contrôle et la révision</w:t>
      </w:r>
      <w:r w:rsidR="0091511E">
        <w:t xml:space="preserve"> de </w:t>
      </w:r>
      <w:r w:rsidR="00E914A0">
        <w:t xml:space="preserve">la stratégie globale en matière de risques </w:t>
      </w:r>
      <w:r w:rsidR="003D1AFF">
        <w:t xml:space="preserve">de crédit </w:t>
      </w:r>
      <w:r w:rsidR="00E914A0">
        <w:t xml:space="preserve">et de </w:t>
      </w:r>
      <w:r w:rsidR="0091511E">
        <w:t>l’appétence</w:t>
      </w:r>
      <w:r>
        <w:t xml:space="preserve"> pour le</w:t>
      </w:r>
      <w:r w:rsidR="003D1AFF">
        <w:t>s</w:t>
      </w:r>
      <w:r>
        <w:t xml:space="preserve"> risque</w:t>
      </w:r>
      <w:r w:rsidR="003D1AFF">
        <w:t>s de crédit</w:t>
      </w:r>
      <w:r>
        <w:t xml:space="preserve"> actuel</w:t>
      </w:r>
      <w:r w:rsidR="00E914A0">
        <w:t>s et futurs</w:t>
      </w:r>
      <w:r>
        <w:t xml:space="preserve"> de l’établissement</w:t>
      </w:r>
      <w:r w:rsidR="00E914A0">
        <w:t xml:space="preserve"> </w:t>
      </w:r>
      <w:r w:rsidR="0006478D">
        <w:t>(</w:t>
      </w:r>
      <w:r w:rsidR="00156279">
        <w:t xml:space="preserve">cf. </w:t>
      </w:r>
      <w:r w:rsidR="0006478D">
        <w:t xml:space="preserve">articles L.511-92 et </w:t>
      </w:r>
      <w:r w:rsidR="0006478D">
        <w:lastRenderedPageBreak/>
        <w:t xml:space="preserve">L.511-93 </w:t>
      </w:r>
      <w:r w:rsidR="007C679C">
        <w:t xml:space="preserve">ou L. 533-31-1 et L. 533-31-2 </w:t>
      </w:r>
      <w:r w:rsidR="0006478D">
        <w:t>du Code monétaire et financier)</w:t>
      </w:r>
      <w:r w:rsidR="003D1AFF">
        <w:t>, et dans la fixation des limites (cf. article 224 de l’arrêté du 3 novembre 2014</w:t>
      </w:r>
      <w:r w:rsidR="006653E9">
        <w:t xml:space="preserve"> modifié</w:t>
      </w:r>
      <w:r w:rsidR="003D1AFF">
        <w:t>)</w:t>
      </w:r>
      <w:r w:rsidR="0006478D">
        <w:t xml:space="preserve"> </w:t>
      </w:r>
      <w:r>
        <w:t>;</w:t>
      </w:r>
    </w:p>
    <w:p w:rsidR="00331B88" w:rsidRDefault="00F26BD5" w:rsidP="004F3BB8">
      <w:pPr>
        <w:pStyle w:val="SGACP-enumerationniveau1"/>
        <w:ind w:left="284" w:hanging="284"/>
      </w:pPr>
      <w:r>
        <w:t>é</w:t>
      </w:r>
      <w:r w:rsidR="00463A1C" w:rsidRPr="007F2900">
        <w:t>léments d</w:t>
      </w:r>
      <w:r w:rsidR="001224E7">
        <w:t>’</w:t>
      </w:r>
      <w:r w:rsidR="00463A1C" w:rsidRPr="007F2900">
        <w:t>analyse de l</w:t>
      </w:r>
      <w:r w:rsidR="001224E7">
        <w:t>’</w:t>
      </w:r>
      <w:r w:rsidR="00463A1C" w:rsidRPr="007F2900">
        <w:t>évolution des marges, notamment sur la production au cours de l</w:t>
      </w:r>
      <w:r w:rsidR="001224E7">
        <w:t>’</w:t>
      </w:r>
      <w:r w:rsidR="00463A1C" w:rsidRPr="007F2900">
        <w:t xml:space="preserve">année écoulée : </w:t>
      </w:r>
      <w:r w:rsidR="00463A1C" w:rsidRPr="00A73147">
        <w:rPr>
          <w:i/>
          <w:iCs/>
        </w:rPr>
        <w:t>méthodologie, données prises en compte, résultats</w:t>
      </w:r>
      <w:r>
        <w:rPr>
          <w:i/>
          <w:iCs/>
        </w:rPr>
        <w:t> </w:t>
      </w:r>
      <w:r w:rsidRPr="00210431">
        <w:rPr>
          <w:iCs/>
        </w:rPr>
        <w:t>:</w:t>
      </w:r>
    </w:p>
    <w:p w:rsidR="004A229A" w:rsidRDefault="00F26BD5" w:rsidP="00460E3D">
      <w:pPr>
        <w:pStyle w:val="SGACP-enumerationniveau2"/>
        <w:numPr>
          <w:ilvl w:val="0"/>
          <w:numId w:val="28"/>
        </w:numPr>
        <w:ind w:left="567" w:hanging="283"/>
      </w:pPr>
      <w:r>
        <w:t>c</w:t>
      </w:r>
      <w:r w:rsidR="00463A1C" w:rsidRPr="007F2900">
        <w:t>ommunication des éléments détaillés du calcul des marges : produits et charges pris en compte ; s</w:t>
      </w:r>
      <w:r w:rsidR="001224E7">
        <w:t>’</w:t>
      </w:r>
      <w:r w:rsidR="00463A1C" w:rsidRPr="007F2900">
        <w:t>il est tenu compte du besoin de refinancement, indication du montant de la position nette emprunteuse et du taux de refinancement retenu</w:t>
      </w:r>
      <w:r w:rsidR="00A73147">
        <w:t> </w:t>
      </w:r>
      <w:r w:rsidR="00463A1C" w:rsidRPr="007F2900">
        <w:t>; s</w:t>
      </w:r>
      <w:r w:rsidR="001224E7">
        <w:t>’</w:t>
      </w:r>
      <w:r w:rsidR="00463A1C" w:rsidRPr="007F2900">
        <w:t>il est tenu compte des gains liés au placement des fonds propres alloués aux encours, communication des mont</w:t>
      </w:r>
      <w:r>
        <w:t>ants et du taux de rémunération,</w:t>
      </w:r>
    </w:p>
    <w:p w:rsidR="004A229A" w:rsidRDefault="00F26BD5" w:rsidP="00460E3D">
      <w:pPr>
        <w:pStyle w:val="SGACP-enumerationniveau2"/>
        <w:numPr>
          <w:ilvl w:val="0"/>
          <w:numId w:val="28"/>
        </w:numPr>
        <w:ind w:left="567" w:hanging="283"/>
      </w:pPr>
      <w:r>
        <w:t>i</w:t>
      </w:r>
      <w:r w:rsidR="00463A1C" w:rsidRPr="007F2900">
        <w:t>dentification des différentes catégories d</w:t>
      </w:r>
      <w:r w:rsidR="001224E7">
        <w:t>’</w:t>
      </w:r>
      <w:r w:rsidR="00463A1C" w:rsidRPr="007F2900">
        <w:t>encours (clientèle de particuliers par exemple avec mise en évidence des prêts à l</w:t>
      </w:r>
      <w:r w:rsidR="001224E7">
        <w:t>’</w:t>
      </w:r>
      <w:r w:rsidR="00463A1C" w:rsidRPr="007F2900">
        <w:t>habitat) ou des lignes de métier pour lesquelles les marges sont calculées</w:t>
      </w:r>
      <w:r>
        <w:t>,</w:t>
      </w:r>
    </w:p>
    <w:p w:rsidR="004A229A" w:rsidRDefault="00F26BD5" w:rsidP="00460E3D">
      <w:pPr>
        <w:pStyle w:val="SGACP-enumerationniveau2"/>
        <w:numPr>
          <w:ilvl w:val="0"/>
          <w:numId w:val="28"/>
        </w:numPr>
        <w:ind w:left="567" w:hanging="283"/>
      </w:pPr>
      <w:r>
        <w:t>m</w:t>
      </w:r>
      <w:r w:rsidR="00463A1C" w:rsidRPr="007F2900">
        <w:t>ise en évidence des évolutions constatées à partir d</w:t>
      </w:r>
      <w:r w:rsidR="001224E7">
        <w:t>’</w:t>
      </w:r>
      <w:r w:rsidR="00463A1C" w:rsidRPr="007F2900">
        <w:t>un calcul sur la base des encours (à la fin de l</w:t>
      </w:r>
      <w:r w:rsidR="001224E7">
        <w:t>’</w:t>
      </w:r>
      <w:r w:rsidR="00463A1C" w:rsidRPr="007F2900">
        <w:t>exercice et à des échéances antérieures), et le cas échéant sur la base de la production de l</w:t>
      </w:r>
      <w:r w:rsidR="001224E7">
        <w:t>’</w:t>
      </w:r>
      <w:r w:rsidR="00463A1C" w:rsidRPr="007F2900">
        <w:t>année écoulée</w:t>
      </w:r>
      <w:r>
        <w:t> ;</w:t>
      </w:r>
    </w:p>
    <w:p w:rsidR="00331B88" w:rsidRPr="00F053EE" w:rsidRDefault="00F26BD5" w:rsidP="004F3BB8">
      <w:pPr>
        <w:pStyle w:val="SGACP-enumerationniveau1"/>
        <w:ind w:left="284" w:hanging="284"/>
      </w:pPr>
      <w:r>
        <w:t>m</w:t>
      </w:r>
      <w:r w:rsidR="00463A1C" w:rsidRPr="007F2900">
        <w:t>odalités, périodicité et résultats de l</w:t>
      </w:r>
      <w:r w:rsidR="001224E7">
        <w:t>’</w:t>
      </w:r>
      <w:r w:rsidR="00463A1C" w:rsidRPr="007F2900">
        <w:t xml:space="preserve">analyse par </w:t>
      </w:r>
      <w:r w:rsidR="0003780F">
        <w:t>les dirigeants effectifs</w:t>
      </w:r>
      <w:r w:rsidR="00463A1C" w:rsidRPr="007F2900">
        <w:t xml:space="preserve"> de la rentabilité des opérations de crédit </w:t>
      </w:r>
      <w:r w:rsidR="00463A1C" w:rsidRPr="00A73147">
        <w:rPr>
          <w:i/>
        </w:rPr>
        <w:t>(indiquer la date de la dernière analyse)</w:t>
      </w:r>
      <w:r>
        <w:rPr>
          <w:i/>
        </w:rPr>
        <w:t> </w:t>
      </w:r>
      <w:r w:rsidRPr="00210431">
        <w:t>;</w:t>
      </w:r>
    </w:p>
    <w:p w:rsidR="00210431" w:rsidRPr="00210431" w:rsidRDefault="00F26BD5" w:rsidP="003D1AFF">
      <w:pPr>
        <w:pStyle w:val="SGACP-enumerationniveau1"/>
        <w:ind w:left="284" w:hanging="284"/>
      </w:pPr>
      <w:r>
        <w:t>m</w:t>
      </w:r>
      <w:r w:rsidR="00463A1C" w:rsidRPr="007F2900">
        <w:t>odalités et périodicité d</w:t>
      </w:r>
      <w:r w:rsidR="001224E7">
        <w:t>’</w:t>
      </w:r>
      <w:r w:rsidR="00463A1C" w:rsidRPr="007F2900">
        <w:t>information de l</w:t>
      </w:r>
      <w:r w:rsidR="001224E7">
        <w:t>’</w:t>
      </w:r>
      <w:r w:rsidR="00463A1C" w:rsidRPr="007F2900">
        <w:t xml:space="preserve">organe </w:t>
      </w:r>
      <w:r w:rsidR="0094273B">
        <w:t>de surveillance</w:t>
      </w:r>
      <w:r w:rsidR="0094273B" w:rsidRPr="007F2900">
        <w:t xml:space="preserve"> </w:t>
      </w:r>
      <w:r w:rsidR="00463A1C" w:rsidRPr="007F2900">
        <w:t>sur l</w:t>
      </w:r>
      <w:r w:rsidR="001224E7">
        <w:t>’</w:t>
      </w:r>
      <w:r w:rsidR="00463A1C" w:rsidRPr="007F2900">
        <w:t>exposition de l</w:t>
      </w:r>
      <w:r w:rsidR="001224E7">
        <w:t>’</w:t>
      </w:r>
      <w:r w:rsidR="00463A1C" w:rsidRPr="007F2900">
        <w:t xml:space="preserve">établissement au risque de </w:t>
      </w:r>
      <w:r w:rsidR="00463A1C" w:rsidRPr="00F053EE">
        <w:t xml:space="preserve">crédit </w:t>
      </w:r>
      <w:r w:rsidR="00463A1C" w:rsidRPr="00210431">
        <w:t>(joindre le dernier tableau de bord destiné à l</w:t>
      </w:r>
      <w:r w:rsidR="001224E7" w:rsidRPr="00210431">
        <w:t>’</w:t>
      </w:r>
      <w:r w:rsidR="00463A1C" w:rsidRPr="00210431">
        <w:t>information de l</w:t>
      </w:r>
      <w:r w:rsidR="001224E7" w:rsidRPr="00210431">
        <w:t>’</w:t>
      </w:r>
      <w:r w:rsidR="00463A1C" w:rsidRPr="00210431">
        <w:t xml:space="preserve">organe </w:t>
      </w:r>
      <w:r w:rsidR="0094273B" w:rsidRPr="00210431">
        <w:t>de surveillance</w:t>
      </w:r>
      <w:r w:rsidR="00463A1C" w:rsidRPr="00210431">
        <w:t>)</w:t>
      </w:r>
      <w:r w:rsidR="006242B3" w:rsidRPr="00210431">
        <w:t> ;</w:t>
      </w:r>
      <w:r w:rsidR="008B7082">
        <w:rPr>
          <w:i/>
        </w:rPr>
        <w:t xml:space="preserve"> </w:t>
      </w:r>
    </w:p>
    <w:p w:rsidR="00324FF6" w:rsidRDefault="00EA6D5F" w:rsidP="003D1AFF">
      <w:pPr>
        <w:pStyle w:val="SGACP-enumerationniveau1"/>
        <w:ind w:left="284" w:hanging="284"/>
      </w:pPr>
      <w:r w:rsidRPr="00724D63">
        <w:t>m</w:t>
      </w:r>
      <w:r w:rsidR="00B23D5B" w:rsidRPr="00A57FEE">
        <w:t>odalités de suivi des critères d</w:t>
      </w:r>
      <w:r w:rsidR="001224E7" w:rsidRPr="00A57FEE">
        <w:t>’</w:t>
      </w:r>
      <w:r w:rsidR="00B23D5B" w:rsidRPr="00A57FEE">
        <w:t>octroi des crédits à l</w:t>
      </w:r>
      <w:r w:rsidR="001224E7" w:rsidRPr="00A57FEE">
        <w:t>’</w:t>
      </w:r>
      <w:r w:rsidR="00B23D5B" w:rsidRPr="00A57FEE">
        <w:t>habitat à la clientèle française</w:t>
      </w:r>
      <w:r w:rsidR="00E05D9A">
        <w:t> ;</w:t>
      </w:r>
    </w:p>
    <w:p w:rsidR="00E40A8F" w:rsidRDefault="00E40A8F" w:rsidP="00E40A8F">
      <w:pPr>
        <w:pStyle w:val="SGACP-enumerationniveau1"/>
        <w:ind w:left="284" w:hanging="284"/>
      </w:pPr>
      <w:r>
        <w:t>répartition des engagements de crédits à l’habitat par type de garantie (caution, hypothèques, et</w:t>
      </w:r>
      <w:r w:rsidR="00846FAA">
        <w:t>c</w:t>
      </w:r>
      <w:r>
        <w:t>.) ;</w:t>
      </w:r>
    </w:p>
    <w:p w:rsidR="00E40A8F" w:rsidRDefault="00E40A8F" w:rsidP="00E40A8F">
      <w:pPr>
        <w:pStyle w:val="SGACP-enumerationniveau1"/>
        <w:ind w:left="284" w:hanging="284"/>
      </w:pPr>
      <w:r>
        <w:t>présentation de la LT</w:t>
      </w:r>
      <w:r w:rsidR="00825584">
        <w:t>V</w:t>
      </w:r>
      <w:r>
        <w:t xml:space="preserve"> sur crédits à l’habitat par type de garantie (à l’origination, en moyenne et après réévaluation des collatéraux) ;</w:t>
      </w:r>
    </w:p>
    <w:p w:rsidR="000319CD" w:rsidRDefault="00324FF6" w:rsidP="003D1AFF">
      <w:pPr>
        <w:pStyle w:val="SGACP-enumerationniveau1"/>
        <w:ind w:left="284" w:hanging="284"/>
      </w:pPr>
      <w:r>
        <w:t>modalités d’approbatio</w:t>
      </w:r>
      <w:r w:rsidR="000319CD">
        <w:t xml:space="preserve">n par l’organe de surveillance </w:t>
      </w:r>
      <w:r>
        <w:t>des limites proposées par les dirigeants effectifs</w:t>
      </w:r>
      <w:r w:rsidR="00A264FD">
        <w:t>, assisté le cas échéant du comité des risques</w:t>
      </w:r>
      <w:r w:rsidR="000319CD">
        <w:t xml:space="preserve"> (cf. article 253 de l’arrêté du 3 novembre 2014</w:t>
      </w:r>
      <w:r w:rsidR="006653E9">
        <w:t xml:space="preserve"> modifié</w:t>
      </w:r>
      <w:r w:rsidR="000319CD">
        <w:t>)</w:t>
      </w:r>
      <w:r w:rsidR="00E05D9A">
        <w:t> ;</w:t>
      </w:r>
    </w:p>
    <w:p w:rsidR="004A229A" w:rsidRDefault="000319CD" w:rsidP="00935917">
      <w:pPr>
        <w:pStyle w:val="SGACP-enumerationniveau1"/>
        <w:ind w:left="284" w:hanging="284"/>
      </w:pPr>
      <w:r>
        <w:t xml:space="preserve">modalités d’approbation </w:t>
      </w:r>
      <w:r w:rsidR="00E05D9A">
        <w:t xml:space="preserve">et de révision </w:t>
      </w:r>
      <w:r>
        <w:t>par l’organe de surveillance des stratégies et politiques régissant</w:t>
      </w:r>
      <w:r w:rsidR="00724D63">
        <w:t xml:space="preserve"> </w:t>
      </w:r>
      <w:r>
        <w:t>la prise, la gestion, le suivi et la réduction des risques de crédit</w:t>
      </w:r>
      <w:r w:rsidR="00E05D9A">
        <w:t xml:space="preserve"> (cf. article L.511-60 du Code monétaire et financier)</w:t>
      </w:r>
      <w:bookmarkStart w:id="84" w:name="_Toc244576448"/>
      <w:bookmarkStart w:id="85" w:name="_Toc266799804"/>
      <w:r w:rsidR="00D82F7B">
        <w:t> ;</w:t>
      </w:r>
    </w:p>
    <w:p w:rsidR="00023B27" w:rsidRDefault="00023B27" w:rsidP="00023B27">
      <w:pPr>
        <w:pStyle w:val="SGACP-enumerationniveau1"/>
        <w:ind w:left="284" w:hanging="284"/>
      </w:pPr>
      <w:r>
        <w:t>le cas échéant, m</w:t>
      </w:r>
      <w:r w:rsidRPr="007F2900">
        <w:t xml:space="preserve">odalités et périodicité de </w:t>
      </w:r>
      <w:r>
        <w:t>l’analyse, de la mesure et de la surveillance du risque lié aux opérations intragroupe (risque de crédit et risque de crédit de contrepartie).</w:t>
      </w:r>
    </w:p>
    <w:p w:rsidR="00023B27" w:rsidRDefault="00023B27" w:rsidP="00023B27">
      <w:pPr>
        <w:pStyle w:val="SGACP-enumerationniveau1"/>
        <w:numPr>
          <w:ilvl w:val="0"/>
          <w:numId w:val="0"/>
        </w:numPr>
        <w:ind w:left="284"/>
      </w:pPr>
    </w:p>
    <w:p w:rsidR="00023B27" w:rsidRDefault="00023B27" w:rsidP="002C0F9D">
      <w:pPr>
        <w:pStyle w:val="SGACP-enumerationniveau1"/>
        <w:numPr>
          <w:ilvl w:val="0"/>
          <w:numId w:val="0"/>
        </w:numPr>
      </w:pPr>
      <w:r w:rsidRPr="005B1D5E">
        <w:rPr>
          <w:u w:val="single"/>
        </w:rPr>
        <w:t>Éléments spécifiques au risque de crédit de contrepartie</w:t>
      </w:r>
      <w:r>
        <w:t> :</w:t>
      </w:r>
    </w:p>
    <w:p w:rsidR="00023B27" w:rsidRDefault="00023B27" w:rsidP="00460E3D">
      <w:pPr>
        <w:pStyle w:val="SGACP-enumerationniveau1"/>
        <w:numPr>
          <w:ilvl w:val="0"/>
          <w:numId w:val="38"/>
        </w:numPr>
      </w:pPr>
      <w:r>
        <w:t>description des métriques de risque employées pour mesurer le risque de crédit de contrepartie</w:t>
      </w:r>
      <w:r w:rsidR="00D82F7B">
        <w:t> ;</w:t>
      </w:r>
    </w:p>
    <w:p w:rsidR="00023B27" w:rsidRDefault="00023B27" w:rsidP="00460E3D">
      <w:pPr>
        <w:pStyle w:val="SGACP-enumerationniveau1"/>
        <w:numPr>
          <w:ilvl w:val="0"/>
          <w:numId w:val="38"/>
        </w:numPr>
      </w:pPr>
      <w:r>
        <w:t>description de l’intégration du suivi du risque de crédit de contrepartie dans le dispositif global de suivi du risque de crédit.</w:t>
      </w:r>
    </w:p>
    <w:p w:rsidR="00F11B34" w:rsidRDefault="00F11B34" w:rsidP="004A229A">
      <w:pPr>
        <w:pStyle w:val="SGACP-enumerationniveau1"/>
        <w:numPr>
          <w:ilvl w:val="0"/>
          <w:numId w:val="0"/>
        </w:numPr>
        <w:spacing w:before="0"/>
      </w:pPr>
    </w:p>
    <w:p w:rsidR="00463A1C" w:rsidRPr="007F2900" w:rsidRDefault="008F3AF1" w:rsidP="00A73147">
      <w:pPr>
        <w:pStyle w:val="SGACP-sous-titrederubriquenivaeu2"/>
      </w:pPr>
      <w:r>
        <w:t>8</w:t>
      </w:r>
      <w:r w:rsidR="00A73147">
        <w:t>.3.</w:t>
      </w:r>
      <w:r w:rsidR="00A73147">
        <w:tab/>
      </w:r>
      <w:r w:rsidR="00463A1C" w:rsidRPr="007F2900">
        <w:t>Risque de concentration</w:t>
      </w:r>
      <w:bookmarkEnd w:id="84"/>
      <w:bookmarkEnd w:id="85"/>
    </w:p>
    <w:p w:rsidR="00A73147" w:rsidRPr="00440703" w:rsidRDefault="00A73147" w:rsidP="00A73147">
      <w:bookmarkStart w:id="86" w:name="_Toc244576449"/>
      <w:bookmarkStart w:id="87" w:name="_Toc266799805"/>
    </w:p>
    <w:p w:rsidR="00463A1C" w:rsidRDefault="008F3AF1" w:rsidP="00A73147">
      <w:pPr>
        <w:pStyle w:val="SGACP-sous-titrederubriqueniveau3"/>
      </w:pPr>
      <w:r>
        <w:t>8</w:t>
      </w:r>
      <w:r w:rsidR="00A73147">
        <w:t>.3.1</w:t>
      </w:r>
      <w:r w:rsidR="00710008">
        <w:t>.</w:t>
      </w:r>
      <w:r w:rsidR="00A73147">
        <w:tab/>
      </w:r>
      <w:r w:rsidR="00463A1C" w:rsidRPr="007F2900">
        <w:t>Risque de concentration par contrepartie</w:t>
      </w:r>
      <w:bookmarkEnd w:id="86"/>
      <w:bookmarkEnd w:id="87"/>
      <w:r w:rsidR="00F26BD5">
        <w:t> :</w:t>
      </w:r>
    </w:p>
    <w:p w:rsidR="00BD4E69" w:rsidRDefault="00BD4E69" w:rsidP="00A73147">
      <w:pPr>
        <w:pStyle w:val="SGACP-sous-titrederubriqueniveau3"/>
      </w:pPr>
    </w:p>
    <w:p w:rsidR="00331B88" w:rsidRDefault="00F26BD5" w:rsidP="0054173A">
      <w:pPr>
        <w:pStyle w:val="SGACP-enumerationniveau1"/>
        <w:spacing w:before="0"/>
        <w:ind w:left="284" w:hanging="284"/>
      </w:pPr>
      <w:r>
        <w:t>o</w:t>
      </w:r>
      <w:r w:rsidR="00463A1C" w:rsidRPr="007F2900">
        <w:t>util de suivi du risque de concentration par contrepartie</w:t>
      </w:r>
      <w:r w:rsidR="0032768B">
        <w:t xml:space="preserve"> y compris les contreparties centrales</w:t>
      </w:r>
      <w:r w:rsidR="00463A1C" w:rsidRPr="007F2900">
        <w:t> </w:t>
      </w:r>
      <w:r w:rsidR="009E3FDA">
        <w:t>et les entités du système bancaire parallèle</w:t>
      </w:r>
      <w:r w:rsidR="009E3FDA" w:rsidRPr="007F2900">
        <w:t> </w:t>
      </w:r>
      <w:r w:rsidR="00463A1C" w:rsidRPr="007F2900">
        <w:t xml:space="preserve">: </w:t>
      </w:r>
      <w:r w:rsidR="00463A1C" w:rsidRPr="00A73147">
        <w:t>agrégats éventuellement définis, description du dispositif de mesure des engagements sur un même bénéficiaire (</w:t>
      </w:r>
      <w:r w:rsidR="009E3FDA">
        <w:t xml:space="preserve">cadre prudentiel applicable aux contreparties considérées, situation financière de la contrepartie et du portefeuille, vulnérabilité à la volatilité du prix des actifs notamment pour les entités du système bancaire parallèle, </w:t>
      </w:r>
      <w:r w:rsidR="00463A1C" w:rsidRPr="00A73147">
        <w:t xml:space="preserve">précisions </w:t>
      </w:r>
      <w:r w:rsidR="00450D36" w:rsidRPr="00A73147">
        <w:t xml:space="preserve">sur </w:t>
      </w:r>
      <w:r w:rsidR="00450D36">
        <w:t>les procédures d</w:t>
      </w:r>
      <w:r w:rsidR="001224E7">
        <w:t>’</w:t>
      </w:r>
      <w:r w:rsidR="00450D36">
        <w:t>identification des bénéficiaires liés (définition d</w:t>
      </w:r>
      <w:r w:rsidR="001224E7">
        <w:t>’</w:t>
      </w:r>
      <w:r w:rsidR="00450D36">
        <w:t xml:space="preserve">un seuil quantitatif au-delà duquel cette recherche est systématique ...) ; </w:t>
      </w:r>
      <w:r w:rsidR="00450D36" w:rsidRPr="00EB2278">
        <w:t>l</w:t>
      </w:r>
      <w:r w:rsidR="001224E7">
        <w:t>’</w:t>
      </w:r>
      <w:r w:rsidR="00450D36" w:rsidRPr="00EB2278">
        <w:t>utilisation de l</w:t>
      </w:r>
      <w:r w:rsidR="001224E7">
        <w:t>’</w:t>
      </w:r>
      <w:r w:rsidR="00450D36" w:rsidRPr="00EB2278">
        <w:t>approche par transparence notamment en matière d</w:t>
      </w:r>
      <w:r w:rsidR="001224E7">
        <w:t>’</w:t>
      </w:r>
      <w:r w:rsidR="00450D36" w:rsidRPr="00EB2278">
        <w:t xml:space="preserve">expositions sur des organismes de placement collectif, des titrisations ou le refinancement de </w:t>
      </w:r>
      <w:r w:rsidR="00450D36" w:rsidRPr="00EB2278">
        <w:lastRenderedPageBreak/>
        <w:t>créances commerciales (affacturage, …) ain</w:t>
      </w:r>
      <w:r w:rsidR="00450D36">
        <w:t xml:space="preserve">si que </w:t>
      </w:r>
      <w:r w:rsidR="00463A1C" w:rsidRPr="00A73147">
        <w:t>sur l</w:t>
      </w:r>
      <w:r w:rsidR="001224E7">
        <w:t>’</w:t>
      </w:r>
      <w:r w:rsidR="00463A1C" w:rsidRPr="00A73147">
        <w:t xml:space="preserve">inclusion des techniques </w:t>
      </w:r>
      <w:r w:rsidR="007461CE">
        <w:t>d’atténuation</w:t>
      </w:r>
      <w:r w:rsidR="00463A1C" w:rsidRPr="00A73147">
        <w:t xml:space="preserve"> du risque de crédit), modalités d</w:t>
      </w:r>
      <w:r w:rsidR="001224E7">
        <w:t>’</w:t>
      </w:r>
      <w:r w:rsidR="00463A1C" w:rsidRPr="00A73147">
        <w:t xml:space="preserve">information </w:t>
      </w:r>
      <w:r w:rsidR="0003780F">
        <w:t>des dirigeants effectifs</w:t>
      </w:r>
      <w:r w:rsidR="00873542">
        <w:t xml:space="preserve"> et de l’organe de surveillance</w:t>
      </w:r>
      <w:r>
        <w:t> ;</w:t>
      </w:r>
    </w:p>
    <w:p w:rsidR="00331B88" w:rsidRDefault="00F26BD5" w:rsidP="004F3BB8">
      <w:pPr>
        <w:pStyle w:val="SGACP-enumerationniveau1"/>
        <w:ind w:left="284" w:hanging="284"/>
      </w:pPr>
      <w:r>
        <w:t>d</w:t>
      </w:r>
      <w:r w:rsidR="00463A1C" w:rsidRPr="007F2900">
        <w:t>ispositif de limites d</w:t>
      </w:r>
      <w:r w:rsidR="001224E7">
        <w:t>’</w:t>
      </w:r>
      <w:r w:rsidR="00463A1C" w:rsidRPr="007F2900">
        <w:t xml:space="preserve">exposition par contrepartie : </w:t>
      </w:r>
      <w:r w:rsidR="00463A1C" w:rsidRPr="00A73147">
        <w:t xml:space="preserve">description synthétique du système de limite par contrepartie </w:t>
      </w:r>
      <w:r w:rsidR="00463A1C" w:rsidRPr="00210431">
        <w:rPr>
          <w:i/>
        </w:rPr>
        <w:t>(préciser leur niveau par rapport aux résultats et aux fonds propres)</w:t>
      </w:r>
      <w:r w:rsidR="00463A1C" w:rsidRPr="00A73147">
        <w:t>, modalités et périodicité de la révision des limites, dépassements éventuellement constatés, modalités d</w:t>
      </w:r>
      <w:r w:rsidR="001224E7">
        <w:t>’</w:t>
      </w:r>
      <w:r w:rsidR="00463A1C" w:rsidRPr="00A73147">
        <w:t xml:space="preserve">implication </w:t>
      </w:r>
      <w:r w:rsidR="0003780F">
        <w:t>des dirigeants effectifs</w:t>
      </w:r>
      <w:r w:rsidR="00463A1C" w:rsidRPr="00A73147">
        <w:t xml:space="preserve"> dans la détermination des limites et d</w:t>
      </w:r>
      <w:r w:rsidR="001224E7">
        <w:t>’</w:t>
      </w:r>
      <w:r w:rsidR="00463A1C" w:rsidRPr="00A73147">
        <w:t>information sur leur suivi</w:t>
      </w:r>
      <w:r>
        <w:t> ;</w:t>
      </w:r>
    </w:p>
    <w:p w:rsidR="00331B88" w:rsidRDefault="00F26BD5" w:rsidP="004F3BB8">
      <w:pPr>
        <w:pStyle w:val="SGACP-enumerationniveau1"/>
        <w:ind w:left="284" w:hanging="284"/>
      </w:pPr>
      <w:r>
        <w:t>m</w:t>
      </w:r>
      <w:r w:rsidR="00463A1C" w:rsidRPr="007F2900">
        <w:t>ontant des engagements sur les principales contreparties</w:t>
      </w:r>
      <w:r>
        <w:t> ;</w:t>
      </w:r>
    </w:p>
    <w:p w:rsidR="00331B88" w:rsidRDefault="00F26BD5" w:rsidP="004F3BB8">
      <w:pPr>
        <w:pStyle w:val="SGACP-enumerationniveau1"/>
        <w:ind w:left="284" w:hanging="284"/>
      </w:pPr>
      <w:r>
        <w:t>c</w:t>
      </w:r>
      <w:r w:rsidR="00463A1C" w:rsidRPr="007F2900">
        <w:t>onclusion sur l</w:t>
      </w:r>
      <w:r w:rsidR="001224E7">
        <w:t>’</w:t>
      </w:r>
      <w:r w:rsidR="00463A1C" w:rsidRPr="007F2900">
        <w:t>exposition au risque de concentration par contrepartie</w:t>
      </w:r>
      <w:r w:rsidR="0032768B" w:rsidRPr="0032768B">
        <w:t xml:space="preserve"> </w:t>
      </w:r>
      <w:r w:rsidR="0032768B">
        <w:t>y compris les contreparties centrales</w:t>
      </w:r>
      <w:r w:rsidR="009E3FDA">
        <w:t xml:space="preserve"> et les entités du système bancaire parallèle</w:t>
      </w:r>
      <w:r>
        <w:t>.</w:t>
      </w:r>
    </w:p>
    <w:p w:rsidR="004A229A" w:rsidRDefault="004A229A" w:rsidP="004A229A">
      <w:pPr>
        <w:pStyle w:val="SGACP-enumerationniveau1"/>
        <w:numPr>
          <w:ilvl w:val="0"/>
          <w:numId w:val="0"/>
        </w:numPr>
        <w:spacing w:before="0"/>
        <w:ind w:left="720"/>
      </w:pPr>
    </w:p>
    <w:p w:rsidR="00331B88" w:rsidRDefault="008F3AF1">
      <w:pPr>
        <w:pStyle w:val="SGACP-sous-titrederubriqueniveau3"/>
        <w:keepNext/>
        <w:keepLines/>
      </w:pPr>
      <w:bookmarkStart w:id="88" w:name="_Toc244576450"/>
      <w:bookmarkStart w:id="89" w:name="_Toc266799806"/>
      <w:r>
        <w:t>8</w:t>
      </w:r>
      <w:r w:rsidR="00A73147">
        <w:t>.3.2</w:t>
      </w:r>
      <w:r w:rsidR="00710008">
        <w:t>.</w:t>
      </w:r>
      <w:r w:rsidR="00A73147">
        <w:tab/>
      </w:r>
      <w:r w:rsidR="00463A1C" w:rsidRPr="007F2900">
        <w:t>Risque de concentration sectorielle</w:t>
      </w:r>
      <w:bookmarkEnd w:id="88"/>
      <w:bookmarkEnd w:id="89"/>
      <w:r w:rsidR="00F26BD5">
        <w:t> :</w:t>
      </w:r>
    </w:p>
    <w:p w:rsidR="00331B88" w:rsidRDefault="00F26BD5" w:rsidP="004F3BB8">
      <w:pPr>
        <w:pStyle w:val="SGACP-enumerationniveau1"/>
        <w:keepNext/>
        <w:keepLines/>
        <w:ind w:left="284" w:hanging="284"/>
      </w:pPr>
      <w:r>
        <w:t>o</w:t>
      </w:r>
      <w:r w:rsidR="00463A1C" w:rsidRPr="007F2900">
        <w:t>util de suivi du risque de concentration sectorielle</w:t>
      </w:r>
      <w:r w:rsidR="009E3FDA">
        <w:t xml:space="preserve"> (notamment pour le système bancaire parallèle)</w:t>
      </w:r>
      <w:r w:rsidR="00463A1C" w:rsidRPr="007F2900">
        <w:t xml:space="preserve"> : </w:t>
      </w:r>
      <w:r w:rsidR="00463A1C" w:rsidRPr="00A73147">
        <w:t xml:space="preserve">agrégats éventuellement définis, </w:t>
      </w:r>
      <w:r w:rsidR="00A81A1E">
        <w:t>modèle économique et</w:t>
      </w:r>
      <w:r w:rsidR="00A81A1E" w:rsidRPr="00A73147">
        <w:t xml:space="preserve"> </w:t>
      </w:r>
      <w:r w:rsidR="00A81A1E">
        <w:t xml:space="preserve">profil de risque, </w:t>
      </w:r>
      <w:r w:rsidR="00463A1C" w:rsidRPr="00A73147">
        <w:t>dispositif de mesure des engagements sur un même secteur d</w:t>
      </w:r>
      <w:r w:rsidR="001224E7">
        <w:t>’</w:t>
      </w:r>
      <w:r w:rsidR="00463A1C" w:rsidRPr="00A73147">
        <w:t>activité</w:t>
      </w:r>
      <w:r w:rsidR="00A81A1E">
        <w:t xml:space="preserve"> (notamment l’interconnexion des contreparties)</w:t>
      </w:r>
      <w:r w:rsidR="00A81A1E" w:rsidRPr="00A73147">
        <w:t>,</w:t>
      </w:r>
      <w:r w:rsidR="003D38A3">
        <w:t xml:space="preserve"> </w:t>
      </w:r>
      <w:r w:rsidR="00463A1C" w:rsidRPr="00A73147">
        <w:t>modalités d</w:t>
      </w:r>
      <w:r w:rsidR="001224E7">
        <w:t>’</w:t>
      </w:r>
      <w:r w:rsidR="00463A1C" w:rsidRPr="00A73147">
        <w:t xml:space="preserve">information </w:t>
      </w:r>
      <w:r w:rsidR="0003780F">
        <w:t>des dirigeants effectifs</w:t>
      </w:r>
      <w:r>
        <w:t> </w:t>
      </w:r>
      <w:r w:rsidR="00873542">
        <w:t xml:space="preserve">et de l’organe de surveillance </w:t>
      </w:r>
      <w:r>
        <w:t>;</w:t>
      </w:r>
    </w:p>
    <w:p w:rsidR="00331B88" w:rsidRDefault="00F26BD5" w:rsidP="004F3BB8">
      <w:pPr>
        <w:pStyle w:val="SGACP-enumerationniveau1"/>
        <w:ind w:left="284" w:hanging="284"/>
      </w:pPr>
      <w:r>
        <w:t>d</w:t>
      </w:r>
      <w:r w:rsidR="00463A1C" w:rsidRPr="007F2900">
        <w:t>ispositif de limites d</w:t>
      </w:r>
      <w:r w:rsidR="001224E7">
        <w:t>’</w:t>
      </w:r>
      <w:r w:rsidR="00463A1C" w:rsidRPr="007F2900">
        <w:t xml:space="preserve">exposition sectorielle : </w:t>
      </w:r>
      <w:r w:rsidR="00463A1C" w:rsidRPr="00A73147">
        <w:t xml:space="preserve">description synthétique du système de limite sectorielle </w:t>
      </w:r>
      <w:r w:rsidR="00463A1C" w:rsidRPr="00210431">
        <w:rPr>
          <w:i/>
        </w:rPr>
        <w:t>(</w:t>
      </w:r>
      <w:r w:rsidR="00126708">
        <w:rPr>
          <w:i/>
        </w:rPr>
        <w:t xml:space="preserve">montant des expositions, </w:t>
      </w:r>
      <w:r w:rsidR="00463A1C" w:rsidRPr="00210431">
        <w:rPr>
          <w:i/>
        </w:rPr>
        <w:t>préciser leur niveau par rapport aux résultats et aux fonds propres)</w:t>
      </w:r>
      <w:r w:rsidR="00463A1C" w:rsidRPr="00A73147">
        <w:t>, modalités et périodicité de la révision des limites, dépassements éventuellement constatés, modalités d</w:t>
      </w:r>
      <w:r w:rsidR="001224E7">
        <w:t>’</w:t>
      </w:r>
      <w:r w:rsidR="00463A1C" w:rsidRPr="00A73147">
        <w:t xml:space="preserve">implication </w:t>
      </w:r>
      <w:r w:rsidR="0003780F">
        <w:t>des dirigeants effectifs</w:t>
      </w:r>
      <w:r w:rsidR="00463A1C" w:rsidRPr="00A73147">
        <w:t xml:space="preserve"> dans la détermination des limites et d</w:t>
      </w:r>
      <w:r w:rsidR="001224E7">
        <w:t>’</w:t>
      </w:r>
      <w:r w:rsidR="00463A1C" w:rsidRPr="00A73147">
        <w:t>information sur leur suivi</w:t>
      </w:r>
      <w:r>
        <w:t> ;</w:t>
      </w:r>
    </w:p>
    <w:p w:rsidR="00331B88" w:rsidRDefault="00F26BD5" w:rsidP="004F3BB8">
      <w:pPr>
        <w:pStyle w:val="SGACP-enumerationniveau1"/>
        <w:ind w:left="284" w:hanging="284"/>
      </w:pPr>
      <w:r>
        <w:t>r</w:t>
      </w:r>
      <w:r w:rsidR="00463A1C" w:rsidRPr="007F2900">
        <w:t>épartition des engagements par secteurs</w:t>
      </w:r>
      <w:r>
        <w:t> ;</w:t>
      </w:r>
    </w:p>
    <w:p w:rsidR="00331B88" w:rsidRDefault="00F26BD5" w:rsidP="00126708">
      <w:pPr>
        <w:pStyle w:val="SGACP-enumerationniveau1"/>
        <w:ind w:left="284" w:hanging="284"/>
      </w:pPr>
      <w:r>
        <w:t>c</w:t>
      </w:r>
      <w:r w:rsidR="00463A1C" w:rsidRPr="007F2900">
        <w:t>onclusion sur l</w:t>
      </w:r>
      <w:r w:rsidR="001224E7">
        <w:t>’</w:t>
      </w:r>
      <w:r w:rsidR="00463A1C" w:rsidRPr="007F2900">
        <w:t>exposition au risque de concentration sectorielle</w:t>
      </w:r>
      <w:r w:rsidR="00126708">
        <w:t xml:space="preserve"> (notamment pour le système bancaire parallèle).</w:t>
      </w:r>
    </w:p>
    <w:p w:rsidR="00A73147" w:rsidRPr="00440703" w:rsidRDefault="00A73147" w:rsidP="00463A1C">
      <w:bookmarkStart w:id="90" w:name="_Toc244576451"/>
      <w:bookmarkStart w:id="91" w:name="_Toc266799807"/>
    </w:p>
    <w:p w:rsidR="00463A1C" w:rsidRPr="007F2900" w:rsidRDefault="008F3AF1" w:rsidP="00F26BD5">
      <w:pPr>
        <w:pStyle w:val="SGACP-sous-titrederubriqueniveau3"/>
        <w:keepNext/>
        <w:keepLines/>
      </w:pPr>
      <w:r>
        <w:t>8</w:t>
      </w:r>
      <w:r w:rsidR="00A73147">
        <w:t>.3.</w:t>
      </w:r>
      <w:r w:rsidR="000907F4">
        <w:t>3</w:t>
      </w:r>
      <w:r w:rsidR="00710008">
        <w:t>.</w:t>
      </w:r>
      <w:r w:rsidR="00A73147">
        <w:tab/>
      </w:r>
      <w:r w:rsidR="00463A1C" w:rsidRPr="007F2900">
        <w:t>Risque de concentration géographique</w:t>
      </w:r>
      <w:bookmarkEnd w:id="90"/>
      <w:bookmarkEnd w:id="91"/>
      <w:r w:rsidR="00F26BD5">
        <w:t> :</w:t>
      </w:r>
    </w:p>
    <w:p w:rsidR="00331B88" w:rsidRDefault="00F26BD5" w:rsidP="004F3BB8">
      <w:pPr>
        <w:pStyle w:val="SGACP-enumerationniveau1"/>
        <w:ind w:left="284" w:hanging="284"/>
      </w:pPr>
      <w:r>
        <w:t>o</w:t>
      </w:r>
      <w:r w:rsidR="00463A1C" w:rsidRPr="007F2900">
        <w:t xml:space="preserve">util de suivi du risque de concentration par zone géographique : </w:t>
      </w:r>
      <w:r w:rsidR="00463A1C" w:rsidRPr="00A73147">
        <w:t>agrégats éventuellement définis, dispositif de mesure des engagements sur une même zone géographique, modalités d</w:t>
      </w:r>
      <w:r w:rsidR="001224E7">
        <w:t>’</w:t>
      </w:r>
      <w:r w:rsidR="00463A1C" w:rsidRPr="00A73147">
        <w:t xml:space="preserve">information </w:t>
      </w:r>
      <w:r w:rsidR="0003780F">
        <w:t>des dirigeants effectifs</w:t>
      </w:r>
      <w:r>
        <w:t> </w:t>
      </w:r>
      <w:r w:rsidR="00873542">
        <w:t xml:space="preserve">et de l’organe de surveillance </w:t>
      </w:r>
      <w:r>
        <w:t>;</w:t>
      </w:r>
    </w:p>
    <w:p w:rsidR="00331B88" w:rsidRDefault="00F26BD5" w:rsidP="004F3BB8">
      <w:pPr>
        <w:pStyle w:val="SGACP-enumerationniveau1"/>
        <w:ind w:left="284" w:hanging="284"/>
      </w:pPr>
      <w:r>
        <w:t>d</w:t>
      </w:r>
      <w:r w:rsidR="00463A1C" w:rsidRPr="007F2900">
        <w:t>ispositif de limites d</w:t>
      </w:r>
      <w:r w:rsidR="001224E7">
        <w:t>’</w:t>
      </w:r>
      <w:r w:rsidR="00463A1C" w:rsidRPr="007F2900">
        <w:t xml:space="preserve">exposition par zone géographique : </w:t>
      </w:r>
      <w:r w:rsidR="00463A1C" w:rsidRPr="00A73147">
        <w:t xml:space="preserve">description synthétique du système de limite par zone géographique </w:t>
      </w:r>
      <w:r w:rsidR="00463A1C" w:rsidRPr="00210431">
        <w:rPr>
          <w:i/>
        </w:rPr>
        <w:t>(préciser leur niveau par rapport aux résultats et aux fonds propres)</w:t>
      </w:r>
      <w:r w:rsidR="00463A1C" w:rsidRPr="00A73147">
        <w:t>, modalités et périodicité de la révision des limites, dépassements éventuellement constatés, modalités d</w:t>
      </w:r>
      <w:r w:rsidR="001224E7">
        <w:t>’</w:t>
      </w:r>
      <w:r w:rsidR="00463A1C" w:rsidRPr="00A73147">
        <w:t xml:space="preserve">implication </w:t>
      </w:r>
      <w:r w:rsidR="0003780F">
        <w:t>des dirigeants effectifs</w:t>
      </w:r>
      <w:r w:rsidR="00463A1C" w:rsidRPr="00A73147">
        <w:t xml:space="preserve"> dans la détermination des limites et d</w:t>
      </w:r>
      <w:r w:rsidR="001224E7">
        <w:t>’</w:t>
      </w:r>
      <w:r w:rsidR="00463A1C" w:rsidRPr="00A73147">
        <w:t>information sur leur suivi</w:t>
      </w:r>
      <w:r>
        <w:t> ;</w:t>
      </w:r>
    </w:p>
    <w:p w:rsidR="00331B88" w:rsidRDefault="00F26BD5" w:rsidP="004F3BB8">
      <w:pPr>
        <w:pStyle w:val="SGACP-enumerationniveau1"/>
        <w:ind w:left="284" w:hanging="284"/>
      </w:pPr>
      <w:r>
        <w:t>r</w:t>
      </w:r>
      <w:r w:rsidR="00463A1C" w:rsidRPr="007F2900">
        <w:t>épartition des engagements par zones géographiques</w:t>
      </w:r>
      <w:r>
        <w:t> ;</w:t>
      </w:r>
    </w:p>
    <w:p w:rsidR="00331B88" w:rsidRDefault="00F26BD5" w:rsidP="004F3BB8">
      <w:pPr>
        <w:pStyle w:val="SGACP-enumerationniveau1"/>
        <w:ind w:left="284" w:hanging="284"/>
      </w:pPr>
      <w:r>
        <w:t>c</w:t>
      </w:r>
      <w:r w:rsidR="00463A1C" w:rsidRPr="007F2900">
        <w:t>onclusion sur l</w:t>
      </w:r>
      <w:r w:rsidR="001224E7">
        <w:t>’</w:t>
      </w:r>
      <w:r w:rsidR="00463A1C" w:rsidRPr="007F2900">
        <w:t>exposition au risque de concentration géographique</w:t>
      </w:r>
      <w:r>
        <w:t>.</w:t>
      </w:r>
    </w:p>
    <w:p w:rsidR="00331B88" w:rsidRPr="00440703" w:rsidRDefault="00331B88">
      <w:bookmarkStart w:id="92" w:name="_Toc244576452"/>
      <w:bookmarkStart w:id="93" w:name="_Toc266799808"/>
    </w:p>
    <w:p w:rsidR="004A229A" w:rsidRDefault="008F3AF1" w:rsidP="004A229A">
      <w:pPr>
        <w:pStyle w:val="SGACP-sous-titrederubriquenivaeu2"/>
      </w:pPr>
      <w:r>
        <w:t>8</w:t>
      </w:r>
      <w:r w:rsidR="00A73147">
        <w:t>.4.</w:t>
      </w:r>
      <w:r w:rsidR="00A73147">
        <w:tab/>
      </w:r>
      <w:r w:rsidR="00463A1C" w:rsidRPr="007F2900">
        <w:t>Exigences liées à l</w:t>
      </w:r>
      <w:r w:rsidR="001224E7">
        <w:t>’</w:t>
      </w:r>
      <w:r w:rsidR="00463A1C" w:rsidRPr="007F2900">
        <w:t xml:space="preserve">utilisation des systèmes de notations internes pour le calcul </w:t>
      </w:r>
      <w:r w:rsidR="00E55A5D">
        <w:br/>
      </w:r>
      <w:r w:rsidR="00463A1C" w:rsidRPr="007F2900">
        <w:t>des exigences en fonds propres au titre du risque de crédit</w:t>
      </w:r>
      <w:bookmarkEnd w:id="92"/>
      <w:bookmarkEnd w:id="93"/>
      <w:r w:rsidR="00F26BD5">
        <w:t> :</w:t>
      </w:r>
    </w:p>
    <w:p w:rsidR="00C35A9E" w:rsidRDefault="00C35A9E" w:rsidP="004A229A">
      <w:pPr>
        <w:pStyle w:val="SGACP-sous-titrederubriquenivaeu2"/>
      </w:pPr>
    </w:p>
    <w:p w:rsidR="00331B88" w:rsidRDefault="00F26BD5" w:rsidP="004F3BB8">
      <w:pPr>
        <w:pStyle w:val="SGACP-enumerationniveau1"/>
        <w:ind w:left="284" w:hanging="284"/>
      </w:pPr>
      <w:r>
        <w:t>c</w:t>
      </w:r>
      <w:r w:rsidR="00463A1C" w:rsidRPr="007F2900">
        <w:t>ontrôles ex-post et comparaisons avec des données externes afin de s</w:t>
      </w:r>
      <w:r w:rsidR="001224E7">
        <w:t>’</w:t>
      </w:r>
      <w:r w:rsidR="00463A1C" w:rsidRPr="007F2900">
        <w:t>assurer de l</w:t>
      </w:r>
      <w:r w:rsidR="001224E7">
        <w:t>’</w:t>
      </w:r>
      <w:r w:rsidR="00463A1C" w:rsidRPr="007F2900">
        <w:t>exactitude et de la cohérence du ou des systèmes de notations internes, des procédés et des paramètres utilisés</w:t>
      </w:r>
      <w:r>
        <w:t> ;</w:t>
      </w:r>
    </w:p>
    <w:p w:rsidR="00331B88" w:rsidRDefault="00F26BD5" w:rsidP="004F3BB8">
      <w:pPr>
        <w:pStyle w:val="SGACP-enumerationniveau1"/>
        <w:ind w:left="284" w:hanging="284"/>
      </w:pPr>
      <w:r>
        <w:t>c</w:t>
      </w:r>
      <w:r w:rsidR="00463A1C" w:rsidRPr="007F2900">
        <w:t>ontenu et périodicité de contrôle des systèmes de notations dans le cadre du contrôle permanent et dans le cadre du contrôle périodique</w:t>
      </w:r>
      <w:r>
        <w:t> ;</w:t>
      </w:r>
    </w:p>
    <w:p w:rsidR="00331B88" w:rsidRDefault="00F26BD5" w:rsidP="004F3BB8">
      <w:pPr>
        <w:pStyle w:val="SGACP-enumerationniveau1"/>
        <w:ind w:left="284" w:hanging="284"/>
      </w:pPr>
      <w:r>
        <w:t>d</w:t>
      </w:r>
      <w:r w:rsidR="00463A1C" w:rsidRPr="007F2900">
        <w:t>escription de l</w:t>
      </w:r>
      <w:r w:rsidR="001224E7">
        <w:t>’</w:t>
      </w:r>
      <w:r w:rsidR="00463A1C" w:rsidRPr="007F2900">
        <w:t xml:space="preserve">insertion opérationnelle des systèmes de notation : </w:t>
      </w:r>
      <w:r w:rsidR="00463A1C" w:rsidRPr="00A73147">
        <w:t>utilisation effective des paramètres issus des systèmes de notation dans l</w:t>
      </w:r>
      <w:r w:rsidR="001224E7">
        <w:t>’</w:t>
      </w:r>
      <w:r w:rsidR="00463A1C" w:rsidRPr="00A73147">
        <w:t>approbation des crédits, la tarification, la gestion du recouvrement, le suivi des risques, la politique de provisionnement, l</w:t>
      </w:r>
      <w:r w:rsidR="001224E7">
        <w:t>’</w:t>
      </w:r>
      <w:r w:rsidR="00463A1C" w:rsidRPr="00A73147">
        <w:t>allocation du capital interne et le gouvernement d</w:t>
      </w:r>
      <w:r w:rsidR="001224E7">
        <w:t>’</w:t>
      </w:r>
      <w:r w:rsidR="00463A1C" w:rsidRPr="00A73147">
        <w:t xml:space="preserve">entreprise (tableaux de bord à destination des </w:t>
      </w:r>
      <w:r w:rsidR="0003780F">
        <w:t>dirigeants effectifs</w:t>
      </w:r>
      <w:r w:rsidR="00463A1C" w:rsidRPr="00A73147">
        <w:t xml:space="preserve"> / </w:t>
      </w:r>
      <w:r w:rsidR="0003780F">
        <w:t xml:space="preserve">des organes </w:t>
      </w:r>
      <w:r w:rsidR="0094273B">
        <w:t>de surveillance</w:t>
      </w:r>
      <w:r w:rsidR="00463A1C" w:rsidRPr="00A73147">
        <w:t>, notamment)</w:t>
      </w:r>
      <w:r>
        <w:t> ;</w:t>
      </w:r>
    </w:p>
    <w:p w:rsidR="0091511E" w:rsidRDefault="00F26BD5" w:rsidP="004F3BB8">
      <w:pPr>
        <w:pStyle w:val="SGACP-enumerationniveau1"/>
        <w:ind w:left="284" w:hanging="284"/>
      </w:pPr>
      <w:r>
        <w:lastRenderedPageBreak/>
        <w:t>m</w:t>
      </w:r>
      <w:r w:rsidR="00463A1C" w:rsidRPr="007F2900">
        <w:t>odalités d</w:t>
      </w:r>
      <w:r w:rsidR="001224E7">
        <w:t>’</w:t>
      </w:r>
      <w:r w:rsidR="00463A1C" w:rsidRPr="007F2900">
        <w:t xml:space="preserve">implication </w:t>
      </w:r>
      <w:r w:rsidR="0003780F">
        <w:t>des dirigeants effectifs</w:t>
      </w:r>
      <w:r w:rsidR="00463A1C" w:rsidRPr="007F2900">
        <w:t xml:space="preserve"> dans la conception et la mise à jour du ou des systèmes de notations internes : </w:t>
      </w:r>
      <w:r w:rsidR="00463A1C" w:rsidRPr="00A73147">
        <w:t>notamment approbation des principes méthodologiques, vérification de la bonne maîtrise de la conception et du mode de fonctionnement du ou des systèmes, modalités selon lesquelles il</w:t>
      </w:r>
      <w:r w:rsidR="00F0077D">
        <w:t>s</w:t>
      </w:r>
      <w:r w:rsidR="00463A1C" w:rsidRPr="00A73147">
        <w:t xml:space="preserve"> </w:t>
      </w:r>
      <w:r w:rsidR="00F0077D">
        <w:t>sont</w:t>
      </w:r>
      <w:r w:rsidR="00463A1C" w:rsidRPr="00A73147">
        <w:t xml:space="preserve"> informé</w:t>
      </w:r>
      <w:r w:rsidR="00F0077D">
        <w:t>s</w:t>
      </w:r>
      <w:r w:rsidR="00463A1C" w:rsidRPr="00A73147">
        <w:t xml:space="preserve"> de </w:t>
      </w:r>
      <w:r w:rsidR="00F0077D">
        <w:t>son/</w:t>
      </w:r>
      <w:r w:rsidR="00463A1C" w:rsidRPr="00A73147">
        <w:t>leur fonctionnement</w:t>
      </w:r>
      <w:r w:rsidR="0091511E">
        <w:t> ;</w:t>
      </w:r>
    </w:p>
    <w:p w:rsidR="004059B0" w:rsidRDefault="0091511E" w:rsidP="004F3BB8">
      <w:pPr>
        <w:pStyle w:val="SGACP-enumerationniveau1"/>
        <w:ind w:left="284" w:hanging="284"/>
      </w:pPr>
      <w:r>
        <w:t>démonstration que les méthodes internes d’évaluation du risque de crédit ne reposent pas exclusivement ou mécaniquement sur un système de notation externe du risque (cf. article 114 de l’arrêté du 3 novembre 2014</w:t>
      </w:r>
      <w:r w:rsidR="006653E9">
        <w:t xml:space="preserve"> modifié</w:t>
      </w:r>
      <w:r>
        <w:t>)</w:t>
      </w:r>
      <w:r w:rsidR="004059B0">
        <w:t> ;</w:t>
      </w:r>
    </w:p>
    <w:p w:rsidR="00331B88" w:rsidRPr="00D17233" w:rsidRDefault="004059B0" w:rsidP="004F3BB8">
      <w:pPr>
        <w:pStyle w:val="SGACP-enumerationniveau1"/>
        <w:ind w:left="284" w:hanging="284"/>
      </w:pPr>
      <w:r w:rsidRPr="00C96B52">
        <w:t xml:space="preserve">description des mesures mises en œuvre par l’établissement pour se mettre en conformité avec d’une part les </w:t>
      </w:r>
      <w:r w:rsidR="000001E8">
        <w:t>O</w:t>
      </w:r>
      <w:r w:rsidRPr="00C96B52">
        <w:t xml:space="preserve">rientations de l’ABE sur les estimations de probabilité de défaut (PD), les estimations de perte en cas de défaut (LGD) et sur le traitement des expositions sur lesquelles il y a eu défaut </w:t>
      </w:r>
      <w:r w:rsidR="00E34538">
        <w:t>(</w:t>
      </w:r>
      <w:r w:rsidR="00E34538" w:rsidRPr="00C1770A">
        <w:t>EBA/GL/2017/16</w:t>
      </w:r>
      <w:r w:rsidR="00E34538">
        <w:t>)</w:t>
      </w:r>
      <w:r w:rsidR="00E34538" w:rsidRPr="00C96B52">
        <w:t xml:space="preserve"> </w:t>
      </w:r>
      <w:r w:rsidRPr="00C96B52">
        <w:t xml:space="preserve">et d’autre part les </w:t>
      </w:r>
      <w:r w:rsidR="000001E8">
        <w:t>O</w:t>
      </w:r>
      <w:r w:rsidRPr="00C96B52">
        <w:t>rientations de l’ABE sur les estimations de LGD en cas de ralentissement économique</w:t>
      </w:r>
      <w:r w:rsidR="00E34538">
        <w:t xml:space="preserve"> (</w:t>
      </w:r>
      <w:r w:rsidR="00E34538" w:rsidRPr="00C1770A">
        <w:t>EBA/GL/2019/03</w:t>
      </w:r>
      <w:r w:rsidR="00E34538">
        <w:t>)</w:t>
      </w:r>
      <w:r>
        <w:rPr>
          <w:i/>
        </w:rPr>
        <w:t>.</w:t>
      </w:r>
    </w:p>
    <w:p w:rsidR="00D30821" w:rsidRPr="00DE4B91" w:rsidRDefault="00353C2D" w:rsidP="00DE4B91">
      <w:pPr>
        <w:pStyle w:val="SGACP-enumerationniveau1"/>
        <w:ind w:left="357" w:hanging="357"/>
      </w:pPr>
      <w:r w:rsidRPr="00DE4B91">
        <w:t xml:space="preserve">description des mesures mises en œuvre par l’établissement pour se mettre en conformité avec </w:t>
      </w:r>
      <w:r w:rsidR="000001E8" w:rsidRPr="00DE4B91">
        <w:t>les O</w:t>
      </w:r>
      <w:r w:rsidRPr="00DE4B91">
        <w:t>rientations de l’ABE sur l’atténuation du risque de crédit pour les établissements appliquant l’approche NI avec leurs propres estimations de LGD (EBA/GL/2020/05).</w:t>
      </w:r>
    </w:p>
    <w:p w:rsidR="00A73147" w:rsidRPr="00DE4B91" w:rsidRDefault="00A73147" w:rsidP="00890013">
      <w:pPr>
        <w:pStyle w:val="SGACP-enumerationniveau1"/>
        <w:numPr>
          <w:ilvl w:val="0"/>
          <w:numId w:val="0"/>
        </w:numPr>
        <w:ind w:left="357"/>
      </w:pPr>
      <w:bookmarkStart w:id="94" w:name="_Toc244576453"/>
      <w:bookmarkStart w:id="95" w:name="_Toc266799809"/>
    </w:p>
    <w:p w:rsidR="00463A1C" w:rsidRDefault="008F3AF1" w:rsidP="00A73147">
      <w:pPr>
        <w:pStyle w:val="SGACP-sous-titrederubriquenivaeu2"/>
      </w:pPr>
      <w:r>
        <w:t>8</w:t>
      </w:r>
      <w:r w:rsidR="00A73147">
        <w:t>.5.</w:t>
      </w:r>
      <w:r w:rsidR="00A73147">
        <w:tab/>
      </w:r>
      <w:r w:rsidR="00463A1C" w:rsidRPr="007F2900">
        <w:t>Risques liés aux opérations ou montages de titrisation</w:t>
      </w:r>
      <w:bookmarkEnd w:id="94"/>
      <w:bookmarkEnd w:id="95"/>
      <w:r w:rsidR="00F26BD5">
        <w:t> :</w:t>
      </w:r>
    </w:p>
    <w:p w:rsidR="003C7FF8" w:rsidRDefault="003C7FF8" w:rsidP="00A73147">
      <w:pPr>
        <w:pStyle w:val="SGACP-sous-titrederubriquenivaeu2"/>
      </w:pPr>
    </w:p>
    <w:p w:rsidR="00331B88" w:rsidRDefault="00F26BD5" w:rsidP="004F3BB8">
      <w:pPr>
        <w:pStyle w:val="SGACP-enumerationniveau1"/>
        <w:ind w:left="284" w:hanging="284"/>
      </w:pPr>
      <w:r>
        <w:t>p</w:t>
      </w:r>
      <w:r w:rsidR="00463A1C" w:rsidRPr="007F2900">
        <w:t>résentation de la stratégie en matière de titrisation et de transfert du risque de crédit</w:t>
      </w:r>
      <w:r>
        <w:t> ;</w:t>
      </w:r>
    </w:p>
    <w:p w:rsidR="00331B88" w:rsidRDefault="00450D36" w:rsidP="004F3BB8">
      <w:pPr>
        <w:pStyle w:val="SGACP-enumerationniveau1"/>
        <w:ind w:left="284" w:hanging="284"/>
      </w:pPr>
      <w:r>
        <w:t>présentation des politiques et des procédures internes mises en place afin de s</w:t>
      </w:r>
      <w:r w:rsidR="001224E7">
        <w:t>’</w:t>
      </w:r>
      <w:r>
        <w:t>assurer avant d</w:t>
      </w:r>
      <w:r w:rsidR="001224E7">
        <w:t>’</w:t>
      </w:r>
      <w:r>
        <w:t>investir de la connaissance approfondie des positions de titrisation concernées et du respect de l</w:t>
      </w:r>
      <w:r w:rsidR="001224E7">
        <w:t>’</w:t>
      </w:r>
      <w:r>
        <w:t>obligation de rétention de 5% d</w:t>
      </w:r>
      <w:r w:rsidR="001224E7">
        <w:t>’</w:t>
      </w:r>
      <w:r>
        <w:t>intérêt économique net par les établissements agissant en qualité d</w:t>
      </w:r>
      <w:r w:rsidR="001224E7">
        <w:t>’</w:t>
      </w:r>
      <w:r w:rsidRPr="005C333C">
        <w:rPr>
          <w:i/>
        </w:rPr>
        <w:t>originateur</w:t>
      </w:r>
      <w:r>
        <w:t>, de sponsor ou de prêteur initial ;</w:t>
      </w:r>
    </w:p>
    <w:p w:rsidR="00331B88" w:rsidRDefault="00F26BD5" w:rsidP="004F3BB8">
      <w:pPr>
        <w:pStyle w:val="SGACP-enumerationniveau1"/>
        <w:ind w:left="284" w:hanging="284"/>
      </w:pPr>
      <w:r>
        <w:t>m</w:t>
      </w:r>
      <w:r w:rsidR="00463A1C" w:rsidRPr="007F2900">
        <w:t>odalités d</w:t>
      </w:r>
      <w:r w:rsidR="001224E7">
        <w:t>’</w:t>
      </w:r>
      <w:r w:rsidR="00463A1C" w:rsidRPr="007F2900">
        <w:t xml:space="preserve">évaluation, de suivi et de maîtrise des risques liés aux montages ou opérations de titrisation </w:t>
      </w:r>
      <w:r w:rsidR="00463A1C" w:rsidRPr="00210431">
        <w:rPr>
          <w:iCs/>
        </w:rPr>
        <w:t>(et notamment analyse de leur substance économique)</w:t>
      </w:r>
      <w:r w:rsidR="00463A1C" w:rsidRPr="00C26DE4">
        <w:t xml:space="preserve"> pou</w:t>
      </w:r>
      <w:r w:rsidR="00463A1C" w:rsidRPr="007F2900">
        <w:t xml:space="preserve">r les établissements </w:t>
      </w:r>
      <w:r w:rsidR="00463A1C" w:rsidRPr="005C333C">
        <w:rPr>
          <w:i/>
        </w:rPr>
        <w:t>originateurs</w:t>
      </w:r>
      <w:r w:rsidR="003E38A0">
        <w:t>,</w:t>
      </w:r>
      <w:r w:rsidR="00463A1C" w:rsidRPr="007F2900">
        <w:t xml:space="preserve"> </w:t>
      </w:r>
      <w:r w:rsidR="00463A1C" w:rsidRPr="007B6E6E">
        <w:rPr>
          <w:i/>
        </w:rPr>
        <w:t>sponsors</w:t>
      </w:r>
      <w:r w:rsidR="003E38A0">
        <w:t xml:space="preserve"> ou </w:t>
      </w:r>
      <w:r w:rsidR="00CC750C">
        <w:t xml:space="preserve">investisseurs </w:t>
      </w:r>
      <w:r w:rsidR="00450D36">
        <w:t>y compris via des scénarios de crise (hypothèses, périodicité, conséquences)</w:t>
      </w:r>
      <w:r w:rsidR="004B0BE5">
        <w:t> ;</w:t>
      </w:r>
    </w:p>
    <w:p w:rsidR="00B27BC4" w:rsidRDefault="00A62C06" w:rsidP="00B27BC4">
      <w:pPr>
        <w:pStyle w:val="SGACP-enumerationniveau1"/>
        <w:ind w:left="284" w:hanging="284"/>
      </w:pPr>
      <w:r>
        <w:t xml:space="preserve">pour </w:t>
      </w:r>
      <w:r w:rsidR="00B27BC4">
        <w:t>les</w:t>
      </w:r>
      <w:r w:rsidR="00B27BC4" w:rsidRPr="00B65A9E">
        <w:t xml:space="preserve"> banques originatrices</w:t>
      </w:r>
      <w:r>
        <w:t>, description</w:t>
      </w:r>
      <w:r w:rsidR="00532C12">
        <w:t xml:space="preserve"> </w:t>
      </w:r>
      <w:r>
        <w:t xml:space="preserve">du </w:t>
      </w:r>
      <w:r w:rsidR="00B27BC4" w:rsidRPr="00B65A9E">
        <w:t>process</w:t>
      </w:r>
      <w:r w:rsidR="00B27BC4">
        <w:t>us</w:t>
      </w:r>
      <w:r w:rsidR="00B27BC4" w:rsidRPr="00B65A9E">
        <w:t xml:space="preserve"> interne d’évaluation des transactions déconsolidantes prudentiellement</w:t>
      </w:r>
      <w:r>
        <w:t>, étayée par une piste d’audit et modalités de suivi du transfert</w:t>
      </w:r>
      <w:r w:rsidR="00B27BC4">
        <w:t xml:space="preserve"> de risque</w:t>
      </w:r>
      <w:r w:rsidR="00B27BC4" w:rsidRPr="00B65A9E">
        <w:t xml:space="preserve"> sur la durée à travers une revue périodique</w:t>
      </w:r>
      <w:r w:rsidR="00B27BC4">
        <w:t>.</w:t>
      </w:r>
    </w:p>
    <w:p w:rsidR="00D82F7B" w:rsidRDefault="00D82F7B" w:rsidP="00D82F7B">
      <w:pPr>
        <w:pStyle w:val="SGACP-enumerationniveau1"/>
        <w:numPr>
          <w:ilvl w:val="0"/>
          <w:numId w:val="0"/>
        </w:numPr>
        <w:ind w:left="284"/>
      </w:pPr>
    </w:p>
    <w:p w:rsidR="00331B88" w:rsidRDefault="008F3AF1">
      <w:pPr>
        <w:pStyle w:val="SGACP-sous-titrederubriquenivaeu2"/>
        <w:keepNext/>
        <w:keepLines/>
      </w:pPr>
      <w:bookmarkStart w:id="96" w:name="_Toc244576454"/>
      <w:bookmarkStart w:id="97" w:name="_Toc266799810"/>
      <w:r>
        <w:t>8</w:t>
      </w:r>
      <w:r w:rsidR="00C66532">
        <w:t>.6.</w:t>
      </w:r>
      <w:r w:rsidR="00C66532">
        <w:tab/>
      </w:r>
      <w:r w:rsidR="00463A1C" w:rsidRPr="007F2900">
        <w:t>Risque de crédit intra-journalier</w:t>
      </w:r>
      <w:bookmarkEnd w:id="96"/>
      <w:bookmarkEnd w:id="97"/>
      <w:r w:rsidR="00F26BD5">
        <w:t> :</w:t>
      </w:r>
    </w:p>
    <w:p w:rsidR="00331B88" w:rsidRPr="00440703" w:rsidRDefault="00331B88" w:rsidP="00460E3D"/>
    <w:p w:rsidR="00331B88" w:rsidRDefault="00463A1C">
      <w:pPr>
        <w:pStyle w:val="SGACP-textecourant"/>
        <w:keepNext/>
        <w:keepLines/>
        <w:rPr>
          <w:i/>
        </w:rPr>
      </w:pPr>
      <w:r w:rsidRPr="00F26BD5">
        <w:rPr>
          <w:i/>
        </w:rPr>
        <w:t>Risque encouru dans le cadre de l</w:t>
      </w:r>
      <w:r w:rsidR="001224E7">
        <w:rPr>
          <w:i/>
        </w:rPr>
        <w:t>’</w:t>
      </w:r>
      <w:r w:rsidRPr="00F26BD5">
        <w:rPr>
          <w:i/>
        </w:rPr>
        <w:t>activité de conservation par les établissements qui octroient à leur client un crédit en cours de journée, en espèces et/ou en titres, pour faciliter l</w:t>
      </w:r>
      <w:r w:rsidR="001224E7">
        <w:rPr>
          <w:i/>
        </w:rPr>
        <w:t>’</w:t>
      </w:r>
      <w:r w:rsidRPr="00F26BD5">
        <w:rPr>
          <w:i/>
        </w:rPr>
        <w:t xml:space="preserve">exécution des opérations de </w:t>
      </w:r>
      <w:r w:rsidR="00D01AE7" w:rsidRPr="00F26BD5">
        <w:rPr>
          <w:i/>
        </w:rPr>
        <w:t>titres</w:t>
      </w:r>
      <w:r w:rsidRPr="00F26BD5">
        <w:rPr>
          <w:i/>
          <w:vertAlign w:val="superscript"/>
        </w:rPr>
        <w:footnoteReference w:id="3"/>
      </w:r>
      <w:r w:rsidR="00C66532" w:rsidRPr="00F26BD5">
        <w:rPr>
          <w:i/>
        </w:rPr>
        <w:t>.</w:t>
      </w:r>
    </w:p>
    <w:p w:rsidR="00331B88" w:rsidRDefault="00F26BD5" w:rsidP="004F3BB8">
      <w:pPr>
        <w:pStyle w:val="SGACP-enumerationniveau1"/>
        <w:ind w:left="284" w:hanging="284"/>
      </w:pPr>
      <w:r>
        <w:t>d</w:t>
      </w:r>
      <w:r w:rsidR="00463A1C" w:rsidRPr="007F2900">
        <w:t>escription de la politique appliquée par l</w:t>
      </w:r>
      <w:r w:rsidR="001224E7">
        <w:t>’</w:t>
      </w:r>
      <w:r w:rsidR="00463A1C" w:rsidRPr="007F2900">
        <w:t>établissement pour la gestion du risque de crédit intra-journalier ; description des limites (modalités de définition et de suivi) ;</w:t>
      </w:r>
    </w:p>
    <w:p w:rsidR="00331B88" w:rsidRDefault="00F26BD5" w:rsidP="004F3BB8">
      <w:pPr>
        <w:pStyle w:val="SGACP-enumerationniveau1"/>
        <w:ind w:left="284" w:hanging="284"/>
      </w:pPr>
      <w:r>
        <w:t>p</w:t>
      </w:r>
      <w:r w:rsidR="00463A1C" w:rsidRPr="007F2900">
        <w:t xml:space="preserve">résentation du système de mesure des expositions et de suivi des limites sur une base intra-journalière </w:t>
      </w:r>
      <w:r w:rsidR="00463A1C" w:rsidRPr="00210431">
        <w:t>(y compris la gestion des éventuels dépassements de limites)</w:t>
      </w:r>
      <w:r w:rsidR="00463A1C" w:rsidRPr="007F2900">
        <w:t> ;</w:t>
      </w:r>
    </w:p>
    <w:p w:rsidR="00331B88" w:rsidRDefault="00F26BD5" w:rsidP="004F3BB8">
      <w:pPr>
        <w:pStyle w:val="SGACP-enumerationniveau1"/>
        <w:ind w:left="284" w:hanging="284"/>
      </w:pPr>
      <w:r>
        <w:t>m</w:t>
      </w:r>
      <w:r w:rsidR="00463A1C" w:rsidRPr="007F2900">
        <w:t>odalités des décisions d</w:t>
      </w:r>
      <w:r w:rsidR="001224E7">
        <w:t>’</w:t>
      </w:r>
      <w:r w:rsidR="00463A1C" w:rsidRPr="007F2900">
        <w:t>octroi d</w:t>
      </w:r>
      <w:r w:rsidR="001224E7">
        <w:t>’</w:t>
      </w:r>
      <w:r w:rsidR="00463A1C" w:rsidRPr="007F2900">
        <w:t>un crédit intra-journalier ;</w:t>
      </w:r>
    </w:p>
    <w:p w:rsidR="00331B88" w:rsidRDefault="00F26BD5" w:rsidP="004F3BB8">
      <w:pPr>
        <w:pStyle w:val="SGACP-enumerationniveau1"/>
        <w:ind w:left="284" w:hanging="284"/>
      </w:pPr>
      <w:r>
        <w:t>m</w:t>
      </w:r>
      <w:r w:rsidR="00463A1C" w:rsidRPr="007F2900">
        <w:t>odalités d</w:t>
      </w:r>
      <w:r w:rsidR="001224E7">
        <w:t>’</w:t>
      </w:r>
      <w:r w:rsidR="00463A1C" w:rsidRPr="007F2900">
        <w:t xml:space="preserve">évaluation de la qualité des sûretés réelles ; </w:t>
      </w:r>
    </w:p>
    <w:p w:rsidR="00331B88" w:rsidRDefault="00F26BD5" w:rsidP="004F3BB8">
      <w:pPr>
        <w:pStyle w:val="SGACP-enumerationniveau1"/>
        <w:ind w:left="284" w:hanging="284"/>
      </w:pPr>
      <w:r>
        <w:t>d</w:t>
      </w:r>
      <w:r w:rsidR="00463A1C" w:rsidRPr="007F2900">
        <w:t xml:space="preserve">escription des reportings à destination des </w:t>
      </w:r>
      <w:r w:rsidR="0003780F">
        <w:t>dirigeants effectifs</w:t>
      </w:r>
      <w:r w:rsidR="00463A1C" w:rsidRPr="007F2900">
        <w:t xml:space="preserve"> et </w:t>
      </w:r>
      <w:r w:rsidR="0094273B">
        <w:t>de</w:t>
      </w:r>
      <w:r w:rsidR="0003780F">
        <w:t xml:space="preserve">s organes de </w:t>
      </w:r>
      <w:r w:rsidR="0094273B">
        <w:t>surveillance</w:t>
      </w:r>
      <w:r w:rsidR="0094273B" w:rsidRPr="007F2900">
        <w:t> </w:t>
      </w:r>
      <w:r w:rsidR="00463A1C" w:rsidRPr="007F2900">
        <w:t>;</w:t>
      </w:r>
    </w:p>
    <w:p w:rsidR="00331B88" w:rsidRDefault="00F26BD5" w:rsidP="004F3BB8">
      <w:pPr>
        <w:pStyle w:val="SGACP-enumerationniveau1"/>
        <w:ind w:left="284" w:hanging="284"/>
      </w:pPr>
      <w:r>
        <w:t>c</w:t>
      </w:r>
      <w:r w:rsidR="00463A1C" w:rsidRPr="007F2900">
        <w:t>onclusion sur l</w:t>
      </w:r>
      <w:r w:rsidR="001224E7">
        <w:t>’</w:t>
      </w:r>
      <w:r w:rsidR="00463A1C" w:rsidRPr="007F2900">
        <w:t>exposition au risque de crédit intra-journalier.</w:t>
      </w:r>
    </w:p>
    <w:p w:rsidR="00C66532" w:rsidRPr="00440703" w:rsidRDefault="00C66532" w:rsidP="00463A1C">
      <w:bookmarkStart w:id="98" w:name="_Toc266799811"/>
    </w:p>
    <w:p w:rsidR="00463A1C" w:rsidRDefault="008F3AF1" w:rsidP="00F26BD5">
      <w:pPr>
        <w:pStyle w:val="SGACP-sous-titrederubriquenivaeu2"/>
        <w:keepNext/>
        <w:keepLines/>
      </w:pPr>
      <w:r>
        <w:lastRenderedPageBreak/>
        <w:t>8</w:t>
      </w:r>
      <w:r w:rsidR="00C66532">
        <w:t>.7.</w:t>
      </w:r>
      <w:r w:rsidR="00C66532">
        <w:tab/>
      </w:r>
      <w:r w:rsidR="00463A1C" w:rsidRPr="007F2900">
        <w:t xml:space="preserve">Résultats des contrôles permanents </w:t>
      </w:r>
      <w:r w:rsidR="00D5659E">
        <w:t>de 2</w:t>
      </w:r>
      <w:r w:rsidR="00D5659E" w:rsidRPr="00D5659E">
        <w:rPr>
          <w:vertAlign w:val="superscript"/>
        </w:rPr>
        <w:t>ème</w:t>
      </w:r>
      <w:r w:rsidR="00D5659E">
        <w:t xml:space="preserve"> niveau </w:t>
      </w:r>
      <w:r w:rsidR="00463A1C" w:rsidRPr="007F2900">
        <w:t>menés sur les activités de crédit</w:t>
      </w:r>
      <w:bookmarkEnd w:id="98"/>
      <w:r w:rsidR="00F26BD5">
        <w:t> :</w:t>
      </w:r>
    </w:p>
    <w:p w:rsidR="00331B88" w:rsidRDefault="00F26BD5" w:rsidP="004F3BB8">
      <w:pPr>
        <w:pStyle w:val="SGACP-enumerationniveau1"/>
        <w:ind w:left="284" w:hanging="284"/>
      </w:pPr>
      <w:r>
        <w:t>p</w:t>
      </w:r>
      <w:r w:rsidR="00463A1C" w:rsidRPr="007F2900">
        <w:t>rincipales insuffisances relevées</w:t>
      </w:r>
      <w:r>
        <w:t> ;</w:t>
      </w:r>
    </w:p>
    <w:p w:rsidR="00331B88" w:rsidRDefault="00F26BD5" w:rsidP="004F3BB8">
      <w:pPr>
        <w:pStyle w:val="SGACP-enumerationniveau1"/>
        <w:ind w:left="284" w:hanging="284"/>
      </w:pPr>
      <w:r>
        <w:t>m</w:t>
      </w:r>
      <w:r w:rsidR="00463A1C" w:rsidRPr="007F2900">
        <w:t xml:space="preserve">esures correctives engagées pour remédier aux insuffisances relevées, </w:t>
      </w:r>
      <w:r w:rsidR="00463A1C" w:rsidRPr="008335E0">
        <w:t>date de réalisation prévisionnelle de ces mesures et état d</w:t>
      </w:r>
      <w:r w:rsidR="001224E7">
        <w:t>’</w:t>
      </w:r>
      <w:r w:rsidR="00463A1C" w:rsidRPr="008335E0">
        <w:t>avancement de leur mise en œuvre à la date de rédaction du présent rapport</w:t>
      </w:r>
      <w:r w:rsidRPr="008335E0">
        <w:t> </w:t>
      </w:r>
      <w:r>
        <w:rPr>
          <w:i/>
        </w:rPr>
        <w:t>;</w:t>
      </w:r>
    </w:p>
    <w:p w:rsidR="00331B88" w:rsidRPr="00C26DE4" w:rsidRDefault="00F26BD5" w:rsidP="004F3BB8">
      <w:pPr>
        <w:pStyle w:val="SGACP-enumerationniveau1"/>
        <w:ind w:left="284" w:hanging="284"/>
      </w:pPr>
      <w:r>
        <w:t>m</w:t>
      </w:r>
      <w:r w:rsidR="00463A1C" w:rsidRPr="007F2900">
        <w:t xml:space="preserve">odalités de suivi des recommandations résultant des contrôles permanents </w:t>
      </w:r>
      <w:r w:rsidR="00463A1C" w:rsidRPr="00C26DE4">
        <w:rPr>
          <w:i/>
        </w:rPr>
        <w:t>(outils, personnes en charge)</w:t>
      </w:r>
      <w:r w:rsidRPr="00C26DE4">
        <w:t> ;</w:t>
      </w:r>
    </w:p>
    <w:p w:rsidR="00331B88" w:rsidRPr="00156279" w:rsidRDefault="00F26BD5" w:rsidP="004F3BB8">
      <w:pPr>
        <w:pStyle w:val="SGACP-enumerationniveau1"/>
        <w:ind w:left="284" w:hanging="284"/>
      </w:pPr>
      <w:r>
        <w:t>m</w:t>
      </w:r>
      <w:r w:rsidR="00463A1C" w:rsidRPr="007F2900">
        <w:t>odalités de vérification de l</w:t>
      </w:r>
      <w:r w:rsidR="001224E7">
        <w:t>’</w:t>
      </w:r>
      <w:r w:rsidR="00463A1C" w:rsidRPr="007F2900">
        <w:t xml:space="preserve">exécution dans des délais raisonnables des mesures correctrices décidées au sein des entreprises, par les personnes compétentes </w:t>
      </w:r>
      <w:r w:rsidR="00463A1C" w:rsidRPr="003D1AFF">
        <w:rPr>
          <w:iCs/>
        </w:rPr>
        <w:t>(cf. articles</w:t>
      </w:r>
      <w:r w:rsidR="00813951" w:rsidRPr="003D1AFF">
        <w:rPr>
          <w:iCs/>
        </w:rPr>
        <w:t xml:space="preserve"> 11</w:t>
      </w:r>
      <w:r w:rsidR="00290219" w:rsidRPr="003D1AFF">
        <w:rPr>
          <w:iCs/>
        </w:rPr>
        <w:t xml:space="preserve"> </w:t>
      </w:r>
      <w:r w:rsidR="00813951" w:rsidRPr="003D1AFF">
        <w:rPr>
          <w:iCs/>
        </w:rPr>
        <w:t>f) et 26 a)</w:t>
      </w:r>
      <w:r w:rsidR="00813951" w:rsidRPr="00266335">
        <w:t xml:space="preserve"> </w:t>
      </w:r>
      <w:r w:rsidR="00813951" w:rsidRPr="00156279">
        <w:t>de l’arrêté du 3 novembre 2014</w:t>
      </w:r>
      <w:r w:rsidR="006653E9">
        <w:t xml:space="preserve"> modifié</w:t>
      </w:r>
      <w:r w:rsidR="00463A1C" w:rsidRPr="003D1AFF">
        <w:rPr>
          <w:iCs/>
        </w:rPr>
        <w:t>)</w:t>
      </w:r>
      <w:r w:rsidRPr="00266335">
        <w:t>.</w:t>
      </w:r>
    </w:p>
    <w:p w:rsidR="007B6E6E" w:rsidRPr="00440703" w:rsidRDefault="007B6E6E" w:rsidP="00463A1C">
      <w:bookmarkStart w:id="99" w:name="_Toc266799812"/>
      <w:bookmarkStart w:id="100" w:name="_Toc244576455"/>
    </w:p>
    <w:p w:rsidR="00463A1C" w:rsidRPr="007F2900" w:rsidRDefault="008F3AF1" w:rsidP="00C66532">
      <w:pPr>
        <w:pStyle w:val="SGACP-sous-titrederubriquenivaeu2"/>
      </w:pPr>
      <w:r>
        <w:t>8</w:t>
      </w:r>
      <w:r w:rsidR="00C66532">
        <w:t>.8.</w:t>
      </w:r>
      <w:r w:rsidR="00C66532">
        <w:tab/>
      </w:r>
      <w:r w:rsidR="00463A1C" w:rsidRPr="007F2900">
        <w:t>Risques liés à l</w:t>
      </w:r>
      <w:r w:rsidR="001224E7">
        <w:t>’</w:t>
      </w:r>
      <w:r w:rsidR="00463A1C" w:rsidRPr="007F2900">
        <w:t xml:space="preserve">utilisation des techniques </w:t>
      </w:r>
      <w:r w:rsidR="007461CE">
        <w:t>d’atténuation</w:t>
      </w:r>
      <w:r w:rsidR="00463A1C" w:rsidRPr="007F2900">
        <w:t xml:space="preserve"> du risque de crédit</w:t>
      </w:r>
      <w:bookmarkEnd w:id="99"/>
      <w:bookmarkEnd w:id="100"/>
      <w:r w:rsidR="00965B51">
        <w:t> :</w:t>
      </w:r>
    </w:p>
    <w:p w:rsidR="00C66532" w:rsidRPr="007D7320" w:rsidRDefault="00C66532" w:rsidP="00C66532">
      <w:pPr>
        <w:pStyle w:val="SGACP-textecourant"/>
        <w:rPr>
          <w:szCs w:val="22"/>
        </w:rPr>
      </w:pPr>
    </w:p>
    <w:p w:rsidR="00463A1C" w:rsidRPr="007F2900" w:rsidRDefault="00463A1C" w:rsidP="00C66532">
      <w:pPr>
        <w:pStyle w:val="SGACP-textecourant"/>
      </w:pPr>
      <w:r w:rsidRPr="007F2900">
        <w:t xml:space="preserve">Joindre une annexe comprenant : </w:t>
      </w:r>
    </w:p>
    <w:p w:rsidR="00331B88" w:rsidRDefault="00F26BD5" w:rsidP="004F3BB8">
      <w:pPr>
        <w:pStyle w:val="SGACP-enumerationniveau1"/>
        <w:ind w:left="284" w:hanging="284"/>
      </w:pPr>
      <w:r>
        <w:t>d</w:t>
      </w:r>
      <w:r w:rsidR="00463A1C" w:rsidRPr="007F2900">
        <w:t xml:space="preserve">escription du dispositif mis en œuvre </w:t>
      </w:r>
      <w:r w:rsidR="00463A1C" w:rsidRPr="008335E0">
        <w:t>pour identifier, mesurer, et surveiller le risque résiduel auquel est exposé l</w:t>
      </w:r>
      <w:r w:rsidR="001224E7">
        <w:t>’</w:t>
      </w:r>
      <w:r w:rsidR="00463A1C" w:rsidRPr="008335E0">
        <w:t>établissement au titre de l</w:t>
      </w:r>
      <w:r w:rsidR="001224E7">
        <w:t>’</w:t>
      </w:r>
      <w:r w:rsidR="00463A1C" w:rsidRPr="008335E0">
        <w:t xml:space="preserve">utilisation des techniques </w:t>
      </w:r>
      <w:r w:rsidR="007461CE">
        <w:t>d’atténuation</w:t>
      </w:r>
      <w:r w:rsidR="00463A1C" w:rsidRPr="008335E0">
        <w:t xml:space="preserve"> du risque de crédit ;</w:t>
      </w:r>
    </w:p>
    <w:p w:rsidR="00331B88" w:rsidRDefault="00F26BD5" w:rsidP="004F3BB8">
      <w:pPr>
        <w:pStyle w:val="SGACP-enumerationniveau1"/>
        <w:ind w:left="284" w:hanging="284"/>
      </w:pPr>
      <w:r>
        <w:t>d</w:t>
      </w:r>
      <w:r w:rsidR="00463A1C" w:rsidRPr="007F2900">
        <w:t>escription synthétique des procédures</w:t>
      </w:r>
      <w:r w:rsidR="00463A1C" w:rsidRPr="008335E0">
        <w:t xml:space="preserve"> destinées à s</w:t>
      </w:r>
      <w:r w:rsidR="001224E7">
        <w:t>’</w:t>
      </w:r>
      <w:r w:rsidR="00463A1C" w:rsidRPr="008335E0">
        <w:t>assurer, lors de leur mise en place, que les techniques d</w:t>
      </w:r>
      <w:r w:rsidR="007461CE">
        <w:t>’atténuation du</w:t>
      </w:r>
      <w:r w:rsidR="00463A1C" w:rsidRPr="008335E0">
        <w:t xml:space="preserve"> risque de crédit utilisées sont juridiquement valables, que leur valeur n</w:t>
      </w:r>
      <w:r w:rsidR="001224E7">
        <w:t>’</w:t>
      </w:r>
      <w:r w:rsidR="00463A1C" w:rsidRPr="008335E0">
        <w:t>est pas corrélée à celle du débiteur et qu</w:t>
      </w:r>
      <w:r w:rsidR="001224E7">
        <w:t>’</w:t>
      </w:r>
      <w:r w:rsidR="00463A1C" w:rsidRPr="008335E0">
        <w:t>elles sont dûment documentées ;</w:t>
      </w:r>
    </w:p>
    <w:p w:rsidR="00331B88" w:rsidRDefault="00F26BD5" w:rsidP="004F3BB8">
      <w:pPr>
        <w:pStyle w:val="SGACP-enumerationniveau1"/>
        <w:ind w:left="284" w:hanging="284"/>
      </w:pPr>
      <w:r>
        <w:t>p</w:t>
      </w:r>
      <w:r w:rsidR="00463A1C" w:rsidRPr="007F2900">
        <w:t>résentation des modalités d</w:t>
      </w:r>
      <w:r w:rsidR="001224E7">
        <w:t>’</w:t>
      </w:r>
      <w:r w:rsidR="00463A1C" w:rsidRPr="007F2900">
        <w:t>intégration du risque de crédit associé à l</w:t>
      </w:r>
      <w:r w:rsidR="001224E7">
        <w:t>’</w:t>
      </w:r>
      <w:r w:rsidR="00463A1C" w:rsidRPr="007F2900">
        <w:t>utilisation des techniques d</w:t>
      </w:r>
      <w:r w:rsidR="007461CE">
        <w:t>’atténuation</w:t>
      </w:r>
      <w:r w:rsidR="00463A1C" w:rsidRPr="007F2900">
        <w:t xml:space="preserve"> du risque de crédit dans le dispositif général de gestion du risque de crédit ;</w:t>
      </w:r>
    </w:p>
    <w:p w:rsidR="00E40A8F" w:rsidRDefault="00F26BD5" w:rsidP="004F3BB8">
      <w:pPr>
        <w:pStyle w:val="SGACP-enumerationniveau1"/>
        <w:ind w:left="284" w:hanging="284"/>
      </w:pPr>
      <w:r>
        <w:t>d</w:t>
      </w:r>
      <w:r w:rsidR="00463A1C" w:rsidRPr="007F2900">
        <w:t xml:space="preserve">escription des simulations de crise relatives aux techniques </w:t>
      </w:r>
      <w:r w:rsidR="007461CE">
        <w:t>d’atténuation</w:t>
      </w:r>
      <w:r w:rsidR="00463A1C" w:rsidRPr="007F2900">
        <w:t xml:space="preserve"> du risque de </w:t>
      </w:r>
      <w:r w:rsidR="00463A1C" w:rsidRPr="00C26DE4">
        <w:t xml:space="preserve">crédit </w:t>
      </w:r>
      <w:r w:rsidR="00463A1C" w:rsidRPr="00210431">
        <w:t>(hypothèses et principes méthodologiques retenus ainsi que résultats obtenus)</w:t>
      </w:r>
      <w:r w:rsidR="00E40A8F">
        <w:t> ;</w:t>
      </w:r>
    </w:p>
    <w:p w:rsidR="00331B88" w:rsidRPr="00C26DE4" w:rsidRDefault="00E40A8F" w:rsidP="00E40A8F">
      <w:pPr>
        <w:pStyle w:val="SGACP-enumerationniveau1"/>
        <w:ind w:left="284" w:hanging="284"/>
      </w:pPr>
      <w:r>
        <w:t>synthèse des incidents intervenus au cours de l’année le cas échéant (appels de garanties refusés, nantissements non réalisés etc.).</w:t>
      </w:r>
    </w:p>
    <w:p w:rsidR="007461CE" w:rsidRPr="007D7320" w:rsidRDefault="007461CE" w:rsidP="00463A1C">
      <w:pPr>
        <w:rPr>
          <w:sz w:val="22"/>
          <w:szCs w:val="22"/>
        </w:rPr>
      </w:pPr>
      <w:bookmarkStart w:id="101" w:name="_Toc244576456"/>
      <w:bookmarkStart w:id="102" w:name="_Toc266799813"/>
    </w:p>
    <w:p w:rsidR="004A229A" w:rsidRDefault="008F3AF1" w:rsidP="004A229A">
      <w:pPr>
        <w:pStyle w:val="SGACP-sous-titrederubriquenivaeu2"/>
        <w:keepNext/>
      </w:pPr>
      <w:r>
        <w:t>8</w:t>
      </w:r>
      <w:r w:rsidR="00C66532">
        <w:t>.9.</w:t>
      </w:r>
      <w:r w:rsidR="00C66532">
        <w:tab/>
      </w:r>
      <w:r w:rsidR="00463A1C" w:rsidRPr="007F2900">
        <w:t>Simulations de crise relatives au risque de crédit</w:t>
      </w:r>
      <w:bookmarkEnd w:id="101"/>
      <w:bookmarkEnd w:id="102"/>
      <w:r w:rsidR="00965B51">
        <w:t xml:space="preserve"> :</w:t>
      </w:r>
    </w:p>
    <w:p w:rsidR="004A229A" w:rsidRDefault="004A229A" w:rsidP="00F13733"/>
    <w:p w:rsidR="004A229A" w:rsidRPr="00DF0A81" w:rsidRDefault="00463A1C" w:rsidP="00F13733">
      <w:pPr>
        <w:rPr>
          <w:szCs w:val="22"/>
        </w:rPr>
      </w:pPr>
      <w:r w:rsidRPr="00F13733">
        <w:rPr>
          <w:sz w:val="22"/>
          <w:szCs w:val="22"/>
        </w:rPr>
        <w:t>Joindre une annexe comprenant la description des hypothèses et principes méthodologiques retenus (notamment modalités de prise en compte des effets de contagion à d</w:t>
      </w:r>
      <w:r w:rsidR="001224E7" w:rsidRPr="00F13733">
        <w:rPr>
          <w:sz w:val="22"/>
          <w:szCs w:val="22"/>
        </w:rPr>
        <w:t>’</w:t>
      </w:r>
      <w:r w:rsidRPr="00F13733">
        <w:rPr>
          <w:sz w:val="22"/>
          <w:szCs w:val="22"/>
        </w:rPr>
        <w:t>autres marchés) ainsi que des résultats obtenus.</w:t>
      </w:r>
    </w:p>
    <w:p w:rsidR="004A229A" w:rsidRDefault="004A229A" w:rsidP="004A229A">
      <w:pPr>
        <w:pStyle w:val="SGACP-textecourant"/>
        <w:keepNext/>
      </w:pPr>
    </w:p>
    <w:p w:rsidR="003274DB" w:rsidRDefault="008F3AF1" w:rsidP="003274DB">
      <w:pPr>
        <w:pStyle w:val="SGACP-sous-titrederubriquenivaeu2"/>
        <w:keepNext/>
      </w:pPr>
      <w:bookmarkStart w:id="103" w:name="_Toc244576457"/>
      <w:bookmarkStart w:id="104" w:name="_Toc266799814"/>
      <w:r>
        <w:t>8</w:t>
      </w:r>
      <w:r w:rsidR="00C66532">
        <w:t>.10.</w:t>
      </w:r>
      <w:r w:rsidR="00C66532">
        <w:tab/>
      </w:r>
      <w:r w:rsidR="00463A1C" w:rsidRPr="007F2900">
        <w:t>Conclusion synthétique sur l</w:t>
      </w:r>
      <w:r w:rsidR="001224E7">
        <w:t>’</w:t>
      </w:r>
      <w:r w:rsidR="00463A1C" w:rsidRPr="007F2900">
        <w:t>exposition au risque de crédit</w:t>
      </w:r>
      <w:bookmarkEnd w:id="103"/>
      <w:bookmarkEnd w:id="104"/>
    </w:p>
    <w:p w:rsidR="004A229A" w:rsidRDefault="004A229A" w:rsidP="00460E3D"/>
    <w:p w:rsidR="00EC7B19" w:rsidRDefault="00EC7B19" w:rsidP="00460E3D"/>
    <w:p w:rsidR="008A778A" w:rsidRPr="00BD1DB7" w:rsidRDefault="008A778A" w:rsidP="00BD1DB7">
      <w:pPr>
        <w:pStyle w:val="StyleSGACP-titrederubriqueniveau1CouleurpersonnaliseRVB"/>
        <w:keepNext/>
        <w:keepLines/>
        <w:ind w:left="426" w:hanging="426"/>
      </w:pPr>
      <w:bookmarkStart w:id="105" w:name="_Toc137799881"/>
      <w:r w:rsidRPr="00BD1DB7">
        <w:t>Risques associés aux contrats dérivés de gré à gré</w:t>
      </w:r>
      <w:bookmarkEnd w:id="105"/>
    </w:p>
    <w:p w:rsidR="008A778A" w:rsidRDefault="008A778A" w:rsidP="008A778A">
      <w:pPr>
        <w:pStyle w:val="SGACP-sous-titrederubriquenivaeu2"/>
        <w:spacing w:after="240"/>
        <w:ind w:left="0" w:firstLine="0"/>
        <w:jc w:val="both"/>
      </w:pPr>
    </w:p>
    <w:p w:rsidR="008A778A" w:rsidRPr="007F2900" w:rsidRDefault="008F3AF1" w:rsidP="00BD1DB7">
      <w:pPr>
        <w:pStyle w:val="SGACP-sous-titrederubriquenivaeu2"/>
        <w:keepNext/>
      </w:pPr>
      <w:r>
        <w:t>9</w:t>
      </w:r>
      <w:r w:rsidR="008A778A" w:rsidRPr="00107C50">
        <w:t>.1. Techniques d'atténuation des risques pour les contrats dérivés de gré à gré non compensés</w:t>
      </w:r>
      <w:r w:rsidR="008A778A" w:rsidRPr="00027E6E">
        <w:t xml:space="preserve"> par une contrepartie centrale</w:t>
      </w:r>
      <w:r w:rsidR="008A778A">
        <w:t xml:space="preserve"> :</w:t>
      </w:r>
    </w:p>
    <w:p w:rsidR="008A778A" w:rsidRDefault="008A778A" w:rsidP="008A778A">
      <w:pPr>
        <w:pStyle w:val="SGACP-enumerationniveau1"/>
        <w:ind w:left="284" w:hanging="284"/>
      </w:pPr>
      <w:r>
        <w:t>description des procédures et des dispositifs permettant d’assurer la confirmation rapide des termes des contrats dérivés de gré à gré</w:t>
      </w:r>
      <w:r w:rsidRPr="002E420F">
        <w:t xml:space="preserve"> non compensés par une contrepartie centrale</w:t>
      </w:r>
      <w:r>
        <w:t xml:space="preserve">, </w:t>
      </w:r>
      <w:r w:rsidRPr="00E44F24">
        <w:t>de rapprocher les portefeuilles, de gérer le risque associé, de déceler rapidement les éventuels différends entre parties et de les régler, et de surveiller la valeur des contrats en cours</w:t>
      </w:r>
      <w:r>
        <w:t xml:space="preserve"> (cf. paragraphe 1 de l</w:t>
      </w:r>
      <w:r w:rsidRPr="00142EE5">
        <w:t xml:space="preserve">'article </w:t>
      </w:r>
      <w:r>
        <w:t xml:space="preserve">11 </w:t>
      </w:r>
      <w:r w:rsidRPr="00142EE5">
        <w:t>du règlement (UE) n° 648/2012 du Parlement européen et du Conseil du 4 juillet 2012 sur les produits dérivés de gré à gré, les contreparties central</w:t>
      </w:r>
      <w:r>
        <w:t>es et les référentiels centraux) ;</w:t>
      </w:r>
    </w:p>
    <w:p w:rsidR="008A778A" w:rsidRDefault="008A778A" w:rsidP="008A778A">
      <w:pPr>
        <w:pStyle w:val="SGACP-enumerationniveau1"/>
        <w:ind w:left="284" w:hanging="284"/>
      </w:pPr>
      <w:r>
        <w:t xml:space="preserve">description des procédures de </w:t>
      </w:r>
      <w:r w:rsidRPr="00E44F24">
        <w:t>valoris</w:t>
      </w:r>
      <w:r>
        <w:t>ation</w:t>
      </w:r>
      <w:r w:rsidRPr="00E44F24">
        <w:t xml:space="preserve"> des </w:t>
      </w:r>
      <w:r>
        <w:t>contrats dérivés de gré à gré</w:t>
      </w:r>
      <w:r w:rsidRPr="00E44F24">
        <w:t xml:space="preserve"> </w:t>
      </w:r>
      <w:r w:rsidRPr="002E420F">
        <w:t>non compensés par une contrepartie centrale</w:t>
      </w:r>
      <w:r>
        <w:t xml:space="preserve"> (cf. paragraphe 2 de l</w:t>
      </w:r>
      <w:r w:rsidRPr="00142EE5">
        <w:t xml:space="preserve">'article </w:t>
      </w:r>
      <w:r>
        <w:t xml:space="preserve">11 </w:t>
      </w:r>
      <w:r w:rsidRPr="00142EE5">
        <w:t>du règlement (UE) n° 648/2012</w:t>
      </w:r>
      <w:r>
        <w:t>) ;</w:t>
      </w:r>
    </w:p>
    <w:p w:rsidR="008A778A" w:rsidRDefault="008A778A" w:rsidP="008A778A">
      <w:pPr>
        <w:pStyle w:val="SGACP-enumerationniveau1"/>
        <w:ind w:left="284" w:hanging="284"/>
      </w:pPr>
      <w:r>
        <w:lastRenderedPageBreak/>
        <w:t xml:space="preserve">description des </w:t>
      </w:r>
      <w:r w:rsidRPr="00D53BF0">
        <w:t xml:space="preserve">procédures de gestion des risques </w:t>
      </w:r>
      <w:r>
        <w:t>de contrepartie et d’</w:t>
      </w:r>
      <w:r w:rsidRPr="00D53BF0">
        <w:t xml:space="preserve">échange de </w:t>
      </w:r>
      <w:r>
        <w:t>garanties (</w:t>
      </w:r>
      <w:r w:rsidRPr="00167DF9">
        <w:t>collatéral</w:t>
      </w:r>
      <w:r>
        <w:t xml:space="preserve">) sur les contrats dérivés de gré à gré </w:t>
      </w:r>
      <w:r w:rsidRPr="002E420F">
        <w:t>non compensés par une contrepartie centrale</w:t>
      </w:r>
      <w:r>
        <w:t xml:space="preserve"> (cf. paragraphe 3 de l</w:t>
      </w:r>
      <w:r w:rsidRPr="00142EE5">
        <w:t xml:space="preserve">'article </w:t>
      </w:r>
      <w:r>
        <w:t xml:space="preserve">11 </w:t>
      </w:r>
      <w:r w:rsidRPr="00142EE5">
        <w:t>du règlement (UE) n° 648/2012</w:t>
      </w:r>
      <w:r>
        <w:t>) ;</w:t>
      </w:r>
    </w:p>
    <w:p w:rsidR="008A778A" w:rsidRDefault="008A778A" w:rsidP="008A778A">
      <w:pPr>
        <w:pStyle w:val="SGACP-enumerationniveau1"/>
        <w:ind w:left="284" w:hanging="284"/>
      </w:pPr>
      <w:r>
        <w:t>description des procédures de calcul et de collecte des marges de variation ;</w:t>
      </w:r>
    </w:p>
    <w:p w:rsidR="008A778A" w:rsidRDefault="008A778A" w:rsidP="008A778A">
      <w:pPr>
        <w:pStyle w:val="SGACP-enumerationniveau1"/>
        <w:ind w:left="284" w:hanging="284"/>
      </w:pPr>
      <w:r>
        <w:t>description des procédures de calcul et de collecte des marges initiales ;</w:t>
      </w:r>
    </w:p>
    <w:p w:rsidR="008A778A" w:rsidRDefault="008A778A" w:rsidP="008A778A">
      <w:pPr>
        <w:pStyle w:val="SGACP-enumerationniveau1"/>
        <w:ind w:left="284" w:hanging="284"/>
      </w:pPr>
      <w:r w:rsidRPr="00437FE8">
        <w:t>description des modèles utilisés pour le calcul des</w:t>
      </w:r>
      <w:r>
        <w:t xml:space="preserve"> marges initiales</w:t>
      </w:r>
      <w:r w:rsidR="00A2451B">
        <w:t xml:space="preserve"> </w:t>
      </w:r>
      <w:r>
        <w:t>;</w:t>
      </w:r>
    </w:p>
    <w:p w:rsidR="008A778A" w:rsidRDefault="008A778A" w:rsidP="008A778A">
      <w:pPr>
        <w:pStyle w:val="SGACP-enumerationniveau1"/>
        <w:ind w:left="284" w:hanging="284"/>
      </w:pPr>
      <w:r>
        <w:t>description des critères utilisés pour la sélection du collatéral échangé ;</w:t>
      </w:r>
    </w:p>
    <w:p w:rsidR="008A778A" w:rsidRDefault="008A778A" w:rsidP="008A778A">
      <w:pPr>
        <w:pStyle w:val="SGACP-enumerationniveau1"/>
        <w:ind w:left="284" w:hanging="284"/>
      </w:pPr>
      <w:r>
        <w:t>description des méthodes d’évaluation du collatéral ;</w:t>
      </w:r>
    </w:p>
    <w:p w:rsidR="008A778A" w:rsidRDefault="008A778A" w:rsidP="008A778A">
      <w:pPr>
        <w:pStyle w:val="SGACP-enumerationniveau1"/>
        <w:ind w:left="284" w:hanging="284"/>
      </w:pPr>
      <w:r>
        <w:t>description des procédures opérationnelles et de la documentation contractuelle utilisées pour les échanges de collatéral ;</w:t>
      </w:r>
    </w:p>
    <w:p w:rsidR="008A778A" w:rsidRDefault="008A778A" w:rsidP="008A778A">
      <w:pPr>
        <w:pStyle w:val="SGACP-enumerationniveau1"/>
        <w:ind w:left="284" w:hanging="284"/>
      </w:pPr>
      <w:r>
        <w:t>description du nombre, du volume, et de l’évolution des litiges observés (« collateral dispute ») avec les contreparties avec lesquelles des garanties sont échangées, ainsi que des procédures de résolution de ces litiges ;</w:t>
      </w:r>
    </w:p>
    <w:p w:rsidR="008A778A" w:rsidRDefault="008A778A" w:rsidP="008A778A">
      <w:pPr>
        <w:pStyle w:val="SGACP-enumerationniveau1"/>
        <w:ind w:left="284" w:hanging="284"/>
      </w:pPr>
      <w:r>
        <w:t xml:space="preserve">description des modalités et fréquences de calcul du </w:t>
      </w:r>
      <w:r w:rsidRPr="00496D26">
        <w:t xml:space="preserve">capital </w:t>
      </w:r>
      <w:r>
        <w:t>alloué à la gestion du</w:t>
      </w:r>
      <w:r w:rsidRPr="00496D26">
        <w:t xml:space="preserve"> risque non couvert par un échange approprié de garanties (collatéral</w:t>
      </w:r>
      <w:r>
        <w:t>) (cf. paragraphe 4 de l</w:t>
      </w:r>
      <w:r w:rsidRPr="00142EE5">
        <w:t xml:space="preserve">'article </w:t>
      </w:r>
      <w:r>
        <w:t xml:space="preserve">11 </w:t>
      </w:r>
      <w:r w:rsidRPr="00142EE5">
        <w:t>du règlement (UE) n° 648/2012</w:t>
      </w:r>
      <w:r>
        <w:t>)</w:t>
      </w:r>
      <w:r w:rsidR="00D82F7B">
        <w:t>.</w:t>
      </w:r>
    </w:p>
    <w:p w:rsidR="008A778A" w:rsidRPr="00167DF9" w:rsidRDefault="008A778A" w:rsidP="002C0F9D">
      <w:pPr>
        <w:pStyle w:val="SGACP-enumerationniveau1"/>
        <w:numPr>
          <w:ilvl w:val="0"/>
          <w:numId w:val="0"/>
        </w:numPr>
        <w:tabs>
          <w:tab w:val="center" w:pos="4678"/>
        </w:tabs>
        <w:ind w:left="644"/>
      </w:pPr>
      <w:r>
        <w:tab/>
      </w:r>
      <w:r>
        <w:tab/>
      </w:r>
    </w:p>
    <w:p w:rsidR="008A778A" w:rsidRPr="00027E6E" w:rsidRDefault="008F3AF1" w:rsidP="00BD1DB7">
      <w:pPr>
        <w:pStyle w:val="SGACP-sous-titrederubriquenivaeu2"/>
        <w:keepNext/>
      </w:pPr>
      <w:r>
        <w:t>9</w:t>
      </w:r>
      <w:r w:rsidR="008A778A">
        <w:t>.2. P</w:t>
      </w:r>
      <w:r w:rsidR="008A778A" w:rsidRPr="00F576B5">
        <w:t xml:space="preserve">rocédures de gestion </w:t>
      </w:r>
      <w:r w:rsidR="008A778A">
        <w:t xml:space="preserve">et de contrôle </w:t>
      </w:r>
      <w:r w:rsidR="008A778A" w:rsidRPr="00F576B5">
        <w:t>des risques</w:t>
      </w:r>
      <w:r w:rsidR="008A778A">
        <w:t xml:space="preserve"> des</w:t>
      </w:r>
      <w:r w:rsidR="008A778A" w:rsidRPr="00F576B5">
        <w:t xml:space="preserve"> </w:t>
      </w:r>
      <w:r w:rsidR="008A778A">
        <w:t>t</w:t>
      </w:r>
      <w:r w:rsidR="008A778A" w:rsidRPr="00027E6E">
        <w:t>ransactions intragroupe</w:t>
      </w:r>
      <w:r w:rsidR="008A778A">
        <w:t> :</w:t>
      </w:r>
    </w:p>
    <w:p w:rsidR="008A778A" w:rsidRDefault="008A778A" w:rsidP="008A778A">
      <w:pPr>
        <w:pStyle w:val="SGACP-enumerationniveau1"/>
        <w:ind w:left="284" w:hanging="284"/>
      </w:pPr>
      <w:r>
        <w:t>description des procédures</w:t>
      </w:r>
      <w:r w:rsidRPr="00142EE5">
        <w:t xml:space="preserve"> centralisées d'évaluation, de mesure et de contrôle des risques</w:t>
      </w:r>
      <w:r>
        <w:t xml:space="preserve"> associés aux transactions intragroupe mentionnées aux paragraphes 2. a) et d) de l’article 3 </w:t>
      </w:r>
      <w:r w:rsidRPr="00142EE5">
        <w:t>du règlement (UE) n° 648/2012 du Parlement européen et du Conseil du 4 juillet 2012 sur les produits dérivés de gré à gré, les contreparties central</w:t>
      </w:r>
      <w:r>
        <w:t>es et les référentiels centraux ;</w:t>
      </w:r>
    </w:p>
    <w:p w:rsidR="008A778A" w:rsidRDefault="008A778A" w:rsidP="008A778A">
      <w:pPr>
        <w:pStyle w:val="SGACP-enumerationniveau1"/>
        <w:ind w:left="284" w:hanging="284"/>
      </w:pPr>
      <w:r>
        <w:t xml:space="preserve">description des </w:t>
      </w:r>
      <w:r w:rsidRPr="00142EE5">
        <w:t xml:space="preserve">procédures de gestion des risques </w:t>
      </w:r>
      <w:r>
        <w:t xml:space="preserve">associés aux transactions intragroupe </w:t>
      </w:r>
      <w:r w:rsidRPr="00142EE5">
        <w:t>bénéficiant de</w:t>
      </w:r>
      <w:r>
        <w:t>s</w:t>
      </w:r>
      <w:r w:rsidRPr="00142EE5">
        <w:t xml:space="preserve"> dérogation</w:t>
      </w:r>
      <w:r>
        <w:t>s</w:t>
      </w:r>
      <w:r w:rsidRPr="00142EE5">
        <w:t xml:space="preserve"> prévue</w:t>
      </w:r>
      <w:r>
        <w:t>s</w:t>
      </w:r>
      <w:r w:rsidRPr="00142EE5">
        <w:t xml:space="preserve"> au</w:t>
      </w:r>
      <w:r>
        <w:t>x</w:t>
      </w:r>
      <w:r w:rsidRPr="00142EE5">
        <w:t xml:space="preserve"> paragraphe</w:t>
      </w:r>
      <w:r>
        <w:t>s</w:t>
      </w:r>
      <w:r w:rsidRPr="00142EE5">
        <w:t xml:space="preserve"> </w:t>
      </w:r>
      <w:r>
        <w:t>6, 8 ou 10</w:t>
      </w:r>
      <w:r w:rsidRPr="00142EE5">
        <w:t xml:space="preserve"> de l'article </w:t>
      </w:r>
      <w:r>
        <w:t xml:space="preserve">11 </w:t>
      </w:r>
      <w:r w:rsidRPr="00142EE5">
        <w:t>du règlement (UE) n° 648/2012 du Parlement européen et du Conseil du 4 juillet 2012 sur les produits dérivés de gré à gré, les contreparties central</w:t>
      </w:r>
      <w:r>
        <w:t>es et les référentiels centraux ;</w:t>
      </w:r>
    </w:p>
    <w:p w:rsidR="008A778A" w:rsidRPr="002B5222" w:rsidRDefault="008A778A" w:rsidP="008A778A">
      <w:pPr>
        <w:pStyle w:val="SGACP-enumerationniveau1"/>
        <w:ind w:left="284" w:hanging="284"/>
      </w:pPr>
      <w:r w:rsidRPr="00EE2204">
        <w:t>description des changements significatifs</w:t>
      </w:r>
      <w:r>
        <w:t xml:space="preserve"> pouvant affecter la fluidité des </w:t>
      </w:r>
      <w:r w:rsidRPr="00516415">
        <w:t>transfert</w:t>
      </w:r>
      <w:r>
        <w:t>s</w:t>
      </w:r>
      <w:r w:rsidRPr="00516415">
        <w:t xml:space="preserve"> de fonds propres ou </w:t>
      </w:r>
      <w:r>
        <w:t>de</w:t>
      </w:r>
      <w:r w:rsidRPr="00516415">
        <w:t xml:space="preserve"> remboursement</w:t>
      </w:r>
      <w:r>
        <w:t>s</w:t>
      </w:r>
      <w:r w:rsidRPr="00516415">
        <w:t xml:space="preserve"> rapide</w:t>
      </w:r>
      <w:r>
        <w:t>s</w:t>
      </w:r>
      <w:r w:rsidRPr="00516415">
        <w:t xml:space="preserve"> de passifs entre les contreparties</w:t>
      </w:r>
      <w:r>
        <w:t xml:space="preserve"> qui </w:t>
      </w:r>
      <w:r w:rsidRPr="00142EE5">
        <w:t>bénéfici</w:t>
      </w:r>
      <w:r>
        <w:t>e</w:t>
      </w:r>
      <w:r w:rsidRPr="00142EE5">
        <w:t>nt de</w:t>
      </w:r>
      <w:r>
        <w:t>s</w:t>
      </w:r>
      <w:r w:rsidRPr="00142EE5">
        <w:t xml:space="preserve"> dérogation</w:t>
      </w:r>
      <w:r>
        <w:t>s</w:t>
      </w:r>
      <w:r w:rsidRPr="00142EE5">
        <w:t xml:space="preserve"> prévue</w:t>
      </w:r>
      <w:r>
        <w:t>s</w:t>
      </w:r>
      <w:r w:rsidRPr="00142EE5">
        <w:t xml:space="preserve"> au</w:t>
      </w:r>
      <w:r>
        <w:t>x</w:t>
      </w:r>
      <w:r w:rsidRPr="00142EE5">
        <w:t xml:space="preserve"> paragraphe</w:t>
      </w:r>
      <w:r>
        <w:t>s</w:t>
      </w:r>
      <w:r w:rsidRPr="00142EE5">
        <w:t xml:space="preserve"> </w:t>
      </w:r>
      <w:r>
        <w:t>6, 8 ou 10</w:t>
      </w:r>
      <w:r w:rsidRPr="00142EE5">
        <w:t xml:space="preserve"> de l'article </w:t>
      </w:r>
      <w:r>
        <w:t xml:space="preserve">11 </w:t>
      </w:r>
      <w:r w:rsidRPr="00142EE5">
        <w:t xml:space="preserve">du règlement (UE) n°648/2012 du Parlement européen et du Conseil du 4 juillet 2012 sur les produits dérivés de gré à gré, les contreparties centrales et les référentiels </w:t>
      </w:r>
      <w:r w:rsidRPr="002B5222">
        <w:t xml:space="preserve">centraux. Inclure le détail des observations ou anticipations </w:t>
      </w:r>
      <w:r w:rsidR="002D4196">
        <w:t>relatives aux pays dont la situation a significativement évolué à cet égard</w:t>
      </w:r>
      <w:r w:rsidRPr="002B5222">
        <w:t> ;</w:t>
      </w:r>
    </w:p>
    <w:p w:rsidR="008A778A" w:rsidRDefault="008A778A" w:rsidP="008A778A">
      <w:pPr>
        <w:pStyle w:val="SGACP-enumerationniveau1"/>
        <w:autoSpaceDE w:val="0"/>
        <w:autoSpaceDN w:val="0"/>
        <w:adjustRightInd w:val="0"/>
        <w:ind w:left="284" w:hanging="284"/>
      </w:pPr>
      <w:r>
        <w:t>i</w:t>
      </w:r>
      <w:r w:rsidRPr="007F2900">
        <w:t>nformations relatives aux transactions intragroupe réalisées au cours de l</w:t>
      </w:r>
      <w:r>
        <w:t>’</w:t>
      </w:r>
      <w:r w:rsidRPr="007F2900">
        <w:t xml:space="preserve">année </w:t>
      </w:r>
      <w:r w:rsidRPr="00142EE5">
        <w:t>bénéficiant de</w:t>
      </w:r>
      <w:r>
        <w:t>s</w:t>
      </w:r>
      <w:r w:rsidRPr="00142EE5">
        <w:t xml:space="preserve"> dérogation</w:t>
      </w:r>
      <w:r>
        <w:t>s</w:t>
      </w:r>
      <w:r w:rsidRPr="00142EE5">
        <w:t xml:space="preserve"> prévue</w:t>
      </w:r>
      <w:r>
        <w:t>s</w:t>
      </w:r>
      <w:r w:rsidRPr="00142EE5">
        <w:t xml:space="preserve"> au</w:t>
      </w:r>
      <w:r>
        <w:t>x</w:t>
      </w:r>
      <w:r w:rsidRPr="00142EE5">
        <w:t xml:space="preserve"> paragraphe</w:t>
      </w:r>
      <w:r>
        <w:t>s</w:t>
      </w:r>
      <w:r w:rsidRPr="00142EE5">
        <w:t xml:space="preserve"> </w:t>
      </w:r>
      <w:r>
        <w:t>6, 8 ou 10</w:t>
      </w:r>
      <w:r w:rsidRPr="00142EE5">
        <w:t xml:space="preserve"> de l'article </w:t>
      </w:r>
      <w:r>
        <w:t xml:space="preserve">11 </w:t>
      </w:r>
      <w:r w:rsidRPr="00142EE5">
        <w:t>du règlement (UE) n° 648/2012 du Parlement européen et du Conseil du 4 juillet 2012 sur les produits dérivés de gré à gré, les contreparties centrales et les référentiels centraux</w:t>
      </w:r>
      <w:r>
        <w:t xml:space="preserve"> (cf. article 20 du règlement délégué n°</w:t>
      </w:r>
      <w:r w:rsidRPr="00391E56">
        <w:t xml:space="preserve"> 149/2013 </w:t>
      </w:r>
      <w:r>
        <w:t xml:space="preserve">de la </w:t>
      </w:r>
      <w:r w:rsidRPr="00391E56">
        <w:t>C</w:t>
      </w:r>
      <w:r>
        <w:t xml:space="preserve">ommission </w:t>
      </w:r>
      <w:r w:rsidRPr="00391E56">
        <w:t>du 19 décembre 2012</w:t>
      </w:r>
      <w:r>
        <w:t xml:space="preserve"> </w:t>
      </w:r>
      <w:r w:rsidRPr="00391E56">
        <w:t>complétant le règlement (UE) n</w:t>
      </w:r>
      <w:r>
        <w:t>°</w:t>
      </w:r>
      <w:r w:rsidRPr="00391E56">
        <w:t xml:space="preserve"> 648/2012</w:t>
      </w:r>
      <w:r>
        <w:t>).</w:t>
      </w:r>
    </w:p>
    <w:p w:rsidR="008A778A" w:rsidRDefault="008A778A" w:rsidP="00460E3D"/>
    <w:p w:rsidR="00107C50" w:rsidRDefault="00107C50" w:rsidP="00460E3D"/>
    <w:p w:rsidR="00331B88" w:rsidRDefault="00463A1C">
      <w:pPr>
        <w:pStyle w:val="StyleSGACP-titrederubriqueniveau1CouleurpersonnaliseRVB"/>
        <w:keepNext/>
        <w:keepLines/>
        <w:ind w:left="426" w:hanging="426"/>
      </w:pPr>
      <w:bookmarkStart w:id="106" w:name="_Toc340481681"/>
      <w:bookmarkStart w:id="107" w:name="_Toc340481791"/>
      <w:bookmarkStart w:id="108" w:name="_Toc340482186"/>
      <w:bookmarkStart w:id="109" w:name="_Toc340481682"/>
      <w:bookmarkStart w:id="110" w:name="_Toc340481792"/>
      <w:bookmarkStart w:id="111" w:name="_Toc340482187"/>
      <w:bookmarkStart w:id="112" w:name="_Toc244576458"/>
      <w:bookmarkStart w:id="113" w:name="_Toc244598004"/>
      <w:bookmarkStart w:id="114" w:name="_Toc244601058"/>
      <w:bookmarkStart w:id="115" w:name="_Toc244692475"/>
      <w:bookmarkStart w:id="116" w:name="_Toc244692544"/>
      <w:bookmarkStart w:id="117" w:name="_Toc244938464"/>
      <w:bookmarkStart w:id="118" w:name="_Toc244938697"/>
      <w:bookmarkStart w:id="119" w:name="_Toc266799815"/>
      <w:bookmarkStart w:id="120" w:name="_Toc266799862"/>
      <w:bookmarkStart w:id="121" w:name="_Toc137799882"/>
      <w:bookmarkEnd w:id="106"/>
      <w:bookmarkEnd w:id="107"/>
      <w:bookmarkEnd w:id="108"/>
      <w:bookmarkEnd w:id="109"/>
      <w:bookmarkEnd w:id="110"/>
      <w:bookmarkEnd w:id="111"/>
      <w:r w:rsidRPr="007D7872">
        <w:t>Risques de marché</w:t>
      </w:r>
      <w:bookmarkEnd w:id="112"/>
      <w:bookmarkEnd w:id="113"/>
      <w:bookmarkEnd w:id="114"/>
      <w:bookmarkEnd w:id="115"/>
      <w:bookmarkEnd w:id="116"/>
      <w:bookmarkEnd w:id="117"/>
      <w:bookmarkEnd w:id="118"/>
      <w:bookmarkEnd w:id="119"/>
      <w:bookmarkEnd w:id="120"/>
      <w:bookmarkEnd w:id="121"/>
    </w:p>
    <w:p w:rsidR="00331B88" w:rsidRDefault="00331B88" w:rsidP="00460E3D"/>
    <w:p w:rsidR="00924F3B" w:rsidRPr="002A7A2A" w:rsidRDefault="00463A1C" w:rsidP="002A7A2A">
      <w:pPr>
        <w:pStyle w:val="SGACP-textecourant"/>
        <w:keepNext/>
        <w:keepLines/>
        <w:rPr>
          <w:lang w:val="fr-BE"/>
        </w:rPr>
      </w:pPr>
      <w:r w:rsidRPr="002A7A2A">
        <w:rPr>
          <w:szCs w:val="22"/>
        </w:rPr>
        <w:t>Description de la politique conduite par l</w:t>
      </w:r>
      <w:r w:rsidR="001224E7" w:rsidRPr="002A7A2A">
        <w:rPr>
          <w:szCs w:val="22"/>
        </w:rPr>
        <w:t>’</w:t>
      </w:r>
      <w:r w:rsidRPr="002A7A2A">
        <w:rPr>
          <w:szCs w:val="22"/>
        </w:rPr>
        <w:t>établissement en matière d</w:t>
      </w:r>
      <w:r w:rsidR="001224E7" w:rsidRPr="002A7A2A">
        <w:rPr>
          <w:szCs w:val="22"/>
        </w:rPr>
        <w:t>’</w:t>
      </w:r>
      <w:r w:rsidRPr="002A7A2A">
        <w:rPr>
          <w:szCs w:val="22"/>
        </w:rPr>
        <w:t>activités de marché réalisées pour compte propre</w:t>
      </w:r>
      <w:r w:rsidRPr="00ED207A">
        <w:rPr>
          <w:szCs w:val="22"/>
        </w:rPr>
        <w:t>.</w:t>
      </w:r>
    </w:p>
    <w:p w:rsidR="00C66532" w:rsidRDefault="00C66532" w:rsidP="00463A1C">
      <w:bookmarkStart w:id="122" w:name="_Toc244576459"/>
      <w:bookmarkStart w:id="123" w:name="_Toc266799816"/>
    </w:p>
    <w:p w:rsidR="00463A1C" w:rsidRPr="007F2900" w:rsidRDefault="008F3AF1" w:rsidP="00C66532">
      <w:pPr>
        <w:pStyle w:val="SGACP-sous-titrederubriquenivaeu2"/>
      </w:pPr>
      <w:r>
        <w:t>10</w:t>
      </w:r>
      <w:r w:rsidR="00C66532">
        <w:t>.1.</w:t>
      </w:r>
      <w:r w:rsidR="00C66532">
        <w:tab/>
      </w:r>
      <w:r w:rsidR="00463A1C" w:rsidRPr="007F2900">
        <w:t>Dispositif de mesure des risques de marché</w:t>
      </w:r>
      <w:bookmarkEnd w:id="122"/>
      <w:bookmarkEnd w:id="123"/>
      <w:r w:rsidR="00F26BD5">
        <w:t> :</w:t>
      </w:r>
    </w:p>
    <w:p w:rsidR="00331B88" w:rsidRDefault="00F26BD5" w:rsidP="006D1AEB">
      <w:pPr>
        <w:pStyle w:val="SGACP-enumerationniveau1"/>
        <w:ind w:left="284" w:hanging="284"/>
      </w:pPr>
      <w:r>
        <w:t>e</w:t>
      </w:r>
      <w:r w:rsidR="00463A1C" w:rsidRPr="007F2900">
        <w:t>nregistrement des opérations de marché ; calcul des positions et des résultats</w:t>
      </w:r>
      <w:r w:rsidR="00463A1C" w:rsidRPr="00C66532">
        <w:rPr>
          <w:i/>
          <w:iCs/>
        </w:rPr>
        <w:t xml:space="preserve"> (préciser la périodicité)</w:t>
      </w:r>
      <w:r>
        <w:rPr>
          <w:i/>
          <w:iCs/>
        </w:rPr>
        <w:t> ;</w:t>
      </w:r>
    </w:p>
    <w:p w:rsidR="00331B88" w:rsidRPr="00BD1DB7" w:rsidRDefault="00F26BD5" w:rsidP="006D1AEB">
      <w:pPr>
        <w:pStyle w:val="SGACP-enumerationniveau1"/>
        <w:ind w:left="284" w:hanging="284"/>
      </w:pPr>
      <w:r>
        <w:t>r</w:t>
      </w:r>
      <w:r w:rsidR="00463A1C" w:rsidRPr="007F2900">
        <w:t xml:space="preserve">approchements entre les résultats de gestion et les résultats comptables </w:t>
      </w:r>
      <w:r w:rsidR="00463A1C" w:rsidRPr="00C66532">
        <w:rPr>
          <w:i/>
          <w:iCs/>
        </w:rPr>
        <w:t>(préciser la périodicité)</w:t>
      </w:r>
      <w:r>
        <w:rPr>
          <w:i/>
          <w:iCs/>
        </w:rPr>
        <w:t> ;</w:t>
      </w:r>
    </w:p>
    <w:p w:rsidR="002C2870" w:rsidRDefault="002C2870" w:rsidP="002C2870">
      <w:pPr>
        <w:pStyle w:val="SGACP-enumerationniveau1"/>
        <w:ind w:left="284" w:hanging="284"/>
      </w:pPr>
      <w:r w:rsidRPr="005B1D5E">
        <w:rPr>
          <w:iCs/>
        </w:rPr>
        <w:lastRenderedPageBreak/>
        <w:t>rapprochements</w:t>
      </w:r>
      <w:r>
        <w:rPr>
          <w:iCs/>
        </w:rPr>
        <w:t xml:space="preserve"> entre la valorisation prudente, telle que définie dans le </w:t>
      </w:r>
      <w:r w:rsidR="00107C50">
        <w:rPr>
          <w:iCs/>
        </w:rPr>
        <w:t>r</w:t>
      </w:r>
      <w:r>
        <w:rPr>
          <w:iCs/>
        </w:rPr>
        <w:t xml:space="preserve">èglement </w:t>
      </w:r>
      <w:r w:rsidR="00107C50">
        <w:rPr>
          <w:iCs/>
        </w:rPr>
        <w:t>d</w:t>
      </w:r>
      <w:r>
        <w:rPr>
          <w:iCs/>
        </w:rPr>
        <w:t>élégué 2016/101 du 26 Octobre 2015, et la valorisation comptable, du portefeuille enregistré comptablement en juste valeur par résultat</w:t>
      </w:r>
      <w:r w:rsidR="00D82F7B">
        <w:rPr>
          <w:iCs/>
        </w:rPr>
        <w:t> ;</w:t>
      </w:r>
    </w:p>
    <w:p w:rsidR="00331B88" w:rsidRDefault="00F26BD5" w:rsidP="006D1AEB">
      <w:pPr>
        <w:pStyle w:val="SGACP-enumerationniveau1"/>
        <w:ind w:left="284" w:hanging="284"/>
      </w:pPr>
      <w:r>
        <w:t>é</w:t>
      </w:r>
      <w:r w:rsidR="00463A1C" w:rsidRPr="007F2900">
        <w:t xml:space="preserve">valuation des risques </w:t>
      </w:r>
      <w:r w:rsidR="001E0D5C">
        <w:t>(y compris le risque d’ajustement de l’évaluation de crédit)</w:t>
      </w:r>
      <w:r w:rsidR="001E0D5C" w:rsidRPr="007F2900">
        <w:t xml:space="preserve"> </w:t>
      </w:r>
      <w:r w:rsidR="00463A1C" w:rsidRPr="007F2900">
        <w:t xml:space="preserve">résultant des positions du portefeuille de négociation </w:t>
      </w:r>
      <w:r w:rsidR="00463A1C" w:rsidRPr="00C66532">
        <w:rPr>
          <w:i/>
          <w:iCs/>
        </w:rPr>
        <w:t>(préciser la périodicité)</w:t>
      </w:r>
      <w:r>
        <w:rPr>
          <w:i/>
          <w:iCs/>
        </w:rPr>
        <w:t> ;</w:t>
      </w:r>
    </w:p>
    <w:p w:rsidR="00331B88" w:rsidRDefault="00F26BD5" w:rsidP="006D1AEB">
      <w:pPr>
        <w:pStyle w:val="SGACP-enumerationniveau1"/>
        <w:ind w:left="284" w:hanging="284"/>
      </w:pPr>
      <w:r>
        <w:t>m</w:t>
      </w:r>
      <w:r w:rsidR="00463A1C" w:rsidRPr="007F2900">
        <w:t xml:space="preserve">odalités selon lesquelles les différentes composantes du risque </w:t>
      </w:r>
      <w:r w:rsidR="006247AB" w:rsidRPr="00210431">
        <w:t>(</w:t>
      </w:r>
      <w:r w:rsidR="001E0D5C" w:rsidRPr="00210431">
        <w:t>y compris le risque de base et le risque de titrisation</w:t>
      </w:r>
      <w:r w:rsidR="006247AB" w:rsidRPr="00210431">
        <w:t>)</w:t>
      </w:r>
      <w:r w:rsidR="006247AB">
        <w:t xml:space="preserve"> </w:t>
      </w:r>
      <w:r w:rsidR="00463A1C" w:rsidRPr="007F2900">
        <w:t>sont prises en compte</w:t>
      </w:r>
      <w:r w:rsidR="00463A1C" w:rsidRPr="00C66532">
        <w:t xml:space="preserve"> (notamment pour les établissements disposant de volumes significatifs effectuant une mesure globale du risque)</w:t>
      </w:r>
      <w:r>
        <w:t> ;</w:t>
      </w:r>
    </w:p>
    <w:p w:rsidR="00B27463" w:rsidRDefault="00F26BD5" w:rsidP="00686792">
      <w:pPr>
        <w:pStyle w:val="SGACP-enumerationniveau1"/>
        <w:ind w:left="284" w:hanging="284"/>
      </w:pPr>
      <w:r>
        <w:t>c</w:t>
      </w:r>
      <w:r w:rsidR="00463A1C" w:rsidRPr="007F2900">
        <w:t xml:space="preserve">hamp de la couverture des risques </w:t>
      </w:r>
      <w:r w:rsidR="00463A1C" w:rsidRPr="00C66532">
        <w:t>(différentes activités et portefeuilles, au sein des différentes implantations géographiques)</w:t>
      </w:r>
      <w:r>
        <w:t>.</w:t>
      </w:r>
    </w:p>
    <w:p w:rsidR="00C66532" w:rsidRDefault="00C66532" w:rsidP="00463A1C">
      <w:bookmarkStart w:id="124" w:name="_Toc244576460"/>
      <w:bookmarkStart w:id="125" w:name="_Toc266799817"/>
    </w:p>
    <w:p w:rsidR="00463A1C" w:rsidRDefault="008F3AF1" w:rsidP="00F26BD5">
      <w:pPr>
        <w:pStyle w:val="SGACP-sous-titrederubriquenivaeu2"/>
        <w:keepNext/>
        <w:keepLines/>
      </w:pPr>
      <w:r>
        <w:t>10</w:t>
      </w:r>
      <w:r w:rsidR="00C66532">
        <w:t>.2.</w:t>
      </w:r>
      <w:r w:rsidR="00C66532">
        <w:tab/>
      </w:r>
      <w:r w:rsidR="00463A1C" w:rsidRPr="007F2900">
        <w:t>Dispositif de surveillance des risques de marché</w:t>
      </w:r>
      <w:bookmarkEnd w:id="124"/>
      <w:bookmarkEnd w:id="125"/>
      <w:r w:rsidR="00F26BD5">
        <w:t> :</w:t>
      </w:r>
    </w:p>
    <w:p w:rsidR="00E84ACD" w:rsidRPr="007F2900" w:rsidRDefault="00E84ACD" w:rsidP="003D1AFF">
      <w:pPr>
        <w:pStyle w:val="SGACP-enumerationniveau1"/>
        <w:ind w:left="284" w:hanging="284"/>
      </w:pPr>
      <w:r>
        <w:t>rôle</w:t>
      </w:r>
      <w:r w:rsidR="00E914A0">
        <w:t>s des dirigeants effectifs, de l’organe de surveillance et le cas échéant</w:t>
      </w:r>
      <w:r>
        <w:t xml:space="preserve"> du comité des risques dans la définition de</w:t>
      </w:r>
      <w:r w:rsidR="00E914A0">
        <w:t xml:space="preserve"> la stratégie globale en matière de risques</w:t>
      </w:r>
      <w:r w:rsidR="00D64B72">
        <w:t xml:space="preserve"> </w:t>
      </w:r>
      <w:r w:rsidR="003D1AFF">
        <w:t xml:space="preserve">de marché </w:t>
      </w:r>
      <w:r w:rsidR="00D64B72">
        <w:t xml:space="preserve">et </w:t>
      </w:r>
      <w:r w:rsidR="00E914A0">
        <w:t>de l’appétence</w:t>
      </w:r>
      <w:r>
        <w:t xml:space="preserve"> pour le</w:t>
      </w:r>
      <w:r w:rsidR="00D64B72">
        <w:t>s</w:t>
      </w:r>
      <w:r>
        <w:t xml:space="preserve"> risque</w:t>
      </w:r>
      <w:r w:rsidR="00D64B72">
        <w:t>s</w:t>
      </w:r>
      <w:r w:rsidR="003D1AFF">
        <w:t xml:space="preserve"> de marché</w:t>
      </w:r>
      <w:r>
        <w:t xml:space="preserve"> actuel</w:t>
      </w:r>
      <w:r w:rsidR="00D64B72">
        <w:t>s</w:t>
      </w:r>
      <w:r>
        <w:t xml:space="preserve"> et futur</w:t>
      </w:r>
      <w:r w:rsidR="00D64B72">
        <w:t>s</w:t>
      </w:r>
      <w:r>
        <w:t xml:space="preserve"> de l’établissement</w:t>
      </w:r>
      <w:r w:rsidR="00A95449">
        <w:t xml:space="preserve"> (</w:t>
      </w:r>
      <w:r w:rsidR="00156279">
        <w:t xml:space="preserve">cf. </w:t>
      </w:r>
      <w:r w:rsidR="00A95449">
        <w:t>articles L.511-92</w:t>
      </w:r>
      <w:r w:rsidR="00C6015F">
        <w:t> </w:t>
      </w:r>
      <w:r w:rsidR="00A95449">
        <w:t xml:space="preserve">et L.511-93 </w:t>
      </w:r>
      <w:r w:rsidR="00D605A5">
        <w:t>ou L. 533-31-1 et L. </w:t>
      </w:r>
      <w:r w:rsidR="007C679C">
        <w:t xml:space="preserve">533-31-2 </w:t>
      </w:r>
      <w:r w:rsidR="00A95449">
        <w:t>du Code monétaire et financier)</w:t>
      </w:r>
      <w:r w:rsidR="00D64B72">
        <w:t>,</w:t>
      </w:r>
      <w:r w:rsidR="00A95449">
        <w:t xml:space="preserve"> </w:t>
      </w:r>
      <w:r w:rsidR="00D64B72">
        <w:t>et dans la fixation des limites (cf. article 2</w:t>
      </w:r>
      <w:r w:rsidR="003D1AFF">
        <w:t>24</w:t>
      </w:r>
      <w:r w:rsidR="00D64B72">
        <w:t xml:space="preserve"> de l’arrêté du 3 novembre 2014</w:t>
      </w:r>
      <w:r w:rsidR="00852089">
        <w:t xml:space="preserve"> modifié</w:t>
      </w:r>
      <w:r w:rsidR="00D64B72">
        <w:t>)</w:t>
      </w:r>
      <w:r w:rsidR="00852089">
        <w:t> ;</w:t>
      </w:r>
    </w:p>
    <w:p w:rsidR="00331B88" w:rsidRDefault="00F26BD5" w:rsidP="006D1AEB">
      <w:pPr>
        <w:pStyle w:val="SGACP-enumerationniveau1"/>
        <w:ind w:left="284" w:hanging="284"/>
      </w:pPr>
      <w:r>
        <w:t>i</w:t>
      </w:r>
      <w:r w:rsidR="00463A1C" w:rsidRPr="007F2900">
        <w:t>dentification, effectifs et positionnement hiérarchique et fonctionnel de l</w:t>
      </w:r>
      <w:r w:rsidR="001224E7">
        <w:t>’</w:t>
      </w:r>
      <w:r w:rsidR="00463A1C" w:rsidRPr="007F2900">
        <w:t>unité chargée de la surveillance et de la maîtrise des risques de marché</w:t>
      </w:r>
      <w:r>
        <w:t> ;</w:t>
      </w:r>
    </w:p>
    <w:p w:rsidR="00331B88" w:rsidRDefault="00F26BD5" w:rsidP="006D1AEB">
      <w:pPr>
        <w:pStyle w:val="SGACP-enumerationniveau1"/>
        <w:ind w:left="284" w:hanging="284"/>
      </w:pPr>
      <w:r>
        <w:t>c</w:t>
      </w:r>
      <w:r w:rsidR="00463A1C" w:rsidRPr="007F2900">
        <w:t>ontrôles réalisés par cette unité,</w:t>
      </w:r>
      <w:r w:rsidR="00463A1C" w:rsidRPr="0039794C">
        <w:t xml:space="preserve"> et en particulier contrôle régulier de la validité des outils de mesure globale des risques (back-testing)</w:t>
      </w:r>
      <w:r w:rsidRPr="0039794C">
        <w:t> ;</w:t>
      </w:r>
    </w:p>
    <w:p w:rsidR="00331B88" w:rsidRDefault="00F26BD5" w:rsidP="006D1AEB">
      <w:pPr>
        <w:pStyle w:val="SGACP-enumerationniveau1"/>
        <w:ind w:left="284" w:hanging="284"/>
      </w:pPr>
      <w:r>
        <w:t>d</w:t>
      </w:r>
      <w:r w:rsidR="00463A1C" w:rsidRPr="007F2900">
        <w:t>escription synthétique des limites fixées en matière de risques de marché </w:t>
      </w:r>
      <w:r w:rsidR="00463A1C" w:rsidRPr="00210431">
        <w:rPr>
          <w:i/>
        </w:rPr>
        <w:t>(préciser le niveau des limites, par type de risques encourus, par rapport aux fonds propres et par rapport aux résultats)</w:t>
      </w:r>
      <w:r>
        <w:t> ;</w:t>
      </w:r>
    </w:p>
    <w:p w:rsidR="00331B88" w:rsidRDefault="00F26BD5" w:rsidP="006D1AEB">
      <w:pPr>
        <w:pStyle w:val="SGACP-enumerationniveau1"/>
        <w:ind w:left="284" w:hanging="284"/>
      </w:pPr>
      <w:r>
        <w:t>p</w:t>
      </w:r>
      <w:r w:rsidR="00463A1C" w:rsidRPr="007F2900">
        <w:t xml:space="preserve">ériodicité de la révision des limites fixées en matière de risques de marché </w:t>
      </w:r>
      <w:r w:rsidR="00463A1C" w:rsidRPr="00C66532">
        <w:rPr>
          <w:i/>
          <w:iCs/>
        </w:rPr>
        <w:t>(indiquer la date à laquelle est intervenue cette révision au cours du dernier exercice)</w:t>
      </w:r>
      <w:r w:rsidR="00463A1C" w:rsidRPr="007F2900">
        <w:t> ; organe en charge de décider le niveau des limites</w:t>
      </w:r>
      <w:r>
        <w:t> ;</w:t>
      </w:r>
    </w:p>
    <w:p w:rsidR="00331B88" w:rsidRDefault="00F26BD5" w:rsidP="006D1AEB">
      <w:pPr>
        <w:pStyle w:val="SGACP-enumerationniveau1"/>
        <w:ind w:left="284" w:hanging="284"/>
      </w:pPr>
      <w:r>
        <w:t>d</w:t>
      </w:r>
      <w:r w:rsidR="00463A1C" w:rsidRPr="007F2900">
        <w:t>ispositif de surveillance des procédures et des limites</w:t>
      </w:r>
      <w:r>
        <w:t> ;</w:t>
      </w:r>
    </w:p>
    <w:p w:rsidR="00331B88" w:rsidRDefault="00F26BD5" w:rsidP="006D1AEB">
      <w:pPr>
        <w:pStyle w:val="SGACP-enumerationniveau1"/>
        <w:ind w:left="284" w:hanging="284"/>
      </w:pPr>
      <w:r>
        <w:t>d</w:t>
      </w:r>
      <w:r w:rsidR="00463A1C" w:rsidRPr="007F2900">
        <w:t xml:space="preserve">épassements éventuels de limites observés au cours du dernier exercice </w:t>
      </w:r>
      <w:r w:rsidR="00463A1C" w:rsidRPr="00C66532">
        <w:rPr>
          <w:i/>
          <w:iCs/>
        </w:rPr>
        <w:t>(préciser les causes des dépassements, leur nombre et leur montant)</w:t>
      </w:r>
      <w:r>
        <w:rPr>
          <w:i/>
          <w:iCs/>
        </w:rPr>
        <w:t> ;</w:t>
      </w:r>
    </w:p>
    <w:p w:rsidR="00331B88" w:rsidRDefault="00F26BD5" w:rsidP="006D1AEB">
      <w:pPr>
        <w:pStyle w:val="SGACP-enumerationniveau1"/>
        <w:ind w:left="284" w:hanging="284"/>
      </w:pPr>
      <w:r>
        <w:t>p</w:t>
      </w:r>
      <w:r w:rsidR="00463A1C" w:rsidRPr="007F2900">
        <w:t>rocédures suivies pour autoriser ces dépassements et mesures mises en œuvre pour régulariser ces dépassements</w:t>
      </w:r>
      <w:r>
        <w:t> ;</w:t>
      </w:r>
    </w:p>
    <w:p w:rsidR="00331B88" w:rsidRDefault="00F26BD5" w:rsidP="006D1AEB">
      <w:pPr>
        <w:pStyle w:val="SGACP-enumerationniveau1"/>
        <w:ind w:left="284" w:hanging="284"/>
      </w:pPr>
      <w:r>
        <w:t>p</w:t>
      </w:r>
      <w:r w:rsidR="00463A1C" w:rsidRPr="007F2900">
        <w:t>rocédures d</w:t>
      </w:r>
      <w:r w:rsidR="001224E7">
        <w:t>’</w:t>
      </w:r>
      <w:r w:rsidR="00463A1C" w:rsidRPr="007F2900">
        <w:t xml:space="preserve">information sur le respect des limites </w:t>
      </w:r>
      <w:r w:rsidR="00463A1C" w:rsidRPr="00C66532">
        <w:rPr>
          <w:i/>
          <w:iCs/>
        </w:rPr>
        <w:t>(périodicité, destinataires)</w:t>
      </w:r>
      <w:r>
        <w:rPr>
          <w:i/>
          <w:iCs/>
        </w:rPr>
        <w:t> ;</w:t>
      </w:r>
    </w:p>
    <w:p w:rsidR="00331B88" w:rsidRDefault="00F26BD5" w:rsidP="006D1AEB">
      <w:pPr>
        <w:pStyle w:val="SGACP-enumerationniveau1"/>
        <w:ind w:left="284" w:hanging="284"/>
      </w:pPr>
      <w:r>
        <w:t>m</w:t>
      </w:r>
      <w:r w:rsidR="00463A1C" w:rsidRPr="007F2900">
        <w:t>odalités, périodicité et conclusions de l</w:t>
      </w:r>
      <w:r w:rsidR="001224E7">
        <w:t>’</w:t>
      </w:r>
      <w:r w:rsidR="00463A1C" w:rsidRPr="007F2900">
        <w:t xml:space="preserve">analyse transmise </w:t>
      </w:r>
      <w:r w:rsidR="0003780F">
        <w:t>aux dirigeants effectifs</w:t>
      </w:r>
      <w:r w:rsidR="003D1AFF">
        <w:t xml:space="preserve"> et</w:t>
      </w:r>
      <w:r w:rsidR="00463A1C" w:rsidRPr="007F2900">
        <w:t xml:space="preserve"> </w:t>
      </w:r>
      <w:r w:rsidR="003D1AFF" w:rsidRPr="007F2900">
        <w:t>à l</w:t>
      </w:r>
      <w:r w:rsidR="003D1AFF">
        <w:t>’</w:t>
      </w:r>
      <w:r w:rsidR="003D1AFF" w:rsidRPr="007F2900">
        <w:t xml:space="preserve">organe </w:t>
      </w:r>
      <w:r w:rsidR="003D1AFF">
        <w:t>de surveillance</w:t>
      </w:r>
      <w:r w:rsidR="003D1AFF" w:rsidRPr="007F2900">
        <w:t xml:space="preserve"> </w:t>
      </w:r>
      <w:r w:rsidR="00463A1C" w:rsidRPr="007F2900">
        <w:t xml:space="preserve">des résultats des opérations de marché </w:t>
      </w:r>
      <w:r w:rsidR="00463A1C" w:rsidRPr="006239A2">
        <w:rPr>
          <w:i/>
        </w:rPr>
        <w:t>(indiquer la date de la dernière analyse)</w:t>
      </w:r>
      <w:r w:rsidR="00463A1C" w:rsidRPr="007F2900">
        <w:t xml:space="preserve"> ainsi que du niveau des risques portés, notamment au regard du montant des fonds propres alloués</w:t>
      </w:r>
      <w:r w:rsidR="00A61041">
        <w:t> </w:t>
      </w:r>
      <w:r w:rsidR="006652B4">
        <w:t>et du niveau de capital interne permettant de couvrir les risques de marché significatifs non soumis à des exigences de fonds propres (cf. articles 130 à 133 de l’arrêté du 3 novembre 2014</w:t>
      </w:r>
      <w:r w:rsidR="00852089">
        <w:t xml:space="preserve"> modifié </w:t>
      </w:r>
      <w:r w:rsidR="00A61041">
        <w:t>:</w:t>
      </w:r>
    </w:p>
    <w:p w:rsidR="001511E1" w:rsidRDefault="004F2CE1" w:rsidP="00460E3D">
      <w:pPr>
        <w:pStyle w:val="SGACP-enumerationniveau2"/>
        <w:numPr>
          <w:ilvl w:val="0"/>
          <w:numId w:val="29"/>
        </w:numPr>
        <w:ind w:left="567" w:hanging="283"/>
      </w:pPr>
      <w:r>
        <w:t>j</w:t>
      </w:r>
      <w:r w:rsidR="00463A1C" w:rsidRPr="007F2900">
        <w:t xml:space="preserve">oindre un exemple des documents transmis </w:t>
      </w:r>
      <w:r w:rsidR="0003780F">
        <w:t>aux dirigeants effectifs</w:t>
      </w:r>
      <w:r w:rsidR="00463A1C" w:rsidRPr="007F2900">
        <w:t xml:space="preserve"> lui permettant d</w:t>
      </w:r>
      <w:r w:rsidR="001224E7">
        <w:t>’</w:t>
      </w:r>
      <w:r w:rsidR="00463A1C" w:rsidRPr="007F2900">
        <w:t>apprécier les risques de l</w:t>
      </w:r>
      <w:r w:rsidR="001224E7">
        <w:t>’</w:t>
      </w:r>
      <w:r w:rsidR="00463A1C" w:rsidRPr="007F2900">
        <w:t>entreprise, notamment par rapport à ses fonds pro</w:t>
      </w:r>
      <w:r>
        <w:t>pres et ses résultats</w:t>
      </w:r>
      <w:r w:rsidR="00D605A5">
        <w:t> ;</w:t>
      </w:r>
    </w:p>
    <w:p w:rsidR="00D605A5" w:rsidRDefault="00D605A5" w:rsidP="00D605A5">
      <w:pPr>
        <w:pStyle w:val="SGACP-enumerationniveau1"/>
        <w:ind w:left="284" w:hanging="284"/>
      </w:pPr>
      <w:r w:rsidRPr="00C96B52">
        <w:t>description des mesures mises en œuvre par l’établissement pou</w:t>
      </w:r>
      <w:r>
        <w:t>r se mettre en conformité avec les O</w:t>
      </w:r>
      <w:r w:rsidRPr="00C96B52">
        <w:t xml:space="preserve">rientations de l’ABE sur </w:t>
      </w:r>
      <w:r>
        <w:t>le traitement des positions structurelles de change (EBA/GL/2020/09).</w:t>
      </w:r>
    </w:p>
    <w:p w:rsidR="002A53BE" w:rsidRDefault="002A53BE" w:rsidP="00935917">
      <w:pPr>
        <w:pStyle w:val="SGACP-enumerationniveau2"/>
        <w:numPr>
          <w:ilvl w:val="0"/>
          <w:numId w:val="0"/>
        </w:numPr>
        <w:ind w:left="567"/>
      </w:pPr>
    </w:p>
    <w:p w:rsidR="002A53BE" w:rsidRDefault="008F3AF1">
      <w:pPr>
        <w:pStyle w:val="SGACP-sous-titrederubriquenivaeu2"/>
        <w:keepNext/>
      </w:pPr>
      <w:r>
        <w:t>10</w:t>
      </w:r>
      <w:r w:rsidR="00C66532">
        <w:t>.3.</w:t>
      </w:r>
      <w:r w:rsidR="00C66532">
        <w:tab/>
      </w:r>
      <w:r w:rsidR="00463A1C" w:rsidRPr="007F2900">
        <w:t xml:space="preserve">Résultats des contrôles permanents </w:t>
      </w:r>
      <w:r w:rsidR="002B7399">
        <w:t>de 2</w:t>
      </w:r>
      <w:r w:rsidR="002B7399" w:rsidRPr="002B7399">
        <w:rPr>
          <w:vertAlign w:val="superscript"/>
        </w:rPr>
        <w:t>ème</w:t>
      </w:r>
      <w:r w:rsidR="002B7399">
        <w:t xml:space="preserve"> niveau</w:t>
      </w:r>
      <w:r w:rsidR="002B7399" w:rsidRPr="007F2900">
        <w:t xml:space="preserve"> </w:t>
      </w:r>
      <w:r w:rsidR="00463A1C" w:rsidRPr="007F2900">
        <w:t>menés sur les risques de marché</w:t>
      </w:r>
      <w:r w:rsidR="004F2CE1">
        <w:t> :</w:t>
      </w:r>
    </w:p>
    <w:p w:rsidR="002A53BE" w:rsidRDefault="004F2CE1">
      <w:pPr>
        <w:pStyle w:val="SGACP-enumerationniveau1"/>
        <w:keepNext/>
        <w:ind w:left="284" w:hanging="284"/>
      </w:pPr>
      <w:r>
        <w:t>p</w:t>
      </w:r>
      <w:r w:rsidR="00463A1C" w:rsidRPr="007F2900">
        <w:t>rincipales insuffisances relevées</w:t>
      </w:r>
      <w:r>
        <w:t> ;</w:t>
      </w:r>
    </w:p>
    <w:p w:rsidR="00331B88" w:rsidRDefault="004F2CE1" w:rsidP="006D1AEB">
      <w:pPr>
        <w:pStyle w:val="SGACP-enumerationniveau1"/>
        <w:ind w:left="284" w:hanging="284"/>
      </w:pPr>
      <w:r>
        <w:t>m</w:t>
      </w:r>
      <w:r w:rsidR="00463A1C" w:rsidRPr="007F2900">
        <w:t xml:space="preserve">esures correctives engagées pour remédier aux insuffisances relevées, </w:t>
      </w:r>
      <w:r w:rsidR="00463A1C" w:rsidRPr="0039794C">
        <w:t>date de réalisation prévisionnelle de ces mesures et état d</w:t>
      </w:r>
      <w:r w:rsidR="001224E7">
        <w:t>’</w:t>
      </w:r>
      <w:r w:rsidR="00463A1C" w:rsidRPr="0039794C">
        <w:t>avancement de leur mise en œuvre à la date de rédaction du présent rapport</w:t>
      </w:r>
      <w:r w:rsidRPr="0039794C">
        <w:t> ;</w:t>
      </w:r>
    </w:p>
    <w:p w:rsidR="00331B88" w:rsidRDefault="004F2CE1" w:rsidP="006D1AEB">
      <w:pPr>
        <w:pStyle w:val="SGACP-enumerationniveau1"/>
        <w:ind w:left="284" w:hanging="284"/>
      </w:pPr>
      <w:r>
        <w:lastRenderedPageBreak/>
        <w:t>m</w:t>
      </w:r>
      <w:r w:rsidR="00463A1C" w:rsidRPr="007F2900">
        <w:t xml:space="preserve">odalités de suivi des recommandations résultant des contrôles permanents </w:t>
      </w:r>
      <w:r w:rsidR="00463A1C" w:rsidRPr="00C66532">
        <w:rPr>
          <w:i/>
          <w:iCs/>
        </w:rPr>
        <w:t>(outils, personnes en charge)</w:t>
      </w:r>
      <w:r>
        <w:rPr>
          <w:i/>
          <w:iCs/>
        </w:rPr>
        <w:t> ;</w:t>
      </w:r>
    </w:p>
    <w:p w:rsidR="00331B88" w:rsidRPr="004B0BE5" w:rsidRDefault="004F2CE1" w:rsidP="006D1AEB">
      <w:pPr>
        <w:pStyle w:val="SGACP-enumerationniveau1"/>
        <w:ind w:left="284" w:hanging="284"/>
      </w:pPr>
      <w:r>
        <w:t>m</w:t>
      </w:r>
      <w:r w:rsidR="00463A1C" w:rsidRPr="007F2900">
        <w:t>odalités de vérification de l</w:t>
      </w:r>
      <w:r w:rsidR="001224E7">
        <w:t>’</w:t>
      </w:r>
      <w:r w:rsidR="00463A1C" w:rsidRPr="007F2900">
        <w:t xml:space="preserve">exécution dans des délais raisonnables des mesures correctrices décidées au sein des entreprises, par les personnes </w:t>
      </w:r>
      <w:r w:rsidR="00463A1C" w:rsidRPr="00156279">
        <w:t xml:space="preserve">compétentes </w:t>
      </w:r>
      <w:r w:rsidR="00463A1C" w:rsidRPr="003D1AFF">
        <w:rPr>
          <w:iCs/>
        </w:rPr>
        <w:t>(cf. articles</w:t>
      </w:r>
      <w:r w:rsidR="00290219" w:rsidRPr="003D1AFF">
        <w:rPr>
          <w:iCs/>
        </w:rPr>
        <w:t xml:space="preserve"> 11 f) et 26 </w:t>
      </w:r>
      <w:r w:rsidR="00813951" w:rsidRPr="003D1AFF">
        <w:rPr>
          <w:iCs/>
        </w:rPr>
        <w:t xml:space="preserve">a) </w:t>
      </w:r>
      <w:r w:rsidR="00813951" w:rsidRPr="00156279">
        <w:t>de l’</w:t>
      </w:r>
      <w:r w:rsidR="00813951">
        <w:t>arrêté du 3 novembre 2014</w:t>
      </w:r>
      <w:r w:rsidR="00852089">
        <w:t xml:space="preserve"> modifié</w:t>
      </w:r>
      <w:r w:rsidR="00463A1C" w:rsidRPr="00935917">
        <w:rPr>
          <w:iCs/>
        </w:rPr>
        <w:t>)</w:t>
      </w:r>
      <w:r w:rsidRPr="00935917">
        <w:rPr>
          <w:iCs/>
        </w:rPr>
        <w:t>.</w:t>
      </w:r>
    </w:p>
    <w:p w:rsidR="00C66532" w:rsidRDefault="00C66532" w:rsidP="00463A1C">
      <w:bookmarkStart w:id="126" w:name="_Toc266799818"/>
    </w:p>
    <w:p w:rsidR="00463A1C" w:rsidRPr="007F2900" w:rsidRDefault="008F3AF1" w:rsidP="00C66532">
      <w:pPr>
        <w:pStyle w:val="SGACP-sous-titrederubriquenivaeu2"/>
      </w:pPr>
      <w:r>
        <w:t>10</w:t>
      </w:r>
      <w:r w:rsidR="00C66532">
        <w:t>.4.</w:t>
      </w:r>
      <w:r w:rsidR="00C66532">
        <w:tab/>
      </w:r>
      <w:r w:rsidR="00463A1C" w:rsidRPr="007F2900">
        <w:t>Simulations de crise relatives aux risques de marché</w:t>
      </w:r>
      <w:bookmarkEnd w:id="126"/>
      <w:r w:rsidR="00965B51">
        <w:t> :</w:t>
      </w:r>
    </w:p>
    <w:p w:rsidR="00C66532" w:rsidRDefault="00C66532" w:rsidP="00C66532">
      <w:pPr>
        <w:pStyle w:val="SGACP-textecourant"/>
      </w:pPr>
    </w:p>
    <w:p w:rsidR="00686792" w:rsidRPr="00686792" w:rsidRDefault="00463A1C" w:rsidP="008F76DA">
      <w:pPr>
        <w:pStyle w:val="SGACP-textecourant"/>
        <w:rPr>
          <w:rFonts w:ascii="Arial" w:hAnsi="Arial" w:cs="Arial"/>
        </w:rPr>
      </w:pPr>
      <w:r w:rsidRPr="007F2900">
        <w:t>Pour les établissements utilisant leurs modèles internes pour le calcul des exigences en fonds propres, joindre</w:t>
      </w:r>
      <w:r w:rsidR="006352F2">
        <w:t xml:space="preserve"> </w:t>
      </w:r>
      <w:r w:rsidRPr="007F2900">
        <w:t>une annexe comprenant la description des hypothèses et principes méthodologiques retenus ainsi que des résultats obtenus</w:t>
      </w:r>
      <w:r w:rsidR="002C2870">
        <w:t xml:space="preserve"> ; cette annexe devra rappeler de manière exhaustive les changements de modèle effectués durant l’année écoulée, en distinguant ceux reconnus comme matériels, de ceux reconnus comme non matériels, selon les définitions du </w:t>
      </w:r>
      <w:r w:rsidR="00107C50">
        <w:t>r</w:t>
      </w:r>
      <w:r w:rsidR="002C2870">
        <w:t xml:space="preserve">èglement </w:t>
      </w:r>
      <w:r w:rsidR="00107C50">
        <w:t>d</w:t>
      </w:r>
      <w:r w:rsidR="002C2870">
        <w:t>élégué 2015/942 du 4 mars 2015, et expliquer en quoi le contrôle interne a ou n’a pas été à l’origine de tels changements</w:t>
      </w:r>
      <w:r w:rsidR="002C2870" w:rsidRPr="007F2900">
        <w:t>.</w:t>
      </w:r>
    </w:p>
    <w:p w:rsidR="00C66532" w:rsidRDefault="00C66532" w:rsidP="00C66532">
      <w:pPr>
        <w:pStyle w:val="SGACP-textecourant"/>
      </w:pPr>
      <w:bookmarkStart w:id="127" w:name="_Toc244576461"/>
      <w:bookmarkStart w:id="128" w:name="_Toc266799819"/>
    </w:p>
    <w:p w:rsidR="003274DB" w:rsidRDefault="008F3AF1" w:rsidP="003274DB">
      <w:pPr>
        <w:pStyle w:val="SGACP-sous-titrederubriquenivaeu2"/>
      </w:pPr>
      <w:r>
        <w:t>10</w:t>
      </w:r>
      <w:r w:rsidR="00C66532">
        <w:t>.5.</w:t>
      </w:r>
      <w:r w:rsidR="00C66532">
        <w:tab/>
      </w:r>
      <w:r w:rsidR="00463A1C" w:rsidRPr="007F2900">
        <w:t>Conclusion synthétique sur l</w:t>
      </w:r>
      <w:r w:rsidR="001224E7">
        <w:t>’</w:t>
      </w:r>
      <w:r w:rsidR="00463A1C" w:rsidRPr="007F2900">
        <w:t>exposition aux risques de marché</w:t>
      </w:r>
      <w:bookmarkEnd w:id="127"/>
      <w:bookmarkEnd w:id="128"/>
    </w:p>
    <w:p w:rsidR="00761F73" w:rsidRPr="00924F3B" w:rsidRDefault="00761F73" w:rsidP="00460E3D">
      <w:bookmarkStart w:id="129" w:name="_Toc244576462"/>
      <w:bookmarkStart w:id="130" w:name="_Toc244598005"/>
      <w:bookmarkStart w:id="131" w:name="_Toc244601059"/>
      <w:bookmarkStart w:id="132" w:name="_Toc244692476"/>
      <w:bookmarkStart w:id="133" w:name="_Toc244692545"/>
      <w:bookmarkStart w:id="134" w:name="_Toc244938465"/>
      <w:bookmarkStart w:id="135" w:name="_Toc244938698"/>
      <w:bookmarkStart w:id="136" w:name="_Toc266799820"/>
      <w:bookmarkStart w:id="137" w:name="_Toc266799863"/>
    </w:p>
    <w:p w:rsidR="005E4C08" w:rsidRDefault="005E4C08" w:rsidP="007877BE"/>
    <w:p w:rsidR="00331B88" w:rsidRDefault="00463A1C">
      <w:pPr>
        <w:pStyle w:val="StyleSGACP-titrederubriqueniveau1CouleurpersonnaliseRVB"/>
        <w:keepNext/>
        <w:keepLines/>
        <w:ind w:left="426" w:hanging="426"/>
      </w:pPr>
      <w:bookmarkStart w:id="138" w:name="_Toc137799883"/>
      <w:r w:rsidRPr="007D7872">
        <w:t>Risque opérationnel</w:t>
      </w:r>
      <w:bookmarkEnd w:id="129"/>
      <w:bookmarkEnd w:id="130"/>
      <w:bookmarkEnd w:id="131"/>
      <w:bookmarkEnd w:id="132"/>
      <w:bookmarkEnd w:id="133"/>
      <w:bookmarkEnd w:id="134"/>
      <w:bookmarkEnd w:id="135"/>
      <w:bookmarkEnd w:id="136"/>
      <w:bookmarkEnd w:id="137"/>
      <w:bookmarkEnd w:id="138"/>
    </w:p>
    <w:p w:rsidR="00CD42E0" w:rsidRDefault="00CD42E0" w:rsidP="00460E3D"/>
    <w:p w:rsidR="00CD42E0" w:rsidRDefault="00CD42E0" w:rsidP="00460E3D">
      <w:pPr>
        <w:pStyle w:val="SGACP-sous-titrederubriquenivaeu2"/>
        <w:keepNext/>
        <w:keepLines/>
        <w:numPr>
          <w:ilvl w:val="1"/>
          <w:numId w:val="2"/>
        </w:numPr>
        <w:ind w:left="567" w:hanging="567"/>
      </w:pPr>
      <w:r>
        <w:t xml:space="preserve">Gouvernance et organisation du risque opérationnel </w:t>
      </w:r>
    </w:p>
    <w:p w:rsidR="00CD42E0" w:rsidRDefault="00CD42E0" w:rsidP="00460E3D"/>
    <w:p w:rsidR="00463A1C" w:rsidRPr="007877BE" w:rsidRDefault="002F066C" w:rsidP="00460E3D">
      <w:pPr>
        <w:pStyle w:val="Paragraphedeliste"/>
        <w:numPr>
          <w:ilvl w:val="0"/>
          <w:numId w:val="66"/>
        </w:numPr>
        <w:ind w:left="284" w:hanging="284"/>
      </w:pPr>
      <w:r w:rsidRPr="007877BE">
        <w:t xml:space="preserve">description </w:t>
      </w:r>
      <w:r w:rsidR="00463A1C" w:rsidRPr="007877BE">
        <w:t xml:space="preserve">synthétique du cadre général de </w:t>
      </w:r>
      <w:r w:rsidR="00FD3ADE" w:rsidRPr="007877BE">
        <w:t xml:space="preserve">détection, de </w:t>
      </w:r>
      <w:r w:rsidR="00463A1C" w:rsidRPr="007877BE">
        <w:t>gestion</w:t>
      </w:r>
      <w:r w:rsidR="00FD3ADE" w:rsidRPr="007877BE">
        <w:t>, de suivi et de</w:t>
      </w:r>
      <w:r w:rsidR="00463A1C" w:rsidRPr="007877BE">
        <w:t xml:space="preserve"> </w:t>
      </w:r>
      <w:r w:rsidR="00FD3ADE" w:rsidRPr="007877BE">
        <w:t xml:space="preserve">déclaration </w:t>
      </w:r>
      <w:r w:rsidR="00463A1C" w:rsidRPr="007877BE">
        <w:t>du risque opérationnel</w:t>
      </w:r>
      <w:r w:rsidR="00FD3ADE" w:rsidRPr="007877BE">
        <w:t>, en lien avec la complexité des activités, le profil de risque et la tolérance au risque de l’établissement</w:t>
      </w:r>
      <w:r w:rsidR="00B07E9C" w:rsidRPr="007877BE">
        <w:t> ;</w:t>
      </w:r>
      <w:r w:rsidR="002634EB" w:rsidRPr="007877BE">
        <w:t xml:space="preserve"> </w:t>
      </w:r>
    </w:p>
    <w:p w:rsidR="00B07E9C" w:rsidRDefault="002F066C" w:rsidP="00B07E9C">
      <w:pPr>
        <w:pStyle w:val="SGACP-enumerationniveau1"/>
        <w:ind w:left="284" w:hanging="284"/>
      </w:pPr>
      <w:r>
        <w:t>gouvernance </w:t>
      </w:r>
      <w:r w:rsidR="00B07E9C">
        <w:t>: description de la gouvernance déployée pour la gestion du risque opérationnel et de la gouvernance du modèle s’il y a lieu, rôle et missions</w:t>
      </w:r>
      <w:r w:rsidR="00B07E9C" w:rsidRPr="007F2900">
        <w:t xml:space="preserve"> </w:t>
      </w:r>
      <w:r w:rsidR="00B07E9C">
        <w:t>des différents comités mis en place, décisions structurantes prises au cours de l’exercice en matière de risque opérationnel ;</w:t>
      </w:r>
    </w:p>
    <w:p w:rsidR="00B07E9C" w:rsidRDefault="002F066C" w:rsidP="00B07E9C">
      <w:pPr>
        <w:pStyle w:val="SGACP-enumerationniveau1"/>
        <w:ind w:left="284" w:hanging="284"/>
      </w:pPr>
      <w:r>
        <w:t>organisation </w:t>
      </w:r>
      <w:r w:rsidR="00B07E9C">
        <w:t>: présentation des différentes équipes en charge du contrôle permanent du risque opérationnel par métiers et par zones géographiques (nombre d’ETP prévu et réel, missions, rattachement des équipes), objectifs des différentes équipes de contrôle permanent, actions menées au cours de l’exercice et état d’avancement des projets de réorganisation en fin d’année, contraintes rencontrées et solutions envisagées/mises en place lors de la mise en œuvre de ces projets de réorganisation, objectifs à atteindre et délais prévus pour un déploiement total de l’organisation cible ;</w:t>
      </w:r>
    </w:p>
    <w:p w:rsidR="00B07E9C" w:rsidRDefault="002F066C" w:rsidP="00B07E9C">
      <w:pPr>
        <w:pStyle w:val="SGACP-enumerationniveau1"/>
        <w:ind w:left="284" w:hanging="284"/>
      </w:pPr>
      <w:r>
        <w:t>p</w:t>
      </w:r>
      <w:r w:rsidRPr="004F7A81">
        <w:t xml:space="preserve">érimètre </w:t>
      </w:r>
      <w:r w:rsidR="00B07E9C" w:rsidRPr="004F7A81">
        <w:t>des entités</w:t>
      </w:r>
      <w:r w:rsidR="00B07E9C">
        <w:t> : entités intégrées et méthodes (en nombre et en proportion des actifs), traitement des entités entrées dans le périmètre de consolidation prudentiel au cours des 2 derniers exercices, entités éventuellement exclues et motifs d’exclusion, opérations prises en compte.</w:t>
      </w:r>
    </w:p>
    <w:p w:rsidR="00DC0250" w:rsidRDefault="00DC0250" w:rsidP="00460E3D">
      <w:bookmarkStart w:id="139" w:name="_Toc244576463"/>
      <w:bookmarkStart w:id="140" w:name="_Toc266799821"/>
    </w:p>
    <w:p w:rsidR="00463A1C" w:rsidRPr="007F2900" w:rsidRDefault="008F3AF1" w:rsidP="004F2CE1">
      <w:pPr>
        <w:pStyle w:val="SGACP-sous-titrederubriquenivaeu2"/>
        <w:keepNext/>
        <w:keepLines/>
      </w:pPr>
      <w:r>
        <w:t>11</w:t>
      </w:r>
      <w:r w:rsidR="00DC0250">
        <w:t>.</w:t>
      </w:r>
      <w:r w:rsidR="00DE53B2">
        <w:t>2.</w:t>
      </w:r>
      <w:r w:rsidR="00107C50">
        <w:t xml:space="preserve"> </w:t>
      </w:r>
      <w:r w:rsidR="00463A1C" w:rsidRPr="007F2900">
        <w:t>Identification et évaluation du risque opérationnel</w:t>
      </w:r>
      <w:bookmarkEnd w:id="139"/>
      <w:bookmarkEnd w:id="140"/>
    </w:p>
    <w:p w:rsidR="00331B88" w:rsidRDefault="004F2CE1" w:rsidP="006D1AEB">
      <w:pPr>
        <w:pStyle w:val="SGACP-enumerationniveau1"/>
        <w:ind w:left="284" w:hanging="284"/>
      </w:pPr>
      <w:r>
        <w:t>d</w:t>
      </w:r>
      <w:r w:rsidR="00463A1C" w:rsidRPr="007F2900">
        <w:t>escription des types de risques opérationnels auxquels l</w:t>
      </w:r>
      <w:r w:rsidR="001224E7">
        <w:t>’</w:t>
      </w:r>
      <w:r w:rsidR="00463A1C" w:rsidRPr="007F2900">
        <w:t>établissement est exposé</w:t>
      </w:r>
      <w:r>
        <w:t> ;</w:t>
      </w:r>
    </w:p>
    <w:p w:rsidR="00331B88" w:rsidRDefault="004F2CE1" w:rsidP="006D1AEB">
      <w:pPr>
        <w:pStyle w:val="SGACP-enumerationniveau1"/>
        <w:ind w:left="284" w:hanging="284"/>
      </w:pPr>
      <w:r>
        <w:t>d</w:t>
      </w:r>
      <w:r w:rsidR="00463A1C" w:rsidRPr="007F2900">
        <w:t xml:space="preserve">escription du système de mesure et de surveillance du risque opérationnel </w:t>
      </w:r>
      <w:r w:rsidR="00463A1C" w:rsidRPr="00210431">
        <w:rPr>
          <w:i/>
        </w:rPr>
        <w:t>(préciser la méthode utilisée pour le calcul des exigences en fonds propres)</w:t>
      </w:r>
      <w:r>
        <w:t> ;</w:t>
      </w:r>
    </w:p>
    <w:p w:rsidR="00DE53B2" w:rsidRDefault="00DE53B2" w:rsidP="00DE53B2">
      <w:pPr>
        <w:pStyle w:val="SGACP-enumerationniveau1"/>
        <w:ind w:left="284" w:hanging="284"/>
      </w:pPr>
      <w:r>
        <w:t>dispositif de surveillance déployé pour assurer la prise en compte dans les calculs des exigences en fonds propres de l’exhaustivité des incidents à recenser, notamment au titre des risques juridique et de non–conformité ; identification des risques nécessitant un perfectionnement du dispositif de surveillance en cours et actions correctives prises ;</w:t>
      </w:r>
    </w:p>
    <w:p w:rsidR="00DE53B2" w:rsidRDefault="00DE53B2" w:rsidP="00DE53B2">
      <w:pPr>
        <w:pStyle w:val="SGACP-enumerationniveau1"/>
        <w:ind w:left="284" w:hanging="284"/>
      </w:pPr>
      <w:r>
        <w:t>présentation de la cartographie des risques  avec identification des métiers/risques non (encore) couverts par la cartographie déployée à la fin de l’exercice ;</w:t>
      </w:r>
    </w:p>
    <w:p w:rsidR="00331B88" w:rsidRDefault="004F2CE1" w:rsidP="006D1AEB">
      <w:pPr>
        <w:pStyle w:val="SGACP-enumerationniveau1"/>
        <w:ind w:left="284" w:hanging="284"/>
      </w:pPr>
      <w:r>
        <w:t>d</w:t>
      </w:r>
      <w:r w:rsidR="00463A1C" w:rsidRPr="007F2900">
        <w:t xml:space="preserve">escription synthétique des reportings utilisés pour la mesure et la gestion du risque opérationnel </w:t>
      </w:r>
      <w:r w:rsidR="00463A1C" w:rsidRPr="00210431">
        <w:rPr>
          <w:i/>
        </w:rPr>
        <w:t xml:space="preserve">(préciser notamment la périodicité et les destinataires des reportings, les zones de risques couvertes, </w:t>
      </w:r>
      <w:r w:rsidR="00463A1C" w:rsidRPr="00210431">
        <w:rPr>
          <w:i/>
        </w:rPr>
        <w:lastRenderedPageBreak/>
        <w:t>la présence ou non d</w:t>
      </w:r>
      <w:r w:rsidR="001224E7" w:rsidRPr="00210431">
        <w:rPr>
          <w:i/>
        </w:rPr>
        <w:t>’</w:t>
      </w:r>
      <w:r w:rsidR="00463A1C" w:rsidRPr="00210431">
        <w:rPr>
          <w:i/>
        </w:rPr>
        <w:t>indicateurs d</w:t>
      </w:r>
      <w:r w:rsidR="001224E7" w:rsidRPr="00210431">
        <w:rPr>
          <w:i/>
        </w:rPr>
        <w:t>’</w:t>
      </w:r>
      <w:r w:rsidR="00463A1C" w:rsidRPr="00210431">
        <w:rPr>
          <w:i/>
        </w:rPr>
        <w:t>alerte mettant en évidence le cas échéant des pertes potentielles futures)</w:t>
      </w:r>
      <w:r w:rsidR="00210431">
        <w:rPr>
          <w:i/>
        </w:rPr>
        <w:t> </w:t>
      </w:r>
      <w:r>
        <w:t>;</w:t>
      </w:r>
      <w:r w:rsidR="004B2F7A">
        <w:t xml:space="preserve"> </w:t>
      </w:r>
      <w:r>
        <w:t>d</w:t>
      </w:r>
      <w:r w:rsidR="00463A1C" w:rsidRPr="007F2900">
        <w:t>ocumentation et communication des procédures relatives à la surveillance et à la gestion du risque opérationnel</w:t>
      </w:r>
      <w:r>
        <w:t> ;</w:t>
      </w:r>
    </w:p>
    <w:p w:rsidR="00331B88" w:rsidRDefault="004F2CE1" w:rsidP="006D1AEB">
      <w:pPr>
        <w:pStyle w:val="SGACP-enumerationniveau1"/>
        <w:ind w:left="284" w:hanging="284"/>
      </w:pPr>
      <w:r>
        <w:t>d</w:t>
      </w:r>
      <w:r w:rsidR="00463A1C" w:rsidRPr="007F2900">
        <w:t>escription des procédures spécifiques pour la maîtrise du risque de fraude interne et externe au sens de l</w:t>
      </w:r>
      <w:r w:rsidR="001224E7">
        <w:t>’</w:t>
      </w:r>
      <w:r w:rsidR="00463A1C" w:rsidRPr="007F2900">
        <w:t>a</w:t>
      </w:r>
      <w:r w:rsidR="006352F2">
        <w:t xml:space="preserve">rticle 324 du règlement </w:t>
      </w:r>
      <w:r w:rsidR="00156279">
        <w:t>(UE)</w:t>
      </w:r>
      <w:r w:rsidR="006352F2">
        <w:t xml:space="preserve"> n°575/2013</w:t>
      </w:r>
      <w:r w:rsidR="003D1AFF" w:rsidRPr="003D1AFF">
        <w:t xml:space="preserve"> </w:t>
      </w:r>
      <w:r w:rsidR="003D1AFF" w:rsidRPr="005813F0">
        <w:t>du Parlement européen et du Conseil du 26 juin 2013</w:t>
      </w:r>
      <w:r>
        <w:t>;</w:t>
      </w:r>
    </w:p>
    <w:p w:rsidR="00F92CF4" w:rsidRDefault="00F92CF4" w:rsidP="006D1AEB">
      <w:pPr>
        <w:pStyle w:val="SGACP-enumerationniveau1"/>
        <w:ind w:left="284" w:hanging="284"/>
      </w:pPr>
      <w:r>
        <w:t xml:space="preserve">pour les établissements utilisant l’approche standard, procédures et critères retenus pour la mise en correspondance </w:t>
      </w:r>
      <w:r w:rsidR="00CC5EB8">
        <w:t>de</w:t>
      </w:r>
      <w:r>
        <w:t xml:space="preserve"> l’indicateur pertinent pour les lignes d’activité, procédures de révision en cas de lancement d’une nouvelle activité ou de modification d’une activité existante ;</w:t>
      </w:r>
    </w:p>
    <w:p w:rsidR="00331B88" w:rsidRDefault="004F2CE1" w:rsidP="006D1AEB">
      <w:pPr>
        <w:pStyle w:val="SGACP-enumerationniveau1"/>
        <w:ind w:left="284" w:hanging="284"/>
      </w:pPr>
      <w:r>
        <w:t>p</w:t>
      </w:r>
      <w:r w:rsidR="00463A1C" w:rsidRPr="007F2900">
        <w:t xml:space="preserve">our les établissements utilisant une approche de mesure avancée, description de la méthodologie retenue </w:t>
      </w:r>
      <w:r w:rsidR="00463A1C" w:rsidRPr="00C26DE4">
        <w:rPr>
          <w:i/>
          <w:iCs/>
        </w:rPr>
        <w:t>(y compris des facteurs relatifs au contrôle interne et à l</w:t>
      </w:r>
      <w:r w:rsidR="001224E7" w:rsidRPr="00C26DE4">
        <w:rPr>
          <w:i/>
          <w:iCs/>
        </w:rPr>
        <w:t>’</w:t>
      </w:r>
      <w:r w:rsidR="00463A1C" w:rsidRPr="00C26DE4">
        <w:rPr>
          <w:i/>
          <w:iCs/>
        </w:rPr>
        <w:t>environnement dans lequel ils opèrent)</w:t>
      </w:r>
      <w:r w:rsidR="00463A1C" w:rsidRPr="00DC0250">
        <w:rPr>
          <w:i/>
          <w:iCs/>
        </w:rPr>
        <w:t xml:space="preserve"> </w:t>
      </w:r>
      <w:r w:rsidR="00463A1C" w:rsidRPr="007F2900">
        <w:t>et des évolutions le cas échéant apportées au cours de l</w:t>
      </w:r>
      <w:r w:rsidR="001224E7">
        <w:t>’</w:t>
      </w:r>
      <w:r w:rsidR="00463A1C" w:rsidRPr="007F2900">
        <w:t>exercice</w:t>
      </w:r>
      <w:r w:rsidR="00BC6619">
        <w:t xml:space="preserve">, description des procédures de vérification de la qualité des données historiques </w:t>
      </w:r>
      <w:r>
        <w:t>;</w:t>
      </w:r>
    </w:p>
    <w:p w:rsidR="00331B88" w:rsidRDefault="004F2CE1" w:rsidP="006D1AEB">
      <w:pPr>
        <w:pStyle w:val="SGACP-enumerationniveau1"/>
        <w:ind w:left="284" w:hanging="284"/>
      </w:pPr>
      <w:r>
        <w:t>d</w:t>
      </w:r>
      <w:r w:rsidR="00463A1C" w:rsidRPr="007F2900">
        <w:t>escription synthétique des techniques d</w:t>
      </w:r>
      <w:r w:rsidR="001224E7">
        <w:t>’</w:t>
      </w:r>
      <w:r w:rsidR="00463A1C" w:rsidRPr="007F2900">
        <w:t>assurance éventuellement utilisées</w:t>
      </w:r>
      <w:r w:rsidR="00D82F7B">
        <w:t> ;</w:t>
      </w:r>
    </w:p>
    <w:p w:rsidR="00DE53B2" w:rsidRDefault="00DE53B2" w:rsidP="00DE53B2">
      <w:pPr>
        <w:pStyle w:val="SGACP-enumerationniveau1"/>
        <w:ind w:left="284" w:hanging="284"/>
      </w:pPr>
      <w:r>
        <w:t>état des lieux des réflexions en cours sur les évolutions que l’établissement doit anticiper concernant les modalités de calcul des exigences réglementaires au titre du risque opérationnel</w:t>
      </w:r>
      <w:r w:rsidR="00D82F7B">
        <w:t>.</w:t>
      </w:r>
    </w:p>
    <w:p w:rsidR="007B6E6E" w:rsidRDefault="007B6E6E" w:rsidP="00D63D99">
      <w:pPr>
        <w:pStyle w:val="SGACP-enumerationniveau1"/>
        <w:numPr>
          <w:ilvl w:val="0"/>
          <w:numId w:val="0"/>
        </w:numPr>
        <w:spacing w:before="0"/>
        <w:ind w:left="284"/>
      </w:pPr>
    </w:p>
    <w:p w:rsidR="002A53BE" w:rsidRDefault="008F3AF1">
      <w:pPr>
        <w:pStyle w:val="SGACP-sous-titrederubriquenivaeu2"/>
      </w:pPr>
      <w:bookmarkStart w:id="141" w:name="_Toc266799822"/>
      <w:bookmarkStart w:id="142" w:name="_Toc244576464"/>
      <w:r>
        <w:t>11</w:t>
      </w:r>
      <w:r w:rsidR="00DC0250">
        <w:t>.</w:t>
      </w:r>
      <w:r w:rsidR="00CA2B80">
        <w:t>3</w:t>
      </w:r>
      <w:r w:rsidR="00DC0250">
        <w:t>.</w:t>
      </w:r>
      <w:r w:rsidR="00DC0250">
        <w:tab/>
      </w:r>
      <w:r w:rsidR="00463A1C" w:rsidRPr="007F2900">
        <w:t>Intégration du dispositif de mesure et de gestion du risque opérationnel dans le dispositif de contrôle permanent</w:t>
      </w:r>
      <w:bookmarkEnd w:id="141"/>
      <w:r w:rsidR="004F2CE1">
        <w:t> </w:t>
      </w:r>
      <w:bookmarkEnd w:id="142"/>
      <w:r w:rsidR="004F2CE1">
        <w:t>:</w:t>
      </w:r>
    </w:p>
    <w:p w:rsidR="00331B88" w:rsidRDefault="004F2CE1" w:rsidP="006D1AEB">
      <w:pPr>
        <w:pStyle w:val="SGACP-enumerationniveau1"/>
        <w:ind w:left="284" w:hanging="284"/>
      </w:pPr>
      <w:r>
        <w:t>d</w:t>
      </w:r>
      <w:r w:rsidR="00463A1C" w:rsidRPr="007F2900">
        <w:t>escription des modalités d</w:t>
      </w:r>
      <w:r w:rsidR="001224E7">
        <w:t>’</w:t>
      </w:r>
      <w:r w:rsidR="00463A1C" w:rsidRPr="007F2900">
        <w:t>intégration de la surveillance du risque opérationnel</w:t>
      </w:r>
      <w:r w:rsidR="001462A6">
        <w:t>,</w:t>
      </w:r>
      <w:r w:rsidR="00463A1C" w:rsidRPr="007F2900">
        <w:t xml:space="preserve"> </w:t>
      </w:r>
      <w:r w:rsidR="001462A6">
        <w:t xml:space="preserve">incluant notamment les risques liés à des événements de faible occurrence mais à fort impact, les risques de fraudes interne et externe définis à l’article 324 du règlement (UE) n°575/2013 et les risques liés au </w:t>
      </w:r>
      <w:r w:rsidR="00287633">
        <w:t xml:space="preserve">risque de </w:t>
      </w:r>
      <w:r w:rsidR="001462A6">
        <w:t>modèle</w:t>
      </w:r>
      <w:r w:rsidR="00287633" w:rsidRPr="00287633">
        <w:t xml:space="preserve"> </w:t>
      </w:r>
      <w:r w:rsidR="00287633">
        <w:t>définis à l’article 4 du règlement délégué (UE) n°2018/959</w:t>
      </w:r>
      <w:r w:rsidR="001462A6">
        <w:t xml:space="preserve">, </w:t>
      </w:r>
      <w:r w:rsidR="00463A1C" w:rsidRPr="007F2900">
        <w:t>dans le di</w:t>
      </w:r>
      <w:r>
        <w:t>spositif de contrôle permanent ;</w:t>
      </w:r>
    </w:p>
    <w:p w:rsidR="00331B88" w:rsidRDefault="004F2CE1" w:rsidP="006D1AEB">
      <w:pPr>
        <w:pStyle w:val="SGACP-enumerationniveau1"/>
        <w:ind w:left="284" w:hanging="284"/>
      </w:pPr>
      <w:r>
        <w:t>d</w:t>
      </w:r>
      <w:r w:rsidR="00463A1C" w:rsidRPr="007F2900">
        <w:t>escription des principaux risques opérationnels avérés au cours de l</w:t>
      </w:r>
      <w:r w:rsidR="001224E7">
        <w:t>’</w:t>
      </w:r>
      <w:r w:rsidR="00463A1C" w:rsidRPr="007F2900">
        <w:t>exercice (incidents de règlement, erreurs, fraudes</w:t>
      </w:r>
      <w:r w:rsidR="00810050">
        <w:t xml:space="preserve">, cybersécurité, </w:t>
      </w:r>
      <w:r w:rsidR="00463A1C" w:rsidRPr="007F2900">
        <w:t>…)</w:t>
      </w:r>
      <w:r w:rsidR="00450D36" w:rsidRPr="00450D36">
        <w:t xml:space="preserve"> </w:t>
      </w:r>
      <w:r w:rsidR="00450D36">
        <w:t>et des enseignements qui en ont été tirés.</w:t>
      </w:r>
    </w:p>
    <w:p w:rsidR="00DC0250" w:rsidRDefault="00DC0250" w:rsidP="00463A1C">
      <w:bookmarkStart w:id="143" w:name="_Toc244576465"/>
      <w:bookmarkStart w:id="144" w:name="_Toc266799823"/>
    </w:p>
    <w:p w:rsidR="00463A1C" w:rsidRPr="007F2900" w:rsidRDefault="008F3AF1" w:rsidP="00DC0250">
      <w:pPr>
        <w:pStyle w:val="SGACP-sous-titrederubriquenivaeu2"/>
      </w:pPr>
      <w:r>
        <w:t>11</w:t>
      </w:r>
      <w:r w:rsidR="00DC0250">
        <w:t>.</w:t>
      </w:r>
      <w:r w:rsidR="00CA2B80">
        <w:t>4</w:t>
      </w:r>
      <w:r w:rsidR="00DC0250">
        <w:t>.</w:t>
      </w:r>
      <w:r w:rsidR="00DC0250">
        <w:tab/>
      </w:r>
      <w:r w:rsidR="00463A1C" w:rsidRPr="007F2900">
        <w:t xml:space="preserve">Plan </w:t>
      </w:r>
      <w:r w:rsidR="00DF4260">
        <w:t xml:space="preserve">d’urgence et de poursuite d’activité </w:t>
      </w:r>
      <w:bookmarkEnd w:id="143"/>
      <w:bookmarkEnd w:id="144"/>
      <w:r w:rsidR="004F2CE1">
        <w:t>:</w:t>
      </w:r>
    </w:p>
    <w:p w:rsidR="00331B88" w:rsidRDefault="004F2CE1" w:rsidP="00513AF4">
      <w:pPr>
        <w:pStyle w:val="SGACP-enumerationniveau1"/>
        <w:ind w:left="284" w:hanging="284"/>
      </w:pPr>
      <w:r>
        <w:t>d</w:t>
      </w:r>
      <w:r w:rsidR="00463A1C" w:rsidRPr="007F2900">
        <w:t xml:space="preserve">éfinitions retenues et objectifs du (ou des) plan(s) </w:t>
      </w:r>
      <w:r w:rsidR="00DF4260" w:rsidRPr="00DF4260">
        <w:t>d’urgence et de poursuite d’activité</w:t>
      </w:r>
      <w:r w:rsidR="00463A1C" w:rsidRPr="007F2900">
        <w:t xml:space="preserve">, scénarios retenus, architecture globale (un plan unique ou un plan par métier, cohérence globale en cas de plans multiples), responsabilités </w:t>
      </w:r>
      <w:r w:rsidR="00463A1C" w:rsidRPr="00210431">
        <w:rPr>
          <w:i/>
        </w:rPr>
        <w:t>(nom</w:t>
      </w:r>
      <w:r w:rsidR="00B14077" w:rsidRPr="00210431">
        <w:rPr>
          <w:i/>
        </w:rPr>
        <w:t xml:space="preserve">, coordonnées (adresse électronique, </w:t>
      </w:r>
      <w:r w:rsidR="006542B4" w:rsidRPr="00210431">
        <w:rPr>
          <w:i/>
        </w:rPr>
        <w:t>numéro de portable si possible)</w:t>
      </w:r>
      <w:r w:rsidR="00463A1C" w:rsidRPr="00210431">
        <w:rPr>
          <w:i/>
        </w:rPr>
        <w:t xml:space="preserve"> et positionnement des différents responsables en charge de la gestion du (ou des) plan(s) </w:t>
      </w:r>
      <w:r w:rsidR="00EC119D" w:rsidRPr="00210431">
        <w:rPr>
          <w:i/>
        </w:rPr>
        <w:t>d’urgence et de poursuite d’activité</w:t>
      </w:r>
      <w:r w:rsidR="00A62C06" w:rsidRPr="00210431">
        <w:rPr>
          <w:i/>
        </w:rPr>
        <w:t xml:space="preserve"> </w:t>
      </w:r>
      <w:r w:rsidR="00B14077" w:rsidRPr="00210431">
        <w:rPr>
          <w:i/>
        </w:rPr>
        <w:t>et</w:t>
      </w:r>
      <w:r w:rsidR="00463A1C" w:rsidRPr="00210431">
        <w:rPr>
          <w:i/>
        </w:rPr>
        <w:t xml:space="preserve"> de leur déclenchement</w:t>
      </w:r>
      <w:r w:rsidR="0013615B" w:rsidRPr="00210431">
        <w:rPr>
          <w:i/>
        </w:rPr>
        <w:t xml:space="preserve"> (RP</w:t>
      </w:r>
      <w:r w:rsidR="00EC119D" w:rsidRPr="00210431">
        <w:rPr>
          <w:i/>
        </w:rPr>
        <w:t>UP</w:t>
      </w:r>
      <w:r w:rsidR="0013615B" w:rsidRPr="00210431">
        <w:rPr>
          <w:i/>
        </w:rPr>
        <w:t>A)</w:t>
      </w:r>
      <w:r w:rsidR="00B14077" w:rsidRPr="00210431">
        <w:rPr>
          <w:i/>
        </w:rPr>
        <w:t>, nom</w:t>
      </w:r>
      <w:r w:rsidR="00204AC7" w:rsidRPr="00210431">
        <w:rPr>
          <w:i/>
        </w:rPr>
        <w:t xml:space="preserve">, coordonnées et positionnement du ou des responsables </w:t>
      </w:r>
      <w:r w:rsidR="00463A1C" w:rsidRPr="00210431">
        <w:rPr>
          <w:i/>
        </w:rPr>
        <w:t>de la gestion de la crise</w:t>
      </w:r>
      <w:r w:rsidR="00204AC7" w:rsidRPr="00210431">
        <w:rPr>
          <w:i/>
        </w:rPr>
        <w:t xml:space="preserve"> s</w:t>
      </w:r>
      <w:r w:rsidR="001224E7" w:rsidRPr="00210431">
        <w:rPr>
          <w:i/>
        </w:rPr>
        <w:t>’</w:t>
      </w:r>
      <w:r w:rsidR="00204AC7" w:rsidRPr="00210431">
        <w:rPr>
          <w:i/>
        </w:rPr>
        <w:t>ils sont différents des RP</w:t>
      </w:r>
      <w:r w:rsidR="00EC119D" w:rsidRPr="00210431">
        <w:rPr>
          <w:i/>
        </w:rPr>
        <w:t>UP</w:t>
      </w:r>
      <w:r w:rsidR="00204AC7" w:rsidRPr="00210431">
        <w:rPr>
          <w:i/>
        </w:rPr>
        <w:t>A</w:t>
      </w:r>
      <w:r w:rsidR="00463A1C" w:rsidRPr="00210431">
        <w:rPr>
          <w:i/>
        </w:rPr>
        <w:t>…)</w:t>
      </w:r>
      <w:r w:rsidR="00463A1C" w:rsidRPr="007F2900">
        <w:t>, périmètre des activités couvertes par le (ou les) plan(s)</w:t>
      </w:r>
      <w:r w:rsidR="00F01AFB" w:rsidRPr="00F01AFB">
        <w:t xml:space="preserve"> d’urgence et de poursuite d’activité</w:t>
      </w:r>
      <w:r w:rsidR="00463A1C" w:rsidRPr="007F2900">
        <w:t xml:space="preserve">, activités traitées en priorité en cas de crise, risques résiduels non couverts par le plan </w:t>
      </w:r>
      <w:r w:rsidR="00F01AFB" w:rsidRPr="00F01AFB">
        <w:t>d’urgence et de poursuite d’activité</w:t>
      </w:r>
      <w:r w:rsidR="00463A1C" w:rsidRPr="007F2900">
        <w:t xml:space="preserve">, délais de mise en œuvre du plan </w:t>
      </w:r>
      <w:r w:rsidR="00F01AFB" w:rsidRPr="00F01AFB">
        <w:t>d’urgence et de poursuite d’activité</w:t>
      </w:r>
      <w:r>
        <w:t> ;</w:t>
      </w:r>
    </w:p>
    <w:p w:rsidR="00331B88" w:rsidRDefault="004F2CE1" w:rsidP="006D1AEB">
      <w:pPr>
        <w:pStyle w:val="SGACP-enumerationniveau1"/>
        <w:ind w:left="284" w:hanging="284"/>
      </w:pPr>
      <w:r>
        <w:t>f</w:t>
      </w:r>
      <w:r w:rsidR="00463A1C" w:rsidRPr="007F2900">
        <w:t>ormalisation des procédures, description synthétique des sites de secours informatique et de repli ;</w:t>
      </w:r>
    </w:p>
    <w:p w:rsidR="00331B88" w:rsidRDefault="004F2CE1" w:rsidP="00EE5F57">
      <w:pPr>
        <w:pStyle w:val="SGACP-enumerationniveau1"/>
        <w:ind w:left="284" w:hanging="284"/>
      </w:pPr>
      <w:r>
        <w:t>t</w:t>
      </w:r>
      <w:r w:rsidR="00463A1C" w:rsidRPr="007F2900">
        <w:t xml:space="preserve">ests du plan </w:t>
      </w:r>
      <w:r w:rsidR="00C06C53">
        <w:t>d’urgence et de poursuite d’activité </w:t>
      </w:r>
      <w:r w:rsidR="00463A1C" w:rsidRPr="007F2900">
        <w:t xml:space="preserve">(objectifs, périmètre, fréquence, résultats), mise à jour du plan </w:t>
      </w:r>
      <w:r w:rsidR="00F01AFB" w:rsidRPr="00F01AFB">
        <w:t>d’urgence et de poursuite d’activité</w:t>
      </w:r>
      <w:r w:rsidR="00F01AFB" w:rsidRPr="00F01AFB" w:rsidDel="00F01AFB">
        <w:t xml:space="preserve"> </w:t>
      </w:r>
      <w:r w:rsidR="00463A1C" w:rsidRPr="007F2900">
        <w:t xml:space="preserve">(fréquence, critères), outil de gestion du plan </w:t>
      </w:r>
      <w:r w:rsidR="00F01AFB" w:rsidRPr="00F01AFB">
        <w:t>d’urgence et de poursuite d’activité</w:t>
      </w:r>
      <w:r w:rsidR="00F01AFB" w:rsidRPr="00F01AFB" w:rsidDel="00F01AFB">
        <w:t xml:space="preserve"> </w:t>
      </w:r>
      <w:r w:rsidR="00463A1C" w:rsidRPr="007F2900">
        <w:t>(logiciel, développement informatique), reporting à la direction (su</w:t>
      </w:r>
      <w:r>
        <w:t>r les tests, les modifications) ;</w:t>
      </w:r>
    </w:p>
    <w:p w:rsidR="00331B88" w:rsidRDefault="004F2CE1" w:rsidP="00EE5F57">
      <w:pPr>
        <w:pStyle w:val="SGACP-enumerationniveau1"/>
        <w:ind w:left="284" w:hanging="284"/>
      </w:pPr>
      <w:r>
        <w:t>a</w:t>
      </w:r>
      <w:r w:rsidR="00463A1C" w:rsidRPr="007F2900">
        <w:t xml:space="preserve">udit du plan </w:t>
      </w:r>
      <w:r w:rsidR="00F01AFB" w:rsidRPr="00F01AFB">
        <w:t>d’urgence et de poursuite d’activité</w:t>
      </w:r>
      <w:r w:rsidR="00463A1C" w:rsidRPr="007F2900">
        <w:t xml:space="preserve"> et résultats des contrôles permanents</w:t>
      </w:r>
      <w:r>
        <w:t> ;</w:t>
      </w:r>
    </w:p>
    <w:p w:rsidR="00331B88" w:rsidRDefault="00736E18" w:rsidP="006D1AEB">
      <w:pPr>
        <w:pStyle w:val="SGACP-enumerationniveau1"/>
        <w:ind w:left="284" w:hanging="284"/>
      </w:pPr>
      <w:r>
        <w:t xml:space="preserve">activation du ou des plan(s) </w:t>
      </w:r>
      <w:r w:rsidR="00C06C53">
        <w:t>d’urgence et de poursuite d’activité </w:t>
      </w:r>
      <w:r>
        <w:t xml:space="preserve">et </w:t>
      </w:r>
      <w:r w:rsidR="004F2CE1">
        <w:t>g</w:t>
      </w:r>
      <w:r w:rsidR="00463A1C" w:rsidRPr="007F2900">
        <w:t>estion des crises rencontrées au cours de l</w:t>
      </w:r>
      <w:r w:rsidR="001224E7">
        <w:t>’</w:t>
      </w:r>
      <w:r w:rsidR="00463A1C" w:rsidRPr="007F2900">
        <w:t xml:space="preserve">exercice </w:t>
      </w:r>
      <w:r w:rsidR="00220E17">
        <w:t>(</w:t>
      </w:r>
      <w:r w:rsidR="00463A1C" w:rsidRPr="007F2900">
        <w:t xml:space="preserve">exemple : grippe A </w:t>
      </w:r>
      <w:r w:rsidR="00220E17">
        <w:t>[</w:t>
      </w:r>
      <w:r w:rsidR="00463A1C" w:rsidRPr="007F2900">
        <w:t>H1N1</w:t>
      </w:r>
      <w:r w:rsidR="00220E17">
        <w:t>]</w:t>
      </w:r>
      <w:r w:rsidR="00192789">
        <w:t>, Covid</w:t>
      </w:r>
      <w:r w:rsidR="00463A1C" w:rsidRPr="007F2900">
        <w:t>)</w:t>
      </w:r>
      <w:r w:rsidR="004F2CE1">
        <w:t>.</w:t>
      </w:r>
    </w:p>
    <w:p w:rsidR="00DC0250" w:rsidRDefault="00DC0250" w:rsidP="00463A1C">
      <w:bookmarkStart w:id="145" w:name="_Toc244576466"/>
      <w:bookmarkStart w:id="146" w:name="_Toc266799824"/>
    </w:p>
    <w:p w:rsidR="0054173A" w:rsidRDefault="0054173A">
      <w:pPr>
        <w:jc w:val="left"/>
        <w:rPr>
          <w:rFonts w:ascii="Arial" w:hAnsi="Arial"/>
          <w:sz w:val="22"/>
        </w:rPr>
      </w:pPr>
      <w:r>
        <w:br w:type="page"/>
      </w:r>
    </w:p>
    <w:p w:rsidR="00463A1C" w:rsidRDefault="008F3AF1" w:rsidP="00D63D99">
      <w:pPr>
        <w:pStyle w:val="SGACP-sous-titrederubriquenivaeu2"/>
      </w:pPr>
      <w:r>
        <w:lastRenderedPageBreak/>
        <w:t>11</w:t>
      </w:r>
      <w:r w:rsidR="00DC0250">
        <w:t>.</w:t>
      </w:r>
      <w:r w:rsidR="00CA2B80">
        <w:t>5</w:t>
      </w:r>
      <w:r w:rsidR="00DC0250">
        <w:t>.</w:t>
      </w:r>
      <w:r w:rsidR="00DC0250">
        <w:tab/>
      </w:r>
      <w:bookmarkEnd w:id="145"/>
      <w:bookmarkEnd w:id="146"/>
      <w:r w:rsidR="00F92ADD">
        <w:t>Risque informatique</w:t>
      </w:r>
      <w:r w:rsidR="004F2CE1">
        <w:t> :</w:t>
      </w:r>
    </w:p>
    <w:p w:rsidR="00DD1663" w:rsidRDefault="00DD1663" w:rsidP="00D63D99">
      <w:pPr>
        <w:pStyle w:val="SGACP-sous-titrederubriquenivaeu2"/>
      </w:pPr>
    </w:p>
    <w:p w:rsidR="00DD1663" w:rsidRPr="009F04CF" w:rsidRDefault="009F04CF" w:rsidP="00A85C3C">
      <w:pPr>
        <w:pStyle w:val="SGACP-sous-titrederubriqueniveau3"/>
        <w:keepNext/>
        <w:keepLines/>
      </w:pPr>
      <w:r>
        <w:t xml:space="preserve">11.5.1. </w:t>
      </w:r>
      <w:r w:rsidR="0041661B">
        <w:t>Stratégie informatique et adéquation des ressources informatiques</w:t>
      </w:r>
      <w:r w:rsidR="00DD1663" w:rsidRPr="009F04CF">
        <w:t> :</w:t>
      </w:r>
    </w:p>
    <w:p w:rsidR="007C7F16" w:rsidRDefault="007C7F16" w:rsidP="006D1AEB">
      <w:pPr>
        <w:pStyle w:val="SGACP-enumerationniveau1"/>
        <w:ind w:left="284" w:hanging="284"/>
      </w:pPr>
      <w:r>
        <w:t xml:space="preserve">présentation de la stratégie </w:t>
      </w:r>
      <w:r w:rsidR="00CE20E3">
        <w:t xml:space="preserve">informatique </w:t>
      </w:r>
      <w:r>
        <w:t xml:space="preserve">de l’établissement </w:t>
      </w:r>
      <w:r w:rsidR="00B03696" w:rsidRPr="00890013">
        <w:t>définie en application de l’article 270-1</w:t>
      </w:r>
      <w:r w:rsidR="00B03696">
        <w:t xml:space="preserve"> </w:t>
      </w:r>
      <w:r w:rsidR="00B03696" w:rsidRPr="00890013">
        <w:t xml:space="preserve">de l’arrêté du 3 novembre 2014 modifié </w:t>
      </w:r>
      <w:r w:rsidRPr="00890013">
        <w:t>(</w:t>
      </w:r>
      <w:r w:rsidR="00A90212" w:rsidRPr="00890013">
        <w:t xml:space="preserve">organisation, </w:t>
      </w:r>
      <w:r w:rsidR="00DD1663" w:rsidRPr="00890013">
        <w:t xml:space="preserve">articulation avec la stratégie globale, </w:t>
      </w:r>
      <w:r w:rsidR="00A90212" w:rsidRPr="00890013">
        <w:t>objectifs</w:t>
      </w:r>
      <w:r w:rsidR="00A90212">
        <w:t xml:space="preserve"> prioritaires </w:t>
      </w:r>
      <w:r w:rsidR="00CE20E3">
        <w:t xml:space="preserve">et plans d’action </w:t>
      </w:r>
      <w:r w:rsidR="00A90212">
        <w:t xml:space="preserve">fixés, </w:t>
      </w:r>
      <w:r>
        <w:t xml:space="preserve">cadre d’appétence pour les risques </w:t>
      </w:r>
      <w:r w:rsidR="009B6AD1">
        <w:t>…)</w:t>
      </w:r>
      <w:r w:rsidR="00DD1663">
        <w:t xml:space="preserve"> et des moyens alloués pour la mettre en œuvre (procédures mises en place pour veiller à son respect, budget alloué et sa procédure de pilotage, nombre et nature des effectifs consacrés</w:t>
      </w:r>
      <w:r w:rsidR="00616E1C" w:rsidRPr="00616E1C">
        <w:t xml:space="preserve"> </w:t>
      </w:r>
      <w:r w:rsidR="00616E1C">
        <w:t>à la gestion des opérations informatiques, à la sécurité du système d’information ainsi qu’à la continuité d’activité</w:t>
      </w:r>
      <w:r w:rsidR="00DD1663">
        <w:t>)</w:t>
      </w:r>
      <w:r>
        <w:t> ;</w:t>
      </w:r>
    </w:p>
    <w:p w:rsidR="007C7F16" w:rsidRDefault="00DD1663" w:rsidP="007C7F16">
      <w:pPr>
        <w:pStyle w:val="SGACP-enumerationniveau1"/>
        <w:ind w:left="284" w:hanging="284"/>
      </w:pPr>
      <w:r>
        <w:t>présentation du processus de gouvernance (</w:t>
      </w:r>
      <w:r w:rsidR="007C7F16">
        <w:t xml:space="preserve">rôles des dirigeants effectifs, de l’organe de surveillance et le cas échéant du comité des risques dans la définition, le contrôle et la révision de la stratégie </w:t>
      </w:r>
      <w:r w:rsidR="00CE20E3">
        <w:t>informatique</w:t>
      </w:r>
      <w:r w:rsidR="009F04CF">
        <w:t>)</w:t>
      </w:r>
      <w:r w:rsidR="00CE20E3">
        <w:t>.</w:t>
      </w:r>
      <w:r w:rsidR="009430F9">
        <w:t xml:space="preserve"> </w:t>
      </w:r>
    </w:p>
    <w:p w:rsidR="005D29C1" w:rsidRDefault="005D29C1" w:rsidP="00A85C3C">
      <w:pPr>
        <w:rPr>
          <w:szCs w:val="22"/>
        </w:rPr>
      </w:pPr>
    </w:p>
    <w:p w:rsidR="009F04CF" w:rsidRDefault="009F04CF" w:rsidP="00A342F6">
      <w:pPr>
        <w:pStyle w:val="SGACP-sous-titrederubriqueniveau3"/>
        <w:keepNext/>
        <w:keepLines/>
      </w:pPr>
      <w:r w:rsidRPr="00890013">
        <w:t>11.5.2. Gestion du risque</w:t>
      </w:r>
      <w:r w:rsidR="00E47067" w:rsidRPr="00890013">
        <w:t xml:space="preserve"> informatique</w:t>
      </w:r>
      <w:r w:rsidR="00B03696" w:rsidRPr="00890013">
        <w:t xml:space="preserve"> (cf. article 270-2 de l’arrêté du 3 novembre 2014 modifié)</w:t>
      </w:r>
      <w:r w:rsidR="00E47067" w:rsidRPr="00890013">
        <w:t> :</w:t>
      </w:r>
    </w:p>
    <w:p w:rsidR="008068E3" w:rsidRDefault="008068E3" w:rsidP="007B770A">
      <w:pPr>
        <w:pStyle w:val="Paragraphedeliste"/>
        <w:rPr>
          <w:b/>
          <w:i/>
        </w:rPr>
      </w:pPr>
    </w:p>
    <w:p w:rsidR="008068E3" w:rsidRPr="004E7222" w:rsidRDefault="00493072" w:rsidP="008E03C1">
      <w:pPr>
        <w:pStyle w:val="SGACP-sous-titrederubriqueniveau3"/>
        <w:keepNext/>
        <w:keepLines/>
        <w:numPr>
          <w:ilvl w:val="0"/>
          <w:numId w:val="66"/>
        </w:numPr>
        <w:ind w:left="284" w:hanging="284"/>
        <w:rPr>
          <w:b w:val="0"/>
          <w:i w:val="0"/>
          <w:szCs w:val="22"/>
        </w:rPr>
      </w:pPr>
      <w:r w:rsidRPr="002B7ACF">
        <w:rPr>
          <w:b w:val="0"/>
          <w:i w:val="0"/>
          <w:szCs w:val="22"/>
        </w:rPr>
        <w:t xml:space="preserve">présentation </w:t>
      </w:r>
      <w:r w:rsidR="008068E3" w:rsidRPr="0047516D">
        <w:rPr>
          <w:b w:val="0"/>
          <w:i w:val="0"/>
          <w:szCs w:val="22"/>
        </w:rPr>
        <w:t>de</w:t>
      </w:r>
      <w:r w:rsidR="00783340" w:rsidRPr="0047516D">
        <w:rPr>
          <w:b w:val="0"/>
          <w:i w:val="0"/>
          <w:szCs w:val="22"/>
        </w:rPr>
        <w:t>s</w:t>
      </w:r>
      <w:r w:rsidR="008068E3" w:rsidRPr="0047516D">
        <w:rPr>
          <w:b w:val="0"/>
          <w:i w:val="0"/>
          <w:szCs w:val="22"/>
        </w:rPr>
        <w:t xml:space="preserve"> mesures de réduction d</w:t>
      </w:r>
      <w:r w:rsidR="006C13FF" w:rsidRPr="004E7222">
        <w:rPr>
          <w:b w:val="0"/>
          <w:i w:val="0"/>
          <w:szCs w:val="22"/>
        </w:rPr>
        <w:t>es</w:t>
      </w:r>
      <w:r w:rsidR="008068E3" w:rsidRPr="004E7222">
        <w:rPr>
          <w:b w:val="0"/>
          <w:i w:val="0"/>
          <w:szCs w:val="22"/>
        </w:rPr>
        <w:t xml:space="preserve"> risque</w:t>
      </w:r>
      <w:r w:rsidR="006C13FF" w:rsidRPr="004E7222">
        <w:rPr>
          <w:b w:val="0"/>
          <w:i w:val="0"/>
          <w:szCs w:val="22"/>
        </w:rPr>
        <w:t>s</w:t>
      </w:r>
      <w:r w:rsidR="008068E3" w:rsidRPr="004E7222">
        <w:rPr>
          <w:b w:val="0"/>
          <w:i w:val="0"/>
          <w:szCs w:val="22"/>
        </w:rPr>
        <w:t xml:space="preserve"> informatique</w:t>
      </w:r>
      <w:r w:rsidR="006C13FF" w:rsidRPr="00A342F6">
        <w:rPr>
          <w:b w:val="0"/>
          <w:i w:val="0"/>
          <w:szCs w:val="22"/>
        </w:rPr>
        <w:t>s</w:t>
      </w:r>
      <w:r w:rsidR="008068E3" w:rsidRPr="00A342F6">
        <w:rPr>
          <w:b w:val="0"/>
          <w:i w:val="0"/>
          <w:szCs w:val="22"/>
        </w:rPr>
        <w:t xml:space="preserve"> </w:t>
      </w:r>
      <w:r w:rsidR="006C13FF" w:rsidRPr="00A342F6">
        <w:rPr>
          <w:b w:val="0"/>
          <w:i w:val="0"/>
          <w:szCs w:val="22"/>
        </w:rPr>
        <w:t xml:space="preserve">majeurs </w:t>
      </w:r>
      <w:r w:rsidR="008068E3" w:rsidRPr="002B7ACF">
        <w:rPr>
          <w:b w:val="0"/>
          <w:i w:val="0"/>
          <w:szCs w:val="22"/>
        </w:rPr>
        <w:t>et de contrôle pour surveiller</w:t>
      </w:r>
      <w:r w:rsidR="008068E3" w:rsidRPr="0047516D">
        <w:rPr>
          <w:b w:val="0"/>
          <w:i w:val="0"/>
          <w:szCs w:val="22"/>
        </w:rPr>
        <w:t> l’efficacité de ces mesures </w:t>
      </w:r>
      <w:r w:rsidR="007B770A" w:rsidRPr="0047516D">
        <w:rPr>
          <w:b w:val="0"/>
          <w:i w:val="0"/>
          <w:szCs w:val="22"/>
        </w:rPr>
        <w:t xml:space="preserve">et </w:t>
      </w:r>
      <w:r w:rsidR="006C13FF" w:rsidRPr="004E7222">
        <w:rPr>
          <w:b w:val="0"/>
          <w:i w:val="0"/>
          <w:szCs w:val="22"/>
        </w:rPr>
        <w:t>description du processus d’information</w:t>
      </w:r>
      <w:r w:rsidR="006C13FF" w:rsidRPr="002B7ACF">
        <w:rPr>
          <w:b w:val="0"/>
          <w:i w:val="0"/>
          <w:szCs w:val="22"/>
        </w:rPr>
        <w:t xml:space="preserve"> des </w:t>
      </w:r>
      <w:r w:rsidR="007B770A" w:rsidRPr="0047516D">
        <w:rPr>
          <w:b w:val="0"/>
          <w:i w:val="0"/>
          <w:szCs w:val="22"/>
        </w:rPr>
        <w:t xml:space="preserve">dirigeants </w:t>
      </w:r>
      <w:r w:rsidR="007B770A" w:rsidRPr="004E7222">
        <w:rPr>
          <w:b w:val="0"/>
          <w:i w:val="0"/>
          <w:szCs w:val="22"/>
        </w:rPr>
        <w:t>effectifs et</w:t>
      </w:r>
      <w:r w:rsidR="006C13FF" w:rsidRPr="004E7222">
        <w:rPr>
          <w:b w:val="0"/>
          <w:i w:val="0"/>
          <w:szCs w:val="22"/>
        </w:rPr>
        <w:t xml:space="preserve"> de</w:t>
      </w:r>
      <w:r w:rsidR="007B770A" w:rsidRPr="004E7222">
        <w:rPr>
          <w:b w:val="0"/>
          <w:i w:val="0"/>
          <w:szCs w:val="22"/>
        </w:rPr>
        <w:t xml:space="preserve"> l’organe de surveillance </w:t>
      </w:r>
      <w:r w:rsidR="008068E3" w:rsidRPr="004E7222">
        <w:rPr>
          <w:b w:val="0"/>
          <w:i w:val="0"/>
          <w:szCs w:val="22"/>
        </w:rPr>
        <w:t>;</w:t>
      </w:r>
    </w:p>
    <w:p w:rsidR="009F04CF" w:rsidRDefault="009F04CF" w:rsidP="008E03C1">
      <w:pPr>
        <w:pStyle w:val="SGACP-enumerationniveau1"/>
        <w:numPr>
          <w:ilvl w:val="0"/>
          <w:numId w:val="120"/>
        </w:numPr>
        <w:ind w:left="284" w:hanging="284"/>
      </w:pPr>
      <w:r>
        <w:t>présentation de l’organisation de la gestion d</w:t>
      </w:r>
      <w:r w:rsidR="00804A8D">
        <w:t>u</w:t>
      </w:r>
      <w:r>
        <w:t xml:space="preserve"> risque</w:t>
      </w:r>
      <w:r w:rsidR="00804A8D">
        <w:t xml:space="preserve"> informatique</w:t>
      </w:r>
      <w:r>
        <w:t xml:space="preserve"> (définition des rôles et responsabilités des acteurs</w:t>
      </w:r>
      <w:r>
        <w:rPr>
          <w:rStyle w:val="Appelnotedebasdep"/>
        </w:rPr>
        <w:footnoteReference w:id="4"/>
      </w:r>
      <w:r>
        <w:t xml:space="preserve">, dispositif d’évaluation du profil de risque informatique et ses résultats, seuil de tolérance au risque, processus d’audit, modalités et périodicité d’information de la direction générale et de l’organe de surveillance sur l’exposition de l’établissement au risque </w:t>
      </w:r>
      <w:r w:rsidR="00804A8D">
        <w:t>informatique</w:t>
      </w:r>
      <w:r>
        <w:rPr>
          <w:rStyle w:val="Appelnotedebasdep"/>
        </w:rPr>
        <w:footnoteReference w:id="5"/>
      </w:r>
      <w:r>
        <w:t>…)</w:t>
      </w:r>
      <w:r w:rsidR="009430F9">
        <w:t> ;</w:t>
      </w:r>
    </w:p>
    <w:p w:rsidR="009F04CF" w:rsidRDefault="009F04CF" w:rsidP="008E03C1">
      <w:pPr>
        <w:pStyle w:val="SGACP-enumerationniveau1"/>
        <w:ind w:left="284" w:hanging="284"/>
      </w:pPr>
      <w:r>
        <w:t>d</w:t>
      </w:r>
      <w:r w:rsidRPr="007F2900">
        <w:t>escription du</w:t>
      </w:r>
      <w:r>
        <w:t xml:space="preserve"> dispositif de</w:t>
      </w:r>
      <w:r w:rsidRPr="007F2900">
        <w:t xml:space="preserve"> contrôle permanent </w:t>
      </w:r>
      <w:r w:rsidRPr="007C480A">
        <w:t>et périodique</w:t>
      </w:r>
      <w:r>
        <w:t xml:space="preserve"> des </w:t>
      </w:r>
      <w:r w:rsidRPr="007F2900">
        <w:t>systèmes d</w:t>
      </w:r>
      <w:r>
        <w:t>’</w:t>
      </w:r>
      <w:r w:rsidRPr="007F2900">
        <w:t xml:space="preserve">information </w:t>
      </w:r>
      <w:r>
        <w:t xml:space="preserve">et </w:t>
      </w:r>
      <w:r w:rsidRPr="007C480A">
        <w:t>synthèse des constatations des contrôles effectués (voir 11.6)</w:t>
      </w:r>
      <w:r>
        <w:t> ;</w:t>
      </w:r>
    </w:p>
    <w:p w:rsidR="00331B88" w:rsidRPr="007A52AA" w:rsidRDefault="001B7141" w:rsidP="008E03C1">
      <w:pPr>
        <w:pStyle w:val="Paragraphedeliste"/>
        <w:numPr>
          <w:ilvl w:val="0"/>
          <w:numId w:val="66"/>
        </w:numPr>
        <w:spacing w:before="120"/>
        <w:ind w:left="284" w:hanging="284"/>
        <w:contextualSpacing w:val="0"/>
        <w:rPr>
          <w:szCs w:val="24"/>
        </w:rPr>
      </w:pPr>
      <w:r>
        <w:t>présentation</w:t>
      </w:r>
      <w:r w:rsidR="00B14077">
        <w:t xml:space="preserve"> de la cartographie d</w:t>
      </w:r>
      <w:r w:rsidR="00804A8D">
        <w:t xml:space="preserve">u </w:t>
      </w:r>
      <w:r w:rsidR="00B14077">
        <w:t xml:space="preserve">risque </w:t>
      </w:r>
      <w:r w:rsidR="00804A8D">
        <w:t>informatique</w:t>
      </w:r>
      <w:r w:rsidR="009B6AD1">
        <w:t xml:space="preserve"> incluant notamment le risque </w:t>
      </w:r>
      <w:r w:rsidR="005E3077">
        <w:t>pour la disponibilité et la continuité, la sécurité, l’intégrité des données et le risque lié au changement de</w:t>
      </w:r>
      <w:r w:rsidR="00804A8D">
        <w:t>s systèmes informatiques</w:t>
      </w:r>
      <w:r w:rsidR="00B95718">
        <w:t xml:space="preserve"> </w:t>
      </w:r>
      <w:r w:rsidR="00B95718" w:rsidRPr="007C480A">
        <w:t>(identifiant en particulier quels systèmes et services sont essentiels au bon fonctionnement, à la disponibilité, à la continuité et à la sécurité des activités de l’établissement)</w:t>
      </w:r>
      <w:r w:rsidR="009430F9">
        <w:rPr>
          <w:rStyle w:val="Appelnotedebasdep"/>
        </w:rPr>
        <w:footnoteReference w:id="6"/>
      </w:r>
      <w:r w:rsidR="009430F9">
        <w:t>.</w:t>
      </w:r>
      <w:r w:rsidR="009430F9">
        <w:rPr>
          <w:szCs w:val="24"/>
        </w:rPr>
        <w:t xml:space="preserve"> </w:t>
      </w:r>
    </w:p>
    <w:p w:rsidR="009F04CF" w:rsidRDefault="009F04CF" w:rsidP="002F6550"/>
    <w:p w:rsidR="009F04CF" w:rsidRDefault="009F04CF" w:rsidP="00A85C3C">
      <w:pPr>
        <w:pStyle w:val="SGACP-sous-titrederubriqueniveau3"/>
        <w:keepNext/>
        <w:keepLines/>
      </w:pPr>
      <w:r>
        <w:t xml:space="preserve">11.5.3 </w:t>
      </w:r>
      <w:r w:rsidRPr="007A52AA">
        <w:t>Sécuri</w:t>
      </w:r>
      <w:r w:rsidR="00917BC6">
        <w:t>té du système d’infor</w:t>
      </w:r>
      <w:r w:rsidR="001C64D2">
        <w:t>ma</w:t>
      </w:r>
      <w:r w:rsidR="00917BC6">
        <w:t>tion :</w:t>
      </w:r>
    </w:p>
    <w:p w:rsidR="009F04CF" w:rsidRDefault="00783340" w:rsidP="008E03C1">
      <w:pPr>
        <w:pStyle w:val="SGACP-enumerationniveau1"/>
        <w:numPr>
          <w:ilvl w:val="0"/>
          <w:numId w:val="66"/>
        </w:numPr>
        <w:ind w:left="284" w:hanging="284"/>
      </w:pPr>
      <w:r>
        <w:t xml:space="preserve">présentation des </w:t>
      </w:r>
      <w:r w:rsidR="009F04CF">
        <w:t xml:space="preserve">objectifs de la politique de sécurité des systèmes d’information </w:t>
      </w:r>
      <w:r w:rsidR="001C64D2">
        <w:t>(protection de la confidentialité,</w:t>
      </w:r>
      <w:r>
        <w:t xml:space="preserve"> </w:t>
      </w:r>
      <w:r w:rsidR="001C64D2">
        <w:t xml:space="preserve">de l’intégrité et de la disponibilité des informations, des actifs, des services informatiques et des données des clients) </w:t>
      </w:r>
      <w:r w:rsidR="009F04CF">
        <w:t>et nom du responsable de la sécurité des systèmes d’information ;</w:t>
      </w:r>
    </w:p>
    <w:p w:rsidR="009F04CF" w:rsidRPr="007A52AA" w:rsidRDefault="00BE7815" w:rsidP="008E03C1">
      <w:pPr>
        <w:pStyle w:val="Paragraphedeliste"/>
        <w:numPr>
          <w:ilvl w:val="0"/>
          <w:numId w:val="66"/>
        </w:numPr>
        <w:spacing w:before="120"/>
        <w:ind w:left="284" w:hanging="284"/>
        <w:rPr>
          <w:szCs w:val="24"/>
        </w:rPr>
      </w:pPr>
      <w:r>
        <w:t xml:space="preserve">description des procédures mises en place </w:t>
      </w:r>
      <w:r w:rsidR="00287633">
        <w:t>pour prévenir et traiter</w:t>
      </w:r>
      <w:r w:rsidR="00287633" w:rsidRPr="009F04CF">
        <w:t xml:space="preserve"> </w:t>
      </w:r>
      <w:r w:rsidR="00287633">
        <w:t xml:space="preserve">les </w:t>
      </w:r>
      <w:r w:rsidR="009F04CF">
        <w:t xml:space="preserve">incidents </w:t>
      </w:r>
      <w:r>
        <w:t>(</w:t>
      </w:r>
      <w:r w:rsidR="003B7357">
        <w:t xml:space="preserve">c’est-à-dire </w:t>
      </w:r>
      <w:r>
        <w:t xml:space="preserve">un ou plusieurs évènements indésirables ou inattendus fortement susceptibles de compromettre la sécurité des informations et d’affaiblir ou </w:t>
      </w:r>
      <w:r w:rsidR="003B7357">
        <w:t>de nui</w:t>
      </w:r>
      <w:r>
        <w:t>re</w:t>
      </w:r>
      <w:r w:rsidR="003B7357">
        <w:t xml:space="preserve"> à</w:t>
      </w:r>
      <w:r>
        <w:t xml:space="preserve"> l’activité de l’établissement)</w:t>
      </w:r>
      <w:r w:rsidR="009F04CF">
        <w:t>,</w:t>
      </w:r>
      <w:r w:rsidR="009F04CF" w:rsidRPr="009F04CF">
        <w:t xml:space="preserve"> notamment pour les incidents majeurs</w:t>
      </w:r>
      <w:r w:rsidR="009F04CF" w:rsidRPr="009F04CF">
        <w:rPr>
          <w:position w:val="6"/>
          <w:sz w:val="12"/>
          <w:bdr w:val="none" w:sz="0" w:space="0" w:color="auto" w:frame="1"/>
        </w:rPr>
        <w:footnoteReference w:id="7"/>
      </w:r>
      <w:r w:rsidR="009F04CF">
        <w:rPr>
          <w:szCs w:val="24"/>
        </w:rPr>
        <w:t xml:space="preserve"> </w:t>
      </w:r>
      <w:r w:rsidR="009F04CF" w:rsidRPr="009F04CF">
        <w:t>(dispositifs de sécurité physique et logique, de préservation de l’intégrité et de la confidentialité des données, mesures spécifiques mises en place pour l’activité de banque en ligne, description des tests d’intrusion effectués au cours de l’exercice, plan de secours informatique</w:t>
      </w:r>
      <w:r w:rsidR="009F04CF">
        <w:t>…) ;</w:t>
      </w:r>
    </w:p>
    <w:p w:rsidR="009E2959" w:rsidRPr="009E2959" w:rsidRDefault="009430F9" w:rsidP="002F6550">
      <w:pPr>
        <w:pStyle w:val="SGACP-enumerationniveau1"/>
        <w:numPr>
          <w:ilvl w:val="0"/>
          <w:numId w:val="66"/>
        </w:numPr>
        <w:ind w:left="284" w:hanging="284"/>
        <w:rPr>
          <w:szCs w:val="24"/>
        </w:rPr>
      </w:pPr>
      <w:r>
        <w:t>présentation de la procédure d’information du superviseur en cas d’incidents majeurs</w:t>
      </w:r>
      <w:r w:rsidR="00A8282F">
        <w:t> ;</w:t>
      </w:r>
      <w:r>
        <w:t xml:space="preserve"> </w:t>
      </w:r>
    </w:p>
    <w:p w:rsidR="00331B88" w:rsidRPr="0041661B" w:rsidRDefault="00783340" w:rsidP="008E03C1">
      <w:pPr>
        <w:pStyle w:val="SGACP-enumerationniveau1"/>
        <w:numPr>
          <w:ilvl w:val="0"/>
          <w:numId w:val="66"/>
        </w:numPr>
        <w:ind w:left="284" w:hanging="284"/>
        <w:rPr>
          <w:szCs w:val="24"/>
        </w:rPr>
      </w:pPr>
      <w:r>
        <w:t xml:space="preserve">présentation du </w:t>
      </w:r>
      <w:r w:rsidR="00123989">
        <w:t xml:space="preserve">programme de sensibilisation à la sécurité du système d’information (sensibilisation des collaborateurs et prestataires) </w:t>
      </w:r>
      <w:r w:rsidR="00123989" w:rsidRPr="00890013">
        <w:t xml:space="preserve">et </w:t>
      </w:r>
      <w:r w:rsidRPr="00890013">
        <w:t xml:space="preserve">des </w:t>
      </w:r>
      <w:r w:rsidR="00123989" w:rsidRPr="00890013">
        <w:t>formations régulières</w:t>
      </w:r>
      <w:r w:rsidR="00B03696" w:rsidRPr="00890013">
        <w:t xml:space="preserve"> (cf. dernier alinéa de l’article 270-3 de l’arrêté du 3 novembre 2014 modifié)</w:t>
      </w:r>
      <w:r w:rsidR="006C3CF2" w:rsidRPr="00890013">
        <w:t>.</w:t>
      </w:r>
    </w:p>
    <w:p w:rsidR="0041661B" w:rsidRPr="00916D7E" w:rsidRDefault="0041661B" w:rsidP="006C3CF2">
      <w:pPr>
        <w:pStyle w:val="SGACP-enumerationniveau1"/>
        <w:numPr>
          <w:ilvl w:val="0"/>
          <w:numId w:val="0"/>
        </w:numPr>
        <w:ind w:left="-76"/>
        <w:rPr>
          <w:szCs w:val="24"/>
        </w:rPr>
      </w:pPr>
    </w:p>
    <w:p w:rsidR="00916D7E" w:rsidRDefault="00916D7E" w:rsidP="002F6550">
      <w:pPr>
        <w:pStyle w:val="SGACP-sous-titrederubriqueniveau3"/>
        <w:keepNext/>
        <w:keepLines/>
      </w:pPr>
      <w:r>
        <w:t>11.5.4 Gestion des opérations informatiques</w:t>
      </w:r>
      <w:r w:rsidR="00917BC6">
        <w:t> :</w:t>
      </w:r>
    </w:p>
    <w:p w:rsidR="002375A3" w:rsidRPr="00890013" w:rsidRDefault="00CE43D6" w:rsidP="002F6550">
      <w:pPr>
        <w:pStyle w:val="SGACP-enumerationniveau1"/>
        <w:numPr>
          <w:ilvl w:val="0"/>
          <w:numId w:val="66"/>
        </w:numPr>
        <w:ind w:left="284" w:hanging="284"/>
      </w:pPr>
      <w:r w:rsidRPr="002B7ACF">
        <w:t>d</w:t>
      </w:r>
      <w:r w:rsidR="00F63C4B" w:rsidRPr="0047516D">
        <w:t xml:space="preserve">escription </w:t>
      </w:r>
      <w:r w:rsidR="00963E0D" w:rsidRPr="0047516D">
        <w:t>des processus de gestion</w:t>
      </w:r>
      <w:r w:rsidR="002375A3" w:rsidRPr="0047516D">
        <w:t xml:space="preserve"> des opérations informatiques</w:t>
      </w:r>
      <w:r w:rsidR="00F63C4B" w:rsidRPr="0047516D">
        <w:t xml:space="preserve"> : </w:t>
      </w:r>
      <w:r w:rsidRPr="004E7222">
        <w:t xml:space="preserve">présentation </w:t>
      </w:r>
      <w:r w:rsidR="00F63C4B" w:rsidRPr="004E7222">
        <w:t xml:space="preserve">des procédures couvrant l’exploitation, la surveillance et le </w:t>
      </w:r>
      <w:r w:rsidR="00F63C4B" w:rsidRPr="00890013">
        <w:t>contrôle des systèmes et services informatiques ;</w:t>
      </w:r>
      <w:r w:rsidR="002375A3" w:rsidRPr="00890013">
        <w:t xml:space="preserve">  </w:t>
      </w:r>
    </w:p>
    <w:p w:rsidR="00963E0D" w:rsidRPr="00890013" w:rsidRDefault="00CE43D6" w:rsidP="002F6550">
      <w:pPr>
        <w:pStyle w:val="SGACP-enumerationniveau1"/>
        <w:numPr>
          <w:ilvl w:val="0"/>
          <w:numId w:val="66"/>
        </w:numPr>
        <w:ind w:left="284" w:hanging="284"/>
      </w:pPr>
      <w:r w:rsidRPr="00890013">
        <w:t>d</w:t>
      </w:r>
      <w:r w:rsidR="0041661B" w:rsidRPr="00890013">
        <w:t>escription du processus de détection et de gestion des incidents opérationnels ou de sécurité</w:t>
      </w:r>
      <w:r w:rsidR="00B03696" w:rsidRPr="00890013">
        <w:t xml:space="preserve"> (cf. article 270-4 de l’arrêté du 3 novembre 2014 modifié)</w:t>
      </w:r>
      <w:r w:rsidR="00257766" w:rsidRPr="00890013">
        <w:t>.</w:t>
      </w:r>
      <w:r w:rsidR="002375A3" w:rsidRPr="00890013">
        <w:t xml:space="preserve">  </w:t>
      </w:r>
    </w:p>
    <w:p w:rsidR="00E47067" w:rsidRDefault="00E47067" w:rsidP="002F6550"/>
    <w:p w:rsidR="00E47067" w:rsidRDefault="00E47067" w:rsidP="002F6550">
      <w:pPr>
        <w:pStyle w:val="SGACP-sous-titrederubriqueniveau3"/>
        <w:keepNext/>
        <w:keepLines/>
      </w:pPr>
      <w:bookmarkStart w:id="147" w:name="_Toc266799825"/>
      <w:r>
        <w:t>11.5.5 Gestion du changement et de</w:t>
      </w:r>
      <w:r w:rsidR="00321F49">
        <w:t>s</w:t>
      </w:r>
      <w:r>
        <w:t xml:space="preserve"> projets : </w:t>
      </w:r>
    </w:p>
    <w:p w:rsidR="00E47067" w:rsidRPr="00E85F9D" w:rsidRDefault="00CE43D6" w:rsidP="002F6550">
      <w:pPr>
        <w:pStyle w:val="SGACP-enumerationniveau1"/>
        <w:numPr>
          <w:ilvl w:val="0"/>
          <w:numId w:val="66"/>
        </w:numPr>
        <w:ind w:left="284" w:hanging="284"/>
      </w:pPr>
      <w:r w:rsidRPr="002B7ACF">
        <w:t>d</w:t>
      </w:r>
      <w:r w:rsidR="00C26799" w:rsidRPr="0047516D">
        <w:t>escription du cadre de conduite des projets et programmes informatiques</w:t>
      </w:r>
      <w:r w:rsidR="00932DC4" w:rsidRPr="0047516D">
        <w:t> ;</w:t>
      </w:r>
    </w:p>
    <w:p w:rsidR="00321F49" w:rsidRDefault="00CE43D6" w:rsidP="002F6550">
      <w:pPr>
        <w:pStyle w:val="SGACP-enumerationniveau1"/>
        <w:numPr>
          <w:ilvl w:val="0"/>
          <w:numId w:val="66"/>
        </w:numPr>
        <w:ind w:left="284" w:hanging="284"/>
      </w:pPr>
      <w:r w:rsidRPr="002B7ACF">
        <w:t>d</w:t>
      </w:r>
      <w:r w:rsidR="00321F49" w:rsidRPr="0047516D">
        <w:t xml:space="preserve">escription d’un processus de gestion de l’acquisition, du développement et de l’entretien des systèmes d’information et d’un processus </w:t>
      </w:r>
      <w:r w:rsidR="00E85F9D" w:rsidRPr="0047516D">
        <w:t>de changements des programmes informatiques</w:t>
      </w:r>
      <w:r w:rsidR="00B03696">
        <w:t xml:space="preserve"> : </w:t>
      </w:r>
      <w:r w:rsidR="00E85F9D" w:rsidRPr="00890013">
        <w:rPr>
          <w:i/>
        </w:rPr>
        <w:t>mo</w:t>
      </w:r>
      <w:r w:rsidR="00544124" w:rsidRPr="00890013">
        <w:rPr>
          <w:i/>
        </w:rPr>
        <w:t>dalités d’</w:t>
      </w:r>
      <w:r w:rsidR="00E85F9D" w:rsidRPr="00890013">
        <w:rPr>
          <w:i/>
        </w:rPr>
        <w:t>enregistr</w:t>
      </w:r>
      <w:r w:rsidR="00544124" w:rsidRPr="00890013">
        <w:rPr>
          <w:i/>
        </w:rPr>
        <w:t>ement, de test, d’évaluation et d’approbation et d’implémentation des modifications apportées au système d’information</w:t>
      </w:r>
      <w:r w:rsidR="00B03696">
        <w:t xml:space="preserve"> </w:t>
      </w:r>
      <w:r w:rsidR="00B03696" w:rsidRPr="00890013">
        <w:t>(cf. article 270-5 de l’arrêté du 3 novembre 2014 modifié</w:t>
      </w:r>
      <w:r w:rsidR="00E85F9D" w:rsidRPr="00A342F6">
        <w:t>).</w:t>
      </w:r>
      <w:r w:rsidR="00E85F9D" w:rsidRPr="002F6550">
        <w:t xml:space="preserve"> </w:t>
      </w:r>
      <w:r w:rsidR="00321F49" w:rsidRPr="002F6550">
        <w:t xml:space="preserve"> </w:t>
      </w:r>
    </w:p>
    <w:p w:rsidR="00DC0250" w:rsidRDefault="00DC0250" w:rsidP="00463A1C"/>
    <w:p w:rsidR="00463A1C" w:rsidRPr="007F2900" w:rsidRDefault="008F3AF1">
      <w:pPr>
        <w:pStyle w:val="SGACP-sous-titrederubriquenivaeu2"/>
      </w:pPr>
      <w:r>
        <w:t>11</w:t>
      </w:r>
      <w:r w:rsidR="00DC0250">
        <w:t>.</w:t>
      </w:r>
      <w:r w:rsidR="00CA2B80">
        <w:t>6</w:t>
      </w:r>
      <w:r w:rsidR="00DC0250">
        <w:t>.</w:t>
      </w:r>
      <w:r w:rsidR="00DC0250">
        <w:tab/>
      </w:r>
      <w:r w:rsidR="00463A1C" w:rsidRPr="007F2900">
        <w:t xml:space="preserve">Résultats des contrôles permanents </w:t>
      </w:r>
      <w:r w:rsidR="002B7399">
        <w:t>de 2</w:t>
      </w:r>
      <w:r w:rsidR="002B7399" w:rsidRPr="002B7399">
        <w:rPr>
          <w:vertAlign w:val="superscript"/>
        </w:rPr>
        <w:t>ème</w:t>
      </w:r>
      <w:r w:rsidR="002B7399">
        <w:t xml:space="preserve"> niveau</w:t>
      </w:r>
      <w:r w:rsidR="002B7399" w:rsidRPr="007F2900">
        <w:t xml:space="preserve"> </w:t>
      </w:r>
      <w:r w:rsidR="00463A1C" w:rsidRPr="007F2900">
        <w:t>menés en matière de risque opérationnel</w:t>
      </w:r>
      <w:bookmarkEnd w:id="147"/>
      <w:r w:rsidR="004F2CE1">
        <w:t> </w:t>
      </w:r>
      <w:r w:rsidR="005E3077">
        <w:t xml:space="preserve">y compris </w:t>
      </w:r>
      <w:r w:rsidR="00C068ED">
        <w:t>du risque informatique</w:t>
      </w:r>
      <w:r w:rsidR="005E3077">
        <w:t xml:space="preserve"> </w:t>
      </w:r>
      <w:r w:rsidR="004F2CE1">
        <w:t>:</w:t>
      </w:r>
    </w:p>
    <w:p w:rsidR="00331B88" w:rsidRDefault="004F2CE1" w:rsidP="006D1AEB">
      <w:pPr>
        <w:pStyle w:val="SGACP-enumerationniveau1"/>
        <w:ind w:left="284" w:hanging="284"/>
      </w:pPr>
      <w:r>
        <w:t>p</w:t>
      </w:r>
      <w:r w:rsidR="00463A1C" w:rsidRPr="007F2900">
        <w:t>rincipales insuffisances relevées</w:t>
      </w:r>
      <w:r>
        <w:t> ;</w:t>
      </w:r>
    </w:p>
    <w:p w:rsidR="00331B88" w:rsidRDefault="004F2CE1" w:rsidP="006D1AEB">
      <w:pPr>
        <w:pStyle w:val="SGACP-enumerationniveau1"/>
        <w:ind w:left="284" w:hanging="284"/>
      </w:pPr>
      <w:r>
        <w:t>m</w:t>
      </w:r>
      <w:r w:rsidR="00463A1C" w:rsidRPr="007F2900">
        <w:t>esures correctives engagées pour remédier aux insuffisances relevées,</w:t>
      </w:r>
      <w:r w:rsidR="00463A1C" w:rsidRPr="0039794C">
        <w:t xml:space="preserve"> date de réalisation prévisionnelle de ces mesures et état d</w:t>
      </w:r>
      <w:r w:rsidR="001224E7">
        <w:t>’</w:t>
      </w:r>
      <w:r w:rsidR="00463A1C" w:rsidRPr="0039794C">
        <w:t>avancement de leur mise en œuvre à la date de rédaction du présent rapport</w:t>
      </w:r>
      <w:r w:rsidRPr="0039794C">
        <w:t> ;</w:t>
      </w:r>
    </w:p>
    <w:p w:rsidR="00331B88" w:rsidRPr="004B0BE5" w:rsidRDefault="004F2CE1" w:rsidP="006D1AEB">
      <w:pPr>
        <w:pStyle w:val="SGACP-enumerationniveau1"/>
        <w:ind w:left="284" w:hanging="284"/>
      </w:pPr>
      <w:r>
        <w:t>m</w:t>
      </w:r>
      <w:r w:rsidR="00463A1C" w:rsidRPr="007F2900">
        <w:t xml:space="preserve">odalités de suivi des recommandations résultant des contrôles permanents </w:t>
      </w:r>
      <w:r w:rsidR="00463A1C" w:rsidRPr="00DC0250">
        <w:rPr>
          <w:i/>
          <w:iCs/>
        </w:rPr>
        <w:t>(outils, personnes en charge)</w:t>
      </w:r>
      <w:r>
        <w:rPr>
          <w:i/>
          <w:iCs/>
        </w:rPr>
        <w:t> </w:t>
      </w:r>
      <w:r w:rsidRPr="00935917">
        <w:rPr>
          <w:iCs/>
        </w:rPr>
        <w:t>;</w:t>
      </w:r>
    </w:p>
    <w:p w:rsidR="00331B88" w:rsidRDefault="004F2CE1" w:rsidP="006D1AEB">
      <w:pPr>
        <w:pStyle w:val="SGACP-enumerationniveau1"/>
        <w:ind w:left="284" w:hanging="284"/>
      </w:pPr>
      <w:r w:rsidRPr="004B0BE5">
        <w:t>m</w:t>
      </w:r>
      <w:r w:rsidR="00463A1C" w:rsidRPr="004B0BE5">
        <w:t>odalités de</w:t>
      </w:r>
      <w:r w:rsidR="00463A1C" w:rsidRPr="007F2900">
        <w:t xml:space="preserve"> vérification de l</w:t>
      </w:r>
      <w:r w:rsidR="001224E7">
        <w:t>’</w:t>
      </w:r>
      <w:r w:rsidR="00463A1C" w:rsidRPr="007F2900">
        <w:t xml:space="preserve">exécution dans des délais raisonnables des mesures correctrices décidées au sein des entreprises, par les personnes </w:t>
      </w:r>
      <w:r w:rsidR="00463A1C" w:rsidRPr="00156279">
        <w:t xml:space="preserve">compétentes </w:t>
      </w:r>
      <w:r w:rsidR="00463A1C" w:rsidRPr="003D1AFF">
        <w:rPr>
          <w:iCs/>
        </w:rPr>
        <w:t>(cf. articles</w:t>
      </w:r>
      <w:r w:rsidR="00290219" w:rsidRPr="003D1AFF">
        <w:rPr>
          <w:iCs/>
        </w:rPr>
        <w:t xml:space="preserve"> 11 f) et 26 </w:t>
      </w:r>
      <w:r w:rsidR="00813951" w:rsidRPr="003D1AFF">
        <w:rPr>
          <w:iCs/>
        </w:rPr>
        <w:t xml:space="preserve">a) </w:t>
      </w:r>
      <w:r w:rsidR="00813951" w:rsidRPr="00156279">
        <w:t>de</w:t>
      </w:r>
      <w:r w:rsidR="00813951">
        <w:t xml:space="preserve"> l’arrêté du 3 novembre </w:t>
      </w:r>
      <w:r w:rsidR="00813951" w:rsidRPr="004B0BE5">
        <w:t>2014</w:t>
      </w:r>
      <w:r w:rsidR="00192F7C">
        <w:t xml:space="preserve"> modifié</w:t>
      </w:r>
      <w:r w:rsidR="00463A1C" w:rsidRPr="00935917">
        <w:rPr>
          <w:iCs/>
        </w:rPr>
        <w:t>)</w:t>
      </w:r>
      <w:r w:rsidRPr="00935917">
        <w:rPr>
          <w:iCs/>
        </w:rPr>
        <w:t>.</w:t>
      </w:r>
    </w:p>
    <w:p w:rsidR="00DC0250" w:rsidRDefault="00DC0250" w:rsidP="00463A1C">
      <w:bookmarkStart w:id="148" w:name="_Toc244576467"/>
      <w:bookmarkStart w:id="149" w:name="_Toc266799826"/>
    </w:p>
    <w:p w:rsidR="00463A1C" w:rsidRPr="007F2900" w:rsidRDefault="008F3AF1" w:rsidP="00DC0250">
      <w:pPr>
        <w:pStyle w:val="SGACP-sous-titrederubriquenivaeu2"/>
      </w:pPr>
      <w:r>
        <w:t>11</w:t>
      </w:r>
      <w:r w:rsidR="00DC0250">
        <w:t>.</w:t>
      </w:r>
      <w:r w:rsidR="00CA2B80">
        <w:t>7</w:t>
      </w:r>
      <w:r w:rsidR="00DC0250">
        <w:t>.</w:t>
      </w:r>
      <w:r w:rsidR="00DC0250">
        <w:tab/>
      </w:r>
      <w:r w:rsidR="00463A1C" w:rsidRPr="007F2900">
        <w:t>Conclusion synthétique sur l</w:t>
      </w:r>
      <w:r w:rsidR="001224E7">
        <w:t>’</w:t>
      </w:r>
      <w:r w:rsidR="00463A1C" w:rsidRPr="007F2900">
        <w:t>exposition au risque opérationnel</w:t>
      </w:r>
      <w:bookmarkEnd w:id="148"/>
      <w:bookmarkEnd w:id="149"/>
    </w:p>
    <w:p w:rsidR="004C66F5" w:rsidRDefault="004C66F5" w:rsidP="00463A1C">
      <w:bookmarkStart w:id="150" w:name="_Toc266799827"/>
      <w:bookmarkStart w:id="151" w:name="_Toc266799864"/>
    </w:p>
    <w:p w:rsidR="005E4C08" w:rsidRDefault="005E4C08" w:rsidP="00463A1C"/>
    <w:p w:rsidR="00331B88" w:rsidRDefault="00463A1C">
      <w:pPr>
        <w:pStyle w:val="StyleSGACP-titrederubriqueniveau1CouleurpersonnaliseRVB"/>
        <w:keepNext/>
        <w:keepLines/>
        <w:ind w:left="426" w:hanging="426"/>
      </w:pPr>
      <w:bookmarkStart w:id="152" w:name="_Toc137799884"/>
      <w:r w:rsidRPr="007D7872">
        <w:t>Risque comptable</w:t>
      </w:r>
      <w:bookmarkEnd w:id="150"/>
      <w:bookmarkEnd w:id="151"/>
      <w:bookmarkEnd w:id="152"/>
    </w:p>
    <w:p w:rsidR="00DC0250" w:rsidRDefault="00DC0250" w:rsidP="00463A1C">
      <w:bookmarkStart w:id="153" w:name="_Toc266799828"/>
    </w:p>
    <w:p w:rsidR="00463A1C" w:rsidRPr="007F2900" w:rsidRDefault="008F3AF1" w:rsidP="00DC0250">
      <w:pPr>
        <w:pStyle w:val="SGACP-sous-titrederubriquenivaeu2"/>
      </w:pPr>
      <w:r>
        <w:t>12</w:t>
      </w:r>
      <w:r w:rsidR="00DC0250">
        <w:t>.1.</w:t>
      </w:r>
      <w:r w:rsidR="00DC0250">
        <w:tab/>
      </w:r>
      <w:r w:rsidR="00463A1C" w:rsidRPr="007F2900">
        <w:t>Modifications significatives apportées à l</w:t>
      </w:r>
      <w:r w:rsidR="001224E7">
        <w:t>’</w:t>
      </w:r>
      <w:r w:rsidR="00463A1C" w:rsidRPr="007F2900">
        <w:t>organisation du dispositif comptable</w:t>
      </w:r>
      <w:bookmarkEnd w:id="153"/>
    </w:p>
    <w:p w:rsidR="00DC0250" w:rsidRPr="00DC0250" w:rsidRDefault="00DC0250" w:rsidP="00DC0250">
      <w:pPr>
        <w:pStyle w:val="SGACP-textecourant"/>
        <w:ind w:left="284"/>
        <w:rPr>
          <w:i/>
          <w:iCs/>
        </w:rPr>
      </w:pPr>
    </w:p>
    <w:p w:rsidR="002A53BE" w:rsidRDefault="00463A1C" w:rsidP="002C0F9D">
      <w:pPr>
        <w:pStyle w:val="SGACP-textecourant"/>
        <w:rPr>
          <w:i/>
          <w:iCs/>
        </w:rPr>
      </w:pPr>
      <w:r w:rsidRPr="00DC0250">
        <w:rPr>
          <w:i/>
          <w:iCs/>
        </w:rPr>
        <w:t>Lorsque l</w:t>
      </w:r>
      <w:r w:rsidR="001224E7">
        <w:rPr>
          <w:i/>
          <w:iCs/>
        </w:rPr>
        <w:t>’</w:t>
      </w:r>
      <w:r w:rsidRPr="00DC0250">
        <w:rPr>
          <w:i/>
          <w:iCs/>
        </w:rPr>
        <w:t xml:space="preserve">organisation du dispositif comptable ne présente pas de changements significatifs, elle peut être présentée de manière synthétique dans une annexe. </w:t>
      </w:r>
    </w:p>
    <w:p w:rsidR="002F066C" w:rsidRDefault="002F066C" w:rsidP="002C0F9D">
      <w:pPr>
        <w:pStyle w:val="SGACP-textecourant"/>
        <w:rPr>
          <w:i/>
          <w:iCs/>
        </w:rPr>
      </w:pPr>
    </w:p>
    <w:p w:rsidR="00FF5D04" w:rsidRPr="00F76A88" w:rsidRDefault="002F066C" w:rsidP="00460E3D">
      <w:pPr>
        <w:pStyle w:val="SGACP-textecourant"/>
        <w:numPr>
          <w:ilvl w:val="0"/>
          <w:numId w:val="38"/>
        </w:numPr>
        <w:ind w:left="284" w:hanging="284"/>
        <w:rPr>
          <w:iCs/>
        </w:rPr>
      </w:pPr>
      <w:r>
        <w:rPr>
          <w:iCs/>
        </w:rPr>
        <w:t>p</w:t>
      </w:r>
      <w:r w:rsidR="00FF5D04" w:rsidRPr="00F76A88">
        <w:rPr>
          <w:iCs/>
        </w:rPr>
        <w:t xml:space="preserve">résentation des </w:t>
      </w:r>
      <w:r w:rsidR="00FF5D04">
        <w:rPr>
          <w:iCs/>
        </w:rPr>
        <w:t>modifications intervenues dans le périmètre de consolidation le cas échéant (entrées et sorties)</w:t>
      </w:r>
      <w:r w:rsidR="00D82F7B">
        <w:rPr>
          <w:iCs/>
        </w:rPr>
        <w:t>.</w:t>
      </w:r>
    </w:p>
    <w:p w:rsidR="00FF5D04" w:rsidRDefault="00FF5D04">
      <w:pPr>
        <w:pStyle w:val="SGACP-textecourant"/>
        <w:rPr>
          <w:i/>
          <w:iCs/>
        </w:rPr>
      </w:pPr>
    </w:p>
    <w:p w:rsidR="00463A1C" w:rsidRDefault="008F3AF1" w:rsidP="00DC0250">
      <w:pPr>
        <w:pStyle w:val="SGACP-sous-titrederubriquenivaeu2"/>
      </w:pPr>
      <w:bookmarkStart w:id="154" w:name="_Toc266799829"/>
      <w:r>
        <w:t>12</w:t>
      </w:r>
      <w:r w:rsidR="00DC0250">
        <w:t>.2.</w:t>
      </w:r>
      <w:r w:rsidR="00DC0250">
        <w:tab/>
      </w:r>
      <w:r w:rsidR="00463A1C" w:rsidRPr="007F2900">
        <w:t xml:space="preserve">Résultats des contrôles permanents </w:t>
      </w:r>
      <w:r w:rsidR="002B7399">
        <w:t>de 2</w:t>
      </w:r>
      <w:r w:rsidR="002B7399" w:rsidRPr="002B7399">
        <w:rPr>
          <w:vertAlign w:val="superscript"/>
        </w:rPr>
        <w:t>ème</w:t>
      </w:r>
      <w:r w:rsidR="002B7399">
        <w:t xml:space="preserve"> niveau</w:t>
      </w:r>
      <w:r w:rsidR="002B7399" w:rsidRPr="007F2900">
        <w:t xml:space="preserve"> </w:t>
      </w:r>
      <w:r w:rsidR="00463A1C" w:rsidRPr="007F2900">
        <w:t>menés en matière de risque comptable</w:t>
      </w:r>
      <w:bookmarkEnd w:id="154"/>
      <w:r w:rsidR="004F2CE1">
        <w:t> :</w:t>
      </w:r>
    </w:p>
    <w:p w:rsidR="00331B88" w:rsidRDefault="004F2CE1" w:rsidP="006D1AEB">
      <w:pPr>
        <w:pStyle w:val="SGACP-enumerationniveau1"/>
        <w:ind w:left="284" w:hanging="284"/>
      </w:pPr>
      <w:r>
        <w:t>p</w:t>
      </w:r>
      <w:r w:rsidR="00463A1C" w:rsidRPr="007F2900">
        <w:t>rincipales insuffisances relevées</w:t>
      </w:r>
      <w:r>
        <w:t> ;</w:t>
      </w:r>
    </w:p>
    <w:p w:rsidR="00331B88" w:rsidRDefault="004F2CE1" w:rsidP="006D1AEB">
      <w:pPr>
        <w:pStyle w:val="SGACP-enumerationniveau1"/>
        <w:ind w:left="284" w:hanging="284"/>
      </w:pPr>
      <w:r>
        <w:t>m</w:t>
      </w:r>
      <w:r w:rsidR="00463A1C" w:rsidRPr="007F2900">
        <w:t>esures correctives engagées pour remédier aux insuffisances relevées,</w:t>
      </w:r>
      <w:r w:rsidR="00463A1C" w:rsidRPr="000E2922">
        <w:t xml:space="preserve"> date de réalisation prévisionnelle de ces mesures et état d</w:t>
      </w:r>
      <w:r w:rsidR="001224E7">
        <w:t>’</w:t>
      </w:r>
      <w:r w:rsidR="00463A1C" w:rsidRPr="000E2922">
        <w:t>avancement de leur mise en œuvre à la date de rédaction du présent rapport</w:t>
      </w:r>
      <w:r w:rsidRPr="000E2922">
        <w:t> ;</w:t>
      </w:r>
    </w:p>
    <w:p w:rsidR="00331B88" w:rsidRPr="004B0BE5" w:rsidRDefault="004F2CE1" w:rsidP="006D1AEB">
      <w:pPr>
        <w:pStyle w:val="SGACP-enumerationniveau1"/>
        <w:ind w:left="284" w:hanging="284"/>
      </w:pPr>
      <w:r>
        <w:t>m</w:t>
      </w:r>
      <w:r w:rsidR="00463A1C" w:rsidRPr="007F2900">
        <w:t xml:space="preserve">odalités de suivi des recommandations résultant des contrôles permanents </w:t>
      </w:r>
      <w:r w:rsidR="00463A1C" w:rsidRPr="00DC0250">
        <w:rPr>
          <w:i/>
          <w:iCs/>
        </w:rPr>
        <w:t>(outils, personnes en charge)</w:t>
      </w:r>
      <w:r>
        <w:rPr>
          <w:i/>
          <w:iCs/>
        </w:rPr>
        <w:t> </w:t>
      </w:r>
      <w:r w:rsidRPr="00935917">
        <w:rPr>
          <w:iCs/>
        </w:rPr>
        <w:t>;</w:t>
      </w:r>
    </w:p>
    <w:p w:rsidR="00FF5D04" w:rsidRDefault="004F2CE1" w:rsidP="007461CE">
      <w:pPr>
        <w:pStyle w:val="SGACP-enumerationniveau1"/>
        <w:ind w:left="284" w:hanging="284"/>
      </w:pPr>
      <w:r>
        <w:lastRenderedPageBreak/>
        <w:t>m</w:t>
      </w:r>
      <w:r w:rsidR="00463A1C" w:rsidRPr="007F2900">
        <w:t xml:space="preserve">odalités de vérification de </w:t>
      </w:r>
      <w:r w:rsidR="00463A1C" w:rsidRPr="004B0BE5">
        <w:t>l</w:t>
      </w:r>
      <w:r w:rsidR="001224E7" w:rsidRPr="004B0BE5">
        <w:t>’</w:t>
      </w:r>
      <w:r w:rsidR="00463A1C" w:rsidRPr="004B0BE5">
        <w:t xml:space="preserve">exécution dans des délais raisonnables des mesures correctrices décidées au sein des entreprises, par les personnes compétentes </w:t>
      </w:r>
      <w:r w:rsidR="00463A1C" w:rsidRPr="004B0BE5">
        <w:rPr>
          <w:iCs/>
        </w:rPr>
        <w:t>(cf. articles</w:t>
      </w:r>
      <w:r w:rsidR="00290219" w:rsidRPr="004B0BE5">
        <w:rPr>
          <w:iCs/>
        </w:rPr>
        <w:t xml:space="preserve"> 11 f) et 26 </w:t>
      </w:r>
      <w:r w:rsidR="00813951" w:rsidRPr="004B0BE5">
        <w:rPr>
          <w:iCs/>
        </w:rPr>
        <w:t xml:space="preserve">a) </w:t>
      </w:r>
      <w:r w:rsidR="00813951" w:rsidRPr="004B0BE5">
        <w:t>de l’arrêté du 3 novembre 2014</w:t>
      </w:r>
      <w:r w:rsidR="00852089">
        <w:t xml:space="preserve"> modifié</w:t>
      </w:r>
      <w:r w:rsidR="00463A1C" w:rsidRPr="00935917">
        <w:rPr>
          <w:iCs/>
        </w:rPr>
        <w:t>)</w:t>
      </w:r>
      <w:r w:rsidR="00FF5D04">
        <w:rPr>
          <w:iCs/>
        </w:rPr>
        <w:t> </w:t>
      </w:r>
      <w:r w:rsidR="00FF5D04">
        <w:t>;</w:t>
      </w:r>
    </w:p>
    <w:p w:rsidR="003274DB" w:rsidRPr="004B0BE5" w:rsidRDefault="00FF5D04" w:rsidP="00FF5D04">
      <w:pPr>
        <w:pStyle w:val="SGACP-enumerationniveau1"/>
        <w:ind w:left="284" w:hanging="284"/>
      </w:pPr>
      <w:r>
        <w:rPr>
          <w:iCs/>
        </w:rPr>
        <w:t>présentation du dispositif de prévention du risque comptable, y compris le risque de défaillance des systèmes informatiques (sites de repli…)</w:t>
      </w:r>
      <w:r w:rsidRPr="004B0BE5">
        <w:t>.</w:t>
      </w:r>
    </w:p>
    <w:p w:rsidR="003274DB" w:rsidRDefault="003274DB" w:rsidP="00460E3D">
      <w:pPr>
        <w:pStyle w:val="SGACP-enumerationniveau1"/>
        <w:numPr>
          <w:ilvl w:val="0"/>
          <w:numId w:val="0"/>
        </w:numPr>
        <w:spacing w:before="0"/>
        <w:ind w:left="284"/>
      </w:pPr>
    </w:p>
    <w:p w:rsidR="001511E1" w:rsidRPr="004B0BE5" w:rsidRDefault="001511E1" w:rsidP="00460E3D">
      <w:pPr>
        <w:pStyle w:val="SGACP-enumerationniveau1"/>
        <w:numPr>
          <w:ilvl w:val="0"/>
          <w:numId w:val="0"/>
        </w:numPr>
        <w:spacing w:before="0"/>
        <w:ind w:left="284"/>
      </w:pPr>
    </w:p>
    <w:p w:rsidR="000E1688" w:rsidRDefault="00463A1C" w:rsidP="000E1688">
      <w:pPr>
        <w:pStyle w:val="StyleSGACP-titrederubriqueniveau1CouleurpersonnaliseRVB"/>
        <w:keepNext/>
        <w:keepLines/>
        <w:ind w:left="426" w:hanging="426"/>
      </w:pPr>
      <w:bookmarkStart w:id="155" w:name="_Toc263679157"/>
      <w:bookmarkStart w:id="156" w:name="_Toc244576468"/>
      <w:bookmarkStart w:id="157" w:name="_Toc244598006"/>
      <w:bookmarkStart w:id="158" w:name="_Toc244601060"/>
      <w:bookmarkStart w:id="159" w:name="_Toc244692477"/>
      <w:bookmarkStart w:id="160" w:name="_Toc244692546"/>
      <w:bookmarkStart w:id="161" w:name="_Toc244938466"/>
      <w:bookmarkStart w:id="162" w:name="_Toc244938699"/>
      <w:bookmarkStart w:id="163" w:name="_Toc266799830"/>
      <w:bookmarkStart w:id="164" w:name="_Toc266799865"/>
      <w:bookmarkStart w:id="165" w:name="_Toc137799885"/>
      <w:bookmarkEnd w:id="155"/>
      <w:r w:rsidRPr="007D7872">
        <w:t>Risque de taux d</w:t>
      </w:r>
      <w:r w:rsidR="001224E7">
        <w:t>’</w:t>
      </w:r>
      <w:r w:rsidRPr="007D7872">
        <w:t xml:space="preserve">intérêt </w:t>
      </w:r>
      <w:bookmarkEnd w:id="156"/>
      <w:bookmarkEnd w:id="157"/>
      <w:bookmarkEnd w:id="158"/>
      <w:bookmarkEnd w:id="159"/>
      <w:bookmarkEnd w:id="160"/>
      <w:bookmarkEnd w:id="161"/>
      <w:bookmarkEnd w:id="162"/>
      <w:bookmarkEnd w:id="163"/>
      <w:bookmarkEnd w:id="164"/>
      <w:r w:rsidR="005E330A">
        <w:t>global</w:t>
      </w:r>
      <w:bookmarkEnd w:id="165"/>
      <w:r w:rsidR="004F2CE1" w:rsidRPr="007D7872">
        <w:t> </w:t>
      </w:r>
    </w:p>
    <w:p w:rsidR="00BF4186" w:rsidRDefault="00BF4186" w:rsidP="003D1AFF">
      <w:pPr>
        <w:pStyle w:val="SGACP-titrederubriqueniveau1"/>
        <w:numPr>
          <w:ilvl w:val="0"/>
          <w:numId w:val="0"/>
        </w:numPr>
        <w:ind w:left="426"/>
        <w:rPr>
          <w:rFonts w:ascii="Times New Roman" w:hAnsi="Times New Roman"/>
          <w:b w:val="0"/>
          <w:sz w:val="22"/>
        </w:rPr>
      </w:pPr>
    </w:p>
    <w:p w:rsidR="00864B7D" w:rsidRDefault="00864B7D" w:rsidP="00864B7D">
      <w:pPr>
        <w:rPr>
          <w:i/>
          <w:sz w:val="22"/>
          <w:szCs w:val="22"/>
        </w:rPr>
      </w:pPr>
      <w:r w:rsidRPr="007655D3">
        <w:rPr>
          <w:b/>
          <w:i/>
          <w:color w:val="003B8E"/>
          <w:sz w:val="22"/>
          <w:szCs w:val="22"/>
        </w:rPr>
        <w:t>Nota bene</w:t>
      </w:r>
      <w:r w:rsidRPr="007655D3">
        <w:rPr>
          <w:i/>
          <w:sz w:val="22"/>
          <w:szCs w:val="22"/>
        </w:rPr>
        <w:t> : Pour l’exercice 20</w:t>
      </w:r>
      <w:r>
        <w:rPr>
          <w:i/>
          <w:sz w:val="22"/>
          <w:szCs w:val="22"/>
        </w:rPr>
        <w:t>23</w:t>
      </w:r>
      <w:r w:rsidRPr="007655D3">
        <w:rPr>
          <w:i/>
          <w:sz w:val="22"/>
          <w:szCs w:val="22"/>
        </w:rPr>
        <w:t xml:space="preserve">, cette partie devra inclure une description des adaptations prises par l’établissement pour se mettre en conformité avec les nouvelles dispositions introduites par les </w:t>
      </w:r>
      <w:r>
        <w:rPr>
          <w:i/>
          <w:sz w:val="22"/>
          <w:szCs w:val="22"/>
        </w:rPr>
        <w:t>O</w:t>
      </w:r>
      <w:r w:rsidRPr="007655D3">
        <w:rPr>
          <w:i/>
          <w:sz w:val="22"/>
          <w:szCs w:val="22"/>
        </w:rPr>
        <w:t>rientations de l’</w:t>
      </w:r>
      <w:r>
        <w:rPr>
          <w:i/>
          <w:sz w:val="22"/>
          <w:szCs w:val="22"/>
        </w:rPr>
        <w:t>ABE</w:t>
      </w:r>
      <w:r w:rsidRPr="007655D3">
        <w:rPr>
          <w:i/>
          <w:sz w:val="22"/>
          <w:szCs w:val="22"/>
        </w:rPr>
        <w:t xml:space="preserve"> </w:t>
      </w:r>
      <w:r w:rsidRPr="005F398B">
        <w:rPr>
          <w:i/>
          <w:sz w:val="22"/>
          <w:szCs w:val="22"/>
        </w:rPr>
        <w:t>précisant les critères</w:t>
      </w:r>
      <w:r>
        <w:rPr>
          <w:i/>
          <w:sz w:val="22"/>
          <w:szCs w:val="22"/>
        </w:rPr>
        <w:t xml:space="preserve"> de détection, </w:t>
      </w:r>
      <w:r w:rsidRPr="005F398B">
        <w:rPr>
          <w:i/>
          <w:sz w:val="22"/>
          <w:szCs w:val="22"/>
        </w:rPr>
        <w:t>d’évaluation</w:t>
      </w:r>
      <w:r>
        <w:rPr>
          <w:i/>
          <w:sz w:val="22"/>
          <w:szCs w:val="22"/>
        </w:rPr>
        <w:t xml:space="preserve">, de gestion et d’atténuation </w:t>
      </w:r>
      <w:r w:rsidRPr="005F398B">
        <w:rPr>
          <w:i/>
          <w:sz w:val="22"/>
          <w:szCs w:val="22"/>
        </w:rPr>
        <w:t xml:space="preserve">des </w:t>
      </w:r>
      <w:r>
        <w:rPr>
          <w:i/>
          <w:sz w:val="22"/>
          <w:szCs w:val="22"/>
        </w:rPr>
        <w:t>risques découlant d’éventuelles variations des taux d’intérêt et de l’évaluation et du suivi du risque d’écart de crédit des activités hors portefeuille de négociation des établissements (A</w:t>
      </w:r>
      <w:r w:rsidR="00B23180">
        <w:rPr>
          <w:i/>
          <w:sz w:val="22"/>
          <w:szCs w:val="22"/>
        </w:rPr>
        <w:t>BE</w:t>
      </w:r>
      <w:r>
        <w:rPr>
          <w:i/>
          <w:sz w:val="22"/>
          <w:szCs w:val="22"/>
        </w:rPr>
        <w:t>/GL/2022/14)</w:t>
      </w:r>
      <w:r w:rsidR="00500AFB">
        <w:rPr>
          <w:i/>
          <w:sz w:val="22"/>
          <w:szCs w:val="22"/>
        </w:rPr>
        <w:t>,</w:t>
      </w:r>
      <w:r w:rsidR="00500AFB" w:rsidRPr="00500AFB">
        <w:t xml:space="preserve"> </w:t>
      </w:r>
      <w:r w:rsidR="00500AFB" w:rsidRPr="00500AFB">
        <w:rPr>
          <w:i/>
          <w:sz w:val="22"/>
          <w:szCs w:val="22"/>
        </w:rPr>
        <w:t xml:space="preserve">en vigueur le </w:t>
      </w:r>
      <w:r w:rsidR="00500AFB">
        <w:rPr>
          <w:i/>
          <w:sz w:val="22"/>
          <w:szCs w:val="22"/>
        </w:rPr>
        <w:t>30 juin</w:t>
      </w:r>
      <w:r w:rsidR="00500AFB" w:rsidRPr="00500AFB">
        <w:rPr>
          <w:i/>
          <w:sz w:val="22"/>
          <w:szCs w:val="22"/>
        </w:rPr>
        <w:t xml:space="preserve"> 202</w:t>
      </w:r>
      <w:r w:rsidR="00500AFB">
        <w:rPr>
          <w:i/>
          <w:sz w:val="22"/>
          <w:szCs w:val="22"/>
        </w:rPr>
        <w:t>3</w:t>
      </w:r>
      <w:r w:rsidR="00500AFB">
        <w:rPr>
          <w:rStyle w:val="Appelnotedebasdep"/>
          <w:i/>
          <w:szCs w:val="22"/>
        </w:rPr>
        <w:footnoteReference w:id="8"/>
      </w:r>
      <w:r>
        <w:rPr>
          <w:i/>
          <w:sz w:val="22"/>
          <w:szCs w:val="22"/>
        </w:rPr>
        <w:t>.</w:t>
      </w:r>
      <w:r w:rsidR="001F56D3">
        <w:rPr>
          <w:i/>
          <w:sz w:val="22"/>
          <w:szCs w:val="22"/>
        </w:rPr>
        <w:t xml:space="preserve"> </w:t>
      </w:r>
    </w:p>
    <w:p w:rsidR="00864B7D" w:rsidRPr="00864B7D" w:rsidRDefault="00864B7D" w:rsidP="00864B7D"/>
    <w:p w:rsidR="00331B88" w:rsidRDefault="004F2CE1" w:rsidP="006D1AEB">
      <w:pPr>
        <w:pStyle w:val="SGACP-enumerationniveau1"/>
        <w:ind w:left="284" w:hanging="284"/>
      </w:pPr>
      <w:r>
        <w:t>d</w:t>
      </w:r>
      <w:r w:rsidR="00463A1C" w:rsidRPr="007F2900">
        <w:t xml:space="preserve">escription synthétique du cadre général </w:t>
      </w:r>
      <w:r w:rsidR="00624447" w:rsidRPr="003D1AFF">
        <w:t xml:space="preserve">de la détection, de l’évaluation et </w:t>
      </w:r>
      <w:r w:rsidR="00463A1C" w:rsidRPr="007F2900">
        <w:t>de la gestion du risque de taux</w:t>
      </w:r>
      <w:r w:rsidR="005E330A" w:rsidRPr="005E330A">
        <w:t xml:space="preserve"> </w:t>
      </w:r>
      <w:r w:rsidR="005E330A">
        <w:t>d’intérêt global</w:t>
      </w:r>
      <w:r w:rsidR="00463A1C" w:rsidRPr="007F2900">
        <w:t xml:space="preserve"> </w:t>
      </w:r>
      <w:r w:rsidR="00463A1C" w:rsidRPr="00210431">
        <w:rPr>
          <w:i/>
        </w:rPr>
        <w:t>(préciser le périmètre des entités et opérations prises en compte</w:t>
      </w:r>
      <w:r w:rsidR="00DA2593" w:rsidRPr="00210431">
        <w:rPr>
          <w:i/>
        </w:rPr>
        <w:t xml:space="preserve"> en justifiant </w:t>
      </w:r>
      <w:r w:rsidR="00463A1C" w:rsidRPr="00210431">
        <w:rPr>
          <w:i/>
        </w:rPr>
        <w:t xml:space="preserve">le rôle des </w:t>
      </w:r>
      <w:r w:rsidR="0003780F" w:rsidRPr="00210431">
        <w:rPr>
          <w:i/>
        </w:rPr>
        <w:t>dirigeants effectifs</w:t>
      </w:r>
      <w:r w:rsidR="00463A1C" w:rsidRPr="00210431">
        <w:rPr>
          <w:i/>
        </w:rPr>
        <w:t xml:space="preserve"> et </w:t>
      </w:r>
      <w:r w:rsidR="0003780F" w:rsidRPr="00210431">
        <w:rPr>
          <w:i/>
        </w:rPr>
        <w:t xml:space="preserve">des organes </w:t>
      </w:r>
      <w:r w:rsidR="0094273B" w:rsidRPr="00210431">
        <w:rPr>
          <w:i/>
        </w:rPr>
        <w:t xml:space="preserve">de surveillance </w:t>
      </w:r>
      <w:r w:rsidR="00463A1C" w:rsidRPr="00210431">
        <w:rPr>
          <w:i/>
        </w:rPr>
        <w:t>et la répartition des compétences en matière de pilotage du risque de taux</w:t>
      </w:r>
      <w:r w:rsidR="005E330A" w:rsidRPr="00210431">
        <w:rPr>
          <w:i/>
        </w:rPr>
        <w:t xml:space="preserve"> d’intérêt global</w:t>
      </w:r>
      <w:r w:rsidR="00463A1C" w:rsidRPr="00210431">
        <w:rPr>
          <w:i/>
        </w:rPr>
        <w:t>)</w:t>
      </w:r>
      <w:r w:rsidR="008C04C9">
        <w:rPr>
          <w:i/>
        </w:rPr>
        <w:t> </w:t>
      </w:r>
      <w:r w:rsidR="008C04C9">
        <w:t>;</w:t>
      </w:r>
    </w:p>
    <w:p w:rsidR="00EB2BEE" w:rsidRDefault="00A35EB4" w:rsidP="006D1AEB">
      <w:pPr>
        <w:pStyle w:val="SGACP-enumerationniveau1"/>
        <w:ind w:left="284" w:hanging="284"/>
      </w:pPr>
      <w:r>
        <w:t xml:space="preserve">description et justification du recours </w:t>
      </w:r>
      <w:r w:rsidR="00716F19">
        <w:t xml:space="preserve">éventuel </w:t>
      </w:r>
      <w:r>
        <w:t xml:space="preserve">au principe de proportionnalité au vu </w:t>
      </w:r>
      <w:r w:rsidR="00DD7449">
        <w:t>du volume, de la complexité</w:t>
      </w:r>
      <w:r w:rsidR="00311083">
        <w:t>, de l’appétit au risque</w:t>
      </w:r>
      <w:r w:rsidR="00DD7449">
        <w:t xml:space="preserve"> et du niveau de risque de leurs positions sensibles au risque de taux, ainsi que de la taille</w:t>
      </w:r>
      <w:r w:rsidR="008A317D">
        <w:t>, de la stratégie</w:t>
      </w:r>
      <w:r w:rsidR="00DD7449">
        <w:t xml:space="preserve"> et du modèle d’entreprise de l’établissement</w:t>
      </w:r>
      <w:r w:rsidR="00EB2BEE">
        <w:t>, applicable aux exigences suivantes des orientations :</w:t>
      </w:r>
    </w:p>
    <w:p w:rsidR="00BA4F45" w:rsidRDefault="00BA4F45" w:rsidP="0054173A">
      <w:pPr>
        <w:pStyle w:val="SGACP-enumerationniveau1"/>
        <w:numPr>
          <w:ilvl w:val="1"/>
          <w:numId w:val="3"/>
        </w:numPr>
        <w:ind w:left="1560" w:hanging="426"/>
      </w:pPr>
      <w:r>
        <w:t xml:space="preserve">calcul et allocation du capital </w:t>
      </w:r>
      <w:r w:rsidR="00BE53FD">
        <w:t xml:space="preserve">interne </w:t>
      </w:r>
      <w:r>
        <w:t xml:space="preserve">au titre du risque de taux (tenant compte à la fois de l’impact sur la valeur économique et sur les </w:t>
      </w:r>
      <w:r w:rsidR="00D50AAD">
        <w:t>produits d’intérêts nets</w:t>
      </w:r>
      <w:r w:rsidR="00234078">
        <w:rPr>
          <w:rStyle w:val="Appelnotedebasdep"/>
        </w:rPr>
        <w:footnoteReference w:id="9"/>
      </w:r>
      <w:r>
        <w:t>) ;</w:t>
      </w:r>
    </w:p>
    <w:p w:rsidR="00A35EB4" w:rsidRDefault="00EB2BEE" w:rsidP="0054173A">
      <w:pPr>
        <w:pStyle w:val="SGACP-enumerationniveau1"/>
        <w:numPr>
          <w:ilvl w:val="1"/>
          <w:numId w:val="3"/>
        </w:numPr>
        <w:ind w:left="1560" w:hanging="426"/>
      </w:pPr>
      <w:r>
        <w:t>mesure et suivi du risque de taux (notamment</w:t>
      </w:r>
      <w:r w:rsidR="00181012">
        <w:t xml:space="preserve"> avec des scenarios internes de chocs adaptés comme mentionnés au</w:t>
      </w:r>
      <w:r w:rsidR="00BD7E87">
        <w:t>x</w:t>
      </w:r>
      <w:r w:rsidR="00181012">
        <w:t xml:space="preserve"> paragraphe</w:t>
      </w:r>
      <w:r w:rsidR="00BD7E87">
        <w:t>s</w:t>
      </w:r>
      <w:r w:rsidR="00181012">
        <w:t xml:space="preserve"> </w:t>
      </w:r>
      <w:r w:rsidR="00864B7D">
        <w:t xml:space="preserve">89 </w:t>
      </w:r>
      <w:r w:rsidR="00EF0BF6">
        <w:t>à</w:t>
      </w:r>
      <w:r w:rsidR="00B21488">
        <w:t xml:space="preserve"> </w:t>
      </w:r>
      <w:r w:rsidR="0060243F">
        <w:t>102 des Orientations de l’ABE</w:t>
      </w:r>
      <w:r w:rsidR="00294FD8">
        <w:t>,</w:t>
      </w:r>
      <w:r w:rsidR="0060243F">
        <w:t xml:space="preserve"> </w:t>
      </w:r>
      <w:r w:rsidR="00181012">
        <w:t>et</w:t>
      </w:r>
      <w:r>
        <w:t xml:space="preserve"> l’utilisation des mesures de proportionnalité prévues dans la « matrice de sophistication » à l’</w:t>
      </w:r>
      <w:r w:rsidR="007111DC">
        <w:t>a</w:t>
      </w:r>
      <w:r>
        <w:t xml:space="preserve">nnexe II des </w:t>
      </w:r>
      <w:r w:rsidR="000001E8">
        <w:t>O</w:t>
      </w:r>
      <w:r>
        <w:t>rienta</w:t>
      </w:r>
      <w:r w:rsidR="007111DC">
        <w:t>t</w:t>
      </w:r>
      <w:r>
        <w:t xml:space="preserve">ions </w:t>
      </w:r>
      <w:r w:rsidR="007111DC">
        <w:t>de l’</w:t>
      </w:r>
      <w:r>
        <w:t>ABE)</w:t>
      </w:r>
      <w:r w:rsidR="00BD7E87">
        <w:t xml:space="preserve"> incluant la prise en compte des interactions et effets croisés entre différents types de risques</w:t>
      </w:r>
      <w:r w:rsidR="00A21F8C">
        <w:t xml:space="preserve"> : </w:t>
      </w:r>
      <w:r w:rsidR="00A21F8C" w:rsidRPr="00A85C3C">
        <w:t>taux, crédit, liquidité,</w:t>
      </w:r>
      <w:r w:rsidR="00A21F8C">
        <w:rPr>
          <w:i/>
        </w:rPr>
        <w:t xml:space="preserve"> </w:t>
      </w:r>
      <w:r w:rsidR="00A21F8C" w:rsidRPr="00A85C3C">
        <w:t>marché</w:t>
      </w:r>
      <w:r w:rsidR="00BD7E87">
        <w:t xml:space="preserve"> </w:t>
      </w:r>
      <w:r w:rsidR="00BA4F45">
        <w:t>;</w:t>
      </w:r>
    </w:p>
    <w:p w:rsidR="00EB2BEE" w:rsidRDefault="00EB2BEE" w:rsidP="0054173A">
      <w:pPr>
        <w:pStyle w:val="SGACP-enumerationniveau1"/>
        <w:numPr>
          <w:ilvl w:val="1"/>
          <w:numId w:val="3"/>
        </w:numPr>
        <w:ind w:left="1560" w:hanging="426"/>
      </w:pPr>
      <w:r>
        <w:t>dispositifs de surveillance (notamment l’application de</w:t>
      </w:r>
      <w:r w:rsidR="00532E8F">
        <w:t xml:space="preserve"> limites et de</w:t>
      </w:r>
      <w:r>
        <w:t xml:space="preserve"> sous-limites uniquement pour les composantes significatives du risque de taux mentionnées </w:t>
      </w:r>
      <w:r w:rsidR="00532E8F">
        <w:t>aux paragraphes 44(c) et 44(d)</w:t>
      </w:r>
      <w:r>
        <w:t xml:space="preserve"> des </w:t>
      </w:r>
      <w:r w:rsidR="000001E8">
        <w:t>O</w:t>
      </w:r>
      <w:r>
        <w:t>rientations</w:t>
      </w:r>
      <w:r w:rsidR="00294FD8">
        <w:t xml:space="preserve"> de l’ABE</w:t>
      </w:r>
      <w:r>
        <w:t>)</w:t>
      </w:r>
      <w:r w:rsidR="00BA4F45">
        <w:t> ;</w:t>
      </w:r>
    </w:p>
    <w:p w:rsidR="00EB2BEE" w:rsidRDefault="00EB2BEE" w:rsidP="0054173A">
      <w:pPr>
        <w:pStyle w:val="SGACP-enumerationniveau1"/>
        <w:numPr>
          <w:ilvl w:val="1"/>
          <w:numId w:val="3"/>
        </w:numPr>
        <w:ind w:left="1560" w:hanging="426"/>
      </w:pPr>
      <w:r>
        <w:t xml:space="preserve">dispositifs de gouvernance (adaptation des rapports adressés à l’organe de direction en fonction des activités de l’établissement, mentionnée </w:t>
      </w:r>
      <w:r w:rsidR="00A71021">
        <w:t>au paragraphe</w:t>
      </w:r>
      <w:r>
        <w:t xml:space="preserve"> 6</w:t>
      </w:r>
      <w:r w:rsidR="00500AFB">
        <w:t>7</w:t>
      </w:r>
      <w:r>
        <w:t xml:space="preserve"> des </w:t>
      </w:r>
      <w:r w:rsidR="000001E8">
        <w:t>O</w:t>
      </w:r>
      <w:r>
        <w:t>rientations</w:t>
      </w:r>
      <w:r w:rsidR="00294FD8">
        <w:t xml:space="preserve"> de l’ABE</w:t>
      </w:r>
      <w:r>
        <w:t>).</w:t>
      </w:r>
    </w:p>
    <w:p w:rsidR="00DC0250" w:rsidRPr="00440703" w:rsidRDefault="00DC0250" w:rsidP="003D1AFF">
      <w:pPr>
        <w:pStyle w:val="SGACP-enumerationniveau1"/>
        <w:numPr>
          <w:ilvl w:val="0"/>
          <w:numId w:val="0"/>
        </w:numPr>
      </w:pPr>
      <w:bookmarkStart w:id="166" w:name="_Toc244576469"/>
      <w:bookmarkStart w:id="167" w:name="_Toc266799831"/>
    </w:p>
    <w:p w:rsidR="0016696D" w:rsidRDefault="008F3AF1" w:rsidP="00A85C3C">
      <w:pPr>
        <w:pStyle w:val="SGACP-sous-titrederubriquenivaeu2"/>
      </w:pPr>
      <w:r>
        <w:t>13</w:t>
      </w:r>
      <w:r w:rsidR="00DC0250">
        <w:t>.1.</w:t>
      </w:r>
      <w:r w:rsidR="00DC0250">
        <w:tab/>
      </w:r>
      <w:r w:rsidR="00463A1C" w:rsidRPr="007F2900">
        <w:t>Dispositif de mesure et de suivi (et méthodologie) du risque de taux</w:t>
      </w:r>
      <w:bookmarkEnd w:id="166"/>
      <w:bookmarkEnd w:id="167"/>
      <w:r w:rsidR="004F2CE1">
        <w:t> </w:t>
      </w:r>
      <w:r w:rsidR="005E330A">
        <w:t>d’intérêt global</w:t>
      </w:r>
      <w:r w:rsidR="00965B51">
        <w:t xml:space="preserve"> </w:t>
      </w:r>
      <w:r w:rsidR="004F2CE1">
        <w:t>:</w:t>
      </w:r>
    </w:p>
    <w:p w:rsidR="00331B88" w:rsidRDefault="004F2CE1" w:rsidP="006D1AEB">
      <w:pPr>
        <w:pStyle w:val="SGACP-enumerationniveau1"/>
        <w:ind w:left="284" w:hanging="284"/>
      </w:pPr>
      <w:r>
        <w:t>d</w:t>
      </w:r>
      <w:r w:rsidR="00463A1C" w:rsidRPr="007F2900">
        <w:t xml:space="preserve">escription des outils et de la méthodologie utilisée en matière de gestion du risque de taux </w:t>
      </w:r>
      <w:r w:rsidR="005E330A">
        <w:t>d’intérêt global</w:t>
      </w:r>
      <w:r w:rsidR="005E330A" w:rsidRPr="007F2900">
        <w:t xml:space="preserve"> </w:t>
      </w:r>
      <w:r w:rsidR="00463A1C" w:rsidRPr="00210431">
        <w:rPr>
          <w:i/>
        </w:rPr>
        <w:t>(préciser les indicateurs utilisés par l</w:t>
      </w:r>
      <w:r w:rsidR="001224E7" w:rsidRPr="00210431">
        <w:rPr>
          <w:i/>
        </w:rPr>
        <w:t>’</w:t>
      </w:r>
      <w:r w:rsidR="00463A1C" w:rsidRPr="00210431">
        <w:rPr>
          <w:i/>
        </w:rPr>
        <w:t xml:space="preserve">établissement notamment gaps statiques ou dynamiques, calcul de sensibilité </w:t>
      </w:r>
      <w:r w:rsidR="00D50AAD">
        <w:rPr>
          <w:i/>
        </w:rPr>
        <w:t>en produits d’intérêts nets</w:t>
      </w:r>
      <w:r w:rsidR="00463A1C" w:rsidRPr="00210431">
        <w:rPr>
          <w:i/>
        </w:rPr>
        <w:t xml:space="preserve">, calcul de valeur actualisée nette, hypothèses et résultats des </w:t>
      </w:r>
      <w:r w:rsidR="007D0344" w:rsidRPr="00D7076D">
        <w:rPr>
          <w:i/>
        </w:rPr>
        <w:t>stress scenarii</w:t>
      </w:r>
      <w:r w:rsidR="00C57A44">
        <w:rPr>
          <w:i/>
        </w:rPr>
        <w:t xml:space="preserve"> incluant le cas échéant les interactions et effets croisés entre types de risques (taux, crédit, liquidité, </w:t>
      </w:r>
      <w:r w:rsidR="00C57A44" w:rsidRPr="00E32AD6">
        <w:rPr>
          <w:i/>
        </w:rPr>
        <w:t>marché</w:t>
      </w:r>
      <w:r w:rsidR="00A21F8C" w:rsidRPr="00E32AD6">
        <w:rPr>
          <w:i/>
        </w:rPr>
        <w:t xml:space="preserve"> - </w:t>
      </w:r>
      <w:r w:rsidR="00A21F8C" w:rsidRPr="00A85C3C">
        <w:rPr>
          <w:i/>
        </w:rPr>
        <w:t>paragraphe 9</w:t>
      </w:r>
      <w:r w:rsidR="00500AFB">
        <w:rPr>
          <w:i/>
        </w:rPr>
        <w:t>7</w:t>
      </w:r>
      <w:r w:rsidR="00A21F8C" w:rsidRPr="00A85C3C">
        <w:rPr>
          <w:i/>
        </w:rPr>
        <w:t xml:space="preserve"> des </w:t>
      </w:r>
      <w:r w:rsidR="000001E8">
        <w:rPr>
          <w:i/>
        </w:rPr>
        <w:t>O</w:t>
      </w:r>
      <w:r w:rsidR="00A21F8C" w:rsidRPr="00A85C3C">
        <w:rPr>
          <w:i/>
        </w:rPr>
        <w:t>rientations</w:t>
      </w:r>
      <w:r w:rsidR="00294FD8">
        <w:rPr>
          <w:i/>
        </w:rPr>
        <w:t xml:space="preserve"> de l’ABE</w:t>
      </w:r>
      <w:r w:rsidR="00C57A44">
        <w:rPr>
          <w:i/>
        </w:rPr>
        <w:t>)</w:t>
      </w:r>
      <w:r w:rsidR="00463A1C" w:rsidRPr="00210431">
        <w:rPr>
          <w:i/>
        </w:rPr>
        <w:t xml:space="preserve">, impact des variations du risque de taux </w:t>
      </w:r>
      <w:r w:rsidR="005E330A" w:rsidRPr="00210431">
        <w:rPr>
          <w:i/>
        </w:rPr>
        <w:t xml:space="preserve">d’intérêt global </w:t>
      </w:r>
      <w:r w:rsidR="00463A1C" w:rsidRPr="00210431">
        <w:rPr>
          <w:i/>
        </w:rPr>
        <w:t>sur l</w:t>
      </w:r>
      <w:r w:rsidR="001224E7" w:rsidRPr="00210431">
        <w:rPr>
          <w:i/>
        </w:rPr>
        <w:t>’</w:t>
      </w:r>
      <w:r w:rsidR="00463A1C" w:rsidRPr="00210431">
        <w:rPr>
          <w:i/>
        </w:rPr>
        <w:t>activité de l</w:t>
      </w:r>
      <w:r w:rsidR="001224E7" w:rsidRPr="00210431">
        <w:rPr>
          <w:i/>
        </w:rPr>
        <w:t>’</w:t>
      </w:r>
      <w:r w:rsidR="00463A1C" w:rsidRPr="00210431">
        <w:rPr>
          <w:i/>
        </w:rPr>
        <w:t>établissement pour l</w:t>
      </w:r>
      <w:r w:rsidR="001224E7" w:rsidRPr="00210431">
        <w:rPr>
          <w:i/>
        </w:rPr>
        <w:t>’</w:t>
      </w:r>
      <w:r w:rsidR="00463A1C" w:rsidRPr="00210431">
        <w:rPr>
          <w:i/>
        </w:rPr>
        <w:t xml:space="preserve">année </w:t>
      </w:r>
      <w:r w:rsidR="00463A1C" w:rsidRPr="00210431">
        <w:rPr>
          <w:i/>
        </w:rPr>
        <w:lastRenderedPageBreak/>
        <w:t>écoulée</w:t>
      </w:r>
      <w:r w:rsidR="000E1688" w:rsidRPr="00210431">
        <w:rPr>
          <w:i/>
        </w:rPr>
        <w:t>, en cas d’exposition dans différentes devises, méthodologie utilisée pour l’agrégation des expositions</w:t>
      </w:r>
      <w:r w:rsidR="00A97143">
        <w:rPr>
          <w:i/>
        </w:rPr>
        <w:t>, impacts des instruments en juste valeur</w:t>
      </w:r>
      <w:r w:rsidR="00463A1C" w:rsidRPr="00210431">
        <w:rPr>
          <w:i/>
        </w:rPr>
        <w:t>)</w:t>
      </w:r>
      <w:r>
        <w:t> ;</w:t>
      </w:r>
    </w:p>
    <w:p w:rsidR="00092995" w:rsidRDefault="004F2CE1" w:rsidP="00BE0108">
      <w:pPr>
        <w:pStyle w:val="SGACP-enumerationniveau1"/>
        <w:ind w:left="284" w:hanging="284"/>
      </w:pPr>
      <w:r>
        <w:t>p</w:t>
      </w:r>
      <w:r w:rsidR="00463A1C" w:rsidRPr="007F2900">
        <w:t>résentation des conventions d</w:t>
      </w:r>
      <w:r w:rsidR="001224E7">
        <w:t>’</w:t>
      </w:r>
      <w:r w:rsidR="00463A1C" w:rsidRPr="007F2900">
        <w:t>écoulement utilisées par l</w:t>
      </w:r>
      <w:r w:rsidR="001224E7">
        <w:t>’</w:t>
      </w:r>
      <w:r w:rsidR="00463A1C" w:rsidRPr="007F2900">
        <w:t xml:space="preserve">établissement </w:t>
      </w:r>
      <w:r w:rsidR="00210431" w:rsidRPr="00210431">
        <w:rPr>
          <w:i/>
        </w:rPr>
        <w:t>[</w:t>
      </w:r>
      <w:r w:rsidR="00463A1C" w:rsidRPr="00210431">
        <w:rPr>
          <w:i/>
        </w:rPr>
        <w:t>préciser le périmètre couvert, les principales hypothèses retenues,</w:t>
      </w:r>
      <w:r w:rsidR="008A3679" w:rsidRPr="00210431">
        <w:rPr>
          <w:i/>
        </w:rPr>
        <w:t xml:space="preserve"> le traitement de la production nouvelle, </w:t>
      </w:r>
      <w:r w:rsidR="000E1688" w:rsidRPr="00210431">
        <w:rPr>
          <w:i/>
        </w:rPr>
        <w:t>des produits ne portant pas intérêts (tels que les fonds propres),</w:t>
      </w:r>
      <w:r w:rsidR="00463A1C" w:rsidRPr="00210431">
        <w:rPr>
          <w:i/>
        </w:rPr>
        <w:t xml:space="preserve"> des options </w:t>
      </w:r>
      <w:r w:rsidR="00E32AD6">
        <w:rPr>
          <w:i/>
        </w:rPr>
        <w:t>automatiques (</w:t>
      </w:r>
      <w:r w:rsidR="00DA2593" w:rsidRPr="00210431">
        <w:rPr>
          <w:i/>
        </w:rPr>
        <w:t>explicites</w:t>
      </w:r>
      <w:r w:rsidR="00E32AD6">
        <w:rPr>
          <w:i/>
        </w:rPr>
        <w:t xml:space="preserve"> et</w:t>
      </w:r>
      <w:r w:rsidR="00DA2593" w:rsidRPr="00210431">
        <w:rPr>
          <w:i/>
        </w:rPr>
        <w:t xml:space="preserve"> implicites</w:t>
      </w:r>
      <w:r w:rsidR="00E32AD6">
        <w:rPr>
          <w:i/>
        </w:rPr>
        <w:t>)</w:t>
      </w:r>
      <w:r w:rsidR="00DA2593" w:rsidRPr="00210431">
        <w:rPr>
          <w:i/>
        </w:rPr>
        <w:t xml:space="preserve"> et </w:t>
      </w:r>
      <w:r w:rsidR="00463A1C" w:rsidRPr="00210431">
        <w:rPr>
          <w:i/>
        </w:rPr>
        <w:t>comportementales</w:t>
      </w:r>
      <w:r w:rsidR="008A3679" w:rsidRPr="00210431">
        <w:rPr>
          <w:i/>
        </w:rPr>
        <w:t xml:space="preserve">, notamment le traitement des dépôts non-échéancés (présentation de la méthodologie utilisée pour la segmentation des dépôts par catégories, </w:t>
      </w:r>
      <w:r w:rsidR="00E32AD6">
        <w:rPr>
          <w:i/>
        </w:rPr>
        <w:t xml:space="preserve">de </w:t>
      </w:r>
      <w:r w:rsidR="008A3679" w:rsidRPr="00210431">
        <w:rPr>
          <w:i/>
        </w:rPr>
        <w:t>l’identification des dépôts stables</w:t>
      </w:r>
      <w:r w:rsidR="00BE53FD">
        <w:rPr>
          <w:i/>
        </w:rPr>
        <w:t>, des conventions d’écoulement des différents segments de dépôts non-échéancés</w:t>
      </w:r>
      <w:r w:rsidR="008A3679" w:rsidRPr="00210431">
        <w:rPr>
          <w:i/>
        </w:rPr>
        <w:t>)</w:t>
      </w:r>
      <w:r w:rsidR="00A71021">
        <w:rPr>
          <w:i/>
        </w:rPr>
        <w:t>, des r</w:t>
      </w:r>
      <w:r w:rsidR="00BE53FD">
        <w:rPr>
          <w:i/>
        </w:rPr>
        <w:t>emboursements</w:t>
      </w:r>
      <w:r w:rsidR="00A71021">
        <w:rPr>
          <w:i/>
        </w:rPr>
        <w:t xml:space="preserve"> anticipés</w:t>
      </w:r>
      <w:r w:rsidR="008A3679" w:rsidRPr="00210431">
        <w:rPr>
          <w:i/>
        </w:rPr>
        <w:t xml:space="preserve"> </w:t>
      </w:r>
      <w:r w:rsidR="00BE53FD">
        <w:rPr>
          <w:i/>
        </w:rPr>
        <w:t xml:space="preserve">de prêts, des retraits anticipés de comptes à terme, des tirages au hors bilan (e.g. lignes de trésorerie) </w:t>
      </w:r>
      <w:r w:rsidR="008A3679" w:rsidRPr="00210431">
        <w:rPr>
          <w:i/>
        </w:rPr>
        <w:t>et des produits d’épargne réglementée</w:t>
      </w:r>
      <w:r w:rsidR="00210431" w:rsidRPr="00210431">
        <w:rPr>
          <w:i/>
        </w:rPr>
        <w:t>]</w:t>
      </w:r>
      <w:r w:rsidRPr="00210431">
        <w:rPr>
          <w:i/>
        </w:rPr>
        <w:t> </w:t>
      </w:r>
      <w:r>
        <w:t>;</w:t>
      </w:r>
      <w:r w:rsidR="00A3726A">
        <w:t xml:space="preserve"> </w:t>
      </w:r>
    </w:p>
    <w:p w:rsidR="00810050" w:rsidRDefault="00810050" w:rsidP="00810050">
      <w:pPr>
        <w:pStyle w:val="SGACP-enumerationniveau1"/>
        <w:ind w:left="284" w:hanging="284"/>
      </w:pPr>
      <w:r>
        <w:t xml:space="preserve">présentation des activités de couverture: </w:t>
      </w:r>
      <w:r w:rsidRPr="001D505C">
        <w:rPr>
          <w:i/>
        </w:rPr>
        <w:t xml:space="preserve">préciser </w:t>
      </w:r>
      <w:r w:rsidR="00B461C3">
        <w:rPr>
          <w:i/>
        </w:rPr>
        <w:t xml:space="preserve">la stratégie adoptée, </w:t>
      </w:r>
      <w:r w:rsidRPr="001D505C">
        <w:rPr>
          <w:i/>
        </w:rPr>
        <w:t>le</w:t>
      </w:r>
      <w:r>
        <w:rPr>
          <w:i/>
        </w:rPr>
        <w:t>s différents instruments mis en œuvre et les contrôles menés sur ces activités ;</w:t>
      </w:r>
    </w:p>
    <w:p w:rsidR="00E32AD6" w:rsidRDefault="00A448B9" w:rsidP="00F64CEB">
      <w:pPr>
        <w:pStyle w:val="SGACP-enumerationniveau1"/>
      </w:pPr>
      <w:r w:rsidRPr="00DC6FB0">
        <w:t xml:space="preserve">présentation des </w:t>
      </w:r>
      <w:r w:rsidR="004F2CE1" w:rsidRPr="00DC6FB0">
        <w:t>r</w:t>
      </w:r>
      <w:r w:rsidR="00463A1C" w:rsidRPr="00DC6FB0">
        <w:t xml:space="preserve">ésultats </w:t>
      </w:r>
      <w:r w:rsidR="00DC6FB0">
        <w:t>d</w:t>
      </w:r>
      <w:r w:rsidR="00B10047">
        <w:t>u</w:t>
      </w:r>
      <w:r w:rsidR="00DC6FB0" w:rsidRPr="00DC6FB0">
        <w:t xml:space="preserve"> « </w:t>
      </w:r>
      <w:r w:rsidR="00DC6FB0" w:rsidRPr="00D1728C">
        <w:rPr>
          <w:i/>
        </w:rPr>
        <w:t>Supervisory outlier test</w:t>
      </w:r>
      <w:r w:rsidR="00294FD8">
        <w:rPr>
          <w:i/>
        </w:rPr>
        <w:t xml:space="preserve"> </w:t>
      </w:r>
      <w:r w:rsidR="00DC6FB0" w:rsidRPr="00DC6FB0">
        <w:t xml:space="preserve">» </w:t>
      </w:r>
      <w:r w:rsidR="00242E9D" w:rsidRPr="00DC6FB0">
        <w:t xml:space="preserve">sur la valeur économique </w:t>
      </w:r>
      <w:r w:rsidR="00FE146F" w:rsidRPr="00DC6FB0">
        <w:t xml:space="preserve">des fonds propres </w:t>
      </w:r>
      <w:r w:rsidR="008B3435" w:rsidRPr="00FB1F26">
        <w:t>selon</w:t>
      </w:r>
      <w:r w:rsidR="00DC6FB0" w:rsidRPr="00FB1F26">
        <w:t xml:space="preserve"> six </w:t>
      </w:r>
      <w:r w:rsidR="008B3435" w:rsidRPr="00FB1F26">
        <w:rPr>
          <w:iCs/>
        </w:rPr>
        <w:t xml:space="preserve">scénarios de chocs de taux standardisés </w:t>
      </w:r>
      <w:r w:rsidR="008B3435" w:rsidRPr="00FB1F26">
        <w:t>ainsi que sur l</w:t>
      </w:r>
      <w:r w:rsidR="00D50AAD" w:rsidRPr="00FB1F26">
        <w:t>es produits d’intérêts nets</w:t>
      </w:r>
      <w:r w:rsidR="008B3435" w:rsidRPr="009514F6">
        <w:t xml:space="preserve"> selon deux scénarios de chocs de taux standardisés </w:t>
      </w:r>
      <w:r w:rsidR="00DC6FB0" w:rsidRPr="009514F6">
        <w:t xml:space="preserve">tels que </w:t>
      </w:r>
      <w:r w:rsidR="00B21488">
        <w:t>précisés par le</w:t>
      </w:r>
      <w:r w:rsidR="00F64CEB" w:rsidRPr="009514F6">
        <w:t xml:space="preserve"> standard technique de l’ABE (ABE/RTS/2022/1</w:t>
      </w:r>
      <w:r w:rsidR="00B21488">
        <w:t xml:space="preserve">0) en attente de publication </w:t>
      </w:r>
      <w:r w:rsidR="00F64CEB" w:rsidRPr="009514F6">
        <w:t xml:space="preserve">par la Commission européenne sous la forme d’un </w:t>
      </w:r>
      <w:r w:rsidR="00B16A28" w:rsidRPr="009514F6">
        <w:t>Règlement délégué [</w:t>
      </w:r>
      <w:r w:rsidR="00F64CEB" w:rsidRPr="009514F6">
        <w:t xml:space="preserve">publication attendue </w:t>
      </w:r>
      <w:r w:rsidR="00B16A28" w:rsidRPr="009514F6">
        <w:t xml:space="preserve">pour le T3 2023] </w:t>
      </w:r>
      <w:r w:rsidR="00E32AD6" w:rsidRPr="009514F6">
        <w:t xml:space="preserve">- </w:t>
      </w:r>
      <w:r w:rsidR="00E32AD6" w:rsidRPr="00FB1F26">
        <w:rPr>
          <w:i/>
        </w:rPr>
        <w:t>hypothèses principales</w:t>
      </w:r>
      <w:r w:rsidR="00E32AD6" w:rsidRPr="00A85C3C">
        <w:rPr>
          <w:i/>
        </w:rPr>
        <w:t> :</w:t>
      </w:r>
    </w:p>
    <w:p w:rsidR="00E32AD6" w:rsidRPr="00A90C30" w:rsidRDefault="00E32AD6">
      <w:pPr>
        <w:pStyle w:val="SGACP-enumerationniveau1"/>
        <w:numPr>
          <w:ilvl w:val="1"/>
          <w:numId w:val="3"/>
        </w:numPr>
      </w:pPr>
      <w:r w:rsidRPr="00A90C30">
        <w:t xml:space="preserve">Chocs appliqués </w:t>
      </w:r>
      <w:r w:rsidR="00FE146F" w:rsidRPr="00AE5689">
        <w:t xml:space="preserve">avec </w:t>
      </w:r>
      <w:r w:rsidR="00AE5689">
        <w:t>intégration d’un</w:t>
      </w:r>
      <w:r w:rsidR="00FE146F" w:rsidRPr="00234078">
        <w:t xml:space="preserve"> plancher post-choc commençant avec -1</w:t>
      </w:r>
      <w:r w:rsidR="001D5C70">
        <w:t>50</w:t>
      </w:r>
      <w:r w:rsidR="00676303" w:rsidRPr="00234078">
        <w:t xml:space="preserve"> b</w:t>
      </w:r>
      <w:r w:rsidR="00FE146F" w:rsidRPr="00234078">
        <w:t>p</w:t>
      </w:r>
      <w:r w:rsidRPr="00A90C30">
        <w:t>s</w:t>
      </w:r>
      <w:r w:rsidR="00FE146F" w:rsidRPr="00234078">
        <w:t xml:space="preserve"> (conformément au paragraphe (k) </w:t>
      </w:r>
      <w:r w:rsidR="001D5C70">
        <w:t>de l’article 4 du standard technique susvisé)</w:t>
      </w:r>
      <w:r w:rsidR="00DA2593" w:rsidRPr="00AE5689">
        <w:t xml:space="preserve">, </w:t>
      </w:r>
    </w:p>
    <w:p w:rsidR="00E32AD6" w:rsidRPr="00A90C30" w:rsidRDefault="00E32AD6">
      <w:pPr>
        <w:pStyle w:val="SGACP-enumerationniveau1"/>
        <w:numPr>
          <w:ilvl w:val="1"/>
          <w:numId w:val="3"/>
        </w:numPr>
      </w:pPr>
      <w:r w:rsidRPr="00A90C30">
        <w:t>E</w:t>
      </w:r>
      <w:r w:rsidR="00994382" w:rsidRPr="00A90C30">
        <w:t>xclu</w:t>
      </w:r>
      <w:r w:rsidRPr="00A90C30">
        <w:t>sion</w:t>
      </w:r>
      <w:r w:rsidR="00994382" w:rsidRPr="00A90C30">
        <w:t xml:space="preserve"> </w:t>
      </w:r>
      <w:r w:rsidRPr="00A90C30">
        <w:t>d</w:t>
      </w:r>
      <w:r w:rsidR="00581A96" w:rsidRPr="00A90C30">
        <w:t xml:space="preserve">es fonds propres des éléments du passif </w:t>
      </w:r>
      <w:r w:rsidR="00DC6FB0" w:rsidRPr="00A90C30">
        <w:t>(instruments CET1 et autres fonds propres permanents</w:t>
      </w:r>
      <w:r w:rsidR="00997F0E">
        <w:t xml:space="preserve"> sans date d’appel)</w:t>
      </w:r>
      <w:r w:rsidR="00A90C30">
        <w:t>,</w:t>
      </w:r>
      <w:r w:rsidRPr="00A90C30">
        <w:t xml:space="preserve"> </w:t>
      </w:r>
    </w:p>
    <w:p w:rsidR="00DA741E" w:rsidRDefault="00E32AD6" w:rsidP="00B22C4B">
      <w:pPr>
        <w:pStyle w:val="SGACP-enumerationniveau1"/>
        <w:numPr>
          <w:ilvl w:val="1"/>
          <w:numId w:val="3"/>
        </w:numPr>
      </w:pPr>
      <w:r w:rsidRPr="00A85C3C">
        <w:t>S</w:t>
      </w:r>
      <w:r w:rsidR="00A561D8" w:rsidRPr="00A90C30">
        <w:t xml:space="preserve">e référer </w:t>
      </w:r>
      <w:r w:rsidR="00B22C4B">
        <w:t>à</w:t>
      </w:r>
      <w:r w:rsidR="00B22C4B" w:rsidRPr="00B22C4B">
        <w:t xml:space="preserve"> l’article 4 du standard technique susvisé</w:t>
      </w:r>
      <w:r w:rsidR="00A561D8" w:rsidRPr="00A90C30">
        <w:t xml:space="preserve"> pour la liste exhaustive des hypothèses de calcul de la </w:t>
      </w:r>
      <w:r w:rsidR="00DA741E">
        <w:t xml:space="preserve">sensibilité en </w:t>
      </w:r>
      <w:r w:rsidR="00676303" w:rsidRPr="00A90C30">
        <w:t>v</w:t>
      </w:r>
      <w:r w:rsidR="00A561D8" w:rsidRPr="00A90C30">
        <w:t>aleur économique des fonds propres pour le « </w:t>
      </w:r>
      <w:r w:rsidR="00A561D8" w:rsidRPr="00B21488">
        <w:rPr>
          <w:i/>
        </w:rPr>
        <w:t>Supervisory outlier test</w:t>
      </w:r>
      <w:r w:rsidR="009531B4">
        <w:t> »</w:t>
      </w:r>
      <w:r w:rsidR="00DA741E">
        <w:t>,</w:t>
      </w:r>
    </w:p>
    <w:p w:rsidR="00DC6FB0" w:rsidRPr="00A90C30" w:rsidRDefault="00DA741E" w:rsidP="00DA741E">
      <w:pPr>
        <w:pStyle w:val="SGACP-enumerationniveau1"/>
        <w:numPr>
          <w:ilvl w:val="1"/>
          <w:numId w:val="3"/>
        </w:numPr>
      </w:pPr>
      <w:r w:rsidRPr="00A85C3C">
        <w:t>S</w:t>
      </w:r>
      <w:r w:rsidRPr="00A90C30">
        <w:t xml:space="preserve">e référer </w:t>
      </w:r>
      <w:r>
        <w:t>à</w:t>
      </w:r>
      <w:r w:rsidRPr="00B22C4B">
        <w:t xml:space="preserve"> l’article </w:t>
      </w:r>
      <w:r>
        <w:t>5</w:t>
      </w:r>
      <w:r w:rsidRPr="00B22C4B">
        <w:t xml:space="preserve"> du standard technique susvisé</w:t>
      </w:r>
      <w:r w:rsidRPr="00A90C30">
        <w:t xml:space="preserve"> pour la liste exhaustive des hypothèses de calcul de la </w:t>
      </w:r>
      <w:r>
        <w:t xml:space="preserve">sensibilité en </w:t>
      </w:r>
      <w:r w:rsidR="00D50AAD">
        <w:t>produits</w:t>
      </w:r>
      <w:r>
        <w:t xml:space="preserve"> d’intérêts</w:t>
      </w:r>
      <w:r w:rsidRPr="00A90C30">
        <w:t xml:space="preserve"> </w:t>
      </w:r>
      <w:r w:rsidR="00D50AAD">
        <w:t xml:space="preserve">nets </w:t>
      </w:r>
      <w:r w:rsidRPr="00A90C30">
        <w:t>pour le « </w:t>
      </w:r>
      <w:r w:rsidRPr="00B21488">
        <w:rPr>
          <w:i/>
        </w:rPr>
        <w:t>Supervisory outlier test</w:t>
      </w:r>
      <w:r>
        <w:t> »</w:t>
      </w:r>
      <w:r w:rsidR="00997F0E">
        <w:t>.</w:t>
      </w:r>
    </w:p>
    <w:p w:rsidR="00DC6FB0" w:rsidRDefault="003D6753" w:rsidP="00B21488">
      <w:pPr>
        <w:pStyle w:val="SGACP-enumerationniveau1"/>
        <w:ind w:left="284" w:hanging="284"/>
        <w:rPr>
          <w:iCs/>
        </w:rPr>
      </w:pPr>
      <w:r>
        <w:rPr>
          <w:iCs/>
        </w:rPr>
        <w:t>p</w:t>
      </w:r>
      <w:r w:rsidR="00DC6FB0">
        <w:rPr>
          <w:iCs/>
        </w:rPr>
        <w:t>résentation des résultats du</w:t>
      </w:r>
      <w:r w:rsidR="00DC6FB0" w:rsidRPr="00DC6FB0">
        <w:rPr>
          <w:iCs/>
        </w:rPr>
        <w:t xml:space="preserve"> « </w:t>
      </w:r>
      <w:r w:rsidR="00DC6FB0" w:rsidRPr="00D1728C">
        <w:rPr>
          <w:i/>
          <w:iCs/>
        </w:rPr>
        <w:t>Supervisory outlier test</w:t>
      </w:r>
      <w:r w:rsidR="00DC6FB0" w:rsidRPr="00DC6FB0">
        <w:rPr>
          <w:iCs/>
        </w:rPr>
        <w:t xml:space="preserve">» </w:t>
      </w:r>
      <w:r w:rsidR="00B22C4B">
        <w:rPr>
          <w:iCs/>
        </w:rPr>
        <w:t xml:space="preserve">en valeur économique </w:t>
      </w:r>
      <w:r w:rsidR="00DC6FB0">
        <w:rPr>
          <w:iCs/>
        </w:rPr>
        <w:t xml:space="preserve">selon les 6 chocs différenciés </w:t>
      </w:r>
      <w:r w:rsidR="00726098">
        <w:rPr>
          <w:iCs/>
        </w:rPr>
        <w:t xml:space="preserve">détaillés </w:t>
      </w:r>
      <w:r w:rsidR="00B22C4B">
        <w:t>dans le standard technique susvisé</w:t>
      </w:r>
      <w:r w:rsidR="00726098">
        <w:rPr>
          <w:iCs/>
        </w:rPr>
        <w:t xml:space="preserve"> </w:t>
      </w:r>
      <w:r w:rsidR="00DC6FB0">
        <w:rPr>
          <w:iCs/>
        </w:rPr>
        <w:t>par devises rapportés à 15% des fonds propres de base (TIER 1) de l’établissement</w:t>
      </w:r>
      <w:r>
        <w:rPr>
          <w:iCs/>
        </w:rPr>
        <w:t> ;</w:t>
      </w:r>
    </w:p>
    <w:p w:rsidR="00B22C4B" w:rsidRPr="00B22C4B" w:rsidRDefault="00B22C4B" w:rsidP="00B22C4B">
      <w:pPr>
        <w:pStyle w:val="SGACP-enumerationniveau1"/>
        <w:numPr>
          <w:ilvl w:val="0"/>
          <w:numId w:val="66"/>
        </w:numPr>
        <w:spacing w:before="60"/>
        <w:ind w:left="284" w:hanging="284"/>
        <w:rPr>
          <w:iCs/>
        </w:rPr>
      </w:pPr>
      <w:r w:rsidRPr="00B22C4B">
        <w:rPr>
          <w:iCs/>
        </w:rPr>
        <w:t>présentation des résultats du « </w:t>
      </w:r>
      <w:r w:rsidRPr="00B22C4B">
        <w:rPr>
          <w:i/>
          <w:iCs/>
        </w:rPr>
        <w:t>Supervisory outlier test</w:t>
      </w:r>
      <w:r w:rsidRPr="00B22C4B">
        <w:rPr>
          <w:iCs/>
        </w:rPr>
        <w:t xml:space="preserve">» en </w:t>
      </w:r>
      <w:r w:rsidR="00D50AAD">
        <w:rPr>
          <w:iCs/>
        </w:rPr>
        <w:t>produits d’intérêts nets</w:t>
      </w:r>
      <w:r w:rsidRPr="00B22C4B">
        <w:rPr>
          <w:iCs/>
        </w:rPr>
        <w:t xml:space="preserve"> selon les </w:t>
      </w:r>
      <w:r>
        <w:rPr>
          <w:iCs/>
        </w:rPr>
        <w:t>2</w:t>
      </w:r>
      <w:r w:rsidRPr="00B22C4B">
        <w:rPr>
          <w:iCs/>
        </w:rPr>
        <w:t xml:space="preserve"> </w:t>
      </w:r>
      <w:r>
        <w:t>chocs prudentiels</w:t>
      </w:r>
      <w:r w:rsidRPr="00B22C4B">
        <w:rPr>
          <w:iCs/>
        </w:rPr>
        <w:t xml:space="preserve"> différenciés détaillés </w:t>
      </w:r>
      <w:r>
        <w:t>dans le standard technique susvisé</w:t>
      </w:r>
      <w:r w:rsidRPr="00B22C4B">
        <w:rPr>
          <w:iCs/>
        </w:rPr>
        <w:t xml:space="preserve"> rapportés à </w:t>
      </w:r>
      <w:r w:rsidR="00426540">
        <w:rPr>
          <w:iCs/>
        </w:rPr>
        <w:t>5</w:t>
      </w:r>
      <w:r w:rsidRPr="00B22C4B">
        <w:rPr>
          <w:iCs/>
        </w:rPr>
        <w:t>% des fonds propres de base (TIER 1) de l’établissement ;</w:t>
      </w:r>
    </w:p>
    <w:p w:rsidR="00A90C30" w:rsidRPr="00A46A69" w:rsidRDefault="00A90C30" w:rsidP="00B22C4B">
      <w:pPr>
        <w:pStyle w:val="SGACP-enumerationniveau1"/>
        <w:spacing w:before="60"/>
        <w:ind w:left="284" w:hanging="284"/>
        <w:rPr>
          <w:i/>
        </w:rPr>
      </w:pPr>
      <w:r>
        <w:rPr>
          <w:iCs/>
        </w:rPr>
        <w:t xml:space="preserve">présentation des </w:t>
      </w:r>
      <w:r w:rsidRPr="000F0DE6">
        <w:rPr>
          <w:iCs/>
        </w:rPr>
        <w:t xml:space="preserve">résultats des </w:t>
      </w:r>
      <w:r w:rsidRPr="007F2900">
        <w:t xml:space="preserve">indicateurs de mesure de risque de taux </w:t>
      </w:r>
      <w:r w:rsidRPr="005E330A">
        <w:t xml:space="preserve">d’intérêt global </w:t>
      </w:r>
      <w:r w:rsidRPr="007F2900">
        <w:t>utilisés par l</w:t>
      </w:r>
      <w:r>
        <w:t>’</w:t>
      </w:r>
      <w:r w:rsidRPr="007F2900">
        <w:t>établissement</w:t>
      </w:r>
      <w:r>
        <w:t xml:space="preserve"> : </w:t>
      </w:r>
    </w:p>
    <w:p w:rsidR="00A90C30" w:rsidRDefault="00A90C30">
      <w:pPr>
        <w:pStyle w:val="SGACP-enumerationniveau1"/>
        <w:numPr>
          <w:ilvl w:val="1"/>
          <w:numId w:val="3"/>
        </w:numPr>
        <w:rPr>
          <w:i/>
        </w:rPr>
      </w:pPr>
      <w:r w:rsidRPr="001D505C">
        <w:rPr>
          <w:i/>
        </w:rPr>
        <w:t xml:space="preserve">préciser le niveau des gaps statiques ou dynamiques, les résultats des calculs de sensibilité des </w:t>
      </w:r>
      <w:r w:rsidR="00D50AAD">
        <w:rPr>
          <w:i/>
        </w:rPr>
        <w:t>produits d’intérêts net</w:t>
      </w:r>
      <w:r w:rsidR="00D50AAD" w:rsidRPr="001D505C">
        <w:rPr>
          <w:i/>
        </w:rPr>
        <w:t>s</w:t>
      </w:r>
      <w:r w:rsidRPr="001D505C">
        <w:rPr>
          <w:i/>
        </w:rPr>
        <w:t xml:space="preserve">, des calculs de valeur </w:t>
      </w:r>
      <w:r w:rsidRPr="00A90C30">
        <w:rPr>
          <w:i/>
        </w:rPr>
        <w:t>actualisée nette et des stress scenarii</w:t>
      </w:r>
      <w:r w:rsidRPr="00A85C3C">
        <w:rPr>
          <w:i/>
        </w:rPr>
        <w:t xml:space="preserve">, </w:t>
      </w:r>
    </w:p>
    <w:p w:rsidR="00A90C30" w:rsidRPr="00A90C30" w:rsidRDefault="00A90C30">
      <w:pPr>
        <w:pStyle w:val="SGACP-enumerationniveau1"/>
        <w:numPr>
          <w:ilvl w:val="1"/>
          <w:numId w:val="3"/>
        </w:numPr>
        <w:rPr>
          <w:i/>
        </w:rPr>
      </w:pPr>
      <w:r w:rsidRPr="00A85C3C">
        <w:rPr>
          <w:i/>
        </w:rPr>
        <w:t>pour le</w:t>
      </w:r>
      <w:r w:rsidR="007051F8" w:rsidRPr="00A85C3C">
        <w:rPr>
          <w:i/>
        </w:rPr>
        <w:t xml:space="preserve"> calcul de la </w:t>
      </w:r>
      <w:r w:rsidR="00D50AAD">
        <w:rPr>
          <w:i/>
        </w:rPr>
        <w:t>sensibilité</w:t>
      </w:r>
      <w:r w:rsidR="004653C4">
        <w:rPr>
          <w:i/>
        </w:rPr>
        <w:t xml:space="preserve"> en </w:t>
      </w:r>
      <w:r w:rsidR="00676303" w:rsidRPr="00A85C3C">
        <w:rPr>
          <w:i/>
        </w:rPr>
        <w:t>v</w:t>
      </w:r>
      <w:r w:rsidR="007051F8" w:rsidRPr="00A85C3C">
        <w:rPr>
          <w:i/>
        </w:rPr>
        <w:t xml:space="preserve">aleur </w:t>
      </w:r>
      <w:r w:rsidR="00676303" w:rsidRPr="00A85C3C">
        <w:rPr>
          <w:i/>
        </w:rPr>
        <w:t>é</w:t>
      </w:r>
      <w:r w:rsidR="007051F8" w:rsidRPr="00A85C3C">
        <w:rPr>
          <w:i/>
        </w:rPr>
        <w:t>conomique</w:t>
      </w:r>
      <w:r w:rsidRPr="00A85C3C">
        <w:rPr>
          <w:i/>
        </w:rPr>
        <w:t xml:space="preserve"> </w:t>
      </w:r>
      <w:r w:rsidR="004653C4" w:rsidRPr="00FB1F26">
        <w:rPr>
          <w:i/>
        </w:rPr>
        <w:t xml:space="preserve">et en </w:t>
      </w:r>
      <w:r w:rsidR="00AF5897" w:rsidRPr="00FB1F26">
        <w:rPr>
          <w:i/>
        </w:rPr>
        <w:t>produits d’intérêts nets</w:t>
      </w:r>
      <w:r w:rsidR="004653C4" w:rsidRPr="00FB1F26">
        <w:rPr>
          <w:i/>
        </w:rPr>
        <w:t xml:space="preserve">, </w:t>
      </w:r>
      <w:r w:rsidRPr="00FB1F26">
        <w:rPr>
          <w:i/>
        </w:rPr>
        <w:t>j</w:t>
      </w:r>
      <w:r w:rsidR="00581A96" w:rsidRPr="00FB1F26">
        <w:rPr>
          <w:i/>
        </w:rPr>
        <w:t>ustification des éventuelles différences avec les hypothèses</w:t>
      </w:r>
      <w:r w:rsidR="00581A96" w:rsidRPr="00A85C3C">
        <w:rPr>
          <w:i/>
        </w:rPr>
        <w:t xml:space="preserve"> normalisées décrites </w:t>
      </w:r>
      <w:r w:rsidRPr="00A85C3C">
        <w:rPr>
          <w:i/>
        </w:rPr>
        <w:t>dans le cadre du « Supervisory outlier test»</w:t>
      </w:r>
      <w:r w:rsidRPr="00A90C30">
        <w:rPr>
          <w:i/>
        </w:rPr>
        <w:t>,</w:t>
      </w:r>
    </w:p>
    <w:p w:rsidR="00FA711C" w:rsidRPr="00A46A69" w:rsidRDefault="00A90C30" w:rsidP="00975981">
      <w:pPr>
        <w:pStyle w:val="SGACP-enumerationniveau1"/>
        <w:numPr>
          <w:ilvl w:val="1"/>
          <w:numId w:val="3"/>
        </w:numPr>
        <w:rPr>
          <w:i/>
        </w:rPr>
      </w:pPr>
      <w:r>
        <w:rPr>
          <w:i/>
        </w:rPr>
        <w:t>pour le</w:t>
      </w:r>
      <w:r w:rsidRPr="00A85C3C">
        <w:rPr>
          <w:i/>
        </w:rPr>
        <w:t xml:space="preserve"> calcul de la mesure de </w:t>
      </w:r>
      <w:r w:rsidR="00D50AAD">
        <w:rPr>
          <w:i/>
        </w:rPr>
        <w:t>produits d’intérêts net</w:t>
      </w:r>
      <w:r w:rsidR="00D50AAD" w:rsidRPr="00A85C3C">
        <w:rPr>
          <w:i/>
        </w:rPr>
        <w:t>s</w:t>
      </w:r>
      <w:r w:rsidRPr="00A85C3C">
        <w:rPr>
          <w:i/>
        </w:rPr>
        <w:t>, selon les hypothèses</w:t>
      </w:r>
      <w:r w:rsidR="004653C4">
        <w:rPr>
          <w:i/>
        </w:rPr>
        <w:t xml:space="preserve"> internes</w:t>
      </w:r>
      <w:r w:rsidRPr="00A85C3C">
        <w:rPr>
          <w:i/>
        </w:rPr>
        <w:t xml:space="preserve"> retenues par l’établissement pour sa gestion interne du risque de taux d’intérêt global</w:t>
      </w:r>
      <w:r>
        <w:rPr>
          <w:i/>
        </w:rPr>
        <w:t xml:space="preserve">, </w:t>
      </w:r>
      <w:r w:rsidRPr="00A85C3C">
        <w:rPr>
          <w:i/>
        </w:rPr>
        <w:t xml:space="preserve">base de projections entre un et cinq ans, utilisant a minima </w:t>
      </w:r>
      <w:r w:rsidR="00726098" w:rsidRPr="00726098">
        <w:rPr>
          <w:i/>
        </w:rPr>
        <w:t xml:space="preserve">un scénario de base et un scénario </w:t>
      </w:r>
      <w:r w:rsidR="00975981" w:rsidRPr="00975981">
        <w:rPr>
          <w:i/>
        </w:rPr>
        <w:t xml:space="preserve">de choc ou de tension </w:t>
      </w:r>
      <w:r w:rsidR="00726098">
        <w:rPr>
          <w:i/>
        </w:rPr>
        <w:t>tel qu’indiqué au paragraphe 15 des Orientations de l’ABE</w:t>
      </w:r>
      <w:r w:rsidRPr="00A85C3C">
        <w:rPr>
          <w:i/>
        </w:rPr>
        <w:t xml:space="preserve"> (se référer </w:t>
      </w:r>
      <w:r w:rsidR="00DB70B1">
        <w:rPr>
          <w:i/>
        </w:rPr>
        <w:t xml:space="preserve">également </w:t>
      </w:r>
      <w:r w:rsidRPr="00A85C3C">
        <w:rPr>
          <w:i/>
        </w:rPr>
        <w:t xml:space="preserve">à la matrice de sophistication de l’annexe II des </w:t>
      </w:r>
      <w:r w:rsidR="000001E8">
        <w:rPr>
          <w:i/>
        </w:rPr>
        <w:t>O</w:t>
      </w:r>
      <w:r w:rsidRPr="00A85C3C">
        <w:rPr>
          <w:i/>
        </w:rPr>
        <w:t xml:space="preserve">rientations </w:t>
      </w:r>
      <w:r w:rsidRPr="00A85C3C">
        <w:rPr>
          <w:i/>
        </w:rPr>
        <w:lastRenderedPageBreak/>
        <w:t>ABE). Présentation des hypothèses retenues</w:t>
      </w:r>
      <w:r>
        <w:rPr>
          <w:i/>
        </w:rPr>
        <w:t>.</w:t>
      </w:r>
      <w:r w:rsidR="00A8434B">
        <w:rPr>
          <w:i/>
        </w:rPr>
        <w:t xml:space="preserve"> Présentation de l’inclusion des instruments à la juste valeur.</w:t>
      </w:r>
    </w:p>
    <w:p w:rsidR="00D7076D" w:rsidRDefault="00463A1C" w:rsidP="00B21488">
      <w:pPr>
        <w:pStyle w:val="SGACP-enumerationniveau1"/>
        <w:numPr>
          <w:ilvl w:val="0"/>
          <w:numId w:val="0"/>
        </w:numPr>
        <w:rPr>
          <w:iCs/>
        </w:rPr>
      </w:pPr>
      <w:r w:rsidRPr="007F2900">
        <w:t>L</w:t>
      </w:r>
      <w:r w:rsidR="001224E7">
        <w:t>’</w:t>
      </w:r>
      <w:r w:rsidRPr="007F2900">
        <w:t>annexe</w:t>
      </w:r>
      <w:r w:rsidR="00B21488">
        <w:t xml:space="preserve"> </w:t>
      </w:r>
      <w:r w:rsidR="00AF5897">
        <w:t>I</w:t>
      </w:r>
      <w:r w:rsidRPr="007F2900">
        <w:t xml:space="preserve"> </w:t>
      </w:r>
      <w:r w:rsidR="00D50AAD">
        <w:t>des Orientations EBA/GL/2022/14</w:t>
      </w:r>
      <w:r w:rsidRPr="007F2900">
        <w:t xml:space="preserve"> décrit, à titre d</w:t>
      </w:r>
      <w:r w:rsidR="001224E7">
        <w:t>’</w:t>
      </w:r>
      <w:r w:rsidRPr="007F2900">
        <w:t>exemple, pour les établissements qui ne disposeraient</w:t>
      </w:r>
      <w:r w:rsidR="00DE0FD5">
        <w:t xml:space="preserve"> pas</w:t>
      </w:r>
      <w:r w:rsidRPr="007F2900">
        <w:t xml:space="preserve"> de méthodologie propre, les méthodes susceptibles d</w:t>
      </w:r>
      <w:r w:rsidR="001224E7">
        <w:t>’</w:t>
      </w:r>
      <w:r w:rsidRPr="007F2900">
        <w:t>être utilisées</w:t>
      </w:r>
      <w:r w:rsidR="00DA2593" w:rsidRPr="00581A96">
        <w:rPr>
          <w:iCs/>
        </w:rPr>
        <w:t> ;</w:t>
      </w:r>
    </w:p>
    <w:p w:rsidR="00DA2593" w:rsidRDefault="00DA2593" w:rsidP="00B21488">
      <w:pPr>
        <w:pStyle w:val="SGACP-enumerationniveau1"/>
        <w:ind w:left="284" w:hanging="284"/>
        <w:rPr>
          <w:iCs/>
        </w:rPr>
      </w:pPr>
      <w:r>
        <w:rPr>
          <w:iCs/>
        </w:rPr>
        <w:t xml:space="preserve">sensibilité des résultats du choc à une modification des hypothèses retenues </w:t>
      </w:r>
      <w:r w:rsidRPr="00210431">
        <w:rPr>
          <w:i/>
          <w:iCs/>
        </w:rPr>
        <w:t xml:space="preserve">(préciser l’impact </w:t>
      </w:r>
      <w:r w:rsidR="009C4CD8">
        <w:rPr>
          <w:i/>
          <w:iCs/>
        </w:rPr>
        <w:t>des différents</w:t>
      </w:r>
      <w:r w:rsidRPr="00210431">
        <w:rPr>
          <w:i/>
          <w:iCs/>
        </w:rPr>
        <w:t xml:space="preserve"> mouvement</w:t>
      </w:r>
      <w:r w:rsidR="009C4CD8">
        <w:rPr>
          <w:i/>
          <w:iCs/>
        </w:rPr>
        <w:t xml:space="preserve">s, parallèles et </w:t>
      </w:r>
      <w:r w:rsidRPr="00210431">
        <w:rPr>
          <w:i/>
          <w:iCs/>
        </w:rPr>
        <w:t>non-parallèle</w:t>
      </w:r>
      <w:r w:rsidR="009C4CD8">
        <w:rPr>
          <w:i/>
          <w:iCs/>
        </w:rPr>
        <w:t>s,</w:t>
      </w:r>
      <w:r w:rsidRPr="00210431">
        <w:rPr>
          <w:i/>
          <w:iCs/>
        </w:rPr>
        <w:t xml:space="preserve"> de la courbe des taux, des décalages entre références de taux (risque de base) et d’une modification des hypothèses et conventions d’écoulement retenues)</w:t>
      </w:r>
      <w:r>
        <w:rPr>
          <w:iCs/>
        </w:rPr>
        <w:t xml:space="preserve"> ; </w:t>
      </w:r>
    </w:p>
    <w:p w:rsidR="004B0BE5" w:rsidRDefault="00DA2593" w:rsidP="00256294">
      <w:pPr>
        <w:pStyle w:val="SGACP-enumerationniveau1"/>
        <w:spacing w:before="60"/>
        <w:ind w:left="284" w:hanging="284"/>
        <w:rPr>
          <w:iCs/>
        </w:rPr>
      </w:pPr>
      <w:r>
        <w:rPr>
          <w:iCs/>
        </w:rPr>
        <w:t xml:space="preserve">présentation du capital </w:t>
      </w:r>
      <w:r w:rsidR="00E76AEA">
        <w:rPr>
          <w:iCs/>
        </w:rPr>
        <w:t xml:space="preserve">interne </w:t>
      </w:r>
      <w:r>
        <w:rPr>
          <w:iCs/>
        </w:rPr>
        <w:t xml:space="preserve">alloué au regard du risque de taux d’intérêt </w:t>
      </w:r>
      <w:r w:rsidR="005E330A">
        <w:t>global</w:t>
      </w:r>
      <w:r w:rsidR="005E330A" w:rsidRPr="007F2900">
        <w:t xml:space="preserve"> </w:t>
      </w:r>
      <w:r>
        <w:rPr>
          <w:iCs/>
        </w:rPr>
        <w:t xml:space="preserve">encouru par </w:t>
      </w:r>
      <w:r w:rsidR="00C17657">
        <w:rPr>
          <w:iCs/>
        </w:rPr>
        <w:t>l’établissement</w:t>
      </w:r>
      <w:r w:rsidR="009C4CD8">
        <w:rPr>
          <w:iCs/>
        </w:rPr>
        <w:t xml:space="preserve"> et de la méthodologie d’allocation choisie</w:t>
      </w:r>
      <w:r w:rsidR="00B24D1A">
        <w:rPr>
          <w:iCs/>
        </w:rPr>
        <w:t xml:space="preserve"> ; </w:t>
      </w:r>
    </w:p>
    <w:p w:rsidR="00622E90" w:rsidRDefault="004B0BE5" w:rsidP="00256294">
      <w:pPr>
        <w:pStyle w:val="SGACP-enumerationniveau1"/>
        <w:spacing w:before="60"/>
        <w:ind w:left="284" w:hanging="284"/>
        <w:rPr>
          <w:iCs/>
        </w:rPr>
      </w:pPr>
      <w:r>
        <w:rPr>
          <w:iCs/>
        </w:rPr>
        <w:t>p</w:t>
      </w:r>
      <w:r w:rsidR="00A448B9">
        <w:rPr>
          <w:iCs/>
        </w:rPr>
        <w:t>résentation de</w:t>
      </w:r>
      <w:r w:rsidR="00B24D1A">
        <w:rPr>
          <w:iCs/>
        </w:rPr>
        <w:t>s</w:t>
      </w:r>
      <w:r w:rsidR="00A448B9">
        <w:rPr>
          <w:iCs/>
        </w:rPr>
        <w:t xml:space="preserve"> scénarios de taux alternatifs utilisés par l’établissement (par exemple, des scénarios d’aplatissement, de pentification, d’inversion, de choc sur les taux courts, etc.)</w:t>
      </w:r>
      <w:r w:rsidR="00B24D1A">
        <w:rPr>
          <w:iCs/>
        </w:rPr>
        <w:t xml:space="preserve"> et des résultats sur la valeur économique et les </w:t>
      </w:r>
      <w:r w:rsidR="00D50AAD">
        <w:rPr>
          <w:iCs/>
        </w:rPr>
        <w:t>produits d’intérêts nets</w:t>
      </w:r>
      <w:r w:rsidR="00D7076D">
        <w:rPr>
          <w:iCs/>
        </w:rPr>
        <w:t>.</w:t>
      </w:r>
      <w:r w:rsidR="00B24D1A">
        <w:rPr>
          <w:iCs/>
        </w:rPr>
        <w:t xml:space="preserve"> </w:t>
      </w:r>
    </w:p>
    <w:p w:rsidR="003B7357" w:rsidRPr="00440703" w:rsidRDefault="003B7357" w:rsidP="00463A1C">
      <w:bookmarkStart w:id="168" w:name="_Toc244576470"/>
      <w:bookmarkStart w:id="169" w:name="_Toc266799832"/>
    </w:p>
    <w:p w:rsidR="00B23710" w:rsidRPr="007F2900" w:rsidRDefault="008F3AF1" w:rsidP="00B23710">
      <w:pPr>
        <w:pStyle w:val="SGACP-sous-titrederubriquenivaeu2"/>
      </w:pPr>
      <w:r>
        <w:t>13</w:t>
      </w:r>
      <w:r w:rsidR="00DC0250">
        <w:t>.2.</w:t>
      </w:r>
      <w:r w:rsidR="00DC0250">
        <w:tab/>
      </w:r>
      <w:r w:rsidR="00463A1C" w:rsidRPr="007F2900">
        <w:t>Dispositif de surveillance du risque de taux</w:t>
      </w:r>
      <w:bookmarkEnd w:id="168"/>
      <w:bookmarkEnd w:id="169"/>
      <w:r w:rsidR="004F2CE1">
        <w:t> </w:t>
      </w:r>
      <w:r w:rsidR="005E330A">
        <w:t>d’intérêt global</w:t>
      </w:r>
      <w:r w:rsidR="00965B51">
        <w:t xml:space="preserve"> </w:t>
      </w:r>
      <w:r w:rsidR="004F2CE1">
        <w:t>:</w:t>
      </w:r>
    </w:p>
    <w:p w:rsidR="00B23710" w:rsidRDefault="006C443B" w:rsidP="00B23710">
      <w:pPr>
        <w:pStyle w:val="SGACP-enumerationniveau1"/>
        <w:ind w:left="284" w:hanging="284"/>
      </w:pPr>
      <w:r>
        <w:t xml:space="preserve">pour l’approche </w:t>
      </w:r>
      <w:r w:rsidR="00D50AAD">
        <w:t>en produits d’intérêts nets</w:t>
      </w:r>
      <w:r>
        <w:t xml:space="preserve"> et l’approche </w:t>
      </w:r>
      <w:r w:rsidR="00D50AAD">
        <w:t>en</w:t>
      </w:r>
      <w:r>
        <w:t xml:space="preserve"> valeur économique, </w:t>
      </w:r>
      <w:r w:rsidR="004F2CE1">
        <w:t>d</w:t>
      </w:r>
      <w:r w:rsidR="00463A1C" w:rsidRPr="007F2900">
        <w:t>escription synthétique des limites fixées en matière de risque de taux</w:t>
      </w:r>
      <w:r w:rsidR="005E330A" w:rsidRPr="005E330A">
        <w:t xml:space="preserve"> d’intérêt global</w:t>
      </w:r>
      <w:r w:rsidR="00463A1C" w:rsidRPr="007F2900">
        <w:t xml:space="preserve"> </w:t>
      </w:r>
      <w:r w:rsidR="00463A1C" w:rsidRPr="00210431">
        <w:rPr>
          <w:i/>
        </w:rPr>
        <w:t>(indiquer la nature et le niveau des limites mises en place, par exemple en termes de gap, de sensibilité par rapport aux résultats ou aux fonds propres, indiquer la date à laquelle la révision des limites est intervenue au cours du dernier exercice, préciser la procédure de suivi des dépassements)</w:t>
      </w:r>
      <w:r w:rsidR="00E77850">
        <w:t> ;</w:t>
      </w:r>
    </w:p>
    <w:p w:rsidR="00767D78" w:rsidRPr="004B0BE5" w:rsidRDefault="00E77850" w:rsidP="00EE5F57">
      <w:pPr>
        <w:pStyle w:val="SGACP-enumerationniveau1"/>
        <w:ind w:left="284" w:hanging="284"/>
      </w:pPr>
      <w:r>
        <w:t>d</w:t>
      </w:r>
      <w:r w:rsidR="00463A1C" w:rsidRPr="007F2900">
        <w:t xml:space="preserve">escription synthétique des reportings utilisés pour la gestion du risque de taux </w:t>
      </w:r>
      <w:r w:rsidR="005E330A" w:rsidRPr="005E330A">
        <w:t xml:space="preserve">d’intérêt global </w:t>
      </w:r>
      <w:r w:rsidR="00463A1C" w:rsidRPr="00DC0250">
        <w:rPr>
          <w:i/>
          <w:iCs/>
        </w:rPr>
        <w:t>(préciser notamment la périodicité et les destinataires des reportings)</w:t>
      </w:r>
      <w:r w:rsidR="00767D78">
        <w:rPr>
          <w:i/>
          <w:iCs/>
        </w:rPr>
        <w:t> </w:t>
      </w:r>
      <w:r w:rsidR="00767D78" w:rsidRPr="00935917">
        <w:rPr>
          <w:iCs/>
        </w:rPr>
        <w:t>;</w:t>
      </w:r>
    </w:p>
    <w:p w:rsidR="00331B88" w:rsidRDefault="00E914A0" w:rsidP="008A3679">
      <w:pPr>
        <w:pStyle w:val="SGACP-enumerationniveau1"/>
        <w:ind w:left="284" w:hanging="284"/>
      </w:pPr>
      <w:r>
        <w:t>rôles des dirigeants effectifs, de l’organe de surveillance et le cas échéant du comité des risques dans la définition de la stratégie globale en matière de risque</w:t>
      </w:r>
      <w:r w:rsidR="00115C0E">
        <w:t xml:space="preserve"> de taux d’intérêt global</w:t>
      </w:r>
      <w:r>
        <w:t xml:space="preserve"> et de l’appétence pour le</w:t>
      </w:r>
      <w:r w:rsidR="00572BA8">
        <w:t>s</w:t>
      </w:r>
      <w:r>
        <w:t xml:space="preserve"> risque</w:t>
      </w:r>
      <w:r w:rsidR="00572BA8">
        <w:t>s</w:t>
      </w:r>
      <w:r w:rsidR="00115C0E">
        <w:t xml:space="preserve"> de taux</w:t>
      </w:r>
      <w:r>
        <w:t xml:space="preserve"> actuels et futurs de l’établissement (</w:t>
      </w:r>
      <w:r w:rsidR="00156279">
        <w:t xml:space="preserve">cf. </w:t>
      </w:r>
      <w:r>
        <w:t>articles L.511-92 et L.511-93 du Code monétaire et financier)</w:t>
      </w:r>
      <w:r w:rsidR="00572BA8">
        <w:t>, et dans la fixation des limites (cf. article 224 de l’arrêté du 3 novembre 2014</w:t>
      </w:r>
      <w:r w:rsidR="00154A06">
        <w:t xml:space="preserve"> modifié</w:t>
      </w:r>
      <w:r w:rsidR="00572BA8">
        <w:t>)</w:t>
      </w:r>
      <w:r w:rsidR="00BA07CA">
        <w:rPr>
          <w:i/>
          <w:iCs/>
        </w:rPr>
        <w:t>.</w:t>
      </w:r>
    </w:p>
    <w:p w:rsidR="00CE522C" w:rsidRPr="00440703" w:rsidRDefault="00CE522C" w:rsidP="00463A1C">
      <w:bookmarkStart w:id="170" w:name="_Toc244576471"/>
      <w:bookmarkStart w:id="171" w:name="_Toc266799833"/>
    </w:p>
    <w:p w:rsidR="00463A1C" w:rsidRPr="007F2900" w:rsidRDefault="008F3AF1" w:rsidP="00DC0250">
      <w:pPr>
        <w:pStyle w:val="SGACP-sous-titrederubriquenivaeu2"/>
      </w:pPr>
      <w:r>
        <w:t>13</w:t>
      </w:r>
      <w:r w:rsidR="00DC0250">
        <w:t>.3.</w:t>
      </w:r>
      <w:r w:rsidR="00DC0250">
        <w:tab/>
      </w:r>
      <w:r w:rsidR="00463A1C" w:rsidRPr="007F2900">
        <w:t>Dispositif de contrôle permanent de la gestion du risque de taux</w:t>
      </w:r>
      <w:bookmarkEnd w:id="170"/>
      <w:bookmarkEnd w:id="171"/>
      <w:r w:rsidR="00BA07CA">
        <w:t> </w:t>
      </w:r>
      <w:r w:rsidR="005E330A">
        <w:t xml:space="preserve">d’intérêt global </w:t>
      </w:r>
      <w:r w:rsidR="00BA07CA">
        <w:t>:</w:t>
      </w:r>
    </w:p>
    <w:p w:rsidR="00331B88" w:rsidRDefault="00BA07CA" w:rsidP="007B6E6E">
      <w:pPr>
        <w:pStyle w:val="SGACP-enumerationniveau1"/>
        <w:ind w:left="284" w:hanging="284"/>
      </w:pPr>
      <w:r>
        <w:t>p</w:t>
      </w:r>
      <w:r w:rsidR="00463A1C" w:rsidRPr="007F2900">
        <w:t>réciser s</w:t>
      </w:r>
      <w:r w:rsidR="001224E7">
        <w:t>’</w:t>
      </w:r>
      <w:r w:rsidR="00463A1C" w:rsidRPr="007F2900">
        <w:t xml:space="preserve">il existe une unité en charge de la surveillance et de la gestion du risque de taux </w:t>
      </w:r>
      <w:r w:rsidR="005E330A" w:rsidRPr="005E330A">
        <w:t xml:space="preserve">d’intérêt global </w:t>
      </w:r>
      <w:r w:rsidR="00463A1C" w:rsidRPr="007F2900">
        <w:t>et de manière plus générale comment cette surveillance s</w:t>
      </w:r>
      <w:r w:rsidR="001224E7">
        <w:t>’</w:t>
      </w:r>
      <w:r w:rsidR="00463A1C" w:rsidRPr="007F2900">
        <w:t>inscrit dans le dispositif de contrôle permanent</w:t>
      </w:r>
      <w:r>
        <w:t>.</w:t>
      </w:r>
    </w:p>
    <w:p w:rsidR="00DC0250" w:rsidRPr="00440703" w:rsidRDefault="00DC0250" w:rsidP="00463A1C">
      <w:bookmarkStart w:id="172" w:name="_Toc266799834"/>
    </w:p>
    <w:p w:rsidR="00463A1C" w:rsidRPr="007F2900" w:rsidRDefault="008F3AF1" w:rsidP="00A631B9">
      <w:pPr>
        <w:pStyle w:val="SGACP-sous-titrederubriquenivaeu2"/>
        <w:keepNext/>
      </w:pPr>
      <w:r>
        <w:t>13</w:t>
      </w:r>
      <w:r w:rsidR="00DC0250">
        <w:t>.4.</w:t>
      </w:r>
      <w:r w:rsidR="00DC0250">
        <w:tab/>
      </w:r>
      <w:r w:rsidR="00463A1C" w:rsidRPr="007F2900">
        <w:t xml:space="preserve">Résultats des contrôles permanents </w:t>
      </w:r>
      <w:r w:rsidR="002B7399">
        <w:t>de 2</w:t>
      </w:r>
      <w:r w:rsidR="002B7399" w:rsidRPr="002B7399">
        <w:rPr>
          <w:vertAlign w:val="superscript"/>
        </w:rPr>
        <w:t>ème</w:t>
      </w:r>
      <w:r w:rsidR="002B7399">
        <w:t xml:space="preserve"> niveau</w:t>
      </w:r>
      <w:r w:rsidR="002B7399" w:rsidRPr="007F2900">
        <w:t xml:space="preserve"> </w:t>
      </w:r>
      <w:r w:rsidR="00463A1C" w:rsidRPr="007F2900">
        <w:t>menés en matière de risque de taux</w:t>
      </w:r>
      <w:bookmarkEnd w:id="172"/>
      <w:r w:rsidR="005E330A" w:rsidRPr="005E330A">
        <w:t xml:space="preserve"> </w:t>
      </w:r>
      <w:r w:rsidR="005E330A">
        <w:t>d’intérêt global</w:t>
      </w:r>
      <w:r w:rsidR="00BA07CA">
        <w:t> :</w:t>
      </w:r>
    </w:p>
    <w:p w:rsidR="00331B88" w:rsidRPr="004E7222" w:rsidRDefault="00BA07CA" w:rsidP="002F6550">
      <w:pPr>
        <w:pStyle w:val="SGACP-enumerationniveau1"/>
        <w:ind w:left="284" w:hanging="284"/>
        <w:rPr>
          <w:iCs/>
        </w:rPr>
      </w:pPr>
      <w:r w:rsidRPr="002B7ACF">
        <w:rPr>
          <w:iCs/>
        </w:rPr>
        <w:t>p</w:t>
      </w:r>
      <w:r w:rsidR="00463A1C" w:rsidRPr="0047516D">
        <w:rPr>
          <w:iCs/>
        </w:rPr>
        <w:t>rincipales insuffisances relevées</w:t>
      </w:r>
      <w:r w:rsidRPr="0047516D">
        <w:rPr>
          <w:iCs/>
        </w:rPr>
        <w:t> ;</w:t>
      </w:r>
    </w:p>
    <w:p w:rsidR="00331B88" w:rsidRPr="00A342F6" w:rsidRDefault="00BA07CA" w:rsidP="002F6550">
      <w:pPr>
        <w:pStyle w:val="SGACP-enumerationniveau1"/>
        <w:spacing w:before="60"/>
        <w:ind w:left="284" w:hanging="284"/>
        <w:rPr>
          <w:iCs/>
        </w:rPr>
      </w:pPr>
      <w:r w:rsidRPr="004E7222">
        <w:rPr>
          <w:iCs/>
        </w:rPr>
        <w:t>m</w:t>
      </w:r>
      <w:r w:rsidR="00463A1C" w:rsidRPr="004E7222">
        <w:rPr>
          <w:iCs/>
        </w:rPr>
        <w:t>esures correctives engagées pour remédier aux insuffisances relevées, date de réalisation prévisionnelle de ces mesures et état d</w:t>
      </w:r>
      <w:r w:rsidR="001224E7" w:rsidRPr="004E7222">
        <w:rPr>
          <w:iCs/>
        </w:rPr>
        <w:t>’</w:t>
      </w:r>
      <w:r w:rsidR="00463A1C" w:rsidRPr="004E7222">
        <w:rPr>
          <w:iCs/>
        </w:rPr>
        <w:t>avancement de leur mise en œuvre à la date de rédaction du présent rapport</w:t>
      </w:r>
      <w:r w:rsidRPr="00A342F6">
        <w:rPr>
          <w:iCs/>
        </w:rPr>
        <w:t> ;</w:t>
      </w:r>
    </w:p>
    <w:p w:rsidR="00331B88" w:rsidRPr="002B7ACF" w:rsidRDefault="00BA07CA" w:rsidP="002F6550">
      <w:pPr>
        <w:pStyle w:val="SGACP-enumerationniveau1"/>
        <w:spacing w:before="60"/>
        <w:ind w:left="284" w:hanging="284"/>
        <w:rPr>
          <w:iCs/>
        </w:rPr>
      </w:pPr>
      <w:r w:rsidRPr="00A342F6">
        <w:rPr>
          <w:iCs/>
        </w:rPr>
        <w:t>m</w:t>
      </w:r>
      <w:r w:rsidR="00463A1C" w:rsidRPr="002F6550">
        <w:rPr>
          <w:iCs/>
        </w:rPr>
        <w:t xml:space="preserve">odalités de suivi des recommandations résultant des contrôles permanents </w:t>
      </w:r>
      <w:r w:rsidR="00463A1C" w:rsidRPr="002F6550">
        <w:rPr>
          <w:i/>
          <w:iCs/>
        </w:rPr>
        <w:t>(outils, personnes en charge)</w:t>
      </w:r>
      <w:r w:rsidRPr="002F6550">
        <w:rPr>
          <w:iCs/>
        </w:rPr>
        <w:t> </w:t>
      </w:r>
      <w:r w:rsidRPr="00935917">
        <w:rPr>
          <w:iCs/>
        </w:rPr>
        <w:t>;</w:t>
      </w:r>
    </w:p>
    <w:p w:rsidR="00331B88" w:rsidRPr="002B7ACF" w:rsidRDefault="00BA07CA" w:rsidP="002F6550">
      <w:pPr>
        <w:pStyle w:val="SGACP-enumerationniveau1"/>
        <w:spacing w:before="60"/>
        <w:ind w:left="284" w:hanging="284"/>
        <w:rPr>
          <w:iCs/>
        </w:rPr>
      </w:pPr>
      <w:r w:rsidRPr="0047516D">
        <w:rPr>
          <w:iCs/>
        </w:rPr>
        <w:t>m</w:t>
      </w:r>
      <w:r w:rsidR="00463A1C" w:rsidRPr="0047516D">
        <w:rPr>
          <w:iCs/>
        </w:rPr>
        <w:t>odalités de vérification de l</w:t>
      </w:r>
      <w:r w:rsidR="001224E7" w:rsidRPr="004E7222">
        <w:rPr>
          <w:iCs/>
        </w:rPr>
        <w:t>’</w:t>
      </w:r>
      <w:r w:rsidR="00463A1C" w:rsidRPr="004E7222">
        <w:rPr>
          <w:iCs/>
        </w:rPr>
        <w:t>exécution dans des délais raisonnables des mesures correctrices décidées au sein des</w:t>
      </w:r>
      <w:r w:rsidR="00C17657" w:rsidRPr="004E7222">
        <w:rPr>
          <w:iCs/>
        </w:rPr>
        <w:t xml:space="preserve"> entreprises</w:t>
      </w:r>
      <w:r w:rsidR="00463A1C" w:rsidRPr="004E7222">
        <w:rPr>
          <w:iCs/>
        </w:rPr>
        <w:t xml:space="preserve">, par les personnes compétentes </w:t>
      </w:r>
      <w:r w:rsidR="00463A1C" w:rsidRPr="001D505C">
        <w:rPr>
          <w:iCs/>
        </w:rPr>
        <w:t>(cf. articles</w:t>
      </w:r>
      <w:r w:rsidR="00290219" w:rsidRPr="001D505C">
        <w:rPr>
          <w:iCs/>
        </w:rPr>
        <w:t xml:space="preserve"> 11 f) et 26 </w:t>
      </w:r>
      <w:r w:rsidR="000E6CFB" w:rsidRPr="001D505C">
        <w:rPr>
          <w:iCs/>
        </w:rPr>
        <w:t xml:space="preserve">a) </w:t>
      </w:r>
      <w:r w:rsidR="000E6CFB" w:rsidRPr="002B7ACF">
        <w:rPr>
          <w:iCs/>
        </w:rPr>
        <w:t>de l</w:t>
      </w:r>
      <w:r w:rsidR="000E6CFB" w:rsidRPr="0047516D">
        <w:rPr>
          <w:iCs/>
        </w:rPr>
        <w:t>’arrêté du 3 novembre 2014</w:t>
      </w:r>
      <w:r w:rsidR="00154A06" w:rsidRPr="0047516D">
        <w:rPr>
          <w:iCs/>
        </w:rPr>
        <w:t xml:space="preserve"> modifié</w:t>
      </w:r>
      <w:r w:rsidR="00463A1C" w:rsidRPr="00935917">
        <w:rPr>
          <w:iCs/>
        </w:rPr>
        <w:t>)</w:t>
      </w:r>
      <w:r w:rsidRPr="00935917">
        <w:rPr>
          <w:iCs/>
        </w:rPr>
        <w:t>.</w:t>
      </w:r>
    </w:p>
    <w:p w:rsidR="00A90C30" w:rsidRDefault="00A90C30" w:rsidP="002F6550"/>
    <w:p w:rsidR="00B21488" w:rsidRDefault="00B21488" w:rsidP="002F6550"/>
    <w:p w:rsidR="00B21488" w:rsidRPr="00A85C3C" w:rsidRDefault="00B21488" w:rsidP="002F6550"/>
    <w:p w:rsidR="000338FE" w:rsidRPr="000338FE" w:rsidRDefault="00B21488" w:rsidP="00B21488">
      <w:pPr>
        <w:pStyle w:val="NormalWeb"/>
        <w:tabs>
          <w:tab w:val="left" w:pos="567"/>
        </w:tabs>
        <w:spacing w:before="0" w:beforeAutospacing="0" w:after="0" w:afterAutospacing="0"/>
      </w:pPr>
      <w:r>
        <w:lastRenderedPageBreak/>
        <w:t xml:space="preserve">13.5.  </w:t>
      </w:r>
      <w:r w:rsidR="00A90C30" w:rsidRPr="007F2900">
        <w:t>Dispositif d</w:t>
      </w:r>
      <w:r w:rsidR="00A90C30">
        <w:t xml:space="preserve">e surveillance du risque d’écart de crédit issu des activités hors portefeuille de négociation </w:t>
      </w:r>
      <w:r w:rsidR="000338FE" w:rsidRPr="004D40E0">
        <w:rPr>
          <w:i/>
        </w:rPr>
        <w:t>Credit Spread Risk in the Banking Book</w:t>
      </w:r>
      <w:r w:rsidR="000338FE" w:rsidRPr="000338FE">
        <w:t xml:space="preserve"> </w:t>
      </w:r>
      <w:r w:rsidR="00B23180">
        <w:t xml:space="preserve">- </w:t>
      </w:r>
      <w:r w:rsidR="00A90C30" w:rsidRPr="000338FE">
        <w:t>CSRBB</w:t>
      </w:r>
      <w:r w:rsidR="000338FE" w:rsidRPr="000338FE">
        <w:t xml:space="preserve"> </w:t>
      </w:r>
      <w:r w:rsidR="00A90C30" w:rsidRPr="000338FE">
        <w:t>)</w:t>
      </w:r>
      <w:r w:rsidR="00B23180">
        <w:rPr>
          <w:rStyle w:val="Appelnotedebasdep"/>
        </w:rPr>
        <w:footnoteReference w:id="10"/>
      </w:r>
      <w:r w:rsidR="00840FC6" w:rsidRPr="000338FE">
        <w:t xml:space="preserve"> </w:t>
      </w:r>
      <w:r w:rsidR="00A90C30" w:rsidRPr="000338FE">
        <w:t>:</w:t>
      </w:r>
    </w:p>
    <w:p w:rsidR="00840FC6" w:rsidRDefault="00840FC6" w:rsidP="00840FC6">
      <w:pPr>
        <w:pStyle w:val="SGACP-enumerationniveau1"/>
        <w:ind w:left="284" w:hanging="284"/>
      </w:pPr>
      <w:r w:rsidRPr="002D742A">
        <w:t xml:space="preserve">description synthétique du cadre général de la détection, de l’évaluation et de la gestion du risque </w:t>
      </w:r>
      <w:r>
        <w:t xml:space="preserve">CSRBB : </w:t>
      </w:r>
      <w:r w:rsidRPr="00840FC6">
        <w:rPr>
          <w:i/>
        </w:rPr>
        <w:t>préciser le périmètre des opérations prises en compte et les éventuelles exclusions d’instruments appliquées en les justifiant, description du rôle des dirigeants effectifs et des organes de surveillance et la répartition des compétences en matière de pilotage du risque CSRBB</w:t>
      </w:r>
      <w:r>
        <w:rPr>
          <w:i/>
        </w:rPr>
        <w:t> </w:t>
      </w:r>
      <w:r>
        <w:t>;</w:t>
      </w:r>
    </w:p>
    <w:p w:rsidR="00840FC6" w:rsidRPr="004615FD" w:rsidRDefault="00840FC6" w:rsidP="00840FC6">
      <w:pPr>
        <w:pStyle w:val="SGACP-enumerationniveau1"/>
        <w:ind w:left="284" w:hanging="284"/>
      </w:pPr>
      <w:r w:rsidRPr="002B7ACF">
        <w:t>description du suivi et de l’évaluation des positions affectées par le</w:t>
      </w:r>
      <w:r w:rsidRPr="0047516D">
        <w:t xml:space="preserve"> risque d’écart de crédit issu des activités hors portefeuille de négociation</w:t>
      </w:r>
      <w:r w:rsidR="00A8434B">
        <w:t xml:space="preserve">, via notamment les métriques en valeur économique et </w:t>
      </w:r>
      <w:r w:rsidR="00D50AAD">
        <w:t>produits d’intérêts nets</w:t>
      </w:r>
      <w:r w:rsidR="00433237">
        <w:t xml:space="preserve"> (cf. article 84 paragraphe 2 de la directive 2013/36/UE)</w:t>
      </w:r>
      <w:r w:rsidRPr="0047516D">
        <w:t> :</w:t>
      </w:r>
      <w:r w:rsidRPr="002F6550">
        <w:t xml:space="preserve"> </w:t>
      </w:r>
      <w:r w:rsidRPr="002B7ACF">
        <w:rPr>
          <w:i/>
        </w:rPr>
        <w:t>préciser</w:t>
      </w:r>
      <w:r w:rsidRPr="0047516D">
        <w:rPr>
          <w:i/>
        </w:rPr>
        <w:t xml:space="preserve"> </w:t>
      </w:r>
      <w:r w:rsidRPr="004E7222">
        <w:rPr>
          <w:i/>
        </w:rPr>
        <w:t>les indicateurs</w:t>
      </w:r>
      <w:r>
        <w:rPr>
          <w:i/>
        </w:rPr>
        <w:t xml:space="preserve"> et outils utilisés, décrire les</w:t>
      </w:r>
      <w:r w:rsidRPr="004615FD">
        <w:rPr>
          <w:i/>
          <w:iCs/>
        </w:rPr>
        <w:t xml:space="preserve"> hypothèses et principes méthodologiques retenus</w:t>
      </w:r>
      <w:r>
        <w:rPr>
          <w:i/>
        </w:rPr>
        <w:t>, résultats obtenus ;</w:t>
      </w:r>
    </w:p>
    <w:p w:rsidR="00840FC6" w:rsidRPr="004E7222" w:rsidRDefault="00840FC6" w:rsidP="00840FC6">
      <w:pPr>
        <w:pStyle w:val="SGACP-enumerationniveau1"/>
        <w:ind w:left="284" w:hanging="284"/>
        <w:rPr>
          <w:iCs/>
        </w:rPr>
      </w:pPr>
      <w:r>
        <w:t>d</w:t>
      </w:r>
      <w:r w:rsidRPr="007F2900">
        <w:t xml:space="preserve">escription synthétique des reportings utilisés pour la gestion du risque </w:t>
      </w:r>
      <w:r>
        <w:t>CSRBB</w:t>
      </w:r>
      <w:r w:rsidRPr="005E330A">
        <w:t xml:space="preserve"> </w:t>
      </w:r>
      <w:r w:rsidRPr="00DC0250">
        <w:rPr>
          <w:i/>
          <w:iCs/>
        </w:rPr>
        <w:t>(préciser notamment la périodicité et les destinataires des reportings)</w:t>
      </w:r>
      <w:r>
        <w:rPr>
          <w:i/>
          <w:iCs/>
        </w:rPr>
        <w:t>.</w:t>
      </w:r>
    </w:p>
    <w:p w:rsidR="0033036E" w:rsidRPr="00440703" w:rsidRDefault="0033036E" w:rsidP="00460E3D">
      <w:bookmarkStart w:id="173" w:name="_Toc244576472"/>
      <w:bookmarkStart w:id="174" w:name="_Toc266799835"/>
    </w:p>
    <w:p w:rsidR="00466F07" w:rsidRDefault="008F3AF1" w:rsidP="00A631B9">
      <w:pPr>
        <w:pStyle w:val="SGACP-sous-titrederubriquenivaeu2"/>
        <w:keepNext/>
      </w:pPr>
      <w:r w:rsidRPr="00FB1F26">
        <w:t>13</w:t>
      </w:r>
      <w:r w:rsidR="0033036E" w:rsidRPr="00FB1F26">
        <w:t>.</w:t>
      </w:r>
      <w:r w:rsidR="00A90C30" w:rsidRPr="00FB1F26">
        <w:t>6</w:t>
      </w:r>
      <w:r w:rsidR="0033036E" w:rsidRPr="00FB1F26">
        <w:t>.</w:t>
      </w:r>
      <w:r w:rsidR="0033036E" w:rsidRPr="00FB1F26">
        <w:tab/>
      </w:r>
      <w:r w:rsidR="00463A1C" w:rsidRPr="00FB1F26">
        <w:t>Conclusion synthétique sur l</w:t>
      </w:r>
      <w:r w:rsidR="001224E7" w:rsidRPr="00FB1F26">
        <w:t>’</w:t>
      </w:r>
      <w:r w:rsidR="00463A1C" w:rsidRPr="00FB1F26">
        <w:t>exposition au risque de taux</w:t>
      </w:r>
      <w:bookmarkEnd w:id="173"/>
      <w:bookmarkEnd w:id="174"/>
      <w:r w:rsidR="005E330A" w:rsidRPr="00FB1F26">
        <w:t xml:space="preserve"> d’intérêt global</w:t>
      </w:r>
    </w:p>
    <w:p w:rsidR="00E510F3" w:rsidRPr="00FB1F26" w:rsidRDefault="00E510F3" w:rsidP="00E510F3">
      <w:pPr>
        <w:pStyle w:val="SGACP-enumerationniveau1"/>
        <w:ind w:left="284" w:hanging="284"/>
      </w:pPr>
      <w:r w:rsidRPr="00FB1F26">
        <w:t>les établissements doivent formaliser et remettre les conclusions des évaluations de leur sensibilité au risque IRRBB et au risque CSRBB, ainsi que leur incidence sur la gestion du risque et sur la gestion globale de l’établissement.</w:t>
      </w:r>
    </w:p>
    <w:p w:rsidR="00E510F3" w:rsidRDefault="00E510F3" w:rsidP="0033036E">
      <w:pPr>
        <w:pStyle w:val="SGACP-sous-titrederubriquenivaeu2"/>
      </w:pPr>
    </w:p>
    <w:p w:rsidR="00997F0E" w:rsidRPr="007F2900" w:rsidRDefault="00997F0E" w:rsidP="0033036E">
      <w:pPr>
        <w:pStyle w:val="SGACP-sous-titrederubriquenivaeu2"/>
      </w:pPr>
    </w:p>
    <w:p w:rsidR="00331B88" w:rsidRDefault="00463A1C">
      <w:pPr>
        <w:pStyle w:val="StyleSGACP-titrederubriqueniveau1CouleurpersonnaliseRVB"/>
        <w:keepNext/>
        <w:keepLines/>
        <w:ind w:left="426" w:hanging="426"/>
      </w:pPr>
      <w:bookmarkStart w:id="175" w:name="_Toc340481687"/>
      <w:bookmarkStart w:id="176" w:name="_Toc340481797"/>
      <w:bookmarkStart w:id="177" w:name="_Toc340482192"/>
      <w:bookmarkStart w:id="178" w:name="_Toc340481688"/>
      <w:bookmarkStart w:id="179" w:name="_Toc340481798"/>
      <w:bookmarkStart w:id="180" w:name="_Toc340482193"/>
      <w:bookmarkStart w:id="181" w:name="_Toc244576473"/>
      <w:bookmarkStart w:id="182" w:name="_Toc244598007"/>
      <w:bookmarkStart w:id="183" w:name="_Toc244601061"/>
      <w:bookmarkStart w:id="184" w:name="_Toc244692478"/>
      <w:bookmarkStart w:id="185" w:name="_Toc244692547"/>
      <w:bookmarkStart w:id="186" w:name="_Toc244938467"/>
      <w:bookmarkStart w:id="187" w:name="_Toc244938700"/>
      <w:bookmarkStart w:id="188" w:name="_Toc266799836"/>
      <w:bookmarkStart w:id="189" w:name="_Toc266799866"/>
      <w:bookmarkStart w:id="190" w:name="_Toc137799886"/>
      <w:bookmarkEnd w:id="175"/>
      <w:bookmarkEnd w:id="176"/>
      <w:bookmarkEnd w:id="177"/>
      <w:bookmarkEnd w:id="178"/>
      <w:bookmarkEnd w:id="179"/>
      <w:bookmarkEnd w:id="180"/>
      <w:r w:rsidRPr="007D7872">
        <w:t>Risque d</w:t>
      </w:r>
      <w:r w:rsidR="001224E7">
        <w:t>’</w:t>
      </w:r>
      <w:r w:rsidRPr="007D7872">
        <w:t>intermédiation des prestataires de services d</w:t>
      </w:r>
      <w:r w:rsidR="001224E7">
        <w:t>’</w:t>
      </w:r>
      <w:r w:rsidRPr="007D7872">
        <w:t>investissement</w:t>
      </w:r>
      <w:bookmarkEnd w:id="181"/>
      <w:bookmarkEnd w:id="182"/>
      <w:bookmarkEnd w:id="183"/>
      <w:bookmarkEnd w:id="184"/>
      <w:bookmarkEnd w:id="185"/>
      <w:bookmarkEnd w:id="186"/>
      <w:bookmarkEnd w:id="187"/>
      <w:bookmarkEnd w:id="188"/>
      <w:bookmarkEnd w:id="189"/>
      <w:bookmarkEnd w:id="190"/>
    </w:p>
    <w:p w:rsidR="0024125E" w:rsidRPr="00935917" w:rsidRDefault="0024125E" w:rsidP="00460E3D"/>
    <w:p w:rsidR="00331B88" w:rsidRDefault="00BA07CA" w:rsidP="006D1AEB">
      <w:pPr>
        <w:pStyle w:val="SGACP-enumerationniveau1"/>
        <w:ind w:left="284" w:hanging="284"/>
      </w:pPr>
      <w:r>
        <w:t>r</w:t>
      </w:r>
      <w:r w:rsidR="00463A1C" w:rsidRPr="007F2900">
        <w:t>elevés de la répartition globale des engagements par ensemble de contreparties et de donneurs d</w:t>
      </w:r>
      <w:r w:rsidR="001224E7">
        <w:t>’</w:t>
      </w:r>
      <w:r w:rsidR="00463A1C" w:rsidRPr="007F2900">
        <w:t xml:space="preserve">ordres </w:t>
      </w:r>
      <w:r w:rsidR="00463A1C" w:rsidRPr="0033036E">
        <w:t>(par notation interne, par instrument financier, par marché ou par tout autre critère significatif dans le cadre des activités exercées par l</w:t>
      </w:r>
      <w:r w:rsidR="001224E7">
        <w:t>’</w:t>
      </w:r>
      <w:r w:rsidR="00463A1C" w:rsidRPr="0033036E">
        <w:t>établissement)</w:t>
      </w:r>
      <w:r>
        <w:t> ;</w:t>
      </w:r>
    </w:p>
    <w:p w:rsidR="00331B88" w:rsidRDefault="00BA07CA" w:rsidP="006D1AEB">
      <w:pPr>
        <w:pStyle w:val="SGACP-enumerationniveau1"/>
        <w:ind w:left="284" w:hanging="284"/>
      </w:pPr>
      <w:r>
        <w:t>é</w:t>
      </w:r>
      <w:r w:rsidR="00463A1C" w:rsidRPr="007F2900">
        <w:t>léments d</w:t>
      </w:r>
      <w:r w:rsidR="001224E7">
        <w:t>’</w:t>
      </w:r>
      <w:r w:rsidR="00463A1C" w:rsidRPr="007F2900">
        <w:t>information sur la gestion du risque (</w:t>
      </w:r>
      <w:r w:rsidR="00463A1C" w:rsidRPr="0033036E">
        <w:t>prises de garantie, appels de couverture des positions, collatéraux,…)</w:t>
      </w:r>
      <w:r w:rsidR="00463A1C" w:rsidRPr="007F2900">
        <w:t xml:space="preserve"> et sur les procédures suivies en cas de défaillance d</w:t>
      </w:r>
      <w:r w:rsidR="001224E7">
        <w:t>’</w:t>
      </w:r>
      <w:r w:rsidR="00463A1C" w:rsidRPr="007F2900">
        <w:t>un donneur d</w:t>
      </w:r>
      <w:r w:rsidR="001224E7">
        <w:t>’</w:t>
      </w:r>
      <w:r w:rsidR="00463A1C" w:rsidRPr="007F2900">
        <w:t xml:space="preserve">ordre </w:t>
      </w:r>
      <w:r w:rsidR="00463A1C" w:rsidRPr="0033036E">
        <w:t>(couverture insuffisante des positions, refus de l</w:t>
      </w:r>
      <w:r w:rsidR="001224E7">
        <w:t>’</w:t>
      </w:r>
      <w:r w:rsidR="00463A1C" w:rsidRPr="0033036E">
        <w:t>opération)</w:t>
      </w:r>
      <w:r>
        <w:t> ;</w:t>
      </w:r>
    </w:p>
    <w:p w:rsidR="00331B88" w:rsidRPr="004B0BE5" w:rsidRDefault="00BA07CA" w:rsidP="006D1AEB">
      <w:pPr>
        <w:pStyle w:val="SGACP-enumerationniveau1"/>
        <w:ind w:left="284" w:hanging="284"/>
      </w:pPr>
      <w:r>
        <w:t>d</w:t>
      </w:r>
      <w:r w:rsidR="00463A1C" w:rsidRPr="007F2900">
        <w:t>escription synthétique du dispositif de limites d</w:t>
      </w:r>
      <w:r w:rsidR="001224E7">
        <w:t>’</w:t>
      </w:r>
      <w:r w:rsidR="00463A1C" w:rsidRPr="007F2900">
        <w:t>engagement fixées en matière de risque d</w:t>
      </w:r>
      <w:r w:rsidR="001224E7">
        <w:t>’</w:t>
      </w:r>
      <w:r w:rsidR="00463A1C" w:rsidRPr="007F2900">
        <w:t xml:space="preserve">intermédiation – par bénéficiaire, par débiteurs liés, etc. </w:t>
      </w:r>
      <w:r w:rsidR="00463A1C" w:rsidRPr="0033036E">
        <w:rPr>
          <w:i/>
          <w:iCs/>
        </w:rPr>
        <w:t>(préciser le niveau des limites par rapport au volume d</w:t>
      </w:r>
      <w:r w:rsidR="001224E7">
        <w:rPr>
          <w:i/>
          <w:iCs/>
        </w:rPr>
        <w:t>’</w:t>
      </w:r>
      <w:r w:rsidR="00463A1C" w:rsidRPr="0033036E">
        <w:rPr>
          <w:i/>
          <w:iCs/>
        </w:rPr>
        <w:t>opérations des bénéficiaires et par rapport aux fonds propres)</w:t>
      </w:r>
      <w:r>
        <w:rPr>
          <w:i/>
          <w:iCs/>
        </w:rPr>
        <w:t> </w:t>
      </w:r>
      <w:r w:rsidRPr="00935917">
        <w:rPr>
          <w:iCs/>
        </w:rPr>
        <w:t>;</w:t>
      </w:r>
    </w:p>
    <w:p w:rsidR="00331B88" w:rsidRDefault="00BA07CA" w:rsidP="006D1AEB">
      <w:pPr>
        <w:pStyle w:val="SGACP-enumerationniveau1"/>
        <w:ind w:left="284" w:hanging="284"/>
      </w:pPr>
      <w:r>
        <w:t>m</w:t>
      </w:r>
      <w:r w:rsidR="00463A1C" w:rsidRPr="007F2900">
        <w:t>odalités et périodicité de la révision des limites fixées en matière de risque d</w:t>
      </w:r>
      <w:r w:rsidR="001224E7">
        <w:t>’</w:t>
      </w:r>
      <w:r w:rsidR="00463A1C" w:rsidRPr="007F2900">
        <w:t xml:space="preserve">intermédiation </w:t>
      </w:r>
      <w:r w:rsidR="00463A1C" w:rsidRPr="0033036E">
        <w:rPr>
          <w:i/>
          <w:iCs/>
        </w:rPr>
        <w:t>(indiquer la date de la dernière révision)</w:t>
      </w:r>
      <w:r>
        <w:rPr>
          <w:i/>
          <w:iCs/>
        </w:rPr>
        <w:t> </w:t>
      </w:r>
      <w:r w:rsidRPr="00935917">
        <w:rPr>
          <w:iCs/>
        </w:rPr>
        <w:t>;</w:t>
      </w:r>
    </w:p>
    <w:p w:rsidR="00331B88" w:rsidRDefault="00BA07CA" w:rsidP="006D1AEB">
      <w:pPr>
        <w:pStyle w:val="SGACP-enumerationniveau1"/>
        <w:ind w:left="284" w:hanging="284"/>
      </w:pPr>
      <w:r>
        <w:t>d</w:t>
      </w:r>
      <w:r w:rsidR="00463A1C" w:rsidRPr="007F2900">
        <w:t xml:space="preserve">épassements éventuels de limites observés au cours du dernier exercice </w:t>
      </w:r>
      <w:r w:rsidR="00463A1C" w:rsidRPr="00210431">
        <w:rPr>
          <w:i/>
        </w:rPr>
        <w:t>(préciser les causes, les contreparties concernées, le montant de l</w:t>
      </w:r>
      <w:r w:rsidR="001224E7" w:rsidRPr="00210431">
        <w:rPr>
          <w:i/>
        </w:rPr>
        <w:t>’</w:t>
      </w:r>
      <w:r w:rsidR="00463A1C" w:rsidRPr="00210431">
        <w:rPr>
          <w:i/>
        </w:rPr>
        <w:t>engagement total, le nombre des dépassements, leur durée et leur montant)</w:t>
      </w:r>
      <w:r>
        <w:t> ;</w:t>
      </w:r>
    </w:p>
    <w:p w:rsidR="00331B88" w:rsidRDefault="00BA07CA" w:rsidP="006D1AEB">
      <w:pPr>
        <w:pStyle w:val="SGACP-enumerationniveau1"/>
        <w:ind w:left="284" w:hanging="284"/>
      </w:pPr>
      <w:r>
        <w:t>p</w:t>
      </w:r>
      <w:r w:rsidR="00463A1C" w:rsidRPr="007F2900">
        <w:t>rocédures suivies pour autoriser ces dépassements et mesures mises en œuvre pour régulariser ces dépassements</w:t>
      </w:r>
      <w:r>
        <w:t> ;</w:t>
      </w:r>
    </w:p>
    <w:p w:rsidR="00331B88" w:rsidRDefault="00BA07CA" w:rsidP="006D1AEB">
      <w:pPr>
        <w:pStyle w:val="SGACP-enumerationniveau1"/>
        <w:ind w:left="284" w:hanging="284"/>
        <w:rPr>
          <w:i/>
          <w:iCs/>
        </w:rPr>
      </w:pPr>
      <w:r>
        <w:t>é</w:t>
      </w:r>
      <w:r w:rsidR="00463A1C" w:rsidRPr="007F2900">
        <w:t>léments d</w:t>
      </w:r>
      <w:r w:rsidR="001224E7">
        <w:t>’</w:t>
      </w:r>
      <w:r w:rsidR="00463A1C" w:rsidRPr="007F2900">
        <w:t>analyse retenus pour apprécier le risque sur les donneurs d</w:t>
      </w:r>
      <w:r w:rsidR="001224E7">
        <w:t>’</w:t>
      </w:r>
      <w:r w:rsidR="00463A1C" w:rsidRPr="007F2900">
        <w:t>ordres pris en compte lors des décisions d</w:t>
      </w:r>
      <w:r w:rsidR="001224E7">
        <w:t>’</w:t>
      </w:r>
      <w:r w:rsidR="00463A1C" w:rsidRPr="007F2900">
        <w:t xml:space="preserve">engagement </w:t>
      </w:r>
      <w:r w:rsidR="00463A1C" w:rsidRPr="0033036E">
        <w:rPr>
          <w:i/>
          <w:iCs/>
        </w:rPr>
        <w:t>(méthodologie, données prises en compte)</w:t>
      </w:r>
      <w:r>
        <w:rPr>
          <w:i/>
          <w:iCs/>
        </w:rPr>
        <w:t> </w:t>
      </w:r>
      <w:r w:rsidRPr="00935917">
        <w:rPr>
          <w:iCs/>
        </w:rPr>
        <w:t>;</w:t>
      </w:r>
    </w:p>
    <w:p w:rsidR="00331B88" w:rsidRDefault="00BA07CA" w:rsidP="006D1AEB">
      <w:pPr>
        <w:pStyle w:val="SGACP-enumerationniveau1"/>
        <w:ind w:left="284" w:hanging="284"/>
      </w:pPr>
      <w:r>
        <w:t>t</w:t>
      </w:r>
      <w:r w:rsidR="00463A1C" w:rsidRPr="007F2900">
        <w:t>ypologie des erreurs intervenues au cours de l</w:t>
      </w:r>
      <w:r w:rsidR="001224E7">
        <w:t>’</w:t>
      </w:r>
      <w:r w:rsidR="00463A1C" w:rsidRPr="007F2900">
        <w:t>exercice dans la prise en charge et l</w:t>
      </w:r>
      <w:r w:rsidR="001224E7">
        <w:t>’</w:t>
      </w:r>
      <w:r w:rsidR="00463A1C" w:rsidRPr="007F2900">
        <w:t xml:space="preserve">exécution des ordres </w:t>
      </w:r>
      <w:r w:rsidR="00463A1C" w:rsidRPr="00210431">
        <w:rPr>
          <w:i/>
        </w:rPr>
        <w:t>(modalités et périodicité de l</w:t>
      </w:r>
      <w:r w:rsidR="001224E7" w:rsidRPr="00210431">
        <w:rPr>
          <w:i/>
        </w:rPr>
        <w:t>’</w:t>
      </w:r>
      <w:r w:rsidR="00463A1C" w:rsidRPr="00210431">
        <w:rPr>
          <w:i/>
        </w:rPr>
        <w:t xml:space="preserve">analyse des erreurs par le responsable du contrôle interne, seuil retenu par </w:t>
      </w:r>
      <w:r w:rsidR="0003780F" w:rsidRPr="00210431">
        <w:rPr>
          <w:i/>
        </w:rPr>
        <w:t>les dirigeants effectifs</w:t>
      </w:r>
      <w:r w:rsidR="00463A1C" w:rsidRPr="00210431">
        <w:rPr>
          <w:i/>
        </w:rPr>
        <w:t xml:space="preserve"> pour documenter ces erreurs)</w:t>
      </w:r>
      <w:r>
        <w:t> ;</w:t>
      </w:r>
    </w:p>
    <w:p w:rsidR="00331B88" w:rsidRDefault="00BA07CA" w:rsidP="006D1AEB">
      <w:pPr>
        <w:pStyle w:val="SGACP-enumerationniveau1"/>
        <w:ind w:left="284" w:hanging="284"/>
      </w:pPr>
      <w:r>
        <w:t>r</w:t>
      </w:r>
      <w:r w:rsidR="00463A1C" w:rsidRPr="007F2900">
        <w:t>ésultats des contrôles permanents menés en matière de risque d</w:t>
      </w:r>
      <w:r w:rsidR="001224E7">
        <w:t>’</w:t>
      </w:r>
      <w:r w:rsidR="00463A1C" w:rsidRPr="007F2900">
        <w:t>intermédiation</w:t>
      </w:r>
      <w:r>
        <w:t> ;</w:t>
      </w:r>
    </w:p>
    <w:p w:rsidR="00331B88" w:rsidRDefault="00BA07CA" w:rsidP="006D1AEB">
      <w:pPr>
        <w:pStyle w:val="SGACP-enumerationniveau1"/>
        <w:ind w:left="284" w:hanging="284"/>
      </w:pPr>
      <w:r>
        <w:t>p</w:t>
      </w:r>
      <w:r w:rsidR="00463A1C" w:rsidRPr="007F2900">
        <w:t>rincipales conclusions de l</w:t>
      </w:r>
      <w:r w:rsidR="001224E7">
        <w:t>’</w:t>
      </w:r>
      <w:r w:rsidR="00463A1C" w:rsidRPr="007F2900">
        <w:t>analyse du risque encouru</w:t>
      </w:r>
      <w:r>
        <w:t>.</w:t>
      </w:r>
    </w:p>
    <w:p w:rsidR="007111DC" w:rsidRDefault="007111DC" w:rsidP="002F6550">
      <w:pPr>
        <w:pStyle w:val="SGACP-enumerationniveau1"/>
        <w:numPr>
          <w:ilvl w:val="0"/>
          <w:numId w:val="0"/>
        </w:numPr>
        <w:spacing w:before="0"/>
        <w:ind w:left="284"/>
      </w:pPr>
    </w:p>
    <w:p w:rsidR="00331B88" w:rsidRDefault="00463A1C">
      <w:pPr>
        <w:pStyle w:val="StyleSGACP-titrederubriqueniveau1CouleurpersonnaliseRVB"/>
        <w:keepNext/>
        <w:keepLines/>
        <w:ind w:left="426" w:hanging="426"/>
      </w:pPr>
      <w:bookmarkStart w:id="191" w:name="_Toc244576474"/>
      <w:bookmarkStart w:id="192" w:name="_Toc244598008"/>
      <w:bookmarkStart w:id="193" w:name="_Toc244601062"/>
      <w:bookmarkStart w:id="194" w:name="_Toc244692479"/>
      <w:bookmarkStart w:id="195" w:name="_Toc244692548"/>
      <w:bookmarkStart w:id="196" w:name="_Toc244938468"/>
      <w:bookmarkStart w:id="197" w:name="_Toc244938701"/>
      <w:bookmarkStart w:id="198" w:name="_Toc266799837"/>
      <w:bookmarkStart w:id="199" w:name="_Toc266799867"/>
      <w:bookmarkStart w:id="200" w:name="_Toc137799887"/>
      <w:r w:rsidRPr="007D7872">
        <w:lastRenderedPageBreak/>
        <w:t>Risque de règlement</w:t>
      </w:r>
      <w:bookmarkEnd w:id="191"/>
      <w:bookmarkEnd w:id="192"/>
      <w:bookmarkEnd w:id="193"/>
      <w:bookmarkEnd w:id="194"/>
      <w:bookmarkEnd w:id="195"/>
      <w:bookmarkEnd w:id="196"/>
      <w:bookmarkEnd w:id="197"/>
      <w:bookmarkEnd w:id="198"/>
      <w:bookmarkEnd w:id="199"/>
      <w:r w:rsidR="000B31DF">
        <w:t>/livraison</w:t>
      </w:r>
      <w:bookmarkEnd w:id="200"/>
    </w:p>
    <w:p w:rsidR="0024125E" w:rsidRPr="00935917" w:rsidRDefault="0024125E" w:rsidP="00460E3D"/>
    <w:p w:rsidR="00331B88" w:rsidRDefault="00BA07CA" w:rsidP="006D1AEB">
      <w:pPr>
        <w:pStyle w:val="SGACP-enumerationniveau1"/>
        <w:ind w:left="284" w:hanging="284"/>
      </w:pPr>
      <w:r>
        <w:t>d</w:t>
      </w:r>
      <w:r w:rsidR="00463A1C" w:rsidRPr="007F2900">
        <w:t>escription du système de mesure du risque de règlement</w:t>
      </w:r>
      <w:r w:rsidR="000B31DF">
        <w:t>/livraison</w:t>
      </w:r>
      <w:r w:rsidR="00463A1C" w:rsidRPr="007F2900">
        <w:t xml:space="preserve"> </w:t>
      </w:r>
      <w:r w:rsidR="00463A1C" w:rsidRPr="00210431">
        <w:rPr>
          <w:i/>
        </w:rPr>
        <w:t>(mise en évidence des différentes phases du processus de règlement, prise en compte des nouvelles opérations venant s</w:t>
      </w:r>
      <w:r w:rsidR="001224E7" w:rsidRPr="00210431">
        <w:rPr>
          <w:i/>
        </w:rPr>
        <w:t>’</w:t>
      </w:r>
      <w:r w:rsidR="00463A1C" w:rsidRPr="00210431">
        <w:rPr>
          <w:i/>
        </w:rPr>
        <w:t>ajouter aux opérations en cours…)</w:t>
      </w:r>
      <w:r>
        <w:t> ;</w:t>
      </w:r>
    </w:p>
    <w:p w:rsidR="00331B88" w:rsidRDefault="00BA07CA" w:rsidP="006D1AEB">
      <w:pPr>
        <w:pStyle w:val="SGACP-enumerationniveau1"/>
        <w:ind w:left="284" w:hanging="284"/>
      </w:pPr>
      <w:r>
        <w:t>d</w:t>
      </w:r>
      <w:r w:rsidR="00463A1C" w:rsidRPr="007F2900">
        <w:t>escription synthétique des limites fixées en matière de risque de règlement</w:t>
      </w:r>
      <w:r w:rsidR="000B31DF">
        <w:t>/livraison</w:t>
      </w:r>
      <w:r w:rsidR="00463A1C" w:rsidRPr="007F2900">
        <w:t> </w:t>
      </w:r>
      <w:r w:rsidR="00463A1C" w:rsidRPr="00210431">
        <w:rPr>
          <w:i/>
        </w:rPr>
        <w:t>(préciser le niveau des limites, par type de contrepartie, par rapport au volume d</w:t>
      </w:r>
      <w:r w:rsidR="001224E7" w:rsidRPr="00210431">
        <w:rPr>
          <w:i/>
        </w:rPr>
        <w:t>’</w:t>
      </w:r>
      <w:r w:rsidR="00463A1C" w:rsidRPr="00210431">
        <w:rPr>
          <w:i/>
        </w:rPr>
        <w:t>opérations de ces contreparties et par rapport aux fonds propres)</w:t>
      </w:r>
      <w:r>
        <w:t> ;</w:t>
      </w:r>
    </w:p>
    <w:p w:rsidR="00331B88" w:rsidRDefault="00BA07CA" w:rsidP="006D1AEB">
      <w:pPr>
        <w:pStyle w:val="SGACP-enumerationniveau1"/>
        <w:ind w:left="284" w:hanging="284"/>
        <w:rPr>
          <w:i/>
          <w:iCs/>
        </w:rPr>
      </w:pPr>
      <w:r>
        <w:t>p</w:t>
      </w:r>
      <w:r w:rsidR="00463A1C" w:rsidRPr="007F2900">
        <w:t>ériodicité de la révision des limites fixées en matière de risque de règlement</w:t>
      </w:r>
      <w:r w:rsidR="000B31DF">
        <w:t>/livraison</w:t>
      </w:r>
      <w:r w:rsidR="00463A1C" w:rsidRPr="007F2900">
        <w:t xml:space="preserve"> </w:t>
      </w:r>
      <w:r w:rsidR="00463A1C" w:rsidRPr="0033036E">
        <w:rPr>
          <w:i/>
          <w:iCs/>
        </w:rPr>
        <w:t>(indiquer la date de la dernière révision)</w:t>
      </w:r>
      <w:r w:rsidRPr="00935917">
        <w:rPr>
          <w:iCs/>
        </w:rPr>
        <w:t> ;</w:t>
      </w:r>
    </w:p>
    <w:p w:rsidR="00331B88" w:rsidRDefault="00BA07CA" w:rsidP="006D1AEB">
      <w:pPr>
        <w:pStyle w:val="SGACP-enumerationniveau1"/>
        <w:ind w:left="284" w:hanging="284"/>
      </w:pPr>
      <w:r>
        <w:t>d</w:t>
      </w:r>
      <w:r w:rsidR="00463A1C" w:rsidRPr="007F2900">
        <w:t xml:space="preserve">épassements éventuels de limites observés au cours du dernier exercice </w:t>
      </w:r>
      <w:r w:rsidR="00463A1C" w:rsidRPr="00210431">
        <w:rPr>
          <w:i/>
        </w:rPr>
        <w:t>(préciser les causes des dépassements, leur nombre, leur durée et leur montant)</w:t>
      </w:r>
      <w:r>
        <w:t> ;</w:t>
      </w:r>
    </w:p>
    <w:p w:rsidR="00331B88" w:rsidRDefault="00BA07CA" w:rsidP="006D1AEB">
      <w:pPr>
        <w:pStyle w:val="SGACP-enumerationniveau1"/>
        <w:ind w:left="284" w:hanging="284"/>
      </w:pPr>
      <w:r>
        <w:t>p</w:t>
      </w:r>
      <w:r w:rsidR="00463A1C" w:rsidRPr="007F2900">
        <w:t>rocédures suivies pour autoriser ces dépassements et mesures mises en œuvre pour régulariser ces dépassements</w:t>
      </w:r>
      <w:r>
        <w:t> ;</w:t>
      </w:r>
    </w:p>
    <w:p w:rsidR="00331B88" w:rsidRDefault="00BA07CA" w:rsidP="006D1AEB">
      <w:pPr>
        <w:pStyle w:val="SGACP-enumerationniveau1"/>
        <w:ind w:left="284" w:hanging="284"/>
      </w:pPr>
      <w:r>
        <w:t>a</w:t>
      </w:r>
      <w:r w:rsidR="00463A1C" w:rsidRPr="007F2900">
        <w:t xml:space="preserve">nalyse des suspens en cours </w:t>
      </w:r>
      <w:r w:rsidR="00463A1C" w:rsidRPr="00210431">
        <w:rPr>
          <w:i/>
        </w:rPr>
        <w:t>(préciser leur antériorité, leurs causes, le plan d</w:t>
      </w:r>
      <w:r w:rsidR="001224E7" w:rsidRPr="00210431">
        <w:rPr>
          <w:i/>
        </w:rPr>
        <w:t>’</w:t>
      </w:r>
      <w:r w:rsidR="00463A1C" w:rsidRPr="00210431">
        <w:rPr>
          <w:i/>
        </w:rPr>
        <w:t>action pour leur apurement)</w:t>
      </w:r>
      <w:r>
        <w:t> ;</w:t>
      </w:r>
    </w:p>
    <w:p w:rsidR="00331B88" w:rsidRDefault="00BA07CA" w:rsidP="006D1AEB">
      <w:pPr>
        <w:pStyle w:val="SGACP-enumerationniveau1"/>
        <w:ind w:left="284" w:hanging="284"/>
      </w:pPr>
      <w:r>
        <w:t>r</w:t>
      </w:r>
      <w:r w:rsidR="00463A1C" w:rsidRPr="007F2900">
        <w:t>ésultats des contrôles permanents menés en matière de risque de règlement</w:t>
      </w:r>
      <w:r w:rsidR="000B31DF">
        <w:t>/livraison</w:t>
      </w:r>
      <w:r>
        <w:t> ;</w:t>
      </w:r>
    </w:p>
    <w:p w:rsidR="00331B88" w:rsidRDefault="00BA07CA" w:rsidP="006D1AEB">
      <w:pPr>
        <w:pStyle w:val="SGACP-enumerationniveau1"/>
        <w:ind w:left="284" w:hanging="284"/>
      </w:pPr>
      <w:r>
        <w:t>p</w:t>
      </w:r>
      <w:r w:rsidR="00463A1C" w:rsidRPr="007F2900">
        <w:t>rincipales conclusions de l</w:t>
      </w:r>
      <w:r w:rsidR="001224E7">
        <w:t>’</w:t>
      </w:r>
      <w:r w:rsidR="00463A1C" w:rsidRPr="007F2900">
        <w:t>analyse du risque encouru</w:t>
      </w:r>
      <w:r w:rsidR="00793249">
        <w:t> ;</w:t>
      </w:r>
    </w:p>
    <w:p w:rsidR="0033036E" w:rsidRDefault="0033036E" w:rsidP="00463A1C">
      <w:bookmarkStart w:id="201" w:name="_Toc244576475"/>
      <w:bookmarkStart w:id="202" w:name="_Toc244598009"/>
      <w:bookmarkStart w:id="203" w:name="_Toc244601063"/>
      <w:bookmarkStart w:id="204" w:name="_Toc244692480"/>
      <w:bookmarkStart w:id="205" w:name="_Toc244692549"/>
      <w:bookmarkStart w:id="206" w:name="_Toc244938469"/>
      <w:bookmarkStart w:id="207" w:name="_Toc244938702"/>
      <w:bookmarkStart w:id="208" w:name="_Toc266799838"/>
      <w:bookmarkStart w:id="209" w:name="_Toc266799868"/>
    </w:p>
    <w:p w:rsidR="000F6A5C" w:rsidRPr="007B6E6E" w:rsidRDefault="000F6A5C" w:rsidP="000F6A5C">
      <w:pPr>
        <w:pStyle w:val="SGACP-sous-titrederubriquenivaeu2"/>
        <w:rPr>
          <w:rFonts w:ascii="Times New Roman" w:hAnsi="Times New Roman"/>
        </w:rPr>
      </w:pPr>
      <w:r w:rsidRPr="007B6E6E">
        <w:rPr>
          <w:rFonts w:ascii="Times New Roman" w:hAnsi="Times New Roman"/>
        </w:rPr>
        <w:t>Pour les prestataires de services d’investissement qui apportent leur garantie de bonne fin :</w:t>
      </w:r>
    </w:p>
    <w:p w:rsidR="000F6A5C" w:rsidRDefault="000F6A5C" w:rsidP="000F6A5C">
      <w:pPr>
        <w:pStyle w:val="SGACP-enumerationniveau1"/>
        <w:ind w:left="284" w:hanging="284"/>
      </w:pPr>
      <w:r>
        <w:t>d</w:t>
      </w:r>
      <w:r w:rsidRPr="007F2900">
        <w:t xml:space="preserve">escription des différents instruments traités et de chaque système de règlement utilisé </w:t>
      </w:r>
      <w:r w:rsidRPr="000E2922">
        <w:rPr>
          <w:iCs/>
        </w:rPr>
        <w:t>avec identification des différentes phases du processus de règlement livraison ;</w:t>
      </w:r>
    </w:p>
    <w:p w:rsidR="000F6A5C" w:rsidRDefault="000F6A5C" w:rsidP="000F6A5C">
      <w:pPr>
        <w:pStyle w:val="SGACP-enumerationniveau1"/>
        <w:ind w:left="284" w:hanging="284"/>
      </w:pPr>
      <w:r>
        <w:t>m</w:t>
      </w:r>
      <w:r w:rsidRPr="007F2900">
        <w:t>odalités de suivi des flux de trésorerie et de titres</w:t>
      </w:r>
      <w:r>
        <w:t> ;</w:t>
      </w:r>
    </w:p>
    <w:p w:rsidR="000F6A5C" w:rsidRDefault="000F6A5C" w:rsidP="000F6A5C">
      <w:pPr>
        <w:pStyle w:val="SGACP-enumerationniveau1"/>
        <w:keepNext/>
        <w:ind w:left="284" w:hanging="284"/>
      </w:pPr>
      <w:r>
        <w:t>m</w:t>
      </w:r>
      <w:r w:rsidRPr="007F2900">
        <w:t>odalités de suivi et de traitement des suspens</w:t>
      </w:r>
      <w:r>
        <w:t> ;</w:t>
      </w:r>
    </w:p>
    <w:p w:rsidR="000F6A5C" w:rsidRDefault="000F6A5C" w:rsidP="000F6A5C">
      <w:pPr>
        <w:pStyle w:val="SGACP-enumerationniveau1"/>
        <w:keepNext/>
        <w:ind w:left="284" w:hanging="284"/>
      </w:pPr>
      <w:r>
        <w:t>m</w:t>
      </w:r>
      <w:r w:rsidRPr="007F2900">
        <w:t>odalités de mesure des ressources, titres ou espèces facilement mobilisable</w:t>
      </w:r>
      <w:r w:rsidRPr="000E2922">
        <w:t xml:space="preserve">s </w:t>
      </w:r>
      <w:r w:rsidRPr="000E2922">
        <w:rPr>
          <w:iCs/>
        </w:rPr>
        <w:t>pour assurer le respect des engagements vis-à-vis des contreparties.</w:t>
      </w:r>
    </w:p>
    <w:p w:rsidR="000F6A5C" w:rsidRDefault="000F6A5C" w:rsidP="00463A1C"/>
    <w:p w:rsidR="00DC7CAF" w:rsidRDefault="00DC7CAF" w:rsidP="00463A1C"/>
    <w:p w:rsidR="00331B88" w:rsidRPr="00E450D4" w:rsidRDefault="00463A1C">
      <w:pPr>
        <w:pStyle w:val="StyleSGACP-titrederubriqueniveau1CouleurpersonnaliseRVB"/>
        <w:keepNext/>
        <w:keepLines/>
        <w:ind w:left="426" w:hanging="426"/>
        <w:rPr>
          <w:bCs w:val="0"/>
        </w:rPr>
      </w:pPr>
      <w:bookmarkStart w:id="210" w:name="_Toc137799888"/>
      <w:r w:rsidRPr="007D7872">
        <w:t>Risque</w:t>
      </w:r>
      <w:r w:rsidR="003F41DE">
        <w:t>s</w:t>
      </w:r>
      <w:r w:rsidRPr="007D7872">
        <w:t xml:space="preserve"> de liquidité</w:t>
      </w:r>
      <w:bookmarkEnd w:id="201"/>
      <w:bookmarkEnd w:id="202"/>
      <w:bookmarkEnd w:id="203"/>
      <w:bookmarkEnd w:id="204"/>
      <w:bookmarkEnd w:id="205"/>
      <w:bookmarkEnd w:id="206"/>
      <w:bookmarkEnd w:id="207"/>
      <w:bookmarkEnd w:id="208"/>
      <w:bookmarkEnd w:id="209"/>
      <w:bookmarkEnd w:id="210"/>
    </w:p>
    <w:p w:rsidR="00E450D4" w:rsidRDefault="00E450D4" w:rsidP="00460E3D"/>
    <w:p w:rsidR="00F36758" w:rsidRDefault="00BA07CA" w:rsidP="001D505C">
      <w:pPr>
        <w:pStyle w:val="SGACP-enumerationniveau1"/>
        <w:ind w:left="284" w:hanging="284"/>
      </w:pPr>
      <w:r w:rsidRPr="000E2922">
        <w:t>d</w:t>
      </w:r>
      <w:r w:rsidR="00463A1C" w:rsidRPr="000E2922">
        <w:t xml:space="preserve">escription synthétique du cadre général de la </w:t>
      </w:r>
      <w:r w:rsidR="00EC0AAE">
        <w:t xml:space="preserve">détection, de la mesure, de la </w:t>
      </w:r>
      <w:r w:rsidR="00463A1C" w:rsidRPr="000E2922">
        <w:t xml:space="preserve">gestion </w:t>
      </w:r>
      <w:r w:rsidR="00EC0AAE">
        <w:t xml:space="preserve">et du suivi </w:t>
      </w:r>
      <w:r w:rsidR="00463A1C" w:rsidRPr="000E2922">
        <w:t>d</w:t>
      </w:r>
      <w:r w:rsidR="00603E9D">
        <w:t>es</w:t>
      </w:r>
      <w:r w:rsidR="00463A1C" w:rsidRPr="000E2922">
        <w:t xml:space="preserve"> risque</w:t>
      </w:r>
      <w:r w:rsidR="00603E9D">
        <w:t>s</w:t>
      </w:r>
      <w:r w:rsidR="00463A1C" w:rsidRPr="000E2922">
        <w:t xml:space="preserve"> de liquidité</w:t>
      </w:r>
      <w:r w:rsidR="00351DDC">
        <w:t xml:space="preserve">: </w:t>
      </w:r>
      <w:r w:rsidR="00463A1C" w:rsidRPr="001D505C">
        <w:rPr>
          <w:i/>
        </w:rPr>
        <w:t xml:space="preserve">préciser le périmètre des entités et opérations prises en compte, </w:t>
      </w:r>
      <w:r w:rsidR="00B214B3" w:rsidRPr="001D505C">
        <w:rPr>
          <w:i/>
        </w:rPr>
        <w:t xml:space="preserve">en tenant compte des expositions hors bilan, </w:t>
      </w:r>
      <w:r w:rsidR="00463A1C" w:rsidRPr="001D505C">
        <w:rPr>
          <w:i/>
        </w:rPr>
        <w:t xml:space="preserve">le rôle des </w:t>
      </w:r>
      <w:r w:rsidR="0003780F" w:rsidRPr="001D505C">
        <w:rPr>
          <w:i/>
        </w:rPr>
        <w:t>dirigeants effectifs</w:t>
      </w:r>
      <w:r w:rsidR="00463A1C" w:rsidRPr="001D505C">
        <w:rPr>
          <w:i/>
        </w:rPr>
        <w:t xml:space="preserve"> et </w:t>
      </w:r>
      <w:r w:rsidR="0003780F" w:rsidRPr="001D505C">
        <w:rPr>
          <w:i/>
        </w:rPr>
        <w:t xml:space="preserve">des organes </w:t>
      </w:r>
      <w:r w:rsidR="0094273B" w:rsidRPr="001D505C">
        <w:rPr>
          <w:i/>
        </w:rPr>
        <w:t xml:space="preserve">de surveillance </w:t>
      </w:r>
      <w:r w:rsidR="00463A1C" w:rsidRPr="001D505C">
        <w:rPr>
          <w:i/>
        </w:rPr>
        <w:t>et la répartition des compétences en matière de pilotage d</w:t>
      </w:r>
      <w:r w:rsidR="00603E9D">
        <w:rPr>
          <w:i/>
        </w:rPr>
        <w:t>es</w:t>
      </w:r>
      <w:r w:rsidR="00463A1C" w:rsidRPr="001D505C">
        <w:rPr>
          <w:i/>
        </w:rPr>
        <w:t xml:space="preserve"> risque</w:t>
      </w:r>
      <w:r w:rsidR="00603E9D">
        <w:rPr>
          <w:i/>
        </w:rPr>
        <w:t>s</w:t>
      </w:r>
      <w:r w:rsidR="00463A1C" w:rsidRPr="001D505C">
        <w:rPr>
          <w:i/>
        </w:rPr>
        <w:t xml:space="preserve"> de liquidité</w:t>
      </w:r>
      <w:r w:rsidR="00C625DB" w:rsidRPr="001D505C">
        <w:rPr>
          <w:i/>
        </w:rPr>
        <w:t>, le profil de risque et le niveau de tolérance au risque</w:t>
      </w:r>
      <w:r w:rsidRPr="000E2922">
        <w:t> </w:t>
      </w:r>
      <w:r w:rsidR="005D3AE1" w:rsidRPr="001D505C">
        <w:rPr>
          <w:i/>
        </w:rPr>
        <w:t>(cf. articles 181 et 183 de l’arrêté du 3 novembre 2014</w:t>
      </w:r>
      <w:r w:rsidR="00154A06">
        <w:rPr>
          <w:i/>
        </w:rPr>
        <w:t xml:space="preserve"> modifié</w:t>
      </w:r>
      <w:r w:rsidR="005D3AE1" w:rsidRPr="001D505C">
        <w:rPr>
          <w:i/>
        </w:rPr>
        <w:t>)</w:t>
      </w:r>
      <w:r w:rsidR="005D3AE1">
        <w:t xml:space="preserve"> </w:t>
      </w:r>
      <w:r w:rsidRPr="000E2922">
        <w:t>;</w:t>
      </w:r>
    </w:p>
    <w:p w:rsidR="007D5AEF" w:rsidRPr="00156279" w:rsidRDefault="00015F28" w:rsidP="007D5AEF">
      <w:pPr>
        <w:pStyle w:val="SGACP-enumerationniveau1"/>
        <w:ind w:left="284" w:hanging="284"/>
      </w:pPr>
      <w:r>
        <w:t>informations sur</w:t>
      </w:r>
      <w:r w:rsidR="00D34BA2">
        <w:t xml:space="preserve"> la diversification de</w:t>
      </w:r>
      <w:r>
        <w:t xml:space="preserve"> </w:t>
      </w:r>
      <w:r w:rsidR="00D34BA2">
        <w:t>la structure de financement et</w:t>
      </w:r>
      <w:r w:rsidR="00CE5FA3">
        <w:t xml:space="preserve"> </w:t>
      </w:r>
      <w:r w:rsidR="00D34BA2">
        <w:t>d</w:t>
      </w:r>
      <w:r>
        <w:t>es sources de finan</w:t>
      </w:r>
      <w:r w:rsidR="00E77F35">
        <w:t>cement : description de</w:t>
      </w:r>
      <w:r w:rsidR="00CE5FA3">
        <w:t xml:space="preserve"> la structure de financement et de</w:t>
      </w:r>
      <w:r>
        <w:t xml:space="preserve">s sources de financement auxquelles l’établissement a recours </w:t>
      </w:r>
      <w:r w:rsidR="003B3DA5" w:rsidRPr="003B3DA5">
        <w:rPr>
          <w:i/>
        </w:rPr>
        <w:t>(préciser les différents canaux,</w:t>
      </w:r>
      <w:r w:rsidR="00810050">
        <w:rPr>
          <w:i/>
        </w:rPr>
        <w:t xml:space="preserve"> et les liens de financement intragroupe</w:t>
      </w:r>
      <w:r w:rsidR="00810050" w:rsidRPr="003B3DA5">
        <w:rPr>
          <w:i/>
        </w:rPr>
        <w:t xml:space="preserve">, </w:t>
      </w:r>
      <w:r w:rsidR="003B3DA5" w:rsidRPr="003B3DA5">
        <w:rPr>
          <w:i/>
        </w:rPr>
        <w:t>les montants, les maturités, les principales contreparties</w:t>
      </w:r>
      <w:r w:rsidR="00CE5FA3">
        <w:rPr>
          <w:i/>
        </w:rPr>
        <w:t xml:space="preserve">, le recours </w:t>
      </w:r>
      <w:r w:rsidR="00603E9D">
        <w:rPr>
          <w:i/>
        </w:rPr>
        <w:t>aux instruments d’atténuation des</w:t>
      </w:r>
      <w:r w:rsidR="00CE5FA3">
        <w:rPr>
          <w:i/>
        </w:rPr>
        <w:t xml:space="preserve"> risque</w:t>
      </w:r>
      <w:r w:rsidR="00603E9D">
        <w:rPr>
          <w:i/>
        </w:rPr>
        <w:t>s</w:t>
      </w:r>
      <w:r w:rsidR="00CE5FA3">
        <w:rPr>
          <w:i/>
        </w:rPr>
        <w:t xml:space="preserve"> de liquidité</w:t>
      </w:r>
      <w:r w:rsidR="003B3DA5" w:rsidRPr="003B3DA5">
        <w:rPr>
          <w:i/>
        </w:rPr>
        <w:t>)</w:t>
      </w:r>
      <w:r>
        <w:t xml:space="preserve">, </w:t>
      </w:r>
      <w:r w:rsidR="00E77F35">
        <w:t>description d</w:t>
      </w:r>
      <w:r>
        <w:t xml:space="preserve">es indicateurs utilisés pour mesurer la diversification des sources de </w:t>
      </w:r>
      <w:r w:rsidRPr="00156279">
        <w:t>financement</w:t>
      </w:r>
      <w:r w:rsidR="00CE5FA3" w:rsidRPr="00156279">
        <w:t xml:space="preserve"> (cf. article 160 de l</w:t>
      </w:r>
      <w:r w:rsidR="00CE5FA3" w:rsidRPr="002906E2">
        <w:t>’arrêté du 3 novembre 2014</w:t>
      </w:r>
      <w:r w:rsidR="00154A06">
        <w:t xml:space="preserve"> modifié</w:t>
      </w:r>
      <w:r w:rsidR="00CE5FA3" w:rsidRPr="002906E2">
        <w:t>)</w:t>
      </w:r>
      <w:r w:rsidR="00793249">
        <w:t> ;</w:t>
      </w:r>
      <w:r w:rsidR="00E77F35" w:rsidRPr="00156279">
        <w:t xml:space="preserve"> </w:t>
      </w:r>
    </w:p>
    <w:p w:rsidR="004A3FB7" w:rsidRPr="002906E2" w:rsidRDefault="002F066C" w:rsidP="004A3FB7">
      <w:pPr>
        <w:pStyle w:val="SGACP-enumerationniveau1"/>
        <w:ind w:left="284" w:hanging="284"/>
      </w:pPr>
      <w:r>
        <w:t>p</w:t>
      </w:r>
      <w:r w:rsidR="004A3FB7" w:rsidRPr="007B4FDB">
        <w:t xml:space="preserve">our les établissements </w:t>
      </w:r>
      <w:r w:rsidR="004A3FB7">
        <w:t xml:space="preserve">de crédit et </w:t>
      </w:r>
      <w:r w:rsidR="004A3FB7" w:rsidRPr="007F2900">
        <w:t>succursales d</w:t>
      </w:r>
      <w:r w:rsidR="004A3FB7">
        <w:t>’</w:t>
      </w:r>
      <w:r w:rsidR="004A3FB7" w:rsidRPr="007F2900">
        <w:t xml:space="preserve">établissements de crédit ayant </w:t>
      </w:r>
      <w:r w:rsidR="004A3FB7">
        <w:br/>
      </w:r>
      <w:r w:rsidR="004A3FB7" w:rsidRPr="007F2900">
        <w:t xml:space="preserve">leur siège </w:t>
      </w:r>
      <w:r w:rsidR="004A3FB7">
        <w:t>dans un pays tiers</w:t>
      </w:r>
      <w:r w:rsidR="004A3FB7" w:rsidRPr="007B4FDB">
        <w:t xml:space="preserve">, préciser comment la méthodologie interne tient compte des répercussions systémiques pouvant résulter de l’importance de l’établissement sur son marché, notamment dans chacun des États membres de l’Union européenne où il exerce son </w:t>
      </w:r>
      <w:r w:rsidR="004A3FB7" w:rsidRPr="002906E2">
        <w:t>activité (cf</w:t>
      </w:r>
      <w:r w:rsidR="004A3FB7" w:rsidRPr="001D505C">
        <w:t xml:space="preserve">. </w:t>
      </w:r>
      <w:r w:rsidR="004A3FB7" w:rsidRPr="002906E2">
        <w:t>article 150 de l’arrêté du 3 novembre 2014</w:t>
      </w:r>
      <w:r w:rsidR="00154A06">
        <w:t xml:space="preserve"> modifié</w:t>
      </w:r>
      <w:r w:rsidR="004A3FB7" w:rsidRPr="002906E2">
        <w:t>)</w:t>
      </w:r>
      <w:r w:rsidR="004A3FB7">
        <w:t>.</w:t>
      </w:r>
    </w:p>
    <w:p w:rsidR="007B6E6E" w:rsidRDefault="007B6E6E">
      <w:pPr>
        <w:pStyle w:val="SGACP-enumerationniveau1"/>
        <w:numPr>
          <w:ilvl w:val="0"/>
          <w:numId w:val="0"/>
        </w:numPr>
      </w:pPr>
    </w:p>
    <w:p w:rsidR="00463A1C" w:rsidRPr="007F2900" w:rsidRDefault="008F3AF1" w:rsidP="0033036E">
      <w:pPr>
        <w:pStyle w:val="SGACP-sous-titrederubriquenivaeu2"/>
      </w:pPr>
      <w:bookmarkStart w:id="211" w:name="_Toc244576476"/>
      <w:bookmarkStart w:id="212" w:name="_Toc266799839"/>
      <w:r>
        <w:lastRenderedPageBreak/>
        <w:t>16</w:t>
      </w:r>
      <w:r w:rsidR="0033036E">
        <w:t>.1.</w:t>
      </w:r>
      <w:r w:rsidR="0033036E">
        <w:tab/>
      </w:r>
      <w:r w:rsidR="00463A1C" w:rsidRPr="007F2900">
        <w:t xml:space="preserve">Dispositif de mesure (et méthodologie utilisée) </w:t>
      </w:r>
      <w:r w:rsidR="00B43DDC" w:rsidRPr="007F2900">
        <w:t>d</w:t>
      </w:r>
      <w:r w:rsidR="00B43DDC">
        <w:t>es</w:t>
      </w:r>
      <w:r w:rsidR="00B43DDC" w:rsidRPr="007F2900">
        <w:t xml:space="preserve"> </w:t>
      </w:r>
      <w:r w:rsidR="00463A1C" w:rsidRPr="007F2900">
        <w:t>risque</w:t>
      </w:r>
      <w:r w:rsidR="00B43DDC">
        <w:t>s</w:t>
      </w:r>
      <w:r w:rsidR="00463A1C" w:rsidRPr="007F2900">
        <w:t xml:space="preserve"> de liquidité</w:t>
      </w:r>
      <w:bookmarkEnd w:id="211"/>
      <w:bookmarkEnd w:id="212"/>
      <w:r w:rsidR="00BA07CA">
        <w:t> :</w:t>
      </w:r>
    </w:p>
    <w:p w:rsidR="00331B88" w:rsidRPr="004A3FB7" w:rsidRDefault="00BA07CA" w:rsidP="006D1AEB">
      <w:pPr>
        <w:pStyle w:val="SGACP-enumerationniveau1"/>
        <w:ind w:left="284" w:hanging="284"/>
      </w:pPr>
      <w:r>
        <w:t>d</w:t>
      </w:r>
      <w:r w:rsidR="00463A1C" w:rsidRPr="007F2900">
        <w:t xml:space="preserve">escription des outils et de la méthodologie utilisée en matière de gestion </w:t>
      </w:r>
      <w:r w:rsidR="00CC5EB8">
        <w:t>d</w:t>
      </w:r>
      <w:r w:rsidR="00115C0E">
        <w:t>es</w:t>
      </w:r>
      <w:r w:rsidR="007B4FDB" w:rsidRPr="007F2900">
        <w:t xml:space="preserve"> </w:t>
      </w:r>
      <w:r w:rsidR="00463A1C" w:rsidRPr="007F2900">
        <w:t>risque</w:t>
      </w:r>
      <w:r w:rsidR="00115C0E">
        <w:t>s</w:t>
      </w:r>
      <w:r w:rsidR="00463A1C" w:rsidRPr="007F2900">
        <w:t xml:space="preserve"> de liquidité</w:t>
      </w:r>
      <w:r w:rsidR="00676255">
        <w:t xml:space="preserve"> : </w:t>
      </w:r>
      <w:r w:rsidR="00463A1C" w:rsidRPr="0033036E">
        <w:rPr>
          <w:i/>
          <w:iCs/>
        </w:rPr>
        <w:t>préciser les</w:t>
      </w:r>
      <w:r w:rsidR="003077D0">
        <w:rPr>
          <w:i/>
          <w:iCs/>
        </w:rPr>
        <w:t xml:space="preserve"> </w:t>
      </w:r>
      <w:r w:rsidR="00463A1C" w:rsidRPr="0033036E">
        <w:rPr>
          <w:i/>
          <w:iCs/>
        </w:rPr>
        <w:t>hypothèses retenu</w:t>
      </w:r>
      <w:r w:rsidR="003077D0">
        <w:rPr>
          <w:i/>
          <w:iCs/>
        </w:rPr>
        <w:t>e</w:t>
      </w:r>
      <w:r w:rsidR="00463A1C" w:rsidRPr="0033036E">
        <w:rPr>
          <w:i/>
          <w:iCs/>
        </w:rPr>
        <w:t xml:space="preserve">s </w:t>
      </w:r>
      <w:r w:rsidR="003F41DE">
        <w:rPr>
          <w:i/>
          <w:iCs/>
        </w:rPr>
        <w:t xml:space="preserve">et les échéances prises en compte </w:t>
      </w:r>
      <w:r w:rsidR="00463A1C" w:rsidRPr="0033036E">
        <w:rPr>
          <w:i/>
          <w:iCs/>
        </w:rPr>
        <w:t>pour le calcul des indicateurs utilisés par l</w:t>
      </w:r>
      <w:r w:rsidR="001224E7">
        <w:rPr>
          <w:i/>
          <w:iCs/>
        </w:rPr>
        <w:t>’</w:t>
      </w:r>
      <w:r w:rsidR="00463A1C" w:rsidRPr="0033036E">
        <w:rPr>
          <w:i/>
          <w:iCs/>
        </w:rPr>
        <w:t>établissement</w:t>
      </w:r>
      <w:r w:rsidR="00E40DCA">
        <w:rPr>
          <w:i/>
          <w:iCs/>
        </w:rPr>
        <w:t xml:space="preserve"> (</w:t>
      </w:r>
      <w:r w:rsidR="00156279">
        <w:rPr>
          <w:i/>
          <w:iCs/>
        </w:rPr>
        <w:t xml:space="preserve">cf. </w:t>
      </w:r>
      <w:r w:rsidR="00E40DCA">
        <w:rPr>
          <w:i/>
          <w:iCs/>
        </w:rPr>
        <w:t>article 156 de l’arrêté du 3 novembre 2014</w:t>
      </w:r>
      <w:r w:rsidR="00154A06">
        <w:rPr>
          <w:i/>
          <w:iCs/>
        </w:rPr>
        <w:t xml:space="preserve"> modifié</w:t>
      </w:r>
      <w:r w:rsidR="00E40DCA">
        <w:rPr>
          <w:i/>
          <w:iCs/>
        </w:rPr>
        <w:t>)</w:t>
      </w:r>
      <w:r w:rsidR="00741822">
        <w:rPr>
          <w:i/>
          <w:iCs/>
        </w:rPr>
        <w:t xml:space="preserve">, </w:t>
      </w:r>
      <w:r w:rsidR="001E6030">
        <w:rPr>
          <w:i/>
          <w:iCs/>
        </w:rPr>
        <w:t>en lien avec la complexité des activités, le profil de risque et la tolérance au risque de l’établissement,</w:t>
      </w:r>
      <w:r w:rsidR="003A2F26">
        <w:rPr>
          <w:i/>
          <w:iCs/>
        </w:rPr>
        <w:t xml:space="preserve"> </w:t>
      </w:r>
      <w:r w:rsidR="00BB535B">
        <w:rPr>
          <w:i/>
          <w:iCs/>
        </w:rPr>
        <w:t xml:space="preserve">déclinaison </w:t>
      </w:r>
      <w:r w:rsidR="00810050">
        <w:rPr>
          <w:i/>
          <w:iCs/>
        </w:rPr>
        <w:t xml:space="preserve">des systèmes d’information, </w:t>
      </w:r>
      <w:r w:rsidR="00BB535B">
        <w:rPr>
          <w:i/>
          <w:iCs/>
        </w:rPr>
        <w:t xml:space="preserve">des outils et indicateurs </w:t>
      </w:r>
      <w:r w:rsidR="00B43DDC">
        <w:rPr>
          <w:i/>
          <w:iCs/>
        </w:rPr>
        <w:t>utilisés</w:t>
      </w:r>
      <w:r w:rsidR="00BB535B">
        <w:rPr>
          <w:i/>
          <w:iCs/>
        </w:rPr>
        <w:t xml:space="preserve"> pour chaque</w:t>
      </w:r>
      <w:r w:rsidR="00741822">
        <w:rPr>
          <w:i/>
          <w:iCs/>
        </w:rPr>
        <w:t xml:space="preserve"> devise dans l</w:t>
      </w:r>
      <w:r w:rsidR="00BB535B">
        <w:rPr>
          <w:i/>
          <w:iCs/>
        </w:rPr>
        <w:t>a</w:t>
      </w:r>
      <w:r w:rsidR="00741822">
        <w:rPr>
          <w:i/>
          <w:iCs/>
        </w:rPr>
        <w:t>quelle l’établissement développe une activité importante</w:t>
      </w:r>
      <w:r w:rsidR="00676255">
        <w:rPr>
          <w:i/>
          <w:iCs/>
        </w:rPr>
        <w:t xml:space="preserve">, préciser les scénarios alternatifs </w:t>
      </w:r>
      <w:r w:rsidR="00FD1CA2">
        <w:rPr>
          <w:i/>
          <w:iCs/>
        </w:rPr>
        <w:t>tels que prévus à l’</w:t>
      </w:r>
      <w:r w:rsidR="00676255">
        <w:rPr>
          <w:i/>
          <w:iCs/>
        </w:rPr>
        <w:t>article</w:t>
      </w:r>
      <w:r w:rsidR="00115C0E">
        <w:rPr>
          <w:i/>
          <w:iCs/>
        </w:rPr>
        <w:t xml:space="preserve"> </w:t>
      </w:r>
      <w:r w:rsidR="00676255">
        <w:rPr>
          <w:i/>
          <w:iCs/>
        </w:rPr>
        <w:t>168 de l’arrêté du 3 novembre 2014</w:t>
      </w:r>
      <w:r w:rsidR="00154A06">
        <w:rPr>
          <w:i/>
          <w:iCs/>
        </w:rPr>
        <w:t xml:space="preserve"> modifié</w:t>
      </w:r>
      <w:r>
        <w:rPr>
          <w:i/>
          <w:iCs/>
        </w:rPr>
        <w:t> </w:t>
      </w:r>
      <w:r w:rsidRPr="00935917">
        <w:rPr>
          <w:iCs/>
        </w:rPr>
        <w:t>;</w:t>
      </w:r>
    </w:p>
    <w:p w:rsidR="004A3FB7" w:rsidRDefault="002F066C" w:rsidP="00460E3D">
      <w:pPr>
        <w:pStyle w:val="SGACP-enumerationniveau1"/>
        <w:numPr>
          <w:ilvl w:val="0"/>
          <w:numId w:val="38"/>
        </w:numPr>
        <w:ind w:left="284" w:hanging="284"/>
      </w:pPr>
      <w:r>
        <w:t>l</w:t>
      </w:r>
      <w:r w:rsidR="004A3FB7" w:rsidRPr="007F2900">
        <w:t xml:space="preserve">es </w:t>
      </w:r>
      <w:r w:rsidR="00C90DD5">
        <w:t>sociétés de financement</w:t>
      </w:r>
      <w:r w:rsidR="004A3FB7">
        <w:t xml:space="preserve"> </w:t>
      </w:r>
      <w:r w:rsidR="004A3FB7" w:rsidRPr="007F2900">
        <w:t>élaborent une annexe au rapport</w:t>
      </w:r>
      <w:r w:rsidR="004A3FB7">
        <w:t> </w:t>
      </w:r>
      <w:r w:rsidR="004A3FB7" w:rsidRPr="007F2900">
        <w:t xml:space="preserve">: </w:t>
      </w:r>
    </w:p>
    <w:p w:rsidR="004A3FB7" w:rsidRDefault="004A3FB7" w:rsidP="00460E3D">
      <w:pPr>
        <w:pStyle w:val="SGACP-enumerationniveau2"/>
        <w:numPr>
          <w:ilvl w:val="0"/>
          <w:numId w:val="37"/>
        </w:numPr>
      </w:pPr>
      <w:r>
        <w:t>d</w:t>
      </w:r>
      <w:r w:rsidRPr="007F2900">
        <w:t>écrivant les caractéristiques et hypothèses utilisées pour établir le tableau de trésorerie prévisionnelle et les modifications intervenues au cours de l</w:t>
      </w:r>
      <w:r>
        <w:t>’</w:t>
      </w:r>
      <w:r w:rsidRPr="007F2900">
        <w:t>exercice</w:t>
      </w:r>
      <w:r>
        <w:t>,</w:t>
      </w:r>
    </w:p>
    <w:p w:rsidR="004A3FB7" w:rsidRPr="004B0BE5" w:rsidRDefault="004A3FB7" w:rsidP="00460E3D">
      <w:pPr>
        <w:pStyle w:val="SGACP-enumerationniveau2"/>
        <w:numPr>
          <w:ilvl w:val="0"/>
          <w:numId w:val="37"/>
        </w:numPr>
      </w:pPr>
      <w:r>
        <w:t>c</w:t>
      </w:r>
      <w:r w:rsidRPr="007F2900">
        <w:t>omportant une analyse de l</w:t>
      </w:r>
      <w:r>
        <w:t>’</w:t>
      </w:r>
      <w:r w:rsidRPr="007F2900">
        <w:t>évolution des impasses calculées dans les tableaux de trésorerie établis au cours de l</w:t>
      </w:r>
      <w:r>
        <w:t>’</w:t>
      </w:r>
      <w:r w:rsidRPr="007F2900">
        <w:t>exercice</w:t>
      </w:r>
      <w:r w:rsidR="002416E6">
        <w:t>.</w:t>
      </w:r>
    </w:p>
    <w:p w:rsidR="00061399" w:rsidRPr="002906E2" w:rsidRDefault="00061399" w:rsidP="006D1AEB">
      <w:pPr>
        <w:pStyle w:val="SGACP-enumerationniveau1"/>
        <w:ind w:left="284" w:hanging="284"/>
      </w:pPr>
      <w:r>
        <w:t xml:space="preserve">le cas échéant, description et justification des scénarios spécifiques à certaines implantations étrangères, entités juridiques ou lignes </w:t>
      </w:r>
      <w:r w:rsidRPr="002906E2">
        <w:t>d’activité</w:t>
      </w:r>
      <w:r w:rsidRPr="001D505C">
        <w:t xml:space="preserve"> (cf. article 171 de l’arrêté du 3 novembre 2014</w:t>
      </w:r>
      <w:r w:rsidR="00154A06">
        <w:t xml:space="preserve"> modifié</w:t>
      </w:r>
      <w:r w:rsidRPr="001D505C">
        <w:t>)</w:t>
      </w:r>
      <w:r w:rsidRPr="002906E2">
        <w:t> ;</w:t>
      </w:r>
    </w:p>
    <w:p w:rsidR="00331B88" w:rsidRDefault="00BA07CA" w:rsidP="006D1AEB">
      <w:pPr>
        <w:pStyle w:val="SGACP-enumerationniveau1"/>
        <w:ind w:left="284" w:hanging="284"/>
      </w:pPr>
      <w:r>
        <w:t>i</w:t>
      </w:r>
      <w:r w:rsidR="00463A1C" w:rsidRPr="007F2900">
        <w:t xml:space="preserve">nformations sur les dépôts et leur diversification </w:t>
      </w:r>
      <w:r w:rsidR="00463A1C" w:rsidRPr="00210431">
        <w:rPr>
          <w:iCs/>
        </w:rPr>
        <w:t>(en nombre de déposants)</w:t>
      </w:r>
      <w:r>
        <w:rPr>
          <w:i/>
          <w:iCs/>
        </w:rPr>
        <w:t> </w:t>
      </w:r>
      <w:r>
        <w:t>;</w:t>
      </w:r>
    </w:p>
    <w:p w:rsidR="00D82DEF" w:rsidRDefault="00D82DEF" w:rsidP="00061399">
      <w:pPr>
        <w:pStyle w:val="SGACP-enumerationniveau1"/>
        <w:ind w:left="284" w:hanging="284"/>
      </w:pPr>
      <w:r w:rsidRPr="007F2900">
        <w:t>description des hypothèses retenues pour constituer le stock d</w:t>
      </w:r>
      <w:r>
        <w:t>’</w:t>
      </w:r>
      <w:r w:rsidRPr="007F2900">
        <w:t>actifs liquides</w:t>
      </w:r>
      <w:r w:rsidR="007A3873">
        <w:t xml:space="preserve"> en lien avec le dispositif de limites en matière de risque de liquidité</w:t>
      </w:r>
      <w:r>
        <w:t> ;</w:t>
      </w:r>
    </w:p>
    <w:p w:rsidR="00D82DEF" w:rsidRDefault="00D82DEF" w:rsidP="00D82DEF">
      <w:pPr>
        <w:pStyle w:val="SGACP-enumerationniveau1"/>
        <w:ind w:left="284" w:hanging="284"/>
      </w:pPr>
      <w:r>
        <w:t>description des moyens mis en œuvre pour connaître en permanence le stock d’actifs liquides nécessaires et des hypothèses d’ajustement aux différents horizons considérés</w:t>
      </w:r>
      <w:r w:rsidR="00212758">
        <w:t> ;</w:t>
      </w:r>
    </w:p>
    <w:p w:rsidR="007B0C26" w:rsidRPr="008C7F20" w:rsidRDefault="007B0C26" w:rsidP="007B0C26">
      <w:pPr>
        <w:pStyle w:val="SGACP-enumerationniveau1"/>
        <w:ind w:left="284" w:hanging="284"/>
      </w:pPr>
      <w:r>
        <w:t>d</w:t>
      </w:r>
      <w:r w:rsidRPr="008C7F20">
        <w:t>escription de la méthodologie utilisée en matière d’évaluation</w:t>
      </w:r>
      <w:r>
        <w:t xml:space="preserve"> régulière</w:t>
      </w:r>
      <w:r w:rsidR="00F43E68">
        <w:t xml:space="preserve">, </w:t>
      </w:r>
      <w:r w:rsidRPr="008C7F20">
        <w:t xml:space="preserve">conformément à l’article 23 du règlement délégué </w:t>
      </w:r>
      <w:r w:rsidR="00F43E68">
        <w:t>(UE) 2015/61</w:t>
      </w:r>
      <w:r w:rsidR="005E4A09">
        <w:t xml:space="preserve"> modifié</w:t>
      </w:r>
      <w:r w:rsidR="00F43E68">
        <w:t xml:space="preserve"> sur l’exigence de couverture des besoins de liquidité pour les établissements de crédit (</w:t>
      </w:r>
      <w:r w:rsidR="00F43E68" w:rsidRPr="00F43E68">
        <w:rPr>
          <w:i/>
        </w:rPr>
        <w:t>Liquidity Coverage Ratio – LCR</w:t>
      </w:r>
      <w:r w:rsidR="00F43E68">
        <w:t>),</w:t>
      </w:r>
      <w:r w:rsidRPr="008C7F20">
        <w:t xml:space="preserve"> </w:t>
      </w:r>
      <w:r>
        <w:t>de la probabilité et du</w:t>
      </w:r>
      <w:r w:rsidRPr="008C7F20">
        <w:t xml:space="preserve"> volume potentiel, sur 30 jours calendaires, des sorties de trésorerie liées aux produits ou services qui ne relèvent pas des articles 27 à 31 du LCR</w:t>
      </w:r>
      <w:r>
        <w:t>. Le cas échéant, information sur l’existence de sorties de trésorerie réelles qui ne seraient pas envisagées par la Décision 2016-C-26 de l’ACPR</w:t>
      </w:r>
      <w:r w:rsidR="00793249">
        <w:t> ;</w:t>
      </w:r>
    </w:p>
    <w:p w:rsidR="00D82DEF" w:rsidRDefault="003F2E71" w:rsidP="006D1AEB">
      <w:pPr>
        <w:pStyle w:val="SGACP-enumerationniveau1"/>
        <w:ind w:left="284" w:hanging="284"/>
      </w:pPr>
      <w:r>
        <w:t>m</w:t>
      </w:r>
      <w:r w:rsidR="00D82DEF">
        <w:t>odalités de prise en compte du coût interne de la liquidité et analyse de l’évolution des indicateurs de coût de la liquidité au cours de l’exercice ;</w:t>
      </w:r>
    </w:p>
    <w:p w:rsidR="00810050" w:rsidRDefault="00810050" w:rsidP="00810050">
      <w:pPr>
        <w:pStyle w:val="SGACP-enumerationniveau1"/>
        <w:ind w:left="284" w:hanging="284"/>
      </w:pPr>
      <w:r>
        <w:t>modalités de prise en compte</w:t>
      </w:r>
      <w:r w:rsidR="00107C50">
        <w:t>, de mesure, de suivi</w:t>
      </w:r>
      <w:r>
        <w:t xml:space="preserve"> et d’encadrement du risque de liquidité intra-journalier</w:t>
      </w:r>
      <w:r w:rsidR="002C0F9D">
        <w:t> </w:t>
      </w:r>
      <w:r>
        <w:t>;</w:t>
      </w:r>
    </w:p>
    <w:p w:rsidR="00C63DA5" w:rsidRDefault="00C63DA5" w:rsidP="00C63DA5">
      <w:pPr>
        <w:pStyle w:val="SGACP-enumerationniveau1"/>
        <w:ind w:left="284" w:hanging="284"/>
      </w:pPr>
      <w:r>
        <w:t xml:space="preserve">description des plans de financement : </w:t>
      </w:r>
      <w:r w:rsidRPr="00015F28">
        <w:t xml:space="preserve">modalités d’évaluation de la capacité à lever des fonds auprès des sources de financement </w:t>
      </w:r>
      <w:r>
        <w:t xml:space="preserve">de l’entreprise </w:t>
      </w:r>
      <w:r w:rsidRPr="00015F28">
        <w:t>en temps normal et en période de stress sur toutes les maturités envisagées et par devise</w:t>
      </w:r>
      <w:r>
        <w:t xml:space="preserve"> (</w:t>
      </w:r>
      <w:r w:rsidRPr="003B3DA5">
        <w:rPr>
          <w:i/>
        </w:rPr>
        <w:t>hypothèses et résultats des tests effectués</w:t>
      </w:r>
      <w:r>
        <w:t>…</w:t>
      </w:r>
      <w:r w:rsidRPr="00015F28">
        <w:t>)</w:t>
      </w:r>
      <w:r>
        <w:t>, modalités de prise en compte du risque de réputation, modalités de distinction des actifs grevés et non grevés disponibles à tout moment notamment en situation d’urgence et modalités de prise en compte des limitations d’ordre juridique, règlementaire et opérationnel aux éventuels transferts de liquidité et d’actifs non grevés entre les entités, modalités de prise en compte des possibles décotes en cas de cession d’actifs dans des délais brefs</w:t>
      </w:r>
      <w:r w:rsidRPr="00015F28">
        <w:t> ;</w:t>
      </w:r>
    </w:p>
    <w:p w:rsidR="00331B88" w:rsidRDefault="00C63DA5" w:rsidP="00C63DA5">
      <w:pPr>
        <w:pStyle w:val="SGACP-enumerationniveau1"/>
        <w:ind w:left="284" w:hanging="284"/>
      </w:pPr>
      <w:r>
        <w:t>description d</w:t>
      </w:r>
      <w:r w:rsidRPr="001D505C">
        <w:t>es</w:t>
      </w:r>
      <w:r>
        <w:rPr>
          <w:i/>
        </w:rPr>
        <w:t xml:space="preserve"> </w:t>
      </w:r>
      <w:r w:rsidR="007D0344" w:rsidRPr="00C63DA5">
        <w:rPr>
          <w:i/>
        </w:rPr>
        <w:t>stress scenarii</w:t>
      </w:r>
      <w:r w:rsidR="00463A1C" w:rsidRPr="007F2900">
        <w:t xml:space="preserve"> utilisés pour mesurer le risque encouru en cas de forte variation des paramètres de marché </w:t>
      </w:r>
      <w:r w:rsidR="00463A1C" w:rsidRPr="0033036E">
        <w:t>(indiquer les hypothèses retenues ainsi que leur périodicité de révision et décrire le processus de leur validation ;</w:t>
      </w:r>
      <w:r w:rsidR="003F2E71">
        <w:t xml:space="preserve"> </w:t>
      </w:r>
      <w:r w:rsidR="00463A1C" w:rsidRPr="0033036E">
        <w:t>indiquer le résultat de la simulation et les modalités de sa communication à l</w:t>
      </w:r>
      <w:r w:rsidR="001224E7">
        <w:t>’</w:t>
      </w:r>
      <w:r w:rsidR="00463A1C" w:rsidRPr="0033036E">
        <w:t xml:space="preserve">organe </w:t>
      </w:r>
      <w:r w:rsidR="0094273B">
        <w:t>de surveillance</w:t>
      </w:r>
      <w:r w:rsidR="00463A1C" w:rsidRPr="0033036E">
        <w:t>)</w:t>
      </w:r>
      <w:r>
        <w:t xml:space="preserve">, ainsi que les </w:t>
      </w:r>
      <w:r w:rsidR="00BA07CA">
        <w:t>p</w:t>
      </w:r>
      <w:r w:rsidR="00463A1C" w:rsidRPr="007F2900">
        <w:t>rincipales conclusions de l</w:t>
      </w:r>
      <w:r w:rsidR="001224E7">
        <w:t>’</w:t>
      </w:r>
      <w:r w:rsidR="00463A1C" w:rsidRPr="007F2900">
        <w:t>analyse du risque encouru en cas de forte variation des paramètres de marché</w:t>
      </w:r>
      <w:r w:rsidR="00BA07CA">
        <w:t> ;</w:t>
      </w:r>
    </w:p>
    <w:p w:rsidR="00AB7BAE" w:rsidRDefault="00BA07CA" w:rsidP="006D1AEB">
      <w:pPr>
        <w:pStyle w:val="SGACP-enumerationniveau1"/>
        <w:ind w:left="284" w:hanging="284"/>
      </w:pPr>
      <w:r>
        <w:t>d</w:t>
      </w:r>
      <w:r w:rsidR="00463A1C" w:rsidRPr="007F2900">
        <w:t>escription des plans d</w:t>
      </w:r>
      <w:r w:rsidR="001224E7">
        <w:t>’</w:t>
      </w:r>
      <w:r w:rsidR="00463A1C" w:rsidRPr="007F2900">
        <w:t xml:space="preserve">urgence mis en place pour faire face à une crise de liquidité </w:t>
      </w:r>
      <w:r w:rsidR="00463A1C" w:rsidRPr="0033036E">
        <w:t>(le plan doit prendre en compte à la fois le risque propre de refinancement, le risque d</w:t>
      </w:r>
      <w:r w:rsidR="001224E7">
        <w:t>’</w:t>
      </w:r>
      <w:r w:rsidR="00463A1C" w:rsidRPr="0033036E">
        <w:t>assèchement des marchés et les interactions entre les deux risques</w:t>
      </w:r>
      <w:r w:rsidR="007A3873">
        <w:t xml:space="preserve"> en intégrant également la dimension du risque de liquidité intra-journalier le cas échéant)</w:t>
      </w:r>
      <w:r w:rsidR="008D1A92">
        <w:rPr>
          <w:i/>
        </w:rPr>
        <w:t> </w:t>
      </w:r>
      <w:r w:rsidR="008D1A92" w:rsidRPr="00210431">
        <w:t>:</w:t>
      </w:r>
      <w:r w:rsidR="008D1A92">
        <w:rPr>
          <w:i/>
        </w:rPr>
        <w:t xml:space="preserve"> p</w:t>
      </w:r>
      <w:r w:rsidR="00400F0B" w:rsidRPr="00210431">
        <w:rPr>
          <w:i/>
        </w:rPr>
        <w:t xml:space="preserve">réciser notamment les procédures </w:t>
      </w:r>
      <w:r w:rsidR="009D3E45" w:rsidRPr="00210431">
        <w:rPr>
          <w:i/>
        </w:rPr>
        <w:t>mises en place</w:t>
      </w:r>
      <w:r w:rsidR="00400F0B" w:rsidRPr="00210431">
        <w:rPr>
          <w:i/>
        </w:rPr>
        <w:t xml:space="preserve"> (</w:t>
      </w:r>
      <w:r w:rsidR="009D3E45" w:rsidRPr="00210431">
        <w:rPr>
          <w:i/>
        </w:rPr>
        <w:t xml:space="preserve">identité et niveau </w:t>
      </w:r>
      <w:r w:rsidR="009D3E45" w:rsidRPr="00210431">
        <w:rPr>
          <w:i/>
        </w:rPr>
        <w:lastRenderedPageBreak/>
        <w:t>hiérarchique des personnes concernées,</w:t>
      </w:r>
      <w:r w:rsidR="00400F0B" w:rsidRPr="00210431">
        <w:rPr>
          <w:i/>
        </w:rPr>
        <w:t xml:space="preserve"> solutions d’accès à la liquidité envisagée, communication au public, tests réguliers des plans d’urgence…)</w:t>
      </w:r>
      <w:r w:rsidR="00AB7BAE">
        <w:t> ;</w:t>
      </w:r>
    </w:p>
    <w:p w:rsidR="00E55A05" w:rsidRDefault="00E55A05" w:rsidP="00BD1DB7">
      <w:pPr>
        <w:pStyle w:val="Paragraphedeliste"/>
        <w:ind w:left="284"/>
      </w:pPr>
    </w:p>
    <w:p w:rsidR="00C11245" w:rsidRDefault="00AB7BAE" w:rsidP="00460E3D">
      <w:pPr>
        <w:pStyle w:val="Paragraphedeliste"/>
        <w:numPr>
          <w:ilvl w:val="2"/>
          <w:numId w:val="3"/>
        </w:numPr>
        <w:ind w:left="284" w:hanging="284"/>
      </w:pPr>
      <w:r>
        <w:t xml:space="preserve">description des plans de </w:t>
      </w:r>
      <w:r w:rsidR="00FD19A5">
        <w:t>rétablissement</w:t>
      </w:r>
      <w:r>
        <w:t xml:space="preserve"> de la liquidité fixant les stratégies et mesures de mise en œuvre afin de remédier aux éventuels déficits de liquidité et devant être testés régulièrement</w:t>
      </w:r>
      <w:r w:rsidR="008D1A92">
        <w:t xml:space="preserve"> : </w:t>
      </w:r>
      <w:r w:rsidR="008D1A92" w:rsidRPr="00E55A05">
        <w:rPr>
          <w:i/>
        </w:rPr>
        <w:t>p</w:t>
      </w:r>
      <w:r w:rsidRPr="00E55A05">
        <w:rPr>
          <w:i/>
        </w:rPr>
        <w:t>réciser notamment les mesures opérationnelles adoptées garantissant une mise en œuvre immédiate de ces plans de rétablissement (détention de sûretés immédiatement disponibles…)</w:t>
      </w:r>
      <w:r w:rsidR="00400F0B">
        <w:t>.</w:t>
      </w:r>
      <w:bookmarkStart w:id="213" w:name="_Toc244576477"/>
      <w:bookmarkStart w:id="214" w:name="_Toc266799840"/>
    </w:p>
    <w:p w:rsidR="00CA2B80" w:rsidRDefault="00CA2B80" w:rsidP="0057714C">
      <w:pPr>
        <w:pStyle w:val="SGACP-sous-titrederubriquenivaeu2"/>
      </w:pPr>
    </w:p>
    <w:p w:rsidR="00223533" w:rsidRPr="007F2900" w:rsidRDefault="008F3AF1" w:rsidP="0057714C">
      <w:pPr>
        <w:pStyle w:val="SGACP-sous-titrederubriquenivaeu2"/>
      </w:pPr>
      <w:r>
        <w:t>16</w:t>
      </w:r>
      <w:r w:rsidR="0033036E">
        <w:t>.2.</w:t>
      </w:r>
      <w:r w:rsidR="0033036E">
        <w:tab/>
      </w:r>
      <w:r w:rsidR="00463A1C" w:rsidRPr="007F2900">
        <w:t xml:space="preserve">Dispositif de surveillance </w:t>
      </w:r>
      <w:r w:rsidR="00B43DDC" w:rsidRPr="007F2900">
        <w:t>d</w:t>
      </w:r>
      <w:r w:rsidR="00B43DDC">
        <w:t>es</w:t>
      </w:r>
      <w:r w:rsidR="00B43DDC" w:rsidRPr="007F2900">
        <w:t xml:space="preserve"> </w:t>
      </w:r>
      <w:r w:rsidR="00463A1C" w:rsidRPr="007F2900">
        <w:t>risque</w:t>
      </w:r>
      <w:r w:rsidR="00B43DDC">
        <w:t>s</w:t>
      </w:r>
      <w:r w:rsidR="00463A1C" w:rsidRPr="007F2900">
        <w:t xml:space="preserve"> de liquidité</w:t>
      </w:r>
      <w:bookmarkEnd w:id="213"/>
      <w:bookmarkEnd w:id="214"/>
      <w:r w:rsidR="00BA07CA">
        <w:t> :</w:t>
      </w:r>
    </w:p>
    <w:p w:rsidR="00331B88" w:rsidRDefault="00BA07CA" w:rsidP="006D1AEB">
      <w:pPr>
        <w:pStyle w:val="SGACP-enumerationniveau1"/>
        <w:ind w:left="284" w:hanging="284"/>
      </w:pPr>
      <w:r>
        <w:t>d</w:t>
      </w:r>
      <w:r w:rsidR="00463A1C" w:rsidRPr="007F2900">
        <w:t>escription synthétique des limites fixées en matière de risque</w:t>
      </w:r>
      <w:r w:rsidR="00603E9D">
        <w:t>s</w:t>
      </w:r>
      <w:r w:rsidR="00463A1C" w:rsidRPr="007F2900">
        <w:t xml:space="preserve"> de liquidité</w:t>
      </w:r>
      <w:r w:rsidR="0033036E">
        <w:t xml:space="preserve"> </w:t>
      </w:r>
      <w:r w:rsidR="00D10B4B">
        <w:t>ainsi que du niveau de tolérance au</w:t>
      </w:r>
      <w:r w:rsidR="00603E9D">
        <w:t>x</w:t>
      </w:r>
      <w:r w:rsidR="00D10B4B">
        <w:t xml:space="preserve"> risque</w:t>
      </w:r>
      <w:r w:rsidR="00603E9D">
        <w:t>s</w:t>
      </w:r>
      <w:r w:rsidR="00D10B4B">
        <w:t xml:space="preserve"> de liquidité </w:t>
      </w:r>
      <w:r w:rsidR="00463A1C" w:rsidRPr="00210431">
        <w:rPr>
          <w:i/>
        </w:rPr>
        <w:t xml:space="preserve">(préciser </w:t>
      </w:r>
      <w:r w:rsidR="00E81565">
        <w:rPr>
          <w:i/>
        </w:rPr>
        <w:t xml:space="preserve">et justifier </w:t>
      </w:r>
      <w:r w:rsidR="00463A1C" w:rsidRPr="00210431">
        <w:rPr>
          <w:i/>
        </w:rPr>
        <w:t>le</w:t>
      </w:r>
      <w:r w:rsidR="00D10B4B" w:rsidRPr="00210431">
        <w:rPr>
          <w:i/>
        </w:rPr>
        <w:t>s</w:t>
      </w:r>
      <w:r w:rsidR="00463A1C" w:rsidRPr="00210431">
        <w:rPr>
          <w:i/>
        </w:rPr>
        <w:t xml:space="preserve"> niveau</w:t>
      </w:r>
      <w:r w:rsidR="00D10B4B" w:rsidRPr="00210431">
        <w:rPr>
          <w:i/>
        </w:rPr>
        <w:t>x</w:t>
      </w:r>
      <w:r w:rsidR="00463A1C" w:rsidRPr="00210431">
        <w:rPr>
          <w:i/>
        </w:rPr>
        <w:t>, par type d</w:t>
      </w:r>
      <w:r w:rsidR="001224E7" w:rsidRPr="00210431">
        <w:rPr>
          <w:i/>
        </w:rPr>
        <w:t>’</w:t>
      </w:r>
      <w:r w:rsidR="00463A1C" w:rsidRPr="00210431">
        <w:rPr>
          <w:i/>
        </w:rPr>
        <w:t xml:space="preserve">activité, </w:t>
      </w:r>
      <w:r w:rsidR="00B43DDC" w:rsidRPr="00210431">
        <w:rPr>
          <w:i/>
        </w:rPr>
        <w:t xml:space="preserve">par devise, </w:t>
      </w:r>
      <w:r w:rsidR="00463A1C" w:rsidRPr="00210431">
        <w:rPr>
          <w:i/>
        </w:rPr>
        <w:t>par type de contrepartie, par rapport au volume d</w:t>
      </w:r>
      <w:r w:rsidR="001224E7" w:rsidRPr="00210431">
        <w:rPr>
          <w:i/>
        </w:rPr>
        <w:t>’</w:t>
      </w:r>
      <w:r w:rsidR="00463A1C" w:rsidRPr="00210431">
        <w:rPr>
          <w:i/>
        </w:rPr>
        <w:t>opérations de ces contreparties et par rapport aux fonds propres)</w:t>
      </w:r>
      <w:r>
        <w:t> ;</w:t>
      </w:r>
    </w:p>
    <w:p w:rsidR="00331B88" w:rsidRPr="001D505C" w:rsidRDefault="00E81565" w:rsidP="006D1AEB">
      <w:pPr>
        <w:pStyle w:val="SGACP-enumerationniveau1"/>
        <w:ind w:left="284" w:hanging="284"/>
      </w:pPr>
      <w:r>
        <w:t xml:space="preserve">procédure et </w:t>
      </w:r>
      <w:r w:rsidR="00BA07CA">
        <w:t>p</w:t>
      </w:r>
      <w:r w:rsidR="00463A1C" w:rsidRPr="007F2900">
        <w:t>ériodicité de la révision des limites fixées en matière de risque</w:t>
      </w:r>
      <w:r w:rsidR="00603E9D">
        <w:t>s</w:t>
      </w:r>
      <w:r w:rsidR="00463A1C" w:rsidRPr="007F2900">
        <w:t xml:space="preserve"> de liquidité</w:t>
      </w:r>
      <w:r w:rsidR="00463A1C" w:rsidRPr="0033036E">
        <w:rPr>
          <w:i/>
          <w:iCs/>
        </w:rPr>
        <w:t xml:space="preserve"> (indiquer la date de la dernière révision</w:t>
      </w:r>
      <w:r>
        <w:rPr>
          <w:i/>
          <w:iCs/>
        </w:rPr>
        <w:t xml:space="preserve"> les intervenants, les modalités suivies</w:t>
      </w:r>
      <w:r w:rsidR="00463A1C" w:rsidRPr="0033036E">
        <w:rPr>
          <w:i/>
          <w:iCs/>
        </w:rPr>
        <w:t>)</w:t>
      </w:r>
      <w:r w:rsidR="00BA07CA">
        <w:rPr>
          <w:i/>
          <w:iCs/>
        </w:rPr>
        <w:t> </w:t>
      </w:r>
      <w:r w:rsidR="00BA07CA" w:rsidRPr="00935917">
        <w:rPr>
          <w:iCs/>
        </w:rPr>
        <w:t>;</w:t>
      </w:r>
    </w:p>
    <w:p w:rsidR="00D02EE7" w:rsidRDefault="00D02EE7" w:rsidP="00D02EE7">
      <w:pPr>
        <w:pStyle w:val="SGACP-enumerationniveau1"/>
        <w:ind w:left="284" w:hanging="284"/>
      </w:pPr>
      <w:r>
        <w:t>p</w:t>
      </w:r>
      <w:r w:rsidRPr="007F2900">
        <w:t xml:space="preserve">ériodicité de la révision </w:t>
      </w:r>
      <w:r>
        <w:t>des critères d’identification, de valorisati</w:t>
      </w:r>
      <w:r w:rsidR="002A0667">
        <w:t xml:space="preserve">on, de liquidité, </w:t>
      </w:r>
      <w:r>
        <w:t xml:space="preserve">de disponibilité des actifs </w:t>
      </w:r>
      <w:r w:rsidR="002A0667">
        <w:t>et de prise en compte des instruments d</w:t>
      </w:r>
      <w:r w:rsidR="00603E9D">
        <w:t>’atténuation des</w:t>
      </w:r>
      <w:r w:rsidR="002A0667">
        <w:t xml:space="preserve"> risque</w:t>
      </w:r>
      <w:r w:rsidR="00603E9D">
        <w:t>s</w:t>
      </w:r>
      <w:r w:rsidR="002A0667">
        <w:t xml:space="preserve"> de liquidité </w:t>
      </w:r>
      <w:r w:rsidRPr="0033036E">
        <w:rPr>
          <w:i/>
          <w:iCs/>
        </w:rPr>
        <w:t>(indiquer la date de la dernière révision)</w:t>
      </w:r>
      <w:r>
        <w:rPr>
          <w:i/>
          <w:iCs/>
        </w:rPr>
        <w:t> </w:t>
      </w:r>
      <w:r w:rsidRPr="00935917">
        <w:rPr>
          <w:iCs/>
        </w:rPr>
        <w:t>;</w:t>
      </w:r>
    </w:p>
    <w:p w:rsidR="00D02EE7" w:rsidRDefault="002A0667" w:rsidP="006D1AEB">
      <w:pPr>
        <w:pStyle w:val="SGACP-enumerationniveau1"/>
        <w:ind w:left="284" w:hanging="284"/>
      </w:pPr>
      <w:r>
        <w:t>périodicité de la révision des hypothèses</w:t>
      </w:r>
      <w:r w:rsidR="003077D0">
        <w:t xml:space="preserve"> et hypothèses alternatives</w:t>
      </w:r>
      <w:r>
        <w:t xml:space="preserve"> liées à la situation de financement</w:t>
      </w:r>
      <w:r w:rsidR="000F67F4">
        <w:t xml:space="preserve">, aux positions de liquidité et aux facteurs d’atténuation du risque </w:t>
      </w:r>
      <w:r w:rsidRPr="001D505C">
        <w:rPr>
          <w:i/>
        </w:rPr>
        <w:t>(indiquer la date de la dernière révision)</w:t>
      </w:r>
      <w:r>
        <w:t> ;</w:t>
      </w:r>
    </w:p>
    <w:p w:rsidR="00331B88" w:rsidRDefault="00BA07CA" w:rsidP="006D1AEB">
      <w:pPr>
        <w:pStyle w:val="SGACP-enumerationniveau1"/>
        <w:ind w:left="284" w:hanging="284"/>
      </w:pPr>
      <w:r>
        <w:t>d</w:t>
      </w:r>
      <w:r w:rsidR="00463A1C" w:rsidRPr="007F2900">
        <w:t xml:space="preserve">épassements éventuels de limites observés au cours du dernier exercice </w:t>
      </w:r>
      <w:r w:rsidR="00463A1C" w:rsidRPr="0033036E">
        <w:rPr>
          <w:i/>
          <w:iCs/>
        </w:rPr>
        <w:t>(préciser les causes des dépassements, leur nombre et leur montant)</w:t>
      </w:r>
      <w:r>
        <w:rPr>
          <w:i/>
          <w:iCs/>
        </w:rPr>
        <w:t> </w:t>
      </w:r>
      <w:r w:rsidRPr="00935917">
        <w:rPr>
          <w:iCs/>
        </w:rPr>
        <w:t>;</w:t>
      </w:r>
    </w:p>
    <w:p w:rsidR="00331B88" w:rsidRDefault="00BA07CA" w:rsidP="006D1AEB">
      <w:pPr>
        <w:pStyle w:val="SGACP-enumerationniveau1"/>
        <w:ind w:left="284" w:hanging="284"/>
      </w:pPr>
      <w:r>
        <w:t>p</w:t>
      </w:r>
      <w:r w:rsidR="00463A1C" w:rsidRPr="007F2900">
        <w:t>rocédures suivies pour autoriser ces dépassements et mesures mises en œuvre pour régulariser ces dépassements</w:t>
      </w:r>
      <w:r>
        <w:t> ;</w:t>
      </w:r>
    </w:p>
    <w:p w:rsidR="00331B88" w:rsidRDefault="00BA07CA" w:rsidP="006D1AEB">
      <w:pPr>
        <w:pStyle w:val="SGACP-enumerationniveau1"/>
        <w:ind w:left="284" w:hanging="284"/>
      </w:pPr>
      <w:r>
        <w:t>d</w:t>
      </w:r>
      <w:r w:rsidR="00463A1C" w:rsidRPr="007F2900">
        <w:t xml:space="preserve">escription synthétique des reportings utilisés pour la gestion </w:t>
      </w:r>
      <w:r w:rsidR="00CC5EB8">
        <w:t>d</w:t>
      </w:r>
      <w:r w:rsidR="0048495A">
        <w:t>es</w:t>
      </w:r>
      <w:r w:rsidR="00CC5EB8">
        <w:t xml:space="preserve"> risque</w:t>
      </w:r>
      <w:r w:rsidR="0048495A">
        <w:t>s</w:t>
      </w:r>
      <w:r w:rsidR="00463A1C" w:rsidRPr="007F2900">
        <w:t xml:space="preserve"> de liquidité (</w:t>
      </w:r>
      <w:r w:rsidR="00463A1C" w:rsidRPr="0033036E">
        <w:rPr>
          <w:i/>
          <w:iCs/>
        </w:rPr>
        <w:t>préciser notamment la périodicité et les destinataires des reportings)</w:t>
      </w:r>
      <w:r w:rsidRPr="00935917">
        <w:rPr>
          <w:iCs/>
        </w:rPr>
        <w:t> ;</w:t>
      </w:r>
    </w:p>
    <w:p w:rsidR="006A0132" w:rsidRDefault="00BA07CA" w:rsidP="00A57FEE">
      <w:pPr>
        <w:pStyle w:val="SGACP-enumerationniveau1"/>
        <w:ind w:left="284" w:hanging="284"/>
      </w:pPr>
      <w:r>
        <w:t>d</w:t>
      </w:r>
      <w:r w:rsidR="00463A1C" w:rsidRPr="007F2900">
        <w:t>escription des incidents rencontrés au cours du dernier exercice</w:t>
      </w:r>
      <w:r w:rsidR="006A0132">
        <w:t> ;</w:t>
      </w:r>
    </w:p>
    <w:p w:rsidR="0057714C" w:rsidRDefault="0057714C" w:rsidP="0057714C">
      <w:pPr>
        <w:pStyle w:val="SGACP-enumerationniveau1"/>
        <w:ind w:left="284" w:hanging="284"/>
      </w:pPr>
      <w:r>
        <w:t>description des dispositifs de mesure et de gestion de la qualité et de la composition des coussins de liquidité </w:t>
      </w:r>
      <w:r w:rsidR="007A3873">
        <w:t xml:space="preserve">et description des dispositifs de mesure et suivi des actifs grevés et non grevés </w:t>
      </w:r>
      <w:r>
        <w:t>;</w:t>
      </w:r>
    </w:p>
    <w:p w:rsidR="00C63DA5" w:rsidRDefault="006A0132" w:rsidP="00A57FEE">
      <w:pPr>
        <w:pStyle w:val="SGACP-enumerationniveau1"/>
        <w:ind w:left="284" w:hanging="284"/>
      </w:pPr>
      <w:r>
        <w:t>procédures de contrôle par la fonction de gestion des risques des actifs définis comme liquides</w:t>
      </w:r>
      <w:r w:rsidR="00EB38C6">
        <w:t> ;</w:t>
      </w:r>
      <w:r>
        <w:t xml:space="preserve"> </w:t>
      </w:r>
    </w:p>
    <w:p w:rsidR="00A57FEE" w:rsidRDefault="001027D2" w:rsidP="00A57FEE">
      <w:pPr>
        <w:pStyle w:val="SGACP-enumerationniveau1"/>
        <w:ind w:left="284" w:hanging="284"/>
      </w:pPr>
      <w:r>
        <w:t>modalités d’approbation et de révision par l’organe de surveillance des stratégies et politiques régissant la prise, la gestion, le suivi et la réduction des risques de liquidité (cf. article L.511-60 du Code monétaire et financier)</w:t>
      </w:r>
      <w:r w:rsidR="00EB38C6">
        <w:t>.</w:t>
      </w:r>
    </w:p>
    <w:p w:rsidR="002D5085" w:rsidRDefault="00BC60B3" w:rsidP="0091502A">
      <w:pPr>
        <w:pStyle w:val="SGACP-enumerationniveau1"/>
        <w:ind w:left="284" w:hanging="284"/>
      </w:pPr>
      <w:r>
        <w:t>l</w:t>
      </w:r>
      <w:r w:rsidR="0091502A">
        <w:t xml:space="preserve">es établissements soumis à CRR et ne se trouvant pas sous la supervision directe de la BCE, doivent remettre un « manuel du lecteur », élaboré comme un document global facilitant l’évaluation de la documentation justifiant de leur adéquation en liquidité. </w:t>
      </w:r>
      <w:r w:rsidR="0091502A" w:rsidRPr="00DD69B2">
        <w:t>À cet ef</w:t>
      </w:r>
      <w:r w:rsidR="0091502A">
        <w:t xml:space="preserve">fet, le </w:t>
      </w:r>
      <w:r w:rsidR="00997F0E">
        <w:t>« manuel du lecteur »</w:t>
      </w:r>
      <w:r w:rsidR="0091502A">
        <w:t xml:space="preserve"> do</w:t>
      </w:r>
      <w:r w:rsidR="0091502A" w:rsidRPr="00DD69B2">
        <w:t>it fournir une vue d’ensemble</w:t>
      </w:r>
      <w:r w:rsidR="0091502A">
        <w:t xml:space="preserve"> </w:t>
      </w:r>
      <w:r w:rsidR="0091502A" w:rsidRPr="00DD69B2">
        <w:t>de tous les documents communiqués aux autorités compétentes</w:t>
      </w:r>
      <w:r w:rsidR="0091502A">
        <w:t xml:space="preserve"> sur</w:t>
      </w:r>
      <w:r w:rsidR="0091502A" w:rsidRPr="00DD69B2">
        <w:t xml:space="preserve"> </w:t>
      </w:r>
      <w:r w:rsidR="0091502A">
        <w:t>ce sujet</w:t>
      </w:r>
      <w:r w:rsidR="0091502A" w:rsidRPr="00DD69B2">
        <w:t>, ainsi que de leur statut (nouveau, non modifié, modifié avec des corrections mineures, et</w:t>
      </w:r>
      <w:r w:rsidR="0091502A">
        <w:t xml:space="preserve">c.). Le </w:t>
      </w:r>
      <w:r w:rsidR="00997F0E">
        <w:t>« manuel du lecteur »</w:t>
      </w:r>
      <w:r w:rsidR="0091502A">
        <w:t xml:space="preserve"> do</w:t>
      </w:r>
      <w:r w:rsidR="0091502A" w:rsidRPr="00DD69B2">
        <w:t>it essentiellement fonctionner comme un index reliant les éléments d’info</w:t>
      </w:r>
      <w:r w:rsidR="0091502A">
        <w:t xml:space="preserve">rmation spécifiques prévus pour le rapport de contrôle interne </w:t>
      </w:r>
      <w:r w:rsidR="0091502A" w:rsidRPr="00DD69B2">
        <w:t>aux documents fournis à l’autorité compétente</w:t>
      </w:r>
      <w:r w:rsidR="0091502A">
        <w:t xml:space="preserve"> concernant l’évaluation de son adéquation en liquidité. Le </w:t>
      </w:r>
      <w:r w:rsidR="00997F0E">
        <w:t>« manuel du lecteur »</w:t>
      </w:r>
      <w:r w:rsidR="0091502A">
        <w:t xml:space="preserve"> do</w:t>
      </w:r>
      <w:r w:rsidR="0091502A" w:rsidRPr="00DD69B2">
        <w:t>it également comporter des renseignements concernant les modifications significatives apportées aux informations par rapport à celles communiquées précédemment, les éléments éventuellement exclu</w:t>
      </w:r>
      <w:r w:rsidR="0091502A">
        <w:t>s des informations communiquées</w:t>
      </w:r>
      <w:r w:rsidR="0091502A" w:rsidRPr="00DD69B2">
        <w:t>, ainsi que toute autre information qui pourrait être utile à l’autorité compétente en vue de l’évaluation. En o</w:t>
      </w:r>
      <w:r w:rsidR="0091502A">
        <w:t xml:space="preserve">utre, le </w:t>
      </w:r>
      <w:r w:rsidR="00997F0E">
        <w:t>« manuel du lecteur »</w:t>
      </w:r>
      <w:r w:rsidR="0091502A">
        <w:t xml:space="preserve"> do</w:t>
      </w:r>
      <w:r w:rsidR="0091502A" w:rsidRPr="00DD69B2">
        <w:t>it contenir des références à toutes les informations rendues publiques par l’établissement</w:t>
      </w:r>
      <w:r w:rsidR="0091502A">
        <w:t xml:space="preserve"> sur son adéquation en liquidité</w:t>
      </w:r>
      <w:r w:rsidR="002D5085">
        <w:t> ;</w:t>
      </w:r>
    </w:p>
    <w:p w:rsidR="002D5085" w:rsidRDefault="002D5085" w:rsidP="002D5085">
      <w:pPr>
        <w:pStyle w:val="SGACP-enumerationniveau1"/>
        <w:ind w:left="284" w:hanging="284"/>
      </w:pPr>
      <w:r>
        <w:lastRenderedPageBreak/>
        <w:t xml:space="preserve">les entreprises d’investissement de classe 2 doivent formaliser un rapport en application de l’article L533-2-2 du </w:t>
      </w:r>
      <w:r w:rsidR="008A40C5">
        <w:t>C</w:t>
      </w:r>
      <w:r>
        <w:t>ode monétaire et financier pour rendre compte du dispositif I</w:t>
      </w:r>
      <w:r w:rsidR="00265878">
        <w:t>L</w:t>
      </w:r>
      <w:r>
        <w:t>AAP mis en place par l’entreprise d’investissement et justifier de l’effectivité de l’adéquation entre ses actifs liquides disponibles et les risques auxquels elle est exposée, de manière dynamique et dans le temps, dans des conditions de marché normales et tendues. Un canevas présentant à titre indicatif la liste des informations essentielles à fournir par l’entreprise d’investissement dans ce rapport est mis à disposition par le SGACPR.</w:t>
      </w:r>
    </w:p>
    <w:p w:rsidR="0033036E" w:rsidRDefault="0033036E" w:rsidP="00463A1C">
      <w:bookmarkStart w:id="215" w:name="_Toc244576478"/>
      <w:bookmarkStart w:id="216" w:name="_Toc266799841"/>
    </w:p>
    <w:p w:rsidR="00FE55AB" w:rsidRPr="006B145E" w:rsidRDefault="00FE55AB" w:rsidP="00FE55AB">
      <w:pPr>
        <w:pStyle w:val="SGACP-sous-titrederubriquenivaeu2"/>
        <w:keepNext/>
      </w:pPr>
      <w:r>
        <w:t>16.3</w:t>
      </w:r>
      <w:r w:rsidRPr="006B145E">
        <w:t>. Risque de liquidité et de procyclicité résultant des appels de marges découlant de la compensation centrale par des membres compensateurs et des expositions non-compensées centralement</w:t>
      </w:r>
    </w:p>
    <w:p w:rsidR="00FE55AB" w:rsidRPr="006B145E" w:rsidRDefault="00FE55AB" w:rsidP="00FE55AB">
      <w:pPr>
        <w:pStyle w:val="SGACP-enumerationniveau1"/>
        <w:numPr>
          <w:ilvl w:val="0"/>
          <w:numId w:val="126"/>
        </w:numPr>
        <w:ind w:left="284" w:hanging="284"/>
      </w:pPr>
      <w:r>
        <w:t>p</w:t>
      </w:r>
      <w:r w:rsidRPr="006B145E">
        <w:t>résentation des procédures permettant d’éviter que la fourniture de services de compensation centrale aux clients n’entraîne des changements soudains et importants en matière d’appels de marge, de collecte de marge et d’abaissement des notations de crédit ;</w:t>
      </w:r>
    </w:p>
    <w:p w:rsidR="00FE55AB" w:rsidRPr="006B145E" w:rsidRDefault="00FE55AB" w:rsidP="00FE55AB">
      <w:pPr>
        <w:pStyle w:val="SGACP-enumerationniveau1"/>
        <w:numPr>
          <w:ilvl w:val="0"/>
          <w:numId w:val="126"/>
        </w:numPr>
        <w:ind w:left="284" w:hanging="284"/>
      </w:pPr>
      <w:r>
        <w:t>p</w:t>
      </w:r>
      <w:r w:rsidRPr="006B145E">
        <w:t>résentation des procédures permettant d’éviter, pour les contrats dérivés de gré-à-gré et des opérations de financement sur titres ne faisant pas l’objet d’une compensation centrale, que les procédures de gestion des risques n’entraîne de changements soudains et importants en matière d’appels de marge, de collecte de marge et d’abaissement des notations de crédit ;</w:t>
      </w:r>
    </w:p>
    <w:p w:rsidR="00FE55AB" w:rsidRPr="006B145E" w:rsidRDefault="00FE55AB" w:rsidP="00FE55AB">
      <w:pPr>
        <w:pStyle w:val="SGACP-enumerationniveau1"/>
        <w:numPr>
          <w:ilvl w:val="0"/>
          <w:numId w:val="126"/>
        </w:numPr>
        <w:ind w:left="284" w:hanging="284"/>
      </w:pPr>
      <w:r>
        <w:t>p</w:t>
      </w:r>
      <w:r w:rsidRPr="006B145E">
        <w:t>résentation des procédures permettant de limiter les contraintes de liquidité liées à la collecte des marges (ex : utilisation de l’excédent des garanties de marge initiale plutôt qu’à la collecte de garanties supplémentaires, prise en compte des</w:t>
      </w:r>
      <w:r w:rsidR="00E4514E">
        <w:t xml:space="preserve"> contraintes</w:t>
      </w:r>
      <w:r>
        <w:t xml:space="preserve"> opérationnelles des clients).</w:t>
      </w:r>
    </w:p>
    <w:p w:rsidR="00FE55AB" w:rsidRDefault="00FE55AB">
      <w:pPr>
        <w:pStyle w:val="SGACP-sous-titrederubriquenivaeu2"/>
        <w:keepNext/>
      </w:pPr>
    </w:p>
    <w:p w:rsidR="00DA2593" w:rsidRDefault="008F3AF1">
      <w:pPr>
        <w:pStyle w:val="SGACP-sous-titrederubriquenivaeu2"/>
        <w:keepNext/>
      </w:pPr>
      <w:r>
        <w:t>16</w:t>
      </w:r>
      <w:r w:rsidR="0033036E">
        <w:t>.</w:t>
      </w:r>
      <w:r w:rsidR="00FE55AB">
        <w:t>4</w:t>
      </w:r>
      <w:r w:rsidR="0033036E">
        <w:t>.</w:t>
      </w:r>
      <w:r w:rsidR="0033036E">
        <w:tab/>
      </w:r>
      <w:r w:rsidR="00463A1C" w:rsidRPr="007F2900">
        <w:t xml:space="preserve">Dispositif de contrôle permanent de la gestion </w:t>
      </w:r>
      <w:r w:rsidR="00CC5EB8">
        <w:t>d</w:t>
      </w:r>
      <w:r w:rsidR="0048495A">
        <w:t>es</w:t>
      </w:r>
      <w:r w:rsidR="00CC5EB8">
        <w:t xml:space="preserve"> risque</w:t>
      </w:r>
      <w:r w:rsidR="0048495A">
        <w:t>s</w:t>
      </w:r>
      <w:r w:rsidR="00463A1C" w:rsidRPr="007F2900">
        <w:t xml:space="preserve"> de liquidité</w:t>
      </w:r>
      <w:bookmarkEnd w:id="215"/>
      <w:bookmarkEnd w:id="216"/>
      <w:r w:rsidR="00BA07CA">
        <w:t> :</w:t>
      </w:r>
    </w:p>
    <w:p w:rsidR="00DA2593" w:rsidRDefault="00BA07CA">
      <w:pPr>
        <w:pStyle w:val="SGACP-enumerationniveau1"/>
        <w:keepNext/>
        <w:ind w:left="284" w:hanging="284"/>
        <w:rPr>
          <w:i/>
          <w:iCs/>
        </w:rPr>
      </w:pPr>
      <w:r>
        <w:t>p</w:t>
      </w:r>
      <w:r w:rsidR="00463A1C" w:rsidRPr="007F2900">
        <w:t>résentation de l</w:t>
      </w:r>
      <w:r w:rsidR="001224E7">
        <w:t>’</w:t>
      </w:r>
      <w:r w:rsidR="00463A1C" w:rsidRPr="007F2900">
        <w:t xml:space="preserve">environnement de contrôle de la gestion </w:t>
      </w:r>
      <w:r w:rsidR="00CC5EB8">
        <w:t>d</w:t>
      </w:r>
      <w:r w:rsidR="0048495A">
        <w:t>es</w:t>
      </w:r>
      <w:r w:rsidR="00CC5EB8">
        <w:t xml:space="preserve"> risque</w:t>
      </w:r>
      <w:r w:rsidR="0048495A">
        <w:t>s</w:t>
      </w:r>
      <w:r w:rsidR="00463A1C" w:rsidRPr="007F2900">
        <w:t xml:space="preserve"> de liquidité </w:t>
      </w:r>
      <w:r w:rsidR="00463A1C" w:rsidRPr="0033036E">
        <w:rPr>
          <w:i/>
          <w:iCs/>
        </w:rPr>
        <w:t>(préciser le rôle du contrôle permanent)</w:t>
      </w:r>
      <w:r>
        <w:rPr>
          <w:i/>
          <w:iCs/>
        </w:rPr>
        <w:t>.</w:t>
      </w:r>
    </w:p>
    <w:p w:rsidR="0033036E" w:rsidRDefault="0033036E" w:rsidP="00463A1C">
      <w:bookmarkStart w:id="217" w:name="_Toc266799842"/>
    </w:p>
    <w:p w:rsidR="00463A1C" w:rsidRPr="007F2900" w:rsidRDefault="008F3AF1" w:rsidP="00BA07CA">
      <w:pPr>
        <w:pStyle w:val="SGACP-sous-titrederubriquenivaeu2"/>
        <w:keepNext/>
        <w:keepLines/>
      </w:pPr>
      <w:bookmarkStart w:id="218" w:name="_Toc266799844"/>
      <w:bookmarkEnd w:id="217"/>
      <w:r>
        <w:t>16</w:t>
      </w:r>
      <w:r w:rsidR="00703C4B">
        <w:t>.</w:t>
      </w:r>
      <w:r w:rsidR="00FE55AB">
        <w:t>5</w:t>
      </w:r>
      <w:r w:rsidR="00703C4B">
        <w:t>.</w:t>
      </w:r>
      <w:r w:rsidR="00703C4B">
        <w:tab/>
      </w:r>
      <w:r w:rsidR="00463A1C" w:rsidRPr="007F2900">
        <w:t xml:space="preserve">Résultats des contrôles permanents </w:t>
      </w:r>
      <w:r w:rsidR="002B7399">
        <w:t>de 2</w:t>
      </w:r>
      <w:r w:rsidR="002B7399" w:rsidRPr="002B7399">
        <w:rPr>
          <w:vertAlign w:val="superscript"/>
        </w:rPr>
        <w:t>ème</w:t>
      </w:r>
      <w:r w:rsidR="002B7399">
        <w:t xml:space="preserve"> niveau</w:t>
      </w:r>
      <w:r w:rsidR="002B7399" w:rsidRPr="007F2900">
        <w:t xml:space="preserve"> </w:t>
      </w:r>
      <w:r w:rsidR="00463A1C" w:rsidRPr="007F2900">
        <w:t>menés en matière de risque</w:t>
      </w:r>
      <w:r w:rsidR="00603E9D">
        <w:t>s</w:t>
      </w:r>
      <w:r w:rsidR="00463A1C" w:rsidRPr="007F2900">
        <w:t xml:space="preserve"> de liquidité</w:t>
      </w:r>
      <w:bookmarkEnd w:id="218"/>
      <w:r w:rsidR="00BA07CA">
        <w:t> :</w:t>
      </w:r>
    </w:p>
    <w:p w:rsidR="00331B88" w:rsidRDefault="00BA07CA" w:rsidP="006D1AEB">
      <w:pPr>
        <w:pStyle w:val="SGACP-enumerationniveau1"/>
        <w:ind w:left="284" w:hanging="284"/>
      </w:pPr>
      <w:r>
        <w:t>p</w:t>
      </w:r>
      <w:r w:rsidR="00463A1C" w:rsidRPr="007F2900">
        <w:t>rincipales insuffisances relevées</w:t>
      </w:r>
      <w:r>
        <w:t> ;</w:t>
      </w:r>
    </w:p>
    <w:p w:rsidR="00331B88" w:rsidRDefault="00BA07CA" w:rsidP="006D1AEB">
      <w:pPr>
        <w:pStyle w:val="SGACP-enumerationniveau1"/>
        <w:ind w:left="284" w:hanging="284"/>
      </w:pPr>
      <w:r>
        <w:t>m</w:t>
      </w:r>
      <w:r w:rsidR="00463A1C" w:rsidRPr="007F2900">
        <w:t>esures correctives engagées pour remédier aux insuffisances relevées</w:t>
      </w:r>
      <w:r w:rsidR="00463A1C" w:rsidRPr="000E2922">
        <w:t>, date de réalisation prévisionnelle de ces mesures et état d</w:t>
      </w:r>
      <w:r w:rsidR="001224E7">
        <w:t>’</w:t>
      </w:r>
      <w:r w:rsidR="00463A1C" w:rsidRPr="000E2922">
        <w:t>avancement de leur mise en œuvre à la date de rédaction du présent rapport</w:t>
      </w:r>
      <w:r w:rsidRPr="000E2922">
        <w:t> ;</w:t>
      </w:r>
    </w:p>
    <w:p w:rsidR="00331B88" w:rsidRDefault="00BA07CA" w:rsidP="006D1AEB">
      <w:pPr>
        <w:pStyle w:val="SGACP-enumerationniveau1"/>
        <w:ind w:left="284" w:hanging="284"/>
      </w:pPr>
      <w:r>
        <w:t>m</w:t>
      </w:r>
      <w:r w:rsidR="00463A1C" w:rsidRPr="007F2900">
        <w:t xml:space="preserve">odalités de suivi des recommandations résultant des contrôles permanents </w:t>
      </w:r>
      <w:r w:rsidR="00463A1C" w:rsidRPr="00703C4B">
        <w:rPr>
          <w:i/>
          <w:iCs/>
        </w:rPr>
        <w:t>(outils, personnes en charge)</w:t>
      </w:r>
      <w:r>
        <w:rPr>
          <w:i/>
          <w:iCs/>
        </w:rPr>
        <w:t> </w:t>
      </w:r>
      <w:r w:rsidRPr="00935917">
        <w:rPr>
          <w:iCs/>
        </w:rPr>
        <w:t>;</w:t>
      </w:r>
    </w:p>
    <w:p w:rsidR="00331B88" w:rsidRDefault="00BA07CA" w:rsidP="006D1AEB">
      <w:pPr>
        <w:pStyle w:val="SGACP-enumerationniveau1"/>
        <w:ind w:left="284" w:hanging="284"/>
      </w:pPr>
      <w:r>
        <w:t>m</w:t>
      </w:r>
      <w:r w:rsidR="00463A1C" w:rsidRPr="007F2900">
        <w:t>odalités de vérification de l</w:t>
      </w:r>
      <w:r w:rsidR="001224E7">
        <w:t>’</w:t>
      </w:r>
      <w:r w:rsidR="00463A1C" w:rsidRPr="007F2900">
        <w:t>exécution dans des délais raisonnables des mesures correctrices décidées au sein des entreprises</w:t>
      </w:r>
      <w:r w:rsidR="006F29AA">
        <w:t xml:space="preserve"> assujetti</w:t>
      </w:r>
      <w:r w:rsidR="00DF5746">
        <w:t>e</w:t>
      </w:r>
      <w:r w:rsidR="006F29AA">
        <w:t>s</w:t>
      </w:r>
      <w:r w:rsidR="00463A1C" w:rsidRPr="007F2900">
        <w:t xml:space="preserve">, par les personnes </w:t>
      </w:r>
      <w:r w:rsidR="00463A1C" w:rsidRPr="002906E2">
        <w:t xml:space="preserve">compétentes </w:t>
      </w:r>
      <w:r w:rsidR="00463A1C" w:rsidRPr="001D505C">
        <w:rPr>
          <w:iCs/>
        </w:rPr>
        <w:t>(cf. articles</w:t>
      </w:r>
      <w:r w:rsidR="002906E2">
        <w:rPr>
          <w:iCs/>
        </w:rPr>
        <w:t xml:space="preserve"> </w:t>
      </w:r>
      <w:r w:rsidR="006F29AA" w:rsidRPr="001D505C">
        <w:rPr>
          <w:iCs/>
        </w:rPr>
        <w:t>11</w:t>
      </w:r>
      <w:r w:rsidR="00C734FE" w:rsidRPr="001D505C">
        <w:rPr>
          <w:iCs/>
        </w:rPr>
        <w:t xml:space="preserve"> </w:t>
      </w:r>
      <w:r w:rsidR="00463A1C" w:rsidRPr="001D505C">
        <w:rPr>
          <w:iCs/>
        </w:rPr>
        <w:t xml:space="preserve">f) et </w:t>
      </w:r>
      <w:r w:rsidR="006F29AA" w:rsidRPr="001D505C">
        <w:rPr>
          <w:iCs/>
        </w:rPr>
        <w:t>26</w:t>
      </w:r>
      <w:r w:rsidR="000271A0" w:rsidRPr="001D505C">
        <w:rPr>
          <w:iCs/>
        </w:rPr>
        <w:t> </w:t>
      </w:r>
      <w:r w:rsidR="00463A1C" w:rsidRPr="001D505C">
        <w:rPr>
          <w:iCs/>
        </w:rPr>
        <w:t>a) d</w:t>
      </w:r>
      <w:r w:rsidR="006F29AA" w:rsidRPr="001D505C">
        <w:rPr>
          <w:iCs/>
        </w:rPr>
        <w:t>e l’arrêté du 3 novembre 2014</w:t>
      </w:r>
      <w:r w:rsidR="00154A06">
        <w:rPr>
          <w:iCs/>
        </w:rPr>
        <w:t xml:space="preserve"> modifié</w:t>
      </w:r>
      <w:r w:rsidR="00463A1C" w:rsidRPr="001D505C">
        <w:rPr>
          <w:iCs/>
        </w:rPr>
        <w:t>)</w:t>
      </w:r>
      <w:r w:rsidRPr="002906E2">
        <w:t>.</w:t>
      </w:r>
    </w:p>
    <w:p w:rsidR="00703C4B" w:rsidRDefault="00703C4B" w:rsidP="00463A1C">
      <w:bookmarkStart w:id="219" w:name="_Toc244576479"/>
      <w:bookmarkStart w:id="220" w:name="_Toc266799845"/>
    </w:p>
    <w:p w:rsidR="00463A1C" w:rsidRDefault="008F3AF1" w:rsidP="00703C4B">
      <w:pPr>
        <w:pStyle w:val="SGACP-sous-titrederubriquenivaeu2"/>
      </w:pPr>
      <w:r>
        <w:t>16</w:t>
      </w:r>
      <w:r w:rsidR="00703C4B">
        <w:t>.</w:t>
      </w:r>
      <w:r w:rsidR="00FE55AB">
        <w:t>6</w:t>
      </w:r>
      <w:r w:rsidR="00703C4B">
        <w:t>.</w:t>
      </w:r>
      <w:r w:rsidR="00703C4B">
        <w:tab/>
      </w:r>
      <w:r w:rsidR="00463A1C" w:rsidRPr="007F2900">
        <w:t>Conclusion synthétique sur l</w:t>
      </w:r>
      <w:r w:rsidR="001224E7">
        <w:t>’</w:t>
      </w:r>
      <w:r w:rsidR="00463A1C" w:rsidRPr="007F2900">
        <w:t>exposition au</w:t>
      </w:r>
      <w:r w:rsidR="0048495A">
        <w:t>x</w:t>
      </w:r>
      <w:r w:rsidR="00463A1C" w:rsidRPr="007F2900">
        <w:t xml:space="preserve"> risque</w:t>
      </w:r>
      <w:r w:rsidR="0048495A">
        <w:t>s</w:t>
      </w:r>
      <w:r w:rsidR="00463A1C" w:rsidRPr="007F2900">
        <w:t xml:space="preserve"> de liquidité</w:t>
      </w:r>
      <w:bookmarkEnd w:id="219"/>
      <w:bookmarkEnd w:id="220"/>
    </w:p>
    <w:p w:rsidR="00703C4B" w:rsidRDefault="00703C4B" w:rsidP="00463A1C">
      <w:bookmarkStart w:id="221" w:name="_Toc244692481"/>
      <w:bookmarkStart w:id="222" w:name="_Toc244692550"/>
      <w:bookmarkStart w:id="223" w:name="_Toc244938470"/>
      <w:bookmarkStart w:id="224" w:name="_Toc244938703"/>
      <w:bookmarkStart w:id="225" w:name="_Toc266799846"/>
      <w:bookmarkStart w:id="226" w:name="_Toc266799869"/>
    </w:p>
    <w:p w:rsidR="0091502A" w:rsidRPr="00DD69B2" w:rsidRDefault="00BC60B3" w:rsidP="0091502A">
      <w:pPr>
        <w:pStyle w:val="SGACP-enumerationniveau1"/>
        <w:ind w:left="284" w:hanging="284"/>
      </w:pPr>
      <w:r>
        <w:t>l</w:t>
      </w:r>
      <w:r w:rsidR="0091502A" w:rsidRPr="00DD69B2">
        <w:t>es établissements soumis à CRR et ne se trouvant pas sous la supervision directe de la BCE,</w:t>
      </w:r>
      <w:r w:rsidR="0091502A">
        <w:t xml:space="preserve"> doivent formaliser et remettre </w:t>
      </w:r>
      <w:r w:rsidR="0091502A" w:rsidRPr="00DD69B2">
        <w:t>les conclusions des</w:t>
      </w:r>
      <w:r w:rsidR="0091502A">
        <w:t xml:space="preserve"> évaluations de l’adéquation de la liquidité </w:t>
      </w:r>
      <w:r w:rsidR="0091502A" w:rsidRPr="00DD69B2">
        <w:t>interne ainsi que leur incidence sur la gestion du risque et sur la ges</w:t>
      </w:r>
      <w:r w:rsidR="0091502A">
        <w:t>tion globale de l’établissement.</w:t>
      </w:r>
    </w:p>
    <w:p w:rsidR="00703C4B" w:rsidRDefault="00703C4B" w:rsidP="007461CE"/>
    <w:p w:rsidR="00924745" w:rsidRDefault="00924745" w:rsidP="007461CE"/>
    <w:p w:rsidR="0066143C" w:rsidRDefault="0066143C" w:rsidP="007461CE">
      <w:pPr>
        <w:pStyle w:val="StyleSGACP-titrederubriqueniveau1CouleurpersonnaliseRVB"/>
        <w:keepNext/>
        <w:keepLines/>
        <w:ind w:left="426" w:hanging="426"/>
        <w:jc w:val="both"/>
        <w:rPr>
          <w:bCs w:val="0"/>
        </w:rPr>
      </w:pPr>
      <w:bookmarkStart w:id="227" w:name="_Toc137799889"/>
      <w:r>
        <w:rPr>
          <w:bCs w:val="0"/>
        </w:rPr>
        <w:t>Risque de levier excessif</w:t>
      </w:r>
      <w:bookmarkEnd w:id="227"/>
      <w:r>
        <w:rPr>
          <w:bCs w:val="0"/>
        </w:rPr>
        <w:t xml:space="preserve"> </w:t>
      </w:r>
    </w:p>
    <w:p w:rsidR="0066143C" w:rsidRDefault="0066143C" w:rsidP="00460E3D"/>
    <w:p w:rsidR="005D5B71" w:rsidRPr="003A6487" w:rsidRDefault="005D5B71" w:rsidP="00460E3D">
      <w:pPr>
        <w:rPr>
          <w:bCs/>
          <w:sz w:val="22"/>
          <w:szCs w:val="22"/>
        </w:rPr>
      </w:pPr>
      <w:r>
        <w:rPr>
          <w:sz w:val="22"/>
          <w:szCs w:val="22"/>
        </w:rPr>
        <w:t xml:space="preserve">Cette partie ne s’applique </w:t>
      </w:r>
      <w:r w:rsidRPr="003A6487">
        <w:rPr>
          <w:sz w:val="22"/>
          <w:szCs w:val="22"/>
        </w:rPr>
        <w:t>pas aux sociétés de financement (cf. article 213 de l’arrêté du 3 novembre 2014</w:t>
      </w:r>
      <w:r w:rsidR="00A721C6">
        <w:rPr>
          <w:sz w:val="22"/>
          <w:szCs w:val="22"/>
        </w:rPr>
        <w:t xml:space="preserve"> modifié</w:t>
      </w:r>
      <w:r w:rsidRPr="003A6487">
        <w:rPr>
          <w:sz w:val="22"/>
          <w:szCs w:val="22"/>
        </w:rPr>
        <w:t xml:space="preserve">). </w:t>
      </w:r>
    </w:p>
    <w:p w:rsidR="008276E1" w:rsidRPr="003A6487" w:rsidRDefault="009B3ECA" w:rsidP="001D505C">
      <w:pPr>
        <w:pStyle w:val="SGACP-enumerationniveau1"/>
        <w:ind w:left="284" w:hanging="284"/>
      </w:pPr>
      <w:r w:rsidRPr="003A6487">
        <w:lastRenderedPageBreak/>
        <w:t>d</w:t>
      </w:r>
      <w:r w:rsidR="008276E1" w:rsidRPr="003A6487">
        <w:t>escription des politiques</w:t>
      </w:r>
      <w:r w:rsidR="0016549D" w:rsidRPr="003A6487">
        <w:t>,</w:t>
      </w:r>
      <w:r w:rsidR="00166E08" w:rsidRPr="003A6487">
        <w:t xml:space="preserve"> </w:t>
      </w:r>
      <w:r w:rsidR="008276E1" w:rsidRPr="003A6487">
        <w:t>processus</w:t>
      </w:r>
      <w:r w:rsidR="0016549D" w:rsidRPr="003A6487">
        <w:t xml:space="preserve"> et indicateurs (incluant le ratio de levier et les asymétries entre actifs et obligations)</w:t>
      </w:r>
      <w:r w:rsidR="008276E1" w:rsidRPr="003A6487">
        <w:t xml:space="preserve"> utilisés pour détecter, gérer et suivre le risque de levier excessif de façon prudente (</w:t>
      </w:r>
      <w:r w:rsidR="002906E2" w:rsidRPr="003A6487">
        <w:t xml:space="preserve">cf. </w:t>
      </w:r>
      <w:r w:rsidR="008276E1" w:rsidRPr="003A6487">
        <w:t>article 211 de l’arrêté du 3 novembre 2014</w:t>
      </w:r>
      <w:r w:rsidR="00A721C6">
        <w:t xml:space="preserve"> modifié</w:t>
      </w:r>
      <w:r w:rsidR="008276E1" w:rsidRPr="003A6487">
        <w:t>)</w:t>
      </w:r>
      <w:r w:rsidR="008B7082" w:rsidRPr="003A6487">
        <w:t> ;</w:t>
      </w:r>
    </w:p>
    <w:p w:rsidR="003A6487" w:rsidRPr="003A6487" w:rsidRDefault="003A6487" w:rsidP="001D505C">
      <w:pPr>
        <w:pStyle w:val="SGACP-enumerationniveau1"/>
        <w:ind w:left="284" w:hanging="284"/>
      </w:pPr>
      <w:r w:rsidRPr="003A6487">
        <w:t>cible de ratio de levier fixée par l’établissement ;</w:t>
      </w:r>
    </w:p>
    <w:p w:rsidR="008276E1" w:rsidRPr="003A6487" w:rsidRDefault="009B3ECA" w:rsidP="001D505C">
      <w:pPr>
        <w:pStyle w:val="SGACP-enumerationniveau1"/>
        <w:ind w:left="284" w:hanging="284"/>
      </w:pPr>
      <w:r w:rsidRPr="00210431">
        <w:rPr>
          <w:i/>
        </w:rPr>
        <w:t>s</w:t>
      </w:r>
      <w:r w:rsidR="008276E1" w:rsidRPr="00210431">
        <w:rPr>
          <w:i/>
        </w:rPr>
        <w:t>tress scenarii</w:t>
      </w:r>
      <w:r w:rsidR="008276E1" w:rsidRPr="003A6487">
        <w:t xml:space="preserve"> utilisés pour évaluer la résistance de l’établissement</w:t>
      </w:r>
      <w:r w:rsidR="008B7082" w:rsidRPr="003A6487">
        <w:t> </w:t>
      </w:r>
      <w:r w:rsidR="003A6487" w:rsidRPr="003A6487">
        <w:t xml:space="preserve">en cas de diminution de ses fonds propres en raison de pertes attendues ou réalisées </w:t>
      </w:r>
      <w:r w:rsidR="005D5B71" w:rsidRPr="003A6487">
        <w:t>(cf. article 212 de l’arrêté du 3 novembre 2014</w:t>
      </w:r>
      <w:r w:rsidR="00192F7C">
        <w:t xml:space="preserve"> modifié</w:t>
      </w:r>
      <w:r w:rsidR="005D5B71" w:rsidRPr="003A6487">
        <w:t>)</w:t>
      </w:r>
      <w:r w:rsidR="003A6487" w:rsidRPr="003A6487">
        <w:t>, incluant des plans de renforcement des fonds propres en situation de crise</w:t>
      </w:r>
      <w:r w:rsidR="00EB38C6" w:rsidRPr="003A6487">
        <w:t>.</w:t>
      </w:r>
    </w:p>
    <w:p w:rsidR="0066143C" w:rsidRPr="001D505C" w:rsidRDefault="0066143C" w:rsidP="00460E3D"/>
    <w:p w:rsidR="0066143C" w:rsidRPr="0066143C" w:rsidRDefault="0066143C" w:rsidP="00460E3D"/>
    <w:p w:rsidR="008C04C9" w:rsidRPr="00E40A8F" w:rsidRDefault="008C04C9" w:rsidP="008C04C9">
      <w:pPr>
        <w:pStyle w:val="StyleSGACP-titrederubriqueniveau1CouleurpersonnaliseRVB"/>
        <w:keepNext/>
        <w:keepLines/>
        <w:ind w:left="426" w:hanging="426"/>
        <w:jc w:val="both"/>
        <w:rPr>
          <w:bCs w:val="0"/>
        </w:rPr>
      </w:pPr>
      <w:bookmarkStart w:id="228" w:name="_Toc454203005"/>
      <w:bookmarkStart w:id="229" w:name="_Toc454203006"/>
      <w:bookmarkStart w:id="230" w:name="_Toc454203007"/>
      <w:bookmarkStart w:id="231" w:name="_Toc137799890"/>
      <w:bookmarkEnd w:id="228"/>
      <w:bookmarkEnd w:id="229"/>
      <w:bookmarkEnd w:id="230"/>
      <w:r w:rsidRPr="005B2FBD">
        <w:t xml:space="preserve">Dispositif de contrôle interne des dispositions relatives </w:t>
      </w:r>
      <w:r>
        <w:t xml:space="preserve">à la protection </w:t>
      </w:r>
      <w:r w:rsidRPr="005B2FBD">
        <w:t xml:space="preserve"> </w:t>
      </w:r>
      <w:r>
        <w:br/>
      </w:r>
      <w:r w:rsidRPr="005B2FBD">
        <w:t>des fonds de la clientèle des</w:t>
      </w:r>
      <w:r>
        <w:t xml:space="preserve"> entreprises </w:t>
      </w:r>
      <w:r w:rsidRPr="005B2FBD">
        <w:t>d</w:t>
      </w:r>
      <w:r>
        <w:t>’</w:t>
      </w:r>
      <w:r w:rsidRPr="005B2FBD">
        <w:t>investissement</w:t>
      </w:r>
      <w:bookmarkEnd w:id="231"/>
    </w:p>
    <w:p w:rsidR="0024125E" w:rsidRPr="00935917" w:rsidRDefault="0024125E" w:rsidP="00460E3D"/>
    <w:bookmarkEnd w:id="221"/>
    <w:bookmarkEnd w:id="222"/>
    <w:bookmarkEnd w:id="223"/>
    <w:bookmarkEnd w:id="224"/>
    <w:bookmarkEnd w:id="225"/>
    <w:bookmarkEnd w:id="226"/>
    <w:p w:rsidR="00EC1AA9" w:rsidRDefault="00EC1AA9" w:rsidP="00997F0E">
      <w:pPr>
        <w:pStyle w:val="SGACP-enumerationniveau1"/>
        <w:spacing w:before="0"/>
        <w:ind w:left="284" w:hanging="284"/>
      </w:pPr>
      <w:r>
        <w:t>mode d’organisation de la gestion des comptes espèces de la clientèle et articulation (permettant de retracer de manière chronologique les différents flux) avec l’exécution des services d’investissement ou de compensation</w:t>
      </w:r>
      <w:r w:rsidR="008B49EC">
        <w:t> ;</w:t>
      </w:r>
    </w:p>
    <w:p w:rsidR="00331B88" w:rsidRPr="008B49EC" w:rsidRDefault="008B49EC" w:rsidP="00460E3D">
      <w:pPr>
        <w:pStyle w:val="SGACP-enumerationniveau1"/>
        <w:ind w:left="284" w:hanging="284"/>
      </w:pPr>
      <w:r w:rsidRPr="008B49EC">
        <w:t xml:space="preserve">présentation de la méthode mise en œuvre pour assurer la protection des fonds reçus de la clientèle </w:t>
      </w:r>
      <w:r w:rsidR="00F859E5">
        <w:t>conformément à la règlementation en vigueur (i.e. l’arrêté</w:t>
      </w:r>
      <w:r w:rsidR="00F859E5">
        <w:rPr>
          <w:color w:val="1F497D"/>
        </w:rPr>
        <w:t xml:space="preserve"> </w:t>
      </w:r>
      <w:r w:rsidR="00F859E5" w:rsidRPr="00A85C3C">
        <w:t>du 6 septembre 2017 relatif au cantonnement des fonds de la clientèle des entreprises d’investissement)</w:t>
      </w:r>
      <w:r w:rsidR="00F859E5">
        <w:rPr>
          <w:color w:val="1F497D"/>
        </w:rPr>
        <w:t xml:space="preserve"> </w:t>
      </w:r>
      <w:r w:rsidRPr="008B49EC">
        <w:t xml:space="preserve">et </w:t>
      </w:r>
      <w:r w:rsidR="00BA07CA">
        <w:t>d</w:t>
      </w:r>
      <w:r w:rsidR="00463A1C" w:rsidRPr="007F2900">
        <w:t>escription de l</w:t>
      </w:r>
      <w:r w:rsidR="001224E7">
        <w:t>’</w:t>
      </w:r>
      <w:r w:rsidR="00463A1C" w:rsidRPr="007F2900">
        <w:t>outil de calcul du montant des fonds</w:t>
      </w:r>
      <w:r>
        <w:t xml:space="preserve"> reçus</w:t>
      </w:r>
      <w:r w:rsidR="00463A1C" w:rsidRPr="007F2900">
        <w:t xml:space="preserve"> des clients</w:t>
      </w:r>
      <w:r>
        <w:t xml:space="preserve"> et à cantonner</w:t>
      </w:r>
      <w:r w:rsidR="00F859E5">
        <w:rPr>
          <w:i/>
          <w:iCs/>
        </w:rPr>
        <w:t> </w:t>
      </w:r>
      <w:r w:rsidR="00BA07CA">
        <w:rPr>
          <w:i/>
          <w:iCs/>
        </w:rPr>
        <w:t> </w:t>
      </w:r>
      <w:r w:rsidR="00BA07CA" w:rsidRPr="00935917">
        <w:rPr>
          <w:iCs/>
        </w:rPr>
        <w:t>;</w:t>
      </w:r>
    </w:p>
    <w:p w:rsidR="008B49EC" w:rsidRDefault="008B49EC" w:rsidP="008B49EC">
      <w:pPr>
        <w:pStyle w:val="SGACP-enumerationniveau1"/>
        <w:ind w:left="284" w:hanging="284"/>
      </w:pPr>
      <w:r>
        <w:t>pour les établissements assurant la protection des fonds reçus en les plaçant dans un ou plusieurs comptes ouverts spécialement à cet effet auprès d’un établissement de crédit :</w:t>
      </w:r>
      <w:r w:rsidR="003446DF">
        <w:t xml:space="preserve"> </w:t>
      </w:r>
      <w:r>
        <w:t xml:space="preserve">communication </w:t>
      </w:r>
      <w:r w:rsidR="00F859E5">
        <w:t xml:space="preserve">de la (des) convention(s) de compte(s) de cantonnement ou </w:t>
      </w:r>
      <w:r>
        <w:t>de toute modification apportée à la convention de compte de cantonnement</w:t>
      </w:r>
      <w:r w:rsidR="00F859E5" w:rsidRPr="00F859E5">
        <w:t xml:space="preserve"> </w:t>
      </w:r>
      <w:r w:rsidR="00F859E5">
        <w:t>précédemment transmise</w:t>
      </w:r>
      <w:r>
        <w:t>, description des procédures prévues pour assurer le placement des fonds ;</w:t>
      </w:r>
    </w:p>
    <w:p w:rsidR="00F859E5" w:rsidRDefault="008B49EC" w:rsidP="008B49EC">
      <w:pPr>
        <w:pStyle w:val="SGACP-enumerationniveau1"/>
        <w:ind w:left="284" w:hanging="284"/>
      </w:pPr>
      <w:r>
        <w:t xml:space="preserve">pour les établissements assurant la protection des fonds reçus au moyen d’une garantie : communication de toute modification apportée au contrat de garantie ou de cautionnement et de tout élément relatif à l’actualisation du montant de la couverture constituée en lien avec l’évolution du volume d’activité ; </w:t>
      </w:r>
    </w:p>
    <w:p w:rsidR="008B49EC" w:rsidRDefault="00F859E5" w:rsidP="00F859E5">
      <w:pPr>
        <w:pStyle w:val="SGACP-enumerationniveau1"/>
        <w:ind w:left="284" w:hanging="284"/>
      </w:pPr>
      <w:r w:rsidRPr="00F859E5">
        <w:t>pour les établissements assurant la protection des fonds reçus auprès d'un établissement de crédit, d'une banque ou d'un fonds du marché monétaire qualifié appartenant au même groupe qu'eux : communication du montant déposé auprès d'une ou de plusieurs entités du groupe par rapport au montant total des fonds des clients à cantonner, justification de la proportion des fonds cantonnés au sein du groupe</w:t>
      </w:r>
      <w:r>
        <w:t> ;</w:t>
      </w:r>
      <w:r w:rsidRPr="00F859E5">
        <w:t xml:space="preserve">  </w:t>
      </w:r>
    </w:p>
    <w:p w:rsidR="008B49EC" w:rsidRDefault="008B49EC" w:rsidP="008B49EC">
      <w:pPr>
        <w:pStyle w:val="SGACP-enumerationniveau1"/>
        <w:ind w:left="284" w:hanging="284"/>
      </w:pPr>
      <w:r>
        <w:t>présentation des procédures mise</w:t>
      </w:r>
      <w:r w:rsidR="00CD7490">
        <w:t>s</w:t>
      </w:r>
      <w:r>
        <w:t xml:space="preserve"> en place pour veiller au respect des dispositions relatives </w:t>
      </w:r>
      <w:r w:rsidR="00910362">
        <w:t>à la protection</w:t>
      </w:r>
      <w:r>
        <w:t xml:space="preserve"> des fonds de la clientèle des entreprises, des vérifications associées et présentation des éventuels incidents ou insuffisances mis en évidence par ces vérifications ;</w:t>
      </w:r>
    </w:p>
    <w:p w:rsidR="00F859E5" w:rsidRDefault="00F859E5" w:rsidP="00990316">
      <w:pPr>
        <w:pStyle w:val="SGACP-enumerationniveau1"/>
        <w:ind w:left="284" w:hanging="284"/>
      </w:pPr>
      <w:r>
        <w:t xml:space="preserve">communication du responsable unique, </w:t>
      </w:r>
      <w:r w:rsidRPr="00504C54">
        <w:t>disposant des compétences et de l'autorité nécessaires, spécialement chargé des questions relatives au respect par l'entreprise de ses obligations concernant la sauvegarde des instruments financiers et des fonds des clients</w:t>
      </w:r>
      <w:r>
        <w:t>, conformément à l’article 9 de l’arrêté du septembre 2017 relatif</w:t>
      </w:r>
      <w:r w:rsidR="00990316">
        <w:t xml:space="preserve"> au cantonnement des fonds de l</w:t>
      </w:r>
      <w:r>
        <w:t>a clientèle des entreprises d’investissement ;</w:t>
      </w:r>
    </w:p>
    <w:p w:rsidR="00110755" w:rsidRDefault="00BA07CA" w:rsidP="001D505C">
      <w:pPr>
        <w:pStyle w:val="SGACP-enumerationniveau1"/>
        <w:ind w:left="284" w:hanging="284"/>
      </w:pPr>
      <w:r>
        <w:t>c</w:t>
      </w:r>
      <w:r w:rsidR="00463A1C" w:rsidRPr="007F2900">
        <w:t>ommunication du rapport des commissaires aux comptes sur l</w:t>
      </w:r>
      <w:r w:rsidR="001224E7">
        <w:t>’</w:t>
      </w:r>
      <w:r w:rsidR="00463A1C" w:rsidRPr="007F2900">
        <w:t>adéquation des dispositions mises en place en application des dispositions réglementaires relatives au cantonnement</w:t>
      </w:r>
      <w:r>
        <w:t>.</w:t>
      </w:r>
    </w:p>
    <w:p w:rsidR="00110755" w:rsidRDefault="00110755" w:rsidP="00924745"/>
    <w:p w:rsidR="00110755" w:rsidRDefault="00110755" w:rsidP="00460E3D"/>
    <w:p w:rsidR="00110755" w:rsidRDefault="00110755" w:rsidP="00110755">
      <w:pPr>
        <w:pStyle w:val="StyleSGACP-titrederubriqueniveau1CouleurpersonnaliseRVB"/>
        <w:keepNext/>
        <w:keepLines/>
        <w:ind w:left="426" w:hanging="426"/>
      </w:pPr>
      <w:bookmarkStart w:id="232" w:name="_Toc137799891"/>
      <w:r>
        <w:t>Dispositions de séparation bancaire</w:t>
      </w:r>
      <w:bookmarkEnd w:id="232"/>
      <w:r>
        <w:t xml:space="preserve"> </w:t>
      </w:r>
    </w:p>
    <w:p w:rsidR="00110755" w:rsidRDefault="00110755" w:rsidP="00460E3D"/>
    <w:p w:rsidR="00FB4BD6" w:rsidRDefault="00FB4BD6" w:rsidP="00FD37C4">
      <w:pPr>
        <w:rPr>
          <w:sz w:val="22"/>
          <w:szCs w:val="22"/>
        </w:rPr>
      </w:pPr>
      <w:r w:rsidRPr="0059239D">
        <w:rPr>
          <w:b/>
          <w:i/>
          <w:iCs/>
          <w:color w:val="003B8E"/>
          <w:sz w:val="22"/>
          <w:szCs w:val="22"/>
        </w:rPr>
        <w:t>Nota bene</w:t>
      </w:r>
      <w:r w:rsidRPr="0059239D">
        <w:rPr>
          <w:i/>
          <w:iCs/>
          <w:sz w:val="22"/>
          <w:szCs w:val="22"/>
        </w:rPr>
        <w:t xml:space="preserve"> : </w:t>
      </w:r>
      <w:r w:rsidR="00F16070" w:rsidRPr="00FD37C4">
        <w:rPr>
          <w:rFonts w:eastAsia="Calibri"/>
          <w:sz w:val="22"/>
          <w:szCs w:val="22"/>
          <w:lang w:eastAsia="en-US"/>
        </w:rPr>
        <w:t>Cette partie concerne l’application du titre Ier de la loi de séparation et de régulation bancaire n°2013-672 du 26 juillet 2013</w:t>
      </w:r>
      <w:r w:rsidR="0059239D">
        <w:rPr>
          <w:rFonts w:eastAsia="Calibri"/>
          <w:sz w:val="22"/>
          <w:szCs w:val="22"/>
          <w:lang w:eastAsia="en-US"/>
        </w:rPr>
        <w:t xml:space="preserve"> (Loi SRAB)</w:t>
      </w:r>
      <w:r w:rsidR="00F16070" w:rsidRPr="00FD37C4">
        <w:rPr>
          <w:rFonts w:eastAsia="Calibri"/>
          <w:sz w:val="22"/>
          <w:szCs w:val="22"/>
          <w:lang w:eastAsia="en-US"/>
        </w:rPr>
        <w:t xml:space="preserve">. </w:t>
      </w:r>
      <w:r w:rsidR="0059239D">
        <w:rPr>
          <w:rFonts w:eastAsia="Calibri"/>
          <w:sz w:val="22"/>
          <w:szCs w:val="22"/>
          <w:lang w:eastAsia="en-US"/>
        </w:rPr>
        <w:t>Il est rappelé que l</w:t>
      </w:r>
      <w:r w:rsidRPr="00FD37C4">
        <w:rPr>
          <w:bCs/>
          <w:sz w:val="22"/>
          <w:szCs w:val="22"/>
        </w:rPr>
        <w:t>es mandats des unités internes mentionnés dans la cartographie doivent être transmis au SGACPR</w:t>
      </w:r>
      <w:r w:rsidRPr="00FD37C4">
        <w:rPr>
          <w:sz w:val="22"/>
          <w:szCs w:val="22"/>
        </w:rPr>
        <w:t xml:space="preserve"> en parallèle de la transmission du </w:t>
      </w:r>
      <w:r w:rsidRPr="00FD37C4">
        <w:rPr>
          <w:sz w:val="22"/>
          <w:szCs w:val="22"/>
        </w:rPr>
        <w:lastRenderedPageBreak/>
        <w:t>rapport de contrôle interne</w:t>
      </w:r>
      <w:r w:rsidR="00793249">
        <w:rPr>
          <w:sz w:val="22"/>
          <w:szCs w:val="22"/>
        </w:rPr>
        <w:t>.</w:t>
      </w:r>
      <w:r w:rsidR="006D5418">
        <w:rPr>
          <w:sz w:val="22"/>
          <w:szCs w:val="22"/>
        </w:rPr>
        <w:t xml:space="preserve"> </w:t>
      </w:r>
      <w:r w:rsidR="00EE2088">
        <w:rPr>
          <w:sz w:val="22"/>
          <w:szCs w:val="22"/>
        </w:rPr>
        <w:t>Cette</w:t>
      </w:r>
      <w:r w:rsidR="006D5418">
        <w:rPr>
          <w:sz w:val="22"/>
          <w:szCs w:val="22"/>
        </w:rPr>
        <w:t xml:space="preserve"> remise, qui peut être effectuée par voie électronique, doit spécifier (i) la liste des unités internes dont l’activité a substantiellement été modifiée depuis la dernière transmission au</w:t>
      </w:r>
      <w:r w:rsidR="00EE2088">
        <w:rPr>
          <w:sz w:val="22"/>
          <w:szCs w:val="22"/>
        </w:rPr>
        <w:t xml:space="preserve"> SGACPR</w:t>
      </w:r>
      <w:r w:rsidR="006D5418">
        <w:rPr>
          <w:sz w:val="22"/>
          <w:szCs w:val="22"/>
        </w:rPr>
        <w:t xml:space="preserve"> (ii) </w:t>
      </w:r>
      <w:r w:rsidR="003E722C">
        <w:rPr>
          <w:sz w:val="22"/>
          <w:szCs w:val="22"/>
        </w:rPr>
        <w:t xml:space="preserve">a minima, </w:t>
      </w:r>
      <w:r w:rsidR="006D5418">
        <w:rPr>
          <w:sz w:val="22"/>
          <w:szCs w:val="22"/>
        </w:rPr>
        <w:t xml:space="preserve">les mandats à jour </w:t>
      </w:r>
      <w:r w:rsidR="00902B3F">
        <w:rPr>
          <w:sz w:val="22"/>
          <w:szCs w:val="22"/>
        </w:rPr>
        <w:t xml:space="preserve">de ces </w:t>
      </w:r>
      <w:r w:rsidR="003E722C">
        <w:rPr>
          <w:sz w:val="22"/>
          <w:szCs w:val="22"/>
        </w:rPr>
        <w:t>mêmes unités internes</w:t>
      </w:r>
      <w:r w:rsidR="006D5418">
        <w:rPr>
          <w:sz w:val="22"/>
          <w:szCs w:val="22"/>
        </w:rPr>
        <w:t>. Il est également possible de transmettre l’intégralité des mandats en mettant en évidence les modifications substantielles depuis la dernière transmission au</w:t>
      </w:r>
      <w:r w:rsidR="00CF4CCE">
        <w:rPr>
          <w:sz w:val="22"/>
          <w:szCs w:val="22"/>
        </w:rPr>
        <w:t xml:space="preserve"> SGACPR</w:t>
      </w:r>
      <w:r w:rsidR="006D5418">
        <w:rPr>
          <w:sz w:val="22"/>
          <w:szCs w:val="22"/>
        </w:rPr>
        <w:t>.</w:t>
      </w:r>
    </w:p>
    <w:p w:rsidR="00DF0CE8" w:rsidRDefault="00DF0CE8" w:rsidP="00FD37C4">
      <w:pPr>
        <w:rPr>
          <w:sz w:val="22"/>
          <w:szCs w:val="22"/>
        </w:rPr>
      </w:pPr>
    </w:p>
    <w:p w:rsidR="00DF0CE8" w:rsidRDefault="008F3AF1" w:rsidP="00DF0CE8">
      <w:pPr>
        <w:pStyle w:val="SGACP-sous-titrederubriquenivaeu2"/>
      </w:pPr>
      <w:r>
        <w:t>19</w:t>
      </w:r>
      <w:r w:rsidR="00DF0CE8">
        <w:t>.1.</w:t>
      </w:r>
      <w:r w:rsidR="00DF0CE8">
        <w:tab/>
        <w:t xml:space="preserve">Cartographie des </w:t>
      </w:r>
      <w:r w:rsidR="0059239D" w:rsidRPr="0059239D">
        <w:t>activités de négociation sur instruments financiers</w:t>
      </w:r>
    </w:p>
    <w:p w:rsidR="00676039" w:rsidRPr="0059239D" w:rsidRDefault="00DF0CE8" w:rsidP="00FD37C4">
      <w:pPr>
        <w:pStyle w:val="SGACP-enumerationniveau1"/>
        <w:ind w:left="284" w:hanging="284"/>
      </w:pPr>
      <w:r>
        <w:rPr>
          <w:szCs w:val="22"/>
        </w:rPr>
        <w:t xml:space="preserve">communication de la </w:t>
      </w:r>
      <w:r w:rsidRPr="00FD37C4">
        <w:rPr>
          <w:szCs w:val="22"/>
        </w:rPr>
        <w:t>c</w:t>
      </w:r>
      <w:r w:rsidR="00676039" w:rsidRPr="00FD37C4">
        <w:t>artographie actualisée des unités internes chargés des opérations sur instruments financiers telle que mentionnée à l’article 1 de l’arrêté du 9 septembre 2014 au niveau du plus petit échelon organisationnel, avec identification des regroupements réalisés. La cartographie devra mentionner a minima les éléments suivants :</w:t>
      </w:r>
    </w:p>
    <w:p w:rsidR="00676039" w:rsidRPr="00FD37C4" w:rsidRDefault="00676039" w:rsidP="00460E3D">
      <w:pPr>
        <w:pStyle w:val="Paragraphedeliste"/>
        <w:numPr>
          <w:ilvl w:val="1"/>
          <w:numId w:val="40"/>
        </w:numPr>
        <w:contextualSpacing w:val="0"/>
        <w:rPr>
          <w:iCs/>
        </w:rPr>
      </w:pPr>
      <w:r w:rsidRPr="00FD37C4">
        <w:rPr>
          <w:iCs/>
        </w:rPr>
        <w:t>le nom littéral du plus petit échelon organisationnel,</w:t>
      </w:r>
    </w:p>
    <w:p w:rsidR="00676039" w:rsidRPr="00FD37C4" w:rsidRDefault="00676039" w:rsidP="00460E3D">
      <w:pPr>
        <w:pStyle w:val="Paragraphedeliste"/>
        <w:numPr>
          <w:ilvl w:val="1"/>
          <w:numId w:val="40"/>
        </w:numPr>
        <w:contextualSpacing w:val="0"/>
        <w:rPr>
          <w:iCs/>
        </w:rPr>
      </w:pPr>
      <w:r w:rsidRPr="00FD37C4">
        <w:rPr>
          <w:iCs/>
        </w:rPr>
        <w:t>une description synthétique des activités menées,</w:t>
      </w:r>
    </w:p>
    <w:p w:rsidR="00676039" w:rsidRPr="00FD37C4" w:rsidRDefault="00676039" w:rsidP="00460E3D">
      <w:pPr>
        <w:pStyle w:val="Paragraphedeliste"/>
        <w:numPr>
          <w:ilvl w:val="1"/>
          <w:numId w:val="40"/>
        </w:numPr>
        <w:contextualSpacing w:val="0"/>
        <w:rPr>
          <w:iCs/>
        </w:rPr>
      </w:pPr>
      <w:r w:rsidRPr="00FD37C4">
        <w:rPr>
          <w:iCs/>
        </w:rPr>
        <w:t xml:space="preserve">la (les) catégorie(s) d’exemption de séparation afférente telle que mentionnée à l’article L.511-47 du Code </w:t>
      </w:r>
      <w:r w:rsidR="00F16070" w:rsidRPr="00FD37C4">
        <w:rPr>
          <w:iCs/>
        </w:rPr>
        <w:t>m</w:t>
      </w:r>
      <w:r w:rsidRPr="00FD37C4">
        <w:rPr>
          <w:iCs/>
        </w:rPr>
        <w:t xml:space="preserve">onétaire et </w:t>
      </w:r>
      <w:r w:rsidR="00F16070" w:rsidRPr="00FD37C4">
        <w:rPr>
          <w:iCs/>
        </w:rPr>
        <w:t>f</w:t>
      </w:r>
      <w:r w:rsidRPr="00FD37C4">
        <w:rPr>
          <w:iCs/>
        </w:rPr>
        <w:t>inancier,</w:t>
      </w:r>
    </w:p>
    <w:p w:rsidR="00676039" w:rsidRPr="00FD37C4" w:rsidRDefault="00676039" w:rsidP="00460E3D">
      <w:pPr>
        <w:pStyle w:val="Paragraphedeliste"/>
        <w:numPr>
          <w:ilvl w:val="1"/>
          <w:numId w:val="40"/>
        </w:numPr>
        <w:contextualSpacing w:val="0"/>
        <w:rPr>
          <w:iCs/>
        </w:rPr>
      </w:pPr>
      <w:r w:rsidRPr="00FD37C4">
        <w:rPr>
          <w:iCs/>
        </w:rPr>
        <w:t>le nombre de traders,</w:t>
      </w:r>
    </w:p>
    <w:p w:rsidR="00676039" w:rsidRPr="00FD37C4" w:rsidRDefault="00676039" w:rsidP="00460E3D">
      <w:pPr>
        <w:pStyle w:val="Paragraphedeliste"/>
        <w:numPr>
          <w:ilvl w:val="1"/>
          <w:numId w:val="40"/>
        </w:numPr>
        <w:contextualSpacing w:val="0"/>
        <w:rPr>
          <w:iCs/>
        </w:rPr>
      </w:pPr>
      <w:r w:rsidRPr="00FD37C4">
        <w:rPr>
          <w:iCs/>
        </w:rPr>
        <w:t>le PNB généré sur l’année,</w:t>
      </w:r>
    </w:p>
    <w:p w:rsidR="00676039" w:rsidRPr="00FD37C4" w:rsidRDefault="00676039" w:rsidP="00460E3D">
      <w:pPr>
        <w:pStyle w:val="Paragraphedeliste"/>
        <w:numPr>
          <w:ilvl w:val="1"/>
          <w:numId w:val="40"/>
        </w:numPr>
        <w:contextualSpacing w:val="0"/>
        <w:rPr>
          <w:iCs/>
        </w:rPr>
      </w:pPr>
      <w:r w:rsidRPr="00FD37C4">
        <w:rPr>
          <w:iCs/>
        </w:rPr>
        <w:t xml:space="preserve">les principales limites de risque (VaR, autres mesures internes), leur consommation </w:t>
      </w:r>
      <w:r w:rsidR="0059239D" w:rsidRPr="0059239D">
        <w:rPr>
          <w:iCs/>
        </w:rPr>
        <w:t>moyenne et maximale sur l’année</w:t>
      </w:r>
      <w:r w:rsidR="00FD37C4">
        <w:rPr>
          <w:iCs/>
        </w:rPr>
        <w:t> ;</w:t>
      </w:r>
    </w:p>
    <w:p w:rsidR="00676039" w:rsidRPr="00FD37C4" w:rsidRDefault="00676039" w:rsidP="00460E3D">
      <w:pPr>
        <w:pStyle w:val="Paragraphedeliste"/>
        <w:numPr>
          <w:ilvl w:val="1"/>
          <w:numId w:val="39"/>
        </w:numPr>
        <w:spacing w:before="120" w:after="120"/>
        <w:ind w:left="284" w:hanging="284"/>
        <w:contextualSpacing w:val="0"/>
        <w:jc w:val="left"/>
        <w:rPr>
          <w:iCs/>
        </w:rPr>
      </w:pPr>
      <w:r w:rsidRPr="00FD37C4">
        <w:rPr>
          <w:iCs/>
        </w:rPr>
        <w:t>description de</w:t>
      </w:r>
      <w:r w:rsidR="0059239D" w:rsidRPr="0059239D">
        <w:rPr>
          <w:iCs/>
        </w:rPr>
        <w:t>s évolutions de la cartographie</w:t>
      </w:r>
      <w:r w:rsidR="0059239D">
        <w:rPr>
          <w:iCs/>
        </w:rPr>
        <w:t> ;</w:t>
      </w:r>
    </w:p>
    <w:p w:rsidR="00676039" w:rsidRPr="00FD37C4" w:rsidRDefault="00676039" w:rsidP="00460E3D">
      <w:pPr>
        <w:pStyle w:val="Paragraphedeliste"/>
        <w:numPr>
          <w:ilvl w:val="1"/>
          <w:numId w:val="39"/>
        </w:numPr>
        <w:ind w:left="284" w:hanging="284"/>
        <w:contextualSpacing w:val="0"/>
        <w:jc w:val="left"/>
        <w:rPr>
          <w:i/>
          <w:iCs/>
        </w:rPr>
      </w:pPr>
      <w:r w:rsidRPr="00FD37C4">
        <w:rPr>
          <w:iCs/>
        </w:rPr>
        <w:t>description des principales nouvelles</w:t>
      </w:r>
      <w:r w:rsidRPr="00FD37C4">
        <w:rPr>
          <w:i/>
          <w:iCs/>
        </w:rPr>
        <w:t xml:space="preserve"> </w:t>
      </w:r>
      <w:r w:rsidRPr="00FD37C4">
        <w:rPr>
          <w:iCs/>
        </w:rPr>
        <w:t>activités et des activités arrêtées.</w:t>
      </w:r>
    </w:p>
    <w:p w:rsidR="0059239D" w:rsidRPr="00FD37C4" w:rsidRDefault="0059239D" w:rsidP="00FD37C4">
      <w:pPr>
        <w:pStyle w:val="Paragraphedeliste"/>
        <w:ind w:left="284"/>
        <w:contextualSpacing w:val="0"/>
        <w:jc w:val="left"/>
        <w:rPr>
          <w:iCs/>
        </w:rPr>
      </w:pPr>
    </w:p>
    <w:p w:rsidR="0059239D" w:rsidRDefault="008F3AF1" w:rsidP="0059239D">
      <w:pPr>
        <w:pStyle w:val="SGACP-sous-titrederubriquenivaeu2"/>
      </w:pPr>
      <w:r>
        <w:t>19</w:t>
      </w:r>
      <w:r w:rsidR="0059239D">
        <w:t>.2.</w:t>
      </w:r>
      <w:r w:rsidR="0059239D">
        <w:tab/>
        <w:t>Indicateurs de suivi</w:t>
      </w:r>
    </w:p>
    <w:p w:rsidR="00110755" w:rsidRDefault="0059239D" w:rsidP="00110755">
      <w:pPr>
        <w:pStyle w:val="SGACP-enumerationniveau1"/>
        <w:ind w:left="284" w:hanging="284"/>
      </w:pPr>
      <w:r>
        <w:t>d</w:t>
      </w:r>
      <w:r w:rsidR="00110755" w:rsidRPr="00FD37C4">
        <w:t>escription des indicateurs mis en place pour</w:t>
      </w:r>
      <w:r w:rsidR="00110755">
        <w:t xml:space="preserve"> permettre le contrôle du respect du titre Ier de la loi n°2013-672 du 26 juillet 2013 de séparation et de régulation bancaire, notamment ceux relatifs aux activités de tenue de marché (</w:t>
      </w:r>
      <w:r w:rsidR="004A6527">
        <w:t xml:space="preserve">cf. </w:t>
      </w:r>
      <w:r w:rsidR="00110755">
        <w:t>article 6 de l’arrêté du 9 septembre 2014 portant application du titre Ier de la loi de séparation bancaire) ;</w:t>
      </w:r>
    </w:p>
    <w:p w:rsidR="00F16070" w:rsidRDefault="0059239D" w:rsidP="00FD37C4">
      <w:pPr>
        <w:pStyle w:val="SGACP-enumerationniveau1"/>
        <w:ind w:left="284" w:hanging="284"/>
      </w:pPr>
      <w:r>
        <w:t>d</w:t>
      </w:r>
      <w:r w:rsidR="00676039" w:rsidRPr="00FD37C4">
        <w:t xml:space="preserve">escription </w:t>
      </w:r>
      <w:r w:rsidR="00316D0F" w:rsidRPr="00FD37C4">
        <w:t xml:space="preserve">synthétique des </w:t>
      </w:r>
      <w:r w:rsidR="00110755" w:rsidRPr="00FD37C4">
        <w:t xml:space="preserve">résultats des indicateurs mis </w:t>
      </w:r>
      <w:r w:rsidR="009A6F5A" w:rsidRPr="00FD37C4">
        <w:t xml:space="preserve">en place </w:t>
      </w:r>
      <w:r w:rsidR="00F16070" w:rsidRPr="00FD37C4">
        <w:t>et des analyses réalisées</w:t>
      </w:r>
      <w:r w:rsidR="00F16070" w:rsidRPr="00F16070">
        <w:t xml:space="preserve"> sur l’année écoulée (avec identification des desks atypiques)</w:t>
      </w:r>
      <w:r w:rsidR="00FD37C4">
        <w:t>.</w:t>
      </w:r>
    </w:p>
    <w:p w:rsidR="00FD37C4" w:rsidRDefault="00FD37C4" w:rsidP="00FD37C4">
      <w:pPr>
        <w:pStyle w:val="SGACP-enumerationniveau1"/>
        <w:numPr>
          <w:ilvl w:val="0"/>
          <w:numId w:val="0"/>
        </w:numPr>
        <w:spacing w:before="0"/>
        <w:ind w:left="284"/>
      </w:pPr>
    </w:p>
    <w:p w:rsidR="00934639" w:rsidRPr="0059239D" w:rsidRDefault="008F3AF1" w:rsidP="00FD37C4">
      <w:pPr>
        <w:pStyle w:val="SGACP-sous-titrederubriquenivaeu2"/>
      </w:pPr>
      <w:r>
        <w:t>19</w:t>
      </w:r>
      <w:r w:rsidR="0059239D">
        <w:t xml:space="preserve">.3. </w:t>
      </w:r>
      <w:r w:rsidR="00934639" w:rsidRPr="00FD37C4">
        <w:t>Bilan des activités avec les fonds à effet de levier au sens de la loi SRAB :</w:t>
      </w:r>
      <w:r w:rsidR="00934639" w:rsidRPr="0059239D">
        <w:t xml:space="preserve"> </w:t>
      </w:r>
    </w:p>
    <w:p w:rsidR="00934639" w:rsidRDefault="00FD37C4" w:rsidP="00FD37C4">
      <w:pPr>
        <w:pStyle w:val="SGACP-enumerationniveau1"/>
        <w:ind w:left="284" w:hanging="284"/>
      </w:pPr>
      <w:r>
        <w:t>d</w:t>
      </w:r>
      <w:r w:rsidR="00934639" w:rsidRPr="00FD37C4">
        <w:t>escription des activités</w:t>
      </w:r>
      <w:r w:rsidR="00301F2E">
        <w:t xml:space="preserve">, détaillant notamment les </w:t>
      </w:r>
      <w:r w:rsidR="003E722C">
        <w:rPr>
          <w:iCs/>
        </w:rPr>
        <w:t>ligne</w:t>
      </w:r>
      <w:r w:rsidR="00301F2E" w:rsidRPr="00E269BB">
        <w:rPr>
          <w:iCs/>
        </w:rPr>
        <w:t>s</w:t>
      </w:r>
      <w:r w:rsidR="003E722C">
        <w:rPr>
          <w:iCs/>
        </w:rPr>
        <w:t xml:space="preserve"> d’activité</w:t>
      </w:r>
      <w:r w:rsidR="00301F2E" w:rsidRPr="00E269BB">
        <w:rPr>
          <w:iCs/>
        </w:rPr>
        <w:t xml:space="preserve"> retenues en interne par l'établissement pour classifier les </w:t>
      </w:r>
      <w:r w:rsidR="00301F2E">
        <w:rPr>
          <w:iCs/>
        </w:rPr>
        <w:t>opérations réalisées</w:t>
      </w:r>
      <w:r w:rsidR="00301F2E" w:rsidRPr="00E269BB">
        <w:rPr>
          <w:iCs/>
        </w:rPr>
        <w:t xml:space="preserve"> avec les </w:t>
      </w:r>
      <w:r w:rsidR="0093721C">
        <w:rPr>
          <w:iCs/>
        </w:rPr>
        <w:t>organismes de placement collectif (</w:t>
      </w:r>
      <w:r w:rsidR="00301F2E" w:rsidRPr="00E269BB">
        <w:rPr>
          <w:iCs/>
        </w:rPr>
        <w:t>OPC</w:t>
      </w:r>
      <w:r w:rsidR="0093721C">
        <w:rPr>
          <w:iCs/>
        </w:rPr>
        <w:t>)</w:t>
      </w:r>
      <w:r w:rsidR="00301F2E" w:rsidRPr="00E269BB">
        <w:rPr>
          <w:iCs/>
        </w:rPr>
        <w:t xml:space="preserve"> et autres véhicules similaires ayant recours à l'effet de levier de manière substantielle</w:t>
      </w:r>
      <w:r w:rsidR="003E722C">
        <w:t> ;</w:t>
      </w:r>
    </w:p>
    <w:p w:rsidR="003333DA" w:rsidRDefault="003F396B" w:rsidP="00890013">
      <w:pPr>
        <w:pStyle w:val="SGACP-enumerationniveau1"/>
        <w:spacing w:after="120"/>
        <w:ind w:left="284" w:hanging="284"/>
      </w:pPr>
      <w:r>
        <w:t>r</w:t>
      </w:r>
      <w:r w:rsidR="003333DA">
        <w:t>ecensement des fonds à effet de levier</w:t>
      </w:r>
      <w:r w:rsidR="00301F2E">
        <w:t> :</w:t>
      </w:r>
    </w:p>
    <w:tbl>
      <w:tblPr>
        <w:tblStyle w:val="Grilledutableau"/>
        <w:tblW w:w="9351" w:type="dxa"/>
        <w:tblLook w:val="04A0" w:firstRow="1" w:lastRow="0" w:firstColumn="1" w:lastColumn="0" w:noHBand="0" w:noVBand="1"/>
      </w:tblPr>
      <w:tblGrid>
        <w:gridCol w:w="6658"/>
        <w:gridCol w:w="2693"/>
      </w:tblGrid>
      <w:tr w:rsidR="003333DA" w:rsidRPr="00997F0E" w:rsidTr="00E15624">
        <w:tc>
          <w:tcPr>
            <w:tcW w:w="6658" w:type="dxa"/>
          </w:tcPr>
          <w:p w:rsidR="003333DA" w:rsidRPr="00997F0E" w:rsidRDefault="003333DA" w:rsidP="003333DA">
            <w:pPr>
              <w:pStyle w:val="SGACP-enumerationniveau1"/>
              <w:numPr>
                <w:ilvl w:val="0"/>
                <w:numId w:val="0"/>
              </w:numPr>
              <w:rPr>
                <w:sz w:val="21"/>
                <w:szCs w:val="21"/>
              </w:rPr>
            </w:pPr>
          </w:p>
        </w:tc>
        <w:tc>
          <w:tcPr>
            <w:tcW w:w="2693" w:type="dxa"/>
            <w:vAlign w:val="center"/>
          </w:tcPr>
          <w:p w:rsidR="003333DA" w:rsidRPr="00997F0E" w:rsidRDefault="003333DA" w:rsidP="00E15624">
            <w:pPr>
              <w:pStyle w:val="SGACP-enumerationniveau1"/>
              <w:numPr>
                <w:ilvl w:val="0"/>
                <w:numId w:val="0"/>
              </w:numPr>
              <w:spacing w:before="0"/>
              <w:jc w:val="center"/>
              <w:rPr>
                <w:sz w:val="21"/>
                <w:szCs w:val="21"/>
              </w:rPr>
            </w:pPr>
            <w:r w:rsidRPr="00997F0E">
              <w:rPr>
                <w:sz w:val="21"/>
                <w:szCs w:val="21"/>
              </w:rPr>
              <w:t>Nombre de fonds</w:t>
            </w:r>
          </w:p>
        </w:tc>
      </w:tr>
      <w:tr w:rsidR="003333DA" w:rsidRPr="00997F0E" w:rsidTr="00E15624">
        <w:tc>
          <w:tcPr>
            <w:tcW w:w="6658" w:type="dxa"/>
            <w:vAlign w:val="center"/>
          </w:tcPr>
          <w:p w:rsidR="003333DA" w:rsidRPr="00997F0E" w:rsidRDefault="003333DA" w:rsidP="00E15624">
            <w:pPr>
              <w:pStyle w:val="SGACP-enumerationniveau1"/>
              <w:numPr>
                <w:ilvl w:val="0"/>
                <w:numId w:val="0"/>
              </w:numPr>
              <w:spacing w:before="0"/>
              <w:jc w:val="left"/>
              <w:rPr>
                <w:sz w:val="21"/>
                <w:szCs w:val="21"/>
              </w:rPr>
            </w:pPr>
            <w:r w:rsidRPr="00997F0E">
              <w:rPr>
                <w:b/>
                <w:bCs/>
                <w:sz w:val="21"/>
                <w:szCs w:val="21"/>
                <w:u w:val="single"/>
              </w:rPr>
              <w:t>A. OPC ou véhicules étrangers similaires sur lesquels l'établissement est exposé au risque de crédit ou de contrepartie</w:t>
            </w:r>
          </w:p>
        </w:tc>
        <w:tc>
          <w:tcPr>
            <w:tcW w:w="2693" w:type="dxa"/>
          </w:tcPr>
          <w:p w:rsidR="003333DA" w:rsidRPr="00997F0E" w:rsidRDefault="003333DA" w:rsidP="003333DA">
            <w:pPr>
              <w:pStyle w:val="SGACP-enumerationniveau1"/>
              <w:numPr>
                <w:ilvl w:val="0"/>
                <w:numId w:val="0"/>
              </w:numPr>
              <w:rPr>
                <w:sz w:val="21"/>
                <w:szCs w:val="21"/>
              </w:rPr>
            </w:pPr>
          </w:p>
        </w:tc>
      </w:tr>
      <w:tr w:rsidR="003333DA" w:rsidRPr="00997F0E" w:rsidTr="00E15624">
        <w:tc>
          <w:tcPr>
            <w:tcW w:w="6658" w:type="dxa"/>
            <w:vAlign w:val="center"/>
          </w:tcPr>
          <w:p w:rsidR="003333DA" w:rsidRPr="00997F0E" w:rsidRDefault="003333DA" w:rsidP="00E15624">
            <w:pPr>
              <w:pStyle w:val="SGACP-enumerationniveau1"/>
              <w:numPr>
                <w:ilvl w:val="0"/>
                <w:numId w:val="0"/>
              </w:numPr>
              <w:spacing w:before="0"/>
              <w:jc w:val="left"/>
              <w:rPr>
                <w:sz w:val="21"/>
                <w:szCs w:val="21"/>
              </w:rPr>
            </w:pPr>
            <w:r w:rsidRPr="00997F0E">
              <w:rPr>
                <w:b/>
                <w:bCs/>
                <w:sz w:val="21"/>
                <w:szCs w:val="21"/>
              </w:rPr>
              <w:t>A.1. ayant recours directement ou indirectement à un effet de levier de manière substantielle</w:t>
            </w:r>
            <w:r w:rsidR="003E722C" w:rsidRPr="00997F0E">
              <w:rPr>
                <w:b/>
                <w:bCs/>
                <w:sz w:val="21"/>
                <w:szCs w:val="21"/>
              </w:rPr>
              <w:t xml:space="preserve"> et non explicitement exclus</w:t>
            </w:r>
          </w:p>
        </w:tc>
        <w:tc>
          <w:tcPr>
            <w:tcW w:w="2693" w:type="dxa"/>
          </w:tcPr>
          <w:p w:rsidR="003333DA" w:rsidRPr="00997F0E" w:rsidRDefault="003333DA" w:rsidP="003333DA">
            <w:pPr>
              <w:pStyle w:val="SGACP-enumerationniveau1"/>
              <w:numPr>
                <w:ilvl w:val="0"/>
                <w:numId w:val="0"/>
              </w:numPr>
              <w:rPr>
                <w:sz w:val="21"/>
                <w:szCs w:val="21"/>
              </w:rPr>
            </w:pPr>
          </w:p>
        </w:tc>
      </w:tr>
      <w:tr w:rsidR="003333DA" w:rsidRPr="00997F0E" w:rsidTr="00E15624">
        <w:tc>
          <w:tcPr>
            <w:tcW w:w="6658" w:type="dxa"/>
            <w:vAlign w:val="center"/>
          </w:tcPr>
          <w:p w:rsidR="003333DA" w:rsidRPr="00997F0E" w:rsidRDefault="003333DA" w:rsidP="00E15624">
            <w:pPr>
              <w:pStyle w:val="SGACP-enumerationniveau1"/>
              <w:numPr>
                <w:ilvl w:val="0"/>
                <w:numId w:val="0"/>
              </w:numPr>
              <w:spacing w:before="0"/>
              <w:jc w:val="left"/>
              <w:rPr>
                <w:sz w:val="21"/>
                <w:szCs w:val="21"/>
              </w:rPr>
            </w:pPr>
            <w:r w:rsidRPr="00997F0E">
              <w:rPr>
                <w:sz w:val="21"/>
                <w:szCs w:val="21"/>
              </w:rPr>
              <w:t>A.1.a. ayant recours à l'effet de levier de manière substantielle</w:t>
            </w:r>
            <w:r w:rsidRPr="00997F0E">
              <w:rPr>
                <w:rStyle w:val="Appelnotedebasdep"/>
                <w:sz w:val="16"/>
                <w:szCs w:val="16"/>
              </w:rPr>
              <w:footnoteReference w:id="11"/>
            </w:r>
          </w:p>
        </w:tc>
        <w:tc>
          <w:tcPr>
            <w:tcW w:w="2693" w:type="dxa"/>
          </w:tcPr>
          <w:p w:rsidR="003333DA" w:rsidRPr="00997F0E" w:rsidRDefault="003333DA" w:rsidP="003333DA">
            <w:pPr>
              <w:pStyle w:val="SGACP-enumerationniveau1"/>
              <w:numPr>
                <w:ilvl w:val="0"/>
                <w:numId w:val="0"/>
              </w:numPr>
              <w:rPr>
                <w:sz w:val="21"/>
                <w:szCs w:val="21"/>
              </w:rPr>
            </w:pPr>
          </w:p>
        </w:tc>
      </w:tr>
      <w:tr w:rsidR="003333DA" w:rsidRPr="00997F0E" w:rsidTr="00E15624">
        <w:tc>
          <w:tcPr>
            <w:tcW w:w="6658" w:type="dxa"/>
            <w:vAlign w:val="center"/>
          </w:tcPr>
          <w:p w:rsidR="003333DA" w:rsidRPr="00997F0E" w:rsidRDefault="003333DA" w:rsidP="00E15624">
            <w:pPr>
              <w:pStyle w:val="SGACP-enumerationniveau1"/>
              <w:numPr>
                <w:ilvl w:val="0"/>
                <w:numId w:val="0"/>
              </w:numPr>
              <w:spacing w:before="0"/>
              <w:jc w:val="left"/>
              <w:rPr>
                <w:sz w:val="21"/>
                <w:szCs w:val="21"/>
              </w:rPr>
            </w:pPr>
            <w:r w:rsidRPr="00997F0E">
              <w:rPr>
                <w:sz w:val="21"/>
                <w:szCs w:val="21"/>
              </w:rPr>
              <w:t>A.1.b. investis ou exposés significativement</w:t>
            </w:r>
            <w:r w:rsidRPr="00997F0E">
              <w:rPr>
                <w:rStyle w:val="Appelnotedebasdep"/>
                <w:sz w:val="16"/>
                <w:szCs w:val="16"/>
              </w:rPr>
              <w:footnoteReference w:id="12"/>
            </w:r>
            <w:r w:rsidRPr="00997F0E">
              <w:rPr>
                <w:sz w:val="21"/>
                <w:szCs w:val="21"/>
              </w:rPr>
              <w:t xml:space="preserve"> dans les OPC ou autres véhicules similaires ayant recours à l'effet de levier de manière substantielle </w:t>
            </w:r>
          </w:p>
        </w:tc>
        <w:tc>
          <w:tcPr>
            <w:tcW w:w="2693" w:type="dxa"/>
          </w:tcPr>
          <w:p w:rsidR="003333DA" w:rsidRPr="00997F0E" w:rsidRDefault="003333DA" w:rsidP="003333DA">
            <w:pPr>
              <w:pStyle w:val="SGACP-enumerationniveau1"/>
              <w:numPr>
                <w:ilvl w:val="0"/>
                <w:numId w:val="0"/>
              </w:numPr>
              <w:rPr>
                <w:sz w:val="21"/>
                <w:szCs w:val="21"/>
              </w:rPr>
            </w:pPr>
          </w:p>
        </w:tc>
      </w:tr>
      <w:tr w:rsidR="003333DA" w:rsidRPr="00997F0E" w:rsidTr="00E15624">
        <w:tc>
          <w:tcPr>
            <w:tcW w:w="6658" w:type="dxa"/>
            <w:vAlign w:val="center"/>
          </w:tcPr>
          <w:p w:rsidR="003333DA" w:rsidRPr="00997F0E" w:rsidRDefault="003333DA" w:rsidP="00E15624">
            <w:pPr>
              <w:pStyle w:val="SGACP-enumerationniveau1"/>
              <w:numPr>
                <w:ilvl w:val="0"/>
                <w:numId w:val="0"/>
              </w:numPr>
              <w:spacing w:before="0"/>
              <w:jc w:val="left"/>
              <w:rPr>
                <w:sz w:val="21"/>
                <w:szCs w:val="21"/>
              </w:rPr>
            </w:pPr>
            <w:r w:rsidRPr="00997F0E">
              <w:rPr>
                <w:b/>
                <w:bCs/>
                <w:sz w:val="21"/>
                <w:szCs w:val="21"/>
              </w:rPr>
              <w:t>A.2. n'ayant pas recours à un effet de levier de manière substantielle</w:t>
            </w:r>
            <w:r w:rsidR="003E722C" w:rsidRPr="00997F0E">
              <w:rPr>
                <w:b/>
                <w:bCs/>
                <w:sz w:val="21"/>
                <w:szCs w:val="21"/>
              </w:rPr>
              <w:t xml:space="preserve"> ou explicitement exclus</w:t>
            </w:r>
          </w:p>
        </w:tc>
        <w:tc>
          <w:tcPr>
            <w:tcW w:w="2693" w:type="dxa"/>
          </w:tcPr>
          <w:p w:rsidR="003333DA" w:rsidRPr="00997F0E" w:rsidRDefault="003333DA" w:rsidP="003333DA">
            <w:pPr>
              <w:pStyle w:val="SGACP-enumerationniveau1"/>
              <w:numPr>
                <w:ilvl w:val="0"/>
                <w:numId w:val="0"/>
              </w:numPr>
              <w:rPr>
                <w:sz w:val="21"/>
                <w:szCs w:val="21"/>
              </w:rPr>
            </w:pPr>
          </w:p>
        </w:tc>
      </w:tr>
      <w:tr w:rsidR="003333DA" w:rsidRPr="00997F0E" w:rsidTr="00E15624">
        <w:tc>
          <w:tcPr>
            <w:tcW w:w="6658" w:type="dxa"/>
            <w:vAlign w:val="center"/>
          </w:tcPr>
          <w:p w:rsidR="003333DA" w:rsidRPr="00997F0E" w:rsidRDefault="003333DA" w:rsidP="00E15624">
            <w:pPr>
              <w:pStyle w:val="SGACP-enumerationniveau1"/>
              <w:numPr>
                <w:ilvl w:val="0"/>
                <w:numId w:val="0"/>
              </w:numPr>
              <w:spacing w:before="0"/>
              <w:jc w:val="left"/>
              <w:rPr>
                <w:sz w:val="21"/>
                <w:szCs w:val="21"/>
              </w:rPr>
            </w:pPr>
            <w:r w:rsidRPr="00997F0E">
              <w:rPr>
                <w:i/>
                <w:iCs/>
                <w:sz w:val="21"/>
                <w:szCs w:val="21"/>
              </w:rPr>
              <w:t xml:space="preserve">dont: </w:t>
            </w:r>
            <w:r w:rsidR="003E722C" w:rsidRPr="00997F0E">
              <w:rPr>
                <w:i/>
                <w:iCs/>
                <w:sz w:val="21"/>
                <w:szCs w:val="21"/>
              </w:rPr>
              <w:t>explicitement exclus au titre de l'article 7, paragraphe I, points 1 à 4 de l'arrêté du 9 septembre 2014</w:t>
            </w:r>
          </w:p>
        </w:tc>
        <w:tc>
          <w:tcPr>
            <w:tcW w:w="2693" w:type="dxa"/>
          </w:tcPr>
          <w:p w:rsidR="003333DA" w:rsidRPr="00997F0E" w:rsidRDefault="003333DA" w:rsidP="003333DA">
            <w:pPr>
              <w:pStyle w:val="SGACP-enumerationniveau1"/>
              <w:numPr>
                <w:ilvl w:val="0"/>
                <w:numId w:val="0"/>
              </w:numPr>
              <w:rPr>
                <w:sz w:val="21"/>
                <w:szCs w:val="21"/>
              </w:rPr>
            </w:pPr>
          </w:p>
        </w:tc>
      </w:tr>
    </w:tbl>
    <w:p w:rsidR="003333DA" w:rsidRPr="003333DA" w:rsidRDefault="003B4A79" w:rsidP="00890013">
      <w:pPr>
        <w:pStyle w:val="Paragraphedeliste"/>
        <w:numPr>
          <w:ilvl w:val="1"/>
          <w:numId w:val="40"/>
        </w:numPr>
        <w:spacing w:before="120" w:after="120"/>
        <w:ind w:left="1434" w:hanging="357"/>
        <w:contextualSpacing w:val="0"/>
        <w:rPr>
          <w:iCs/>
        </w:rPr>
      </w:pPr>
      <w:r>
        <w:rPr>
          <w:iCs/>
        </w:rPr>
        <w:lastRenderedPageBreak/>
        <w:t>préciser selon</w:t>
      </w:r>
      <w:r w:rsidR="003333DA" w:rsidRPr="003333DA">
        <w:rPr>
          <w:iCs/>
        </w:rPr>
        <w:t xml:space="preserve"> quelle fréquence les OPC et les véhicules similaires sont recensés et catégorisés dans les classes susmentionnées</w:t>
      </w:r>
      <w:r>
        <w:rPr>
          <w:iCs/>
        </w:rPr>
        <w:t> ;</w:t>
      </w:r>
    </w:p>
    <w:p w:rsidR="00934639" w:rsidRDefault="00FD37C4" w:rsidP="00FD37C4">
      <w:pPr>
        <w:pStyle w:val="SGACP-enumerationniveau1"/>
        <w:ind w:left="284" w:hanging="284"/>
      </w:pPr>
      <w:r>
        <w:t>b</w:t>
      </w:r>
      <w:r w:rsidR="00934639" w:rsidRPr="00FD37C4">
        <w:t>ilan des résultats et des risques générés (risques de crédit et de contrepartie)</w:t>
      </w:r>
      <w:r w:rsidR="00301F2E">
        <w:t> :</w:t>
      </w:r>
    </w:p>
    <w:p w:rsidR="008E03C1" w:rsidRDefault="008E03C1" w:rsidP="002F6550">
      <w:pPr>
        <w:rPr>
          <w:b/>
          <w:i/>
          <w:iCs/>
          <w:color w:val="003B8E"/>
          <w:szCs w:val="22"/>
        </w:rPr>
      </w:pPr>
    </w:p>
    <w:p w:rsidR="00246EC8" w:rsidRPr="002F6550" w:rsidRDefault="00EE2088" w:rsidP="002F6550">
      <w:pPr>
        <w:rPr>
          <w:b/>
          <w:iCs/>
        </w:rPr>
      </w:pPr>
      <w:r w:rsidRPr="002F6550">
        <w:rPr>
          <w:b/>
          <w:i/>
          <w:iCs/>
          <w:color w:val="003B8E"/>
          <w:sz w:val="22"/>
          <w:szCs w:val="22"/>
        </w:rPr>
        <w:t>Nota bene :</w:t>
      </w:r>
      <w:r w:rsidRPr="00A509C0">
        <w:rPr>
          <w:i/>
          <w:iCs/>
        </w:rPr>
        <w:t> </w:t>
      </w:r>
      <w:r w:rsidRPr="00EE2088">
        <w:rPr>
          <w:b/>
          <w:iCs/>
        </w:rPr>
        <w:t xml:space="preserve"> </w:t>
      </w:r>
      <w:r w:rsidR="00246EC8" w:rsidRPr="002F6550">
        <w:rPr>
          <w:b/>
          <w:iCs/>
          <w:sz w:val="22"/>
          <w:szCs w:val="22"/>
        </w:rPr>
        <w:t xml:space="preserve">Les tableaux et questions </w:t>
      </w:r>
      <w:r w:rsidR="00301F2E" w:rsidRPr="002F6550">
        <w:rPr>
          <w:b/>
          <w:iCs/>
          <w:sz w:val="22"/>
          <w:szCs w:val="22"/>
        </w:rPr>
        <w:t xml:space="preserve">ci-dessous précédant la section 19.4 </w:t>
      </w:r>
      <w:r w:rsidR="00246EC8" w:rsidRPr="002F6550">
        <w:rPr>
          <w:b/>
          <w:iCs/>
          <w:sz w:val="22"/>
          <w:szCs w:val="22"/>
        </w:rPr>
        <w:t xml:space="preserve">se réfèrent uniquement aux opérations exposant à un risque de crédit ou de contrepartie sur les OPC ou autres véhicules étrangers similaires </w:t>
      </w:r>
      <w:r w:rsidR="003E722C" w:rsidRPr="002F6550">
        <w:rPr>
          <w:b/>
          <w:bCs/>
          <w:sz w:val="22"/>
          <w:szCs w:val="22"/>
        </w:rPr>
        <w:t>ayant recours directement ou indirectement à un effet de levier de manière substantielle et non explicitement exclus au titre de l'article 7, paragraphe I, points 1 à 4 de l'arrêté du 9 septembre 2014.</w:t>
      </w:r>
    </w:p>
    <w:p w:rsidR="003F396B" w:rsidRPr="003B4A79" w:rsidRDefault="00A42E8A" w:rsidP="002F6550">
      <w:pPr>
        <w:pStyle w:val="SGACP-enumerationniveau1"/>
        <w:numPr>
          <w:ilvl w:val="1"/>
          <w:numId w:val="39"/>
        </w:numPr>
        <w:ind w:left="284" w:hanging="284"/>
      </w:pPr>
      <w:r>
        <w:t>s</w:t>
      </w:r>
      <w:r w:rsidR="003F396B">
        <w:t>ynthèse des expositions par nature d’opérations :</w:t>
      </w:r>
    </w:p>
    <w:p w:rsidR="00246EC8" w:rsidRDefault="00246EC8" w:rsidP="006914B8">
      <w:pPr>
        <w:pStyle w:val="SGACP-enumerationniveau1"/>
        <w:numPr>
          <w:ilvl w:val="0"/>
          <w:numId w:val="0"/>
        </w:numPr>
        <w:ind w:left="1069" w:hanging="360"/>
      </w:pPr>
    </w:p>
    <w:tbl>
      <w:tblPr>
        <w:tblStyle w:val="Grilledutableau"/>
        <w:tblW w:w="8783" w:type="dxa"/>
        <w:tblInd w:w="284" w:type="dxa"/>
        <w:tblLayout w:type="fixed"/>
        <w:tblLook w:val="04A0" w:firstRow="1" w:lastRow="0" w:firstColumn="1" w:lastColumn="0" w:noHBand="0" w:noVBand="1"/>
      </w:tblPr>
      <w:tblGrid>
        <w:gridCol w:w="2323"/>
        <w:gridCol w:w="1292"/>
        <w:gridCol w:w="1292"/>
        <w:gridCol w:w="1292"/>
        <w:gridCol w:w="1292"/>
        <w:gridCol w:w="1292"/>
      </w:tblGrid>
      <w:tr w:rsidR="00246EC8" w:rsidRPr="00997F0E" w:rsidTr="002F6550">
        <w:tc>
          <w:tcPr>
            <w:tcW w:w="2323" w:type="dxa"/>
            <w:vAlign w:val="center"/>
          </w:tcPr>
          <w:p w:rsidR="003333DA" w:rsidRPr="00997F0E" w:rsidRDefault="001A5F8B" w:rsidP="002F6550">
            <w:pPr>
              <w:pStyle w:val="SGACP-enumerationniveau1"/>
              <w:numPr>
                <w:ilvl w:val="0"/>
                <w:numId w:val="0"/>
              </w:numPr>
              <w:spacing w:before="0"/>
              <w:jc w:val="center"/>
              <w:rPr>
                <w:i/>
                <w:sz w:val="21"/>
                <w:szCs w:val="21"/>
              </w:rPr>
            </w:pPr>
            <w:r w:rsidRPr="00997F0E">
              <w:rPr>
                <w:i/>
                <w:sz w:val="21"/>
                <w:szCs w:val="21"/>
              </w:rPr>
              <w:t>KEUR</w:t>
            </w:r>
          </w:p>
        </w:tc>
        <w:tc>
          <w:tcPr>
            <w:tcW w:w="1292" w:type="dxa"/>
            <w:vAlign w:val="center"/>
          </w:tcPr>
          <w:p w:rsidR="003333DA" w:rsidRPr="00997F0E" w:rsidRDefault="003333DA" w:rsidP="00E15624">
            <w:pPr>
              <w:pStyle w:val="SGACP-enumerationniveau1"/>
              <w:numPr>
                <w:ilvl w:val="0"/>
                <w:numId w:val="0"/>
              </w:numPr>
              <w:spacing w:before="0"/>
              <w:jc w:val="center"/>
              <w:rPr>
                <w:sz w:val="21"/>
                <w:szCs w:val="21"/>
              </w:rPr>
            </w:pPr>
            <w:r w:rsidRPr="00997F0E">
              <w:rPr>
                <w:sz w:val="21"/>
                <w:szCs w:val="21"/>
              </w:rPr>
              <w:t>Valeur comptable brute IFRS</w:t>
            </w:r>
          </w:p>
        </w:tc>
        <w:tc>
          <w:tcPr>
            <w:tcW w:w="1292" w:type="dxa"/>
            <w:vAlign w:val="center"/>
          </w:tcPr>
          <w:p w:rsidR="003333DA" w:rsidRPr="00997F0E" w:rsidRDefault="003333DA" w:rsidP="00E15624">
            <w:pPr>
              <w:pStyle w:val="SGACP-enumerationniveau1"/>
              <w:numPr>
                <w:ilvl w:val="0"/>
                <w:numId w:val="0"/>
              </w:numPr>
              <w:spacing w:before="0"/>
              <w:jc w:val="center"/>
              <w:rPr>
                <w:sz w:val="21"/>
                <w:szCs w:val="21"/>
              </w:rPr>
            </w:pPr>
            <w:r w:rsidRPr="00997F0E">
              <w:rPr>
                <w:sz w:val="21"/>
                <w:szCs w:val="21"/>
              </w:rPr>
              <w:t>Montant nominal IFRS</w:t>
            </w:r>
          </w:p>
        </w:tc>
        <w:tc>
          <w:tcPr>
            <w:tcW w:w="1292" w:type="dxa"/>
            <w:vAlign w:val="center"/>
          </w:tcPr>
          <w:p w:rsidR="003333DA" w:rsidRPr="00997F0E" w:rsidRDefault="003333DA" w:rsidP="00E15624">
            <w:pPr>
              <w:pStyle w:val="SGACP-enumerationniveau1"/>
              <w:numPr>
                <w:ilvl w:val="0"/>
                <w:numId w:val="0"/>
              </w:numPr>
              <w:spacing w:before="0"/>
              <w:jc w:val="center"/>
              <w:rPr>
                <w:sz w:val="21"/>
                <w:szCs w:val="21"/>
              </w:rPr>
            </w:pPr>
            <w:r w:rsidRPr="00997F0E">
              <w:rPr>
                <w:sz w:val="21"/>
                <w:szCs w:val="21"/>
              </w:rPr>
              <w:t>Notionnel IFRS</w:t>
            </w:r>
          </w:p>
        </w:tc>
        <w:tc>
          <w:tcPr>
            <w:tcW w:w="1292" w:type="dxa"/>
            <w:vAlign w:val="center"/>
          </w:tcPr>
          <w:p w:rsidR="003333DA" w:rsidRPr="00997F0E" w:rsidRDefault="003333DA" w:rsidP="00E15624">
            <w:pPr>
              <w:pStyle w:val="SGACP-enumerationniveau1"/>
              <w:numPr>
                <w:ilvl w:val="0"/>
                <w:numId w:val="0"/>
              </w:numPr>
              <w:spacing w:before="0"/>
              <w:jc w:val="center"/>
              <w:rPr>
                <w:sz w:val="21"/>
                <w:szCs w:val="21"/>
              </w:rPr>
            </w:pPr>
            <w:r w:rsidRPr="00997F0E">
              <w:rPr>
                <w:sz w:val="21"/>
                <w:szCs w:val="21"/>
              </w:rPr>
              <w:t>Valeur exposée au risque avant prise en compte des sûretés</w:t>
            </w:r>
          </w:p>
        </w:tc>
        <w:tc>
          <w:tcPr>
            <w:tcW w:w="1292" w:type="dxa"/>
            <w:vAlign w:val="center"/>
          </w:tcPr>
          <w:p w:rsidR="003333DA" w:rsidRPr="00997F0E" w:rsidRDefault="003333DA" w:rsidP="00E15624">
            <w:pPr>
              <w:pStyle w:val="SGACP-enumerationniveau1"/>
              <w:numPr>
                <w:ilvl w:val="0"/>
                <w:numId w:val="0"/>
              </w:numPr>
              <w:spacing w:before="0"/>
              <w:jc w:val="center"/>
              <w:rPr>
                <w:sz w:val="21"/>
                <w:szCs w:val="21"/>
              </w:rPr>
            </w:pPr>
            <w:r w:rsidRPr="00997F0E">
              <w:rPr>
                <w:sz w:val="21"/>
                <w:szCs w:val="21"/>
              </w:rPr>
              <w:t>Actifs pondérés en risque pour risque de crédit et de contrepartie</w:t>
            </w:r>
          </w:p>
        </w:tc>
      </w:tr>
      <w:tr w:rsidR="00246EC8" w:rsidRPr="00997F0E" w:rsidTr="006914B8">
        <w:tc>
          <w:tcPr>
            <w:tcW w:w="2323" w:type="dxa"/>
            <w:vAlign w:val="center"/>
          </w:tcPr>
          <w:p w:rsidR="003333DA" w:rsidRPr="00997F0E" w:rsidRDefault="003333DA" w:rsidP="00E15624">
            <w:pPr>
              <w:pStyle w:val="SGACP-enumerationniveau1"/>
              <w:numPr>
                <w:ilvl w:val="0"/>
                <w:numId w:val="0"/>
              </w:numPr>
              <w:spacing w:before="0"/>
              <w:rPr>
                <w:sz w:val="21"/>
                <w:szCs w:val="21"/>
              </w:rPr>
            </w:pPr>
            <w:r w:rsidRPr="00997F0E">
              <w:rPr>
                <w:b/>
                <w:bCs/>
                <w:sz w:val="21"/>
                <w:szCs w:val="21"/>
                <w:u w:val="single"/>
              </w:rPr>
              <w:t>A. Opérations ayant pour contrepartie des OPC ou des véhicules similaires</w:t>
            </w:r>
          </w:p>
        </w:tc>
        <w:tc>
          <w:tcPr>
            <w:tcW w:w="1292" w:type="dxa"/>
          </w:tcPr>
          <w:p w:rsidR="003333DA" w:rsidRPr="00997F0E" w:rsidRDefault="003333DA" w:rsidP="00E15624">
            <w:pPr>
              <w:pStyle w:val="SGACP-enumerationniveau1"/>
              <w:numPr>
                <w:ilvl w:val="0"/>
                <w:numId w:val="0"/>
              </w:numPr>
              <w:spacing w:before="0"/>
              <w:rPr>
                <w:sz w:val="21"/>
                <w:szCs w:val="21"/>
              </w:rPr>
            </w:pPr>
          </w:p>
        </w:tc>
        <w:tc>
          <w:tcPr>
            <w:tcW w:w="1292" w:type="dxa"/>
          </w:tcPr>
          <w:p w:rsidR="003333DA" w:rsidRPr="00997F0E" w:rsidRDefault="003333DA" w:rsidP="00E15624">
            <w:pPr>
              <w:pStyle w:val="SGACP-enumerationniveau1"/>
              <w:numPr>
                <w:ilvl w:val="0"/>
                <w:numId w:val="0"/>
              </w:numPr>
              <w:spacing w:before="0"/>
              <w:rPr>
                <w:sz w:val="21"/>
                <w:szCs w:val="21"/>
              </w:rPr>
            </w:pPr>
          </w:p>
        </w:tc>
        <w:tc>
          <w:tcPr>
            <w:tcW w:w="1292" w:type="dxa"/>
          </w:tcPr>
          <w:p w:rsidR="003333DA" w:rsidRPr="00997F0E" w:rsidRDefault="003333DA" w:rsidP="00E15624">
            <w:pPr>
              <w:pStyle w:val="SGACP-enumerationniveau1"/>
              <w:numPr>
                <w:ilvl w:val="0"/>
                <w:numId w:val="0"/>
              </w:numPr>
              <w:spacing w:before="0"/>
              <w:rPr>
                <w:sz w:val="21"/>
                <w:szCs w:val="21"/>
              </w:rPr>
            </w:pPr>
          </w:p>
        </w:tc>
        <w:tc>
          <w:tcPr>
            <w:tcW w:w="1292" w:type="dxa"/>
          </w:tcPr>
          <w:p w:rsidR="003333DA" w:rsidRPr="00997F0E" w:rsidRDefault="003333DA" w:rsidP="00E15624">
            <w:pPr>
              <w:pStyle w:val="SGACP-enumerationniveau1"/>
              <w:numPr>
                <w:ilvl w:val="0"/>
                <w:numId w:val="0"/>
              </w:numPr>
              <w:spacing w:before="0"/>
              <w:rPr>
                <w:sz w:val="21"/>
                <w:szCs w:val="21"/>
              </w:rPr>
            </w:pPr>
          </w:p>
        </w:tc>
        <w:tc>
          <w:tcPr>
            <w:tcW w:w="1292" w:type="dxa"/>
          </w:tcPr>
          <w:p w:rsidR="003333DA" w:rsidRPr="00997F0E" w:rsidRDefault="003333DA" w:rsidP="00E15624">
            <w:pPr>
              <w:pStyle w:val="SGACP-enumerationniveau1"/>
              <w:numPr>
                <w:ilvl w:val="0"/>
                <w:numId w:val="0"/>
              </w:numPr>
              <w:spacing w:before="0"/>
              <w:rPr>
                <w:sz w:val="21"/>
                <w:szCs w:val="21"/>
              </w:rPr>
            </w:pPr>
          </w:p>
        </w:tc>
      </w:tr>
      <w:tr w:rsidR="00246EC8" w:rsidRPr="00997F0E" w:rsidTr="006914B8">
        <w:tc>
          <w:tcPr>
            <w:tcW w:w="2323" w:type="dxa"/>
            <w:vAlign w:val="center"/>
          </w:tcPr>
          <w:p w:rsidR="003333DA" w:rsidRPr="00997F0E" w:rsidRDefault="003333DA" w:rsidP="006914B8">
            <w:pPr>
              <w:pStyle w:val="SGACP-enumerationniveau1"/>
              <w:numPr>
                <w:ilvl w:val="0"/>
                <w:numId w:val="0"/>
              </w:numPr>
              <w:spacing w:before="0"/>
              <w:rPr>
                <w:sz w:val="21"/>
                <w:szCs w:val="21"/>
              </w:rPr>
            </w:pPr>
            <w:r w:rsidRPr="00997F0E">
              <w:rPr>
                <w:b/>
                <w:bCs/>
                <w:sz w:val="21"/>
                <w:szCs w:val="21"/>
              </w:rPr>
              <w:t>A.1. Activités de financement hors opérations de marché</w:t>
            </w: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r>
      <w:tr w:rsidR="00246EC8" w:rsidRPr="00997F0E" w:rsidTr="006914B8">
        <w:tc>
          <w:tcPr>
            <w:tcW w:w="2323" w:type="dxa"/>
            <w:vAlign w:val="center"/>
          </w:tcPr>
          <w:p w:rsidR="003333DA" w:rsidRPr="00997F0E" w:rsidRDefault="003333DA" w:rsidP="006914B8">
            <w:pPr>
              <w:pStyle w:val="SGACP-enumerationniveau1"/>
              <w:numPr>
                <w:ilvl w:val="0"/>
                <w:numId w:val="0"/>
              </w:numPr>
              <w:spacing w:before="0"/>
              <w:rPr>
                <w:sz w:val="21"/>
                <w:szCs w:val="21"/>
              </w:rPr>
            </w:pPr>
            <w:r w:rsidRPr="00997F0E">
              <w:rPr>
                <w:sz w:val="21"/>
                <w:szCs w:val="21"/>
              </w:rPr>
              <w:t>A.1.a. Avances, dont comptes débiteurs</w:t>
            </w: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r>
      <w:tr w:rsidR="00246EC8" w:rsidRPr="00997F0E" w:rsidTr="006914B8">
        <w:tc>
          <w:tcPr>
            <w:tcW w:w="2323" w:type="dxa"/>
            <w:vAlign w:val="center"/>
          </w:tcPr>
          <w:p w:rsidR="003333DA" w:rsidRPr="00997F0E" w:rsidRDefault="003333DA" w:rsidP="006914B8">
            <w:pPr>
              <w:pStyle w:val="SGACP-enumerationniveau1"/>
              <w:numPr>
                <w:ilvl w:val="0"/>
                <w:numId w:val="0"/>
              </w:numPr>
              <w:spacing w:before="0"/>
              <w:rPr>
                <w:sz w:val="21"/>
                <w:szCs w:val="21"/>
              </w:rPr>
            </w:pPr>
            <w:r w:rsidRPr="00997F0E">
              <w:rPr>
                <w:sz w:val="21"/>
                <w:szCs w:val="21"/>
              </w:rPr>
              <w:t>A.1.b. Prêts hors prises en pension</w:t>
            </w: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r>
      <w:tr w:rsidR="00246EC8" w:rsidRPr="00997F0E" w:rsidTr="006914B8">
        <w:tc>
          <w:tcPr>
            <w:tcW w:w="2323" w:type="dxa"/>
            <w:vAlign w:val="center"/>
          </w:tcPr>
          <w:p w:rsidR="003333DA" w:rsidRPr="00997F0E" w:rsidRDefault="003333DA" w:rsidP="006914B8">
            <w:pPr>
              <w:pStyle w:val="SGACP-enumerationniveau1"/>
              <w:numPr>
                <w:ilvl w:val="0"/>
                <w:numId w:val="0"/>
              </w:numPr>
              <w:spacing w:before="0"/>
              <w:rPr>
                <w:sz w:val="21"/>
                <w:szCs w:val="21"/>
              </w:rPr>
            </w:pPr>
            <w:r w:rsidRPr="00997F0E">
              <w:rPr>
                <w:sz w:val="21"/>
                <w:szCs w:val="21"/>
              </w:rPr>
              <w:t>A.1.c. Engagements de financement non utilisés</w:t>
            </w:r>
          </w:p>
        </w:tc>
        <w:tc>
          <w:tcPr>
            <w:tcW w:w="1292" w:type="dxa"/>
            <w:shd w:val="clear" w:color="auto" w:fill="D9D9D9" w:themeFill="background1" w:themeFillShade="D9"/>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r>
      <w:tr w:rsidR="00246EC8" w:rsidRPr="00997F0E" w:rsidTr="006914B8">
        <w:tc>
          <w:tcPr>
            <w:tcW w:w="2323" w:type="dxa"/>
            <w:vAlign w:val="center"/>
          </w:tcPr>
          <w:p w:rsidR="003333DA" w:rsidRPr="00997F0E" w:rsidRDefault="003333DA" w:rsidP="006914B8">
            <w:pPr>
              <w:pStyle w:val="SGACP-enumerationniveau1"/>
              <w:numPr>
                <w:ilvl w:val="0"/>
                <w:numId w:val="0"/>
              </w:numPr>
              <w:spacing w:before="0"/>
              <w:rPr>
                <w:sz w:val="21"/>
                <w:szCs w:val="21"/>
              </w:rPr>
            </w:pPr>
            <w:r w:rsidRPr="00997F0E">
              <w:rPr>
                <w:sz w:val="21"/>
                <w:szCs w:val="21"/>
              </w:rPr>
              <w:t>A.1.d. Engagements de garantie</w:t>
            </w:r>
          </w:p>
        </w:tc>
        <w:tc>
          <w:tcPr>
            <w:tcW w:w="1292" w:type="dxa"/>
            <w:shd w:val="clear" w:color="auto" w:fill="D9D9D9" w:themeFill="background1" w:themeFillShade="D9"/>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r>
      <w:tr w:rsidR="00246EC8" w:rsidRPr="00997F0E" w:rsidTr="006914B8">
        <w:tc>
          <w:tcPr>
            <w:tcW w:w="2323" w:type="dxa"/>
            <w:vAlign w:val="center"/>
          </w:tcPr>
          <w:p w:rsidR="003333DA" w:rsidRPr="00997F0E" w:rsidRDefault="003333DA" w:rsidP="006914B8">
            <w:pPr>
              <w:pStyle w:val="SGACP-enumerationniveau1"/>
              <w:numPr>
                <w:ilvl w:val="0"/>
                <w:numId w:val="0"/>
              </w:numPr>
              <w:spacing w:before="0"/>
              <w:rPr>
                <w:sz w:val="21"/>
                <w:szCs w:val="21"/>
              </w:rPr>
            </w:pPr>
            <w:r w:rsidRPr="00997F0E">
              <w:rPr>
                <w:b/>
                <w:bCs/>
                <w:sz w:val="21"/>
                <w:szCs w:val="21"/>
              </w:rPr>
              <w:t>A.2. Opérations de marché</w:t>
            </w: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r>
      <w:tr w:rsidR="00246EC8" w:rsidRPr="00997F0E" w:rsidTr="006914B8">
        <w:tc>
          <w:tcPr>
            <w:tcW w:w="2323" w:type="dxa"/>
            <w:vAlign w:val="center"/>
          </w:tcPr>
          <w:p w:rsidR="003333DA" w:rsidRPr="00997F0E" w:rsidRDefault="003333DA" w:rsidP="006914B8">
            <w:pPr>
              <w:pStyle w:val="SGACP-enumerationniveau1"/>
              <w:numPr>
                <w:ilvl w:val="0"/>
                <w:numId w:val="0"/>
              </w:numPr>
              <w:spacing w:before="0"/>
              <w:rPr>
                <w:sz w:val="21"/>
                <w:szCs w:val="21"/>
              </w:rPr>
            </w:pPr>
            <w:r w:rsidRPr="00997F0E">
              <w:rPr>
                <w:sz w:val="21"/>
                <w:szCs w:val="21"/>
              </w:rPr>
              <w:t>A.2.a. Pensions de titres et prêts-emprunts de titres</w:t>
            </w: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r>
      <w:tr w:rsidR="00246EC8" w:rsidRPr="00997F0E" w:rsidTr="006914B8">
        <w:tc>
          <w:tcPr>
            <w:tcW w:w="2323" w:type="dxa"/>
            <w:vAlign w:val="center"/>
          </w:tcPr>
          <w:p w:rsidR="003333DA" w:rsidRPr="00997F0E" w:rsidRDefault="003333DA" w:rsidP="00E15624">
            <w:pPr>
              <w:pStyle w:val="SGACP-enumerationniveau1"/>
              <w:numPr>
                <w:ilvl w:val="0"/>
                <w:numId w:val="0"/>
              </w:numPr>
              <w:spacing w:before="0"/>
              <w:rPr>
                <w:sz w:val="21"/>
                <w:szCs w:val="21"/>
              </w:rPr>
            </w:pPr>
            <w:r w:rsidRPr="00997F0E">
              <w:rPr>
                <w:sz w:val="21"/>
                <w:szCs w:val="21"/>
              </w:rPr>
              <w:t>A.2.b. Dérivés</w:t>
            </w:r>
          </w:p>
        </w:tc>
        <w:tc>
          <w:tcPr>
            <w:tcW w:w="1292" w:type="dxa"/>
          </w:tcPr>
          <w:p w:rsidR="003333DA" w:rsidRPr="00997F0E" w:rsidRDefault="003333DA" w:rsidP="00E15624">
            <w:pPr>
              <w:pStyle w:val="SGACP-enumerationniveau1"/>
              <w:numPr>
                <w:ilvl w:val="0"/>
                <w:numId w:val="0"/>
              </w:numPr>
              <w:spacing w:before="0"/>
              <w:rPr>
                <w:sz w:val="21"/>
                <w:szCs w:val="21"/>
              </w:rPr>
            </w:pPr>
          </w:p>
        </w:tc>
        <w:tc>
          <w:tcPr>
            <w:tcW w:w="1292" w:type="dxa"/>
            <w:shd w:val="clear" w:color="auto" w:fill="D9D9D9" w:themeFill="background1" w:themeFillShade="D9"/>
          </w:tcPr>
          <w:p w:rsidR="003333DA" w:rsidRPr="00997F0E" w:rsidRDefault="003333DA" w:rsidP="00E15624">
            <w:pPr>
              <w:pStyle w:val="SGACP-enumerationniveau1"/>
              <w:numPr>
                <w:ilvl w:val="0"/>
                <w:numId w:val="0"/>
              </w:numPr>
              <w:spacing w:before="0"/>
              <w:rPr>
                <w:sz w:val="21"/>
                <w:szCs w:val="21"/>
              </w:rPr>
            </w:pPr>
          </w:p>
        </w:tc>
        <w:tc>
          <w:tcPr>
            <w:tcW w:w="1292" w:type="dxa"/>
          </w:tcPr>
          <w:p w:rsidR="003333DA" w:rsidRPr="00997F0E" w:rsidRDefault="003333DA" w:rsidP="00E15624">
            <w:pPr>
              <w:pStyle w:val="SGACP-enumerationniveau1"/>
              <w:numPr>
                <w:ilvl w:val="0"/>
                <w:numId w:val="0"/>
              </w:numPr>
              <w:spacing w:before="0"/>
              <w:rPr>
                <w:sz w:val="21"/>
                <w:szCs w:val="21"/>
              </w:rPr>
            </w:pPr>
          </w:p>
        </w:tc>
        <w:tc>
          <w:tcPr>
            <w:tcW w:w="1292" w:type="dxa"/>
          </w:tcPr>
          <w:p w:rsidR="003333DA" w:rsidRPr="00997F0E" w:rsidRDefault="003333DA" w:rsidP="00E15624">
            <w:pPr>
              <w:pStyle w:val="SGACP-enumerationniveau1"/>
              <w:numPr>
                <w:ilvl w:val="0"/>
                <w:numId w:val="0"/>
              </w:numPr>
              <w:spacing w:before="0"/>
              <w:rPr>
                <w:sz w:val="21"/>
                <w:szCs w:val="21"/>
              </w:rPr>
            </w:pPr>
          </w:p>
        </w:tc>
        <w:tc>
          <w:tcPr>
            <w:tcW w:w="1292" w:type="dxa"/>
          </w:tcPr>
          <w:p w:rsidR="003333DA" w:rsidRPr="00997F0E" w:rsidRDefault="003333DA" w:rsidP="00E15624">
            <w:pPr>
              <w:pStyle w:val="SGACP-enumerationniveau1"/>
              <w:numPr>
                <w:ilvl w:val="0"/>
                <w:numId w:val="0"/>
              </w:numPr>
              <w:spacing w:before="0"/>
              <w:rPr>
                <w:sz w:val="21"/>
                <w:szCs w:val="21"/>
              </w:rPr>
            </w:pPr>
          </w:p>
        </w:tc>
      </w:tr>
      <w:tr w:rsidR="00246EC8" w:rsidRPr="00997F0E" w:rsidTr="006914B8">
        <w:tc>
          <w:tcPr>
            <w:tcW w:w="2323" w:type="dxa"/>
            <w:vAlign w:val="center"/>
          </w:tcPr>
          <w:p w:rsidR="003333DA" w:rsidRPr="00997F0E" w:rsidRDefault="003333DA" w:rsidP="006914B8">
            <w:pPr>
              <w:pStyle w:val="SGACP-enumerationniveau1"/>
              <w:numPr>
                <w:ilvl w:val="0"/>
                <w:numId w:val="0"/>
              </w:numPr>
              <w:spacing w:before="0"/>
              <w:rPr>
                <w:sz w:val="21"/>
                <w:szCs w:val="21"/>
              </w:rPr>
            </w:pPr>
            <w:r w:rsidRPr="00997F0E">
              <w:rPr>
                <w:i/>
                <w:iCs/>
                <w:sz w:val="21"/>
                <w:szCs w:val="21"/>
              </w:rPr>
              <w:t>A.2.b.i. Dérivés à des visées de financement de positions</w:t>
            </w: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r>
      <w:tr w:rsidR="00246EC8" w:rsidRPr="00997F0E" w:rsidTr="006914B8">
        <w:tc>
          <w:tcPr>
            <w:tcW w:w="2323" w:type="dxa"/>
            <w:vAlign w:val="center"/>
          </w:tcPr>
          <w:p w:rsidR="003333DA" w:rsidRPr="00997F0E" w:rsidRDefault="003333DA" w:rsidP="006914B8">
            <w:pPr>
              <w:pStyle w:val="SGACP-enumerationniveau1"/>
              <w:numPr>
                <w:ilvl w:val="0"/>
                <w:numId w:val="0"/>
              </w:numPr>
              <w:spacing w:before="0"/>
              <w:rPr>
                <w:sz w:val="21"/>
                <w:szCs w:val="21"/>
              </w:rPr>
            </w:pPr>
            <w:r w:rsidRPr="00997F0E">
              <w:rPr>
                <w:i/>
                <w:iCs/>
                <w:sz w:val="21"/>
                <w:szCs w:val="21"/>
              </w:rPr>
              <w:t>A.2.b.ii. Autres dérivés</w:t>
            </w: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r>
      <w:tr w:rsidR="00246EC8" w:rsidRPr="00997F0E" w:rsidTr="006914B8">
        <w:tc>
          <w:tcPr>
            <w:tcW w:w="2323" w:type="dxa"/>
            <w:vAlign w:val="center"/>
          </w:tcPr>
          <w:p w:rsidR="003333DA" w:rsidRPr="00997F0E" w:rsidRDefault="003333DA" w:rsidP="006914B8">
            <w:pPr>
              <w:pStyle w:val="SGACP-enumerationniveau1"/>
              <w:numPr>
                <w:ilvl w:val="0"/>
                <w:numId w:val="0"/>
              </w:numPr>
              <w:spacing w:before="0"/>
              <w:rPr>
                <w:sz w:val="21"/>
                <w:szCs w:val="21"/>
              </w:rPr>
            </w:pPr>
            <w:r w:rsidRPr="00997F0E">
              <w:rPr>
                <w:b/>
                <w:bCs/>
                <w:sz w:val="21"/>
                <w:szCs w:val="21"/>
              </w:rPr>
              <w:t>A.3. Autres</w:t>
            </w: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r>
      <w:tr w:rsidR="00246EC8" w:rsidRPr="00997F0E" w:rsidTr="006914B8">
        <w:tc>
          <w:tcPr>
            <w:tcW w:w="2323" w:type="dxa"/>
            <w:vAlign w:val="center"/>
          </w:tcPr>
          <w:p w:rsidR="003333DA" w:rsidRPr="00997F0E" w:rsidRDefault="003333DA" w:rsidP="006914B8">
            <w:pPr>
              <w:pStyle w:val="SGACP-enumerationniveau1"/>
              <w:numPr>
                <w:ilvl w:val="0"/>
                <w:numId w:val="0"/>
              </w:numPr>
              <w:spacing w:before="0"/>
              <w:rPr>
                <w:sz w:val="21"/>
                <w:szCs w:val="21"/>
              </w:rPr>
            </w:pPr>
            <w:r w:rsidRPr="00997F0E">
              <w:rPr>
                <w:b/>
                <w:bCs/>
                <w:sz w:val="21"/>
                <w:szCs w:val="21"/>
                <w:u w:val="single"/>
              </w:rPr>
              <w:t>B. Investissements dans des OPC ou de véhicules similaires</w:t>
            </w: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r>
      <w:tr w:rsidR="00246EC8" w:rsidRPr="00997F0E" w:rsidTr="006914B8">
        <w:tc>
          <w:tcPr>
            <w:tcW w:w="2323" w:type="dxa"/>
            <w:vAlign w:val="center"/>
          </w:tcPr>
          <w:p w:rsidR="003333DA" w:rsidRPr="00997F0E" w:rsidRDefault="003333DA" w:rsidP="006914B8">
            <w:pPr>
              <w:pStyle w:val="SGACP-enumerationniveau1"/>
              <w:numPr>
                <w:ilvl w:val="0"/>
                <w:numId w:val="0"/>
              </w:numPr>
              <w:spacing w:before="0"/>
              <w:rPr>
                <w:sz w:val="21"/>
                <w:szCs w:val="21"/>
              </w:rPr>
            </w:pPr>
            <w:r w:rsidRPr="00997F0E">
              <w:rPr>
                <w:b/>
                <w:bCs/>
                <w:color w:val="000000"/>
                <w:sz w:val="21"/>
                <w:szCs w:val="21"/>
              </w:rPr>
              <w:t>B.1. Détention de parts d'OPC ou de véhicules similaires</w:t>
            </w: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rsidR="003333DA" w:rsidRPr="00997F0E" w:rsidRDefault="003333DA" w:rsidP="006914B8">
            <w:pPr>
              <w:pStyle w:val="SGACP-enumerationniveau1"/>
              <w:numPr>
                <w:ilvl w:val="0"/>
                <w:numId w:val="0"/>
              </w:numPr>
              <w:spacing w:before="0"/>
              <w:rPr>
                <w:sz w:val="21"/>
                <w:szCs w:val="21"/>
              </w:rPr>
            </w:pPr>
          </w:p>
        </w:tc>
        <w:tc>
          <w:tcPr>
            <w:tcW w:w="1292" w:type="dxa"/>
            <w:shd w:val="clear" w:color="auto" w:fill="D9D9D9" w:themeFill="background1" w:themeFillShade="D9"/>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r>
      <w:tr w:rsidR="00246EC8" w:rsidRPr="00997F0E" w:rsidTr="006914B8">
        <w:tc>
          <w:tcPr>
            <w:tcW w:w="2323" w:type="dxa"/>
            <w:vAlign w:val="center"/>
          </w:tcPr>
          <w:p w:rsidR="003333DA" w:rsidRPr="00997F0E" w:rsidRDefault="003333DA" w:rsidP="006914B8">
            <w:pPr>
              <w:pStyle w:val="SGACP-enumerationniveau1"/>
              <w:numPr>
                <w:ilvl w:val="0"/>
                <w:numId w:val="0"/>
              </w:numPr>
              <w:spacing w:before="0"/>
              <w:rPr>
                <w:sz w:val="21"/>
                <w:szCs w:val="21"/>
              </w:rPr>
            </w:pPr>
            <w:r w:rsidRPr="00997F0E">
              <w:rPr>
                <w:b/>
                <w:bCs/>
                <w:sz w:val="21"/>
                <w:szCs w:val="21"/>
              </w:rPr>
              <w:t>B.2. Autres</w:t>
            </w: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r>
      <w:tr w:rsidR="00246EC8" w:rsidRPr="00997F0E" w:rsidTr="006914B8">
        <w:tc>
          <w:tcPr>
            <w:tcW w:w="2323" w:type="dxa"/>
            <w:vAlign w:val="center"/>
          </w:tcPr>
          <w:p w:rsidR="003333DA" w:rsidRPr="00997F0E" w:rsidRDefault="003333DA" w:rsidP="006914B8">
            <w:pPr>
              <w:pStyle w:val="SGACP-enumerationniveau1"/>
              <w:numPr>
                <w:ilvl w:val="0"/>
                <w:numId w:val="0"/>
              </w:numPr>
              <w:spacing w:before="0"/>
              <w:rPr>
                <w:sz w:val="21"/>
                <w:szCs w:val="21"/>
              </w:rPr>
            </w:pPr>
            <w:r w:rsidRPr="00997F0E">
              <w:rPr>
                <w:b/>
                <w:bCs/>
                <w:sz w:val="21"/>
                <w:szCs w:val="21"/>
                <w:u w:val="single"/>
              </w:rPr>
              <w:t>Total (A+B)</w:t>
            </w: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c>
          <w:tcPr>
            <w:tcW w:w="1292" w:type="dxa"/>
          </w:tcPr>
          <w:p w:rsidR="003333DA" w:rsidRPr="00997F0E" w:rsidRDefault="003333DA" w:rsidP="006914B8">
            <w:pPr>
              <w:pStyle w:val="SGACP-enumerationniveau1"/>
              <w:numPr>
                <w:ilvl w:val="0"/>
                <w:numId w:val="0"/>
              </w:numPr>
              <w:spacing w:before="0"/>
              <w:rPr>
                <w:sz w:val="21"/>
                <w:szCs w:val="21"/>
              </w:rPr>
            </w:pPr>
          </w:p>
        </w:tc>
      </w:tr>
    </w:tbl>
    <w:p w:rsidR="003333DA" w:rsidRDefault="003333DA" w:rsidP="006914B8">
      <w:pPr>
        <w:pStyle w:val="SGACP-enumerationniveau1"/>
        <w:numPr>
          <w:ilvl w:val="0"/>
          <w:numId w:val="0"/>
        </w:numPr>
        <w:ind w:left="284"/>
      </w:pPr>
    </w:p>
    <w:p w:rsidR="00246EC8" w:rsidRPr="00E15624" w:rsidRDefault="00A42E8A" w:rsidP="006914B8">
      <w:pPr>
        <w:pStyle w:val="SGACP-enumerationniveau1"/>
        <w:numPr>
          <w:ilvl w:val="1"/>
          <w:numId w:val="39"/>
        </w:numPr>
        <w:ind w:left="284" w:hanging="284"/>
      </w:pPr>
      <w:r w:rsidRPr="00E15624">
        <w:t xml:space="preserve"> p</w:t>
      </w:r>
      <w:r w:rsidR="00CE54CC" w:rsidRPr="00E15624">
        <w:t xml:space="preserve">our les </w:t>
      </w:r>
      <w:r w:rsidR="00246EC8" w:rsidRPr="00E15624">
        <w:t>établissement</w:t>
      </w:r>
      <w:r w:rsidR="00CE54CC" w:rsidRPr="00E15624">
        <w:t xml:space="preserve">s respectant </w:t>
      </w:r>
      <w:r w:rsidR="00301F2E" w:rsidRPr="00E15624">
        <w:t xml:space="preserve">l'une des conditions suivantes à la date d'arrêté </w:t>
      </w:r>
      <w:r w:rsidR="00246EC8" w:rsidRPr="00E15624">
        <w:t>:</w:t>
      </w:r>
    </w:p>
    <w:p w:rsidR="00246EC8" w:rsidRDefault="00246EC8" w:rsidP="006914B8">
      <w:pPr>
        <w:pStyle w:val="Paragraphedeliste"/>
        <w:ind w:left="851"/>
        <w:contextualSpacing w:val="0"/>
        <w:rPr>
          <w:iCs/>
        </w:rPr>
      </w:pPr>
      <w:r w:rsidRPr="00246EC8">
        <w:rPr>
          <w:iCs/>
        </w:rPr>
        <w:t xml:space="preserve">- </w:t>
      </w:r>
      <w:r w:rsidR="003F396B">
        <w:rPr>
          <w:iCs/>
        </w:rPr>
        <w:t>la valeur</w:t>
      </w:r>
      <w:r w:rsidRPr="00246EC8">
        <w:rPr>
          <w:iCs/>
        </w:rPr>
        <w:t xml:space="preserve"> comptable brut</w:t>
      </w:r>
      <w:r w:rsidR="003F396B">
        <w:rPr>
          <w:iCs/>
        </w:rPr>
        <w:t>e</w:t>
      </w:r>
      <w:r w:rsidRPr="00246EC8">
        <w:rPr>
          <w:iCs/>
        </w:rPr>
        <w:t xml:space="preserve"> IFRS </w:t>
      </w:r>
      <w:r w:rsidR="003F396B">
        <w:rPr>
          <w:iCs/>
        </w:rPr>
        <w:t>de la ligne « T</w:t>
      </w:r>
      <w:r w:rsidRPr="00246EC8">
        <w:rPr>
          <w:iCs/>
        </w:rPr>
        <w:t>otal</w:t>
      </w:r>
      <w:r w:rsidR="003F396B">
        <w:rPr>
          <w:iCs/>
        </w:rPr>
        <w:t xml:space="preserve"> (A+B) »</w:t>
      </w:r>
      <w:r w:rsidRPr="00246EC8">
        <w:rPr>
          <w:iCs/>
        </w:rPr>
        <w:t xml:space="preserve"> est supérieur à 300 MEUR </w:t>
      </w:r>
    </w:p>
    <w:p w:rsidR="00246EC8" w:rsidRDefault="00246EC8" w:rsidP="006914B8">
      <w:pPr>
        <w:pStyle w:val="Paragraphedeliste"/>
        <w:ind w:left="851"/>
        <w:contextualSpacing w:val="0"/>
        <w:rPr>
          <w:iCs/>
        </w:rPr>
      </w:pPr>
      <w:r w:rsidRPr="00246EC8">
        <w:rPr>
          <w:iCs/>
        </w:rPr>
        <w:lastRenderedPageBreak/>
        <w:t xml:space="preserve">- la valeur exposée au risque avant prise en compte des sûretés </w:t>
      </w:r>
      <w:r w:rsidR="003F396B">
        <w:rPr>
          <w:iCs/>
        </w:rPr>
        <w:t xml:space="preserve">de la ligne « Total (A+B) » </w:t>
      </w:r>
      <w:r w:rsidRPr="00246EC8">
        <w:rPr>
          <w:iCs/>
        </w:rPr>
        <w:t xml:space="preserve">est supérieure à 300 MEUR </w:t>
      </w:r>
    </w:p>
    <w:p w:rsidR="00246EC8" w:rsidRDefault="00246EC8" w:rsidP="006914B8">
      <w:pPr>
        <w:pStyle w:val="Paragraphedeliste"/>
        <w:ind w:left="851"/>
        <w:contextualSpacing w:val="0"/>
        <w:rPr>
          <w:iCs/>
        </w:rPr>
      </w:pPr>
      <w:r w:rsidRPr="00246EC8">
        <w:rPr>
          <w:iCs/>
        </w:rPr>
        <w:t>- la valeur exposée au risque avant prise en compte des sûretés</w:t>
      </w:r>
      <w:r w:rsidR="003F396B">
        <w:rPr>
          <w:iCs/>
        </w:rPr>
        <w:t xml:space="preserve"> de la ligne « Total (A+B) » </w:t>
      </w:r>
      <w:r w:rsidRPr="00246EC8">
        <w:rPr>
          <w:iCs/>
        </w:rPr>
        <w:t>est supérieure à 5% des fonds propres prudentiels</w:t>
      </w:r>
      <w:r w:rsidR="00E15624">
        <w:rPr>
          <w:iCs/>
        </w:rPr>
        <w:t> :</w:t>
      </w:r>
    </w:p>
    <w:p w:rsidR="003F396B" w:rsidRPr="003F396B" w:rsidRDefault="00E15624" w:rsidP="00E15624">
      <w:pPr>
        <w:keepNext/>
        <w:numPr>
          <w:ilvl w:val="1"/>
          <w:numId w:val="40"/>
        </w:numPr>
        <w:spacing w:before="120"/>
      </w:pPr>
      <w:r>
        <w:rPr>
          <w:sz w:val="22"/>
        </w:rPr>
        <w:t>compléter le tableau ci-dessous :</w:t>
      </w:r>
    </w:p>
    <w:p w:rsidR="00246EC8" w:rsidRDefault="00246EC8" w:rsidP="00E15624">
      <w:pPr>
        <w:pStyle w:val="Paragraphedeliste"/>
        <w:ind w:left="1440"/>
        <w:contextualSpacing w:val="0"/>
        <w:rPr>
          <w:iCs/>
        </w:rPr>
      </w:pPr>
    </w:p>
    <w:tbl>
      <w:tblPr>
        <w:tblStyle w:val="Grilledutableau"/>
        <w:tblW w:w="9351" w:type="dxa"/>
        <w:tblLook w:val="04A0" w:firstRow="1" w:lastRow="0" w:firstColumn="1" w:lastColumn="0" w:noHBand="0" w:noVBand="1"/>
      </w:tblPr>
      <w:tblGrid>
        <w:gridCol w:w="6658"/>
        <w:gridCol w:w="2693"/>
      </w:tblGrid>
      <w:tr w:rsidR="00246EC8" w:rsidRPr="00997F0E" w:rsidTr="002F6550">
        <w:tc>
          <w:tcPr>
            <w:tcW w:w="6658" w:type="dxa"/>
            <w:vAlign w:val="center"/>
          </w:tcPr>
          <w:p w:rsidR="00246EC8" w:rsidRPr="00997F0E" w:rsidRDefault="001A5F8B" w:rsidP="002F6550">
            <w:pPr>
              <w:pStyle w:val="SGACP-enumerationniveau1"/>
              <w:numPr>
                <w:ilvl w:val="0"/>
                <w:numId w:val="0"/>
              </w:numPr>
              <w:spacing w:before="0"/>
              <w:jc w:val="center"/>
              <w:rPr>
                <w:sz w:val="21"/>
                <w:szCs w:val="21"/>
              </w:rPr>
            </w:pPr>
            <w:r w:rsidRPr="00997F0E">
              <w:rPr>
                <w:i/>
                <w:sz w:val="21"/>
                <w:szCs w:val="21"/>
              </w:rPr>
              <w:t xml:space="preserve"> KEUR</w:t>
            </w:r>
          </w:p>
        </w:tc>
        <w:tc>
          <w:tcPr>
            <w:tcW w:w="2693" w:type="dxa"/>
            <w:vAlign w:val="center"/>
          </w:tcPr>
          <w:p w:rsidR="00246EC8" w:rsidRPr="00997F0E" w:rsidRDefault="00246EC8" w:rsidP="003E722C">
            <w:pPr>
              <w:pStyle w:val="SGACP-enumerationniveau1"/>
              <w:numPr>
                <w:ilvl w:val="0"/>
                <w:numId w:val="0"/>
              </w:numPr>
              <w:spacing w:before="0"/>
              <w:jc w:val="center"/>
              <w:rPr>
                <w:sz w:val="21"/>
                <w:szCs w:val="21"/>
              </w:rPr>
            </w:pPr>
            <w:r w:rsidRPr="00997F0E">
              <w:rPr>
                <w:sz w:val="21"/>
                <w:szCs w:val="21"/>
              </w:rPr>
              <w:t>Produit net bancaire</w:t>
            </w:r>
          </w:p>
        </w:tc>
      </w:tr>
      <w:tr w:rsidR="00246EC8" w:rsidRPr="00997F0E" w:rsidTr="003E722C">
        <w:tc>
          <w:tcPr>
            <w:tcW w:w="6658" w:type="dxa"/>
            <w:vAlign w:val="center"/>
          </w:tcPr>
          <w:p w:rsidR="00246EC8" w:rsidRPr="00997F0E" w:rsidRDefault="00246EC8" w:rsidP="00246EC8">
            <w:pPr>
              <w:pStyle w:val="SGACP-enumerationniveau1"/>
              <w:numPr>
                <w:ilvl w:val="0"/>
                <w:numId w:val="0"/>
              </w:numPr>
              <w:spacing w:before="0"/>
              <w:jc w:val="left"/>
              <w:rPr>
                <w:sz w:val="21"/>
                <w:szCs w:val="21"/>
              </w:rPr>
            </w:pPr>
            <w:r w:rsidRPr="00997F0E">
              <w:rPr>
                <w:b/>
                <w:bCs/>
                <w:sz w:val="21"/>
                <w:szCs w:val="21"/>
                <w:u w:val="single"/>
              </w:rPr>
              <w:t>A. Opérations ayant pour contrepartie des OPC ou des véhicules similaires</w:t>
            </w:r>
          </w:p>
        </w:tc>
        <w:tc>
          <w:tcPr>
            <w:tcW w:w="2693" w:type="dxa"/>
          </w:tcPr>
          <w:p w:rsidR="00246EC8" w:rsidRPr="00997F0E" w:rsidRDefault="00246EC8" w:rsidP="00246EC8">
            <w:pPr>
              <w:pStyle w:val="SGACP-enumerationniveau1"/>
              <w:numPr>
                <w:ilvl w:val="0"/>
                <w:numId w:val="0"/>
              </w:numPr>
              <w:rPr>
                <w:sz w:val="21"/>
                <w:szCs w:val="21"/>
              </w:rPr>
            </w:pPr>
          </w:p>
        </w:tc>
      </w:tr>
      <w:tr w:rsidR="00246EC8" w:rsidRPr="00997F0E" w:rsidTr="003E722C">
        <w:tc>
          <w:tcPr>
            <w:tcW w:w="6658" w:type="dxa"/>
            <w:vAlign w:val="center"/>
          </w:tcPr>
          <w:p w:rsidR="00246EC8" w:rsidRPr="00997F0E" w:rsidRDefault="00246EC8" w:rsidP="00246EC8">
            <w:pPr>
              <w:pStyle w:val="SGACP-enumerationniveau1"/>
              <w:numPr>
                <w:ilvl w:val="0"/>
                <w:numId w:val="0"/>
              </w:numPr>
              <w:spacing w:before="0"/>
              <w:jc w:val="left"/>
              <w:rPr>
                <w:sz w:val="21"/>
                <w:szCs w:val="21"/>
              </w:rPr>
            </w:pPr>
            <w:r w:rsidRPr="00997F0E">
              <w:rPr>
                <w:b/>
                <w:bCs/>
                <w:sz w:val="21"/>
                <w:szCs w:val="21"/>
              </w:rPr>
              <w:t>A.1. Activités de financement hors opérations de marché</w:t>
            </w:r>
          </w:p>
        </w:tc>
        <w:tc>
          <w:tcPr>
            <w:tcW w:w="2693" w:type="dxa"/>
          </w:tcPr>
          <w:p w:rsidR="00246EC8" w:rsidRPr="00997F0E" w:rsidRDefault="00246EC8" w:rsidP="00246EC8">
            <w:pPr>
              <w:pStyle w:val="SGACP-enumerationniveau1"/>
              <w:numPr>
                <w:ilvl w:val="0"/>
                <w:numId w:val="0"/>
              </w:numPr>
              <w:rPr>
                <w:sz w:val="21"/>
                <w:szCs w:val="21"/>
              </w:rPr>
            </w:pPr>
          </w:p>
        </w:tc>
      </w:tr>
      <w:tr w:rsidR="00246EC8" w:rsidRPr="00997F0E" w:rsidTr="003E722C">
        <w:tc>
          <w:tcPr>
            <w:tcW w:w="6658" w:type="dxa"/>
            <w:vAlign w:val="center"/>
          </w:tcPr>
          <w:p w:rsidR="00246EC8" w:rsidRPr="00997F0E" w:rsidRDefault="00246EC8" w:rsidP="00246EC8">
            <w:pPr>
              <w:pStyle w:val="SGACP-enumerationniveau1"/>
              <w:numPr>
                <w:ilvl w:val="0"/>
                <w:numId w:val="0"/>
              </w:numPr>
              <w:spacing w:before="0"/>
              <w:jc w:val="left"/>
              <w:rPr>
                <w:sz w:val="21"/>
                <w:szCs w:val="21"/>
              </w:rPr>
            </w:pPr>
            <w:r w:rsidRPr="00997F0E">
              <w:rPr>
                <w:b/>
                <w:bCs/>
                <w:sz w:val="21"/>
                <w:szCs w:val="21"/>
              </w:rPr>
              <w:t>A.2. Opérations de marché</w:t>
            </w:r>
          </w:p>
        </w:tc>
        <w:tc>
          <w:tcPr>
            <w:tcW w:w="2693" w:type="dxa"/>
          </w:tcPr>
          <w:p w:rsidR="00246EC8" w:rsidRPr="00997F0E" w:rsidRDefault="00246EC8" w:rsidP="00246EC8">
            <w:pPr>
              <w:pStyle w:val="SGACP-enumerationniveau1"/>
              <w:numPr>
                <w:ilvl w:val="0"/>
                <w:numId w:val="0"/>
              </w:numPr>
              <w:rPr>
                <w:sz w:val="21"/>
                <w:szCs w:val="21"/>
              </w:rPr>
            </w:pPr>
          </w:p>
        </w:tc>
      </w:tr>
      <w:tr w:rsidR="00246EC8" w:rsidRPr="00997F0E" w:rsidTr="003E722C">
        <w:tc>
          <w:tcPr>
            <w:tcW w:w="6658" w:type="dxa"/>
            <w:vAlign w:val="center"/>
          </w:tcPr>
          <w:p w:rsidR="00246EC8" w:rsidRPr="00997F0E" w:rsidRDefault="00246EC8" w:rsidP="00246EC8">
            <w:pPr>
              <w:pStyle w:val="SGACP-enumerationniveau1"/>
              <w:numPr>
                <w:ilvl w:val="0"/>
                <w:numId w:val="0"/>
              </w:numPr>
              <w:spacing w:before="0"/>
              <w:jc w:val="left"/>
              <w:rPr>
                <w:sz w:val="21"/>
                <w:szCs w:val="21"/>
              </w:rPr>
            </w:pPr>
            <w:r w:rsidRPr="00997F0E">
              <w:rPr>
                <w:b/>
                <w:bCs/>
                <w:sz w:val="21"/>
                <w:szCs w:val="21"/>
              </w:rPr>
              <w:t>A.3. Autres</w:t>
            </w:r>
          </w:p>
        </w:tc>
        <w:tc>
          <w:tcPr>
            <w:tcW w:w="2693" w:type="dxa"/>
          </w:tcPr>
          <w:p w:rsidR="00246EC8" w:rsidRPr="00997F0E" w:rsidRDefault="00246EC8" w:rsidP="00246EC8">
            <w:pPr>
              <w:pStyle w:val="SGACP-enumerationniveau1"/>
              <w:numPr>
                <w:ilvl w:val="0"/>
                <w:numId w:val="0"/>
              </w:numPr>
              <w:rPr>
                <w:sz w:val="21"/>
                <w:szCs w:val="21"/>
              </w:rPr>
            </w:pPr>
          </w:p>
        </w:tc>
      </w:tr>
      <w:tr w:rsidR="00246EC8" w:rsidRPr="00997F0E" w:rsidTr="003E722C">
        <w:tc>
          <w:tcPr>
            <w:tcW w:w="6658" w:type="dxa"/>
            <w:vAlign w:val="center"/>
          </w:tcPr>
          <w:p w:rsidR="00246EC8" w:rsidRPr="00997F0E" w:rsidRDefault="00246EC8" w:rsidP="00246EC8">
            <w:pPr>
              <w:pStyle w:val="SGACP-enumerationniveau1"/>
              <w:numPr>
                <w:ilvl w:val="0"/>
                <w:numId w:val="0"/>
              </w:numPr>
              <w:spacing w:before="0"/>
              <w:jc w:val="left"/>
              <w:rPr>
                <w:sz w:val="21"/>
                <w:szCs w:val="21"/>
              </w:rPr>
            </w:pPr>
            <w:r w:rsidRPr="00997F0E">
              <w:rPr>
                <w:b/>
                <w:bCs/>
                <w:sz w:val="21"/>
                <w:szCs w:val="21"/>
                <w:u w:val="single"/>
              </w:rPr>
              <w:t>B. Investissements dans des OPC ou de véhicules similaires</w:t>
            </w:r>
          </w:p>
        </w:tc>
        <w:tc>
          <w:tcPr>
            <w:tcW w:w="2693" w:type="dxa"/>
          </w:tcPr>
          <w:p w:rsidR="00246EC8" w:rsidRPr="00997F0E" w:rsidRDefault="00246EC8" w:rsidP="00246EC8">
            <w:pPr>
              <w:pStyle w:val="SGACP-enumerationniveau1"/>
              <w:numPr>
                <w:ilvl w:val="0"/>
                <w:numId w:val="0"/>
              </w:numPr>
              <w:rPr>
                <w:sz w:val="21"/>
                <w:szCs w:val="21"/>
              </w:rPr>
            </w:pPr>
          </w:p>
        </w:tc>
      </w:tr>
      <w:tr w:rsidR="00246EC8" w:rsidRPr="00997F0E" w:rsidTr="003E722C">
        <w:tc>
          <w:tcPr>
            <w:tcW w:w="6658" w:type="dxa"/>
            <w:vAlign w:val="center"/>
          </w:tcPr>
          <w:p w:rsidR="00246EC8" w:rsidRPr="00997F0E" w:rsidRDefault="00246EC8" w:rsidP="00246EC8">
            <w:pPr>
              <w:pStyle w:val="SGACP-enumerationniveau1"/>
              <w:numPr>
                <w:ilvl w:val="0"/>
                <w:numId w:val="0"/>
              </w:numPr>
              <w:spacing w:before="0"/>
              <w:jc w:val="left"/>
              <w:rPr>
                <w:sz w:val="21"/>
                <w:szCs w:val="21"/>
              </w:rPr>
            </w:pPr>
            <w:r w:rsidRPr="00997F0E">
              <w:rPr>
                <w:b/>
                <w:bCs/>
                <w:color w:val="000000"/>
                <w:sz w:val="21"/>
                <w:szCs w:val="21"/>
              </w:rPr>
              <w:t>B.1. Détention de parts d'OPC ou de véhicules similaires</w:t>
            </w:r>
          </w:p>
        </w:tc>
        <w:tc>
          <w:tcPr>
            <w:tcW w:w="2693" w:type="dxa"/>
          </w:tcPr>
          <w:p w:rsidR="00246EC8" w:rsidRPr="00997F0E" w:rsidRDefault="00246EC8" w:rsidP="00246EC8">
            <w:pPr>
              <w:pStyle w:val="SGACP-enumerationniveau1"/>
              <w:numPr>
                <w:ilvl w:val="0"/>
                <w:numId w:val="0"/>
              </w:numPr>
              <w:rPr>
                <w:sz w:val="21"/>
                <w:szCs w:val="21"/>
              </w:rPr>
            </w:pPr>
          </w:p>
        </w:tc>
      </w:tr>
      <w:tr w:rsidR="00246EC8" w:rsidRPr="00997F0E" w:rsidTr="003E722C">
        <w:tc>
          <w:tcPr>
            <w:tcW w:w="6658" w:type="dxa"/>
            <w:vAlign w:val="center"/>
          </w:tcPr>
          <w:p w:rsidR="00246EC8" w:rsidRPr="00997F0E" w:rsidRDefault="00246EC8" w:rsidP="00246EC8">
            <w:pPr>
              <w:pStyle w:val="SGACP-enumerationniveau1"/>
              <w:numPr>
                <w:ilvl w:val="0"/>
                <w:numId w:val="0"/>
              </w:numPr>
              <w:spacing w:before="0"/>
              <w:jc w:val="left"/>
              <w:rPr>
                <w:i/>
                <w:iCs/>
                <w:sz w:val="21"/>
                <w:szCs w:val="21"/>
              </w:rPr>
            </w:pPr>
            <w:r w:rsidRPr="00997F0E">
              <w:rPr>
                <w:b/>
                <w:bCs/>
                <w:sz w:val="21"/>
                <w:szCs w:val="21"/>
              </w:rPr>
              <w:t>B.2. Autres</w:t>
            </w:r>
          </w:p>
        </w:tc>
        <w:tc>
          <w:tcPr>
            <w:tcW w:w="2693" w:type="dxa"/>
          </w:tcPr>
          <w:p w:rsidR="00246EC8" w:rsidRPr="00997F0E" w:rsidRDefault="00246EC8" w:rsidP="00246EC8">
            <w:pPr>
              <w:pStyle w:val="SGACP-enumerationniveau1"/>
              <w:numPr>
                <w:ilvl w:val="0"/>
                <w:numId w:val="0"/>
              </w:numPr>
              <w:rPr>
                <w:sz w:val="21"/>
                <w:szCs w:val="21"/>
              </w:rPr>
            </w:pPr>
          </w:p>
        </w:tc>
      </w:tr>
      <w:tr w:rsidR="00246EC8" w:rsidRPr="00997F0E" w:rsidTr="003E722C">
        <w:tc>
          <w:tcPr>
            <w:tcW w:w="6658" w:type="dxa"/>
            <w:vAlign w:val="center"/>
          </w:tcPr>
          <w:p w:rsidR="00246EC8" w:rsidRPr="00997F0E" w:rsidRDefault="00246EC8" w:rsidP="00246EC8">
            <w:pPr>
              <w:pStyle w:val="SGACP-enumerationniveau1"/>
              <w:numPr>
                <w:ilvl w:val="0"/>
                <w:numId w:val="0"/>
              </w:numPr>
              <w:spacing w:before="0"/>
              <w:jc w:val="left"/>
              <w:rPr>
                <w:i/>
                <w:iCs/>
                <w:sz w:val="21"/>
                <w:szCs w:val="21"/>
              </w:rPr>
            </w:pPr>
            <w:r w:rsidRPr="00997F0E">
              <w:rPr>
                <w:b/>
                <w:bCs/>
                <w:sz w:val="21"/>
                <w:szCs w:val="21"/>
                <w:u w:val="single"/>
              </w:rPr>
              <w:t>C. Autres activités ne générant pas de risque de crédit ou de contrepartie</w:t>
            </w:r>
          </w:p>
        </w:tc>
        <w:tc>
          <w:tcPr>
            <w:tcW w:w="2693" w:type="dxa"/>
          </w:tcPr>
          <w:p w:rsidR="00246EC8" w:rsidRPr="00997F0E" w:rsidRDefault="00246EC8" w:rsidP="00246EC8">
            <w:pPr>
              <w:pStyle w:val="SGACP-enumerationniveau1"/>
              <w:numPr>
                <w:ilvl w:val="0"/>
                <w:numId w:val="0"/>
              </w:numPr>
              <w:rPr>
                <w:sz w:val="21"/>
                <w:szCs w:val="21"/>
              </w:rPr>
            </w:pPr>
          </w:p>
        </w:tc>
      </w:tr>
      <w:tr w:rsidR="00246EC8" w:rsidRPr="00997F0E" w:rsidTr="003E722C">
        <w:tc>
          <w:tcPr>
            <w:tcW w:w="6658" w:type="dxa"/>
            <w:vAlign w:val="center"/>
          </w:tcPr>
          <w:p w:rsidR="00246EC8" w:rsidRPr="00997F0E" w:rsidRDefault="00246EC8" w:rsidP="00246EC8">
            <w:pPr>
              <w:pStyle w:val="SGACP-enumerationniveau1"/>
              <w:numPr>
                <w:ilvl w:val="0"/>
                <w:numId w:val="0"/>
              </w:numPr>
              <w:spacing w:before="0"/>
              <w:jc w:val="left"/>
              <w:rPr>
                <w:i/>
                <w:iCs/>
                <w:sz w:val="21"/>
                <w:szCs w:val="21"/>
              </w:rPr>
            </w:pPr>
            <w:r w:rsidRPr="00997F0E">
              <w:rPr>
                <w:b/>
                <w:bCs/>
                <w:sz w:val="21"/>
                <w:szCs w:val="21"/>
                <w:u w:val="single"/>
              </w:rPr>
              <w:t>Total (A+B+C)</w:t>
            </w:r>
          </w:p>
        </w:tc>
        <w:tc>
          <w:tcPr>
            <w:tcW w:w="2693" w:type="dxa"/>
          </w:tcPr>
          <w:p w:rsidR="00246EC8" w:rsidRPr="00997F0E" w:rsidRDefault="00246EC8" w:rsidP="00246EC8">
            <w:pPr>
              <w:pStyle w:val="SGACP-enumerationniveau1"/>
              <w:numPr>
                <w:ilvl w:val="0"/>
                <w:numId w:val="0"/>
              </w:numPr>
              <w:rPr>
                <w:sz w:val="21"/>
                <w:szCs w:val="21"/>
              </w:rPr>
            </w:pPr>
          </w:p>
        </w:tc>
      </w:tr>
    </w:tbl>
    <w:p w:rsidR="00246EC8" w:rsidRDefault="00246EC8" w:rsidP="00E15624">
      <w:pPr>
        <w:pStyle w:val="Paragraphedeliste"/>
        <w:ind w:left="1440"/>
        <w:contextualSpacing w:val="0"/>
        <w:rPr>
          <w:iCs/>
        </w:rPr>
      </w:pPr>
    </w:p>
    <w:p w:rsidR="00301F2E" w:rsidRPr="00301F2E" w:rsidRDefault="00E15624" w:rsidP="00E15624">
      <w:pPr>
        <w:pStyle w:val="Paragraphedeliste"/>
        <w:numPr>
          <w:ilvl w:val="1"/>
          <w:numId w:val="40"/>
        </w:numPr>
        <w:contextualSpacing w:val="0"/>
        <w:rPr>
          <w:iCs/>
        </w:rPr>
      </w:pPr>
      <w:r>
        <w:rPr>
          <w:iCs/>
        </w:rPr>
        <w:t>p</w:t>
      </w:r>
      <w:r w:rsidR="00CE54CC">
        <w:rPr>
          <w:iCs/>
        </w:rPr>
        <w:t>réciser les</w:t>
      </w:r>
      <w:r w:rsidR="00301F2E" w:rsidRPr="00301F2E">
        <w:rPr>
          <w:iCs/>
        </w:rPr>
        <w:t xml:space="preserve"> indicateurs utilisés pour mesurer le couple rendement-risques des différentes activités</w:t>
      </w:r>
      <w:r w:rsidR="00CE54CC">
        <w:rPr>
          <w:iCs/>
        </w:rPr>
        <w:t> ;</w:t>
      </w:r>
    </w:p>
    <w:p w:rsidR="00301F2E" w:rsidRPr="00301F2E" w:rsidRDefault="00E15624" w:rsidP="00E15624">
      <w:pPr>
        <w:pStyle w:val="Paragraphedeliste"/>
        <w:numPr>
          <w:ilvl w:val="1"/>
          <w:numId w:val="40"/>
        </w:numPr>
        <w:contextualSpacing w:val="0"/>
        <w:rPr>
          <w:iCs/>
        </w:rPr>
      </w:pPr>
      <w:r>
        <w:rPr>
          <w:iCs/>
        </w:rPr>
        <w:t>i</w:t>
      </w:r>
      <w:r w:rsidR="00CE54CC">
        <w:rPr>
          <w:iCs/>
        </w:rPr>
        <w:t xml:space="preserve">ndiquer </w:t>
      </w:r>
      <w:r w:rsidR="003F396B">
        <w:rPr>
          <w:iCs/>
        </w:rPr>
        <w:t>à</w:t>
      </w:r>
      <w:r w:rsidR="00301F2E" w:rsidRPr="00301F2E">
        <w:rPr>
          <w:iCs/>
        </w:rPr>
        <w:t xml:space="preserve"> quelle granularité et à quelle fréquence les indicateurs sont</w:t>
      </w:r>
      <w:r w:rsidR="00CE54CC">
        <w:rPr>
          <w:iCs/>
        </w:rPr>
        <w:t xml:space="preserve"> </w:t>
      </w:r>
      <w:r w:rsidR="00301F2E" w:rsidRPr="00301F2E">
        <w:rPr>
          <w:iCs/>
        </w:rPr>
        <w:t>calculés et suivis</w:t>
      </w:r>
      <w:r w:rsidR="00CE54CC">
        <w:rPr>
          <w:iCs/>
        </w:rPr>
        <w:t> ;</w:t>
      </w:r>
      <w:r w:rsidR="00301F2E" w:rsidRPr="00301F2E">
        <w:rPr>
          <w:iCs/>
        </w:rPr>
        <w:t xml:space="preserve"> </w:t>
      </w:r>
    </w:p>
    <w:p w:rsidR="00301F2E" w:rsidRDefault="003E4058" w:rsidP="002F6550">
      <w:pPr>
        <w:pStyle w:val="Paragraphedeliste"/>
        <w:numPr>
          <w:ilvl w:val="1"/>
          <w:numId w:val="40"/>
        </w:numPr>
        <w:contextualSpacing w:val="0"/>
        <w:rPr>
          <w:iCs/>
        </w:rPr>
      </w:pPr>
      <w:r>
        <w:rPr>
          <w:iCs/>
        </w:rPr>
        <w:t xml:space="preserve">préciser les éventuels </w:t>
      </w:r>
      <w:r w:rsidR="00301F2E" w:rsidRPr="00301F2E">
        <w:rPr>
          <w:iCs/>
        </w:rPr>
        <w:t xml:space="preserve">objectifs quantitatifs ou limites </w:t>
      </w:r>
      <w:r>
        <w:rPr>
          <w:iCs/>
        </w:rPr>
        <w:t>assortis aux</w:t>
      </w:r>
      <w:r w:rsidRPr="00301F2E">
        <w:rPr>
          <w:iCs/>
        </w:rPr>
        <w:t xml:space="preserve"> indicateurs</w:t>
      </w:r>
      <w:r>
        <w:rPr>
          <w:iCs/>
        </w:rPr>
        <w:t>;</w:t>
      </w:r>
    </w:p>
    <w:p w:rsidR="00246EC8" w:rsidRPr="00435247" w:rsidRDefault="00246EC8" w:rsidP="002F6550">
      <w:pPr>
        <w:rPr>
          <w:iCs/>
        </w:rPr>
      </w:pPr>
    </w:p>
    <w:p w:rsidR="00301F2E" w:rsidRDefault="00FD37C4" w:rsidP="002F6550">
      <w:pPr>
        <w:pStyle w:val="SGACP-enumerationniveau1"/>
        <w:spacing w:before="0"/>
        <w:ind w:left="284" w:hanging="284"/>
      </w:pPr>
      <w:r>
        <w:t>d</w:t>
      </w:r>
      <w:r w:rsidR="00934639" w:rsidRPr="00FD37C4">
        <w:t>escription des dispositifs de maîtrise des risques précités et contrôles afférents</w:t>
      </w:r>
      <w:r w:rsidR="003F396B">
        <w:t> ;</w:t>
      </w:r>
    </w:p>
    <w:p w:rsidR="003F396B" w:rsidRDefault="00C72ECA" w:rsidP="002F6550">
      <w:pPr>
        <w:pStyle w:val="SGACP-enumerationniveau1"/>
        <w:ind w:left="284" w:hanging="284"/>
        <w:rPr>
          <w:iCs/>
        </w:rPr>
      </w:pPr>
      <w:r w:rsidRPr="00262482">
        <w:t xml:space="preserve">préciser </w:t>
      </w:r>
      <w:r w:rsidR="003F396B" w:rsidRPr="00262482">
        <w:t>p</w:t>
      </w:r>
      <w:r w:rsidR="00301F2E" w:rsidRPr="00262482">
        <w:t xml:space="preserve">armi les </w:t>
      </w:r>
      <w:r w:rsidR="003F396B" w:rsidRPr="00262482">
        <w:t>lignes d’activité internes</w:t>
      </w:r>
      <w:r w:rsidR="00301F2E" w:rsidRPr="00262482">
        <w:t xml:space="preserve"> présentées dans la description générale des activités,</w:t>
      </w:r>
      <w:r w:rsidR="00301F2E" w:rsidRPr="00435247">
        <w:rPr>
          <w:iCs/>
        </w:rPr>
        <w:t xml:space="preserve"> lesquelles sont encadrées par une politique de collatéralisation</w:t>
      </w:r>
      <w:r>
        <w:rPr>
          <w:iCs/>
        </w:rPr>
        <w:t> ;</w:t>
      </w:r>
      <w:r w:rsidR="00301F2E" w:rsidRPr="00435247">
        <w:rPr>
          <w:iCs/>
        </w:rPr>
        <w:tab/>
      </w:r>
    </w:p>
    <w:p w:rsidR="00301F2E" w:rsidRPr="00262482" w:rsidRDefault="00262482" w:rsidP="002F6550">
      <w:pPr>
        <w:pStyle w:val="SGACP-enumerationniveau1"/>
        <w:ind w:left="284" w:hanging="284"/>
      </w:pPr>
      <w:r>
        <w:t>p</w:t>
      </w:r>
      <w:r w:rsidR="003F396B" w:rsidRPr="00262482">
        <w:t>our chaque ligne d’activité encadrée par une politique de collatéralisation :</w:t>
      </w:r>
    </w:p>
    <w:p w:rsidR="00301F2E" w:rsidRPr="003B4A79" w:rsidRDefault="00301F2E" w:rsidP="002F6550">
      <w:pPr>
        <w:pStyle w:val="Paragraphedeliste"/>
        <w:numPr>
          <w:ilvl w:val="1"/>
          <w:numId w:val="133"/>
        </w:numPr>
        <w:contextualSpacing w:val="0"/>
        <w:rPr>
          <w:iCs/>
        </w:rPr>
      </w:pPr>
      <w:r w:rsidRPr="003E722C">
        <w:rPr>
          <w:iCs/>
        </w:rPr>
        <w:t>résumer ses principes</w:t>
      </w:r>
      <w:r w:rsidR="0032595D">
        <w:rPr>
          <w:iCs/>
        </w:rPr>
        <w:t> ;</w:t>
      </w:r>
    </w:p>
    <w:p w:rsidR="00301F2E" w:rsidRPr="00262482" w:rsidRDefault="0032595D" w:rsidP="002F6550">
      <w:pPr>
        <w:pStyle w:val="Paragraphedeliste"/>
        <w:numPr>
          <w:ilvl w:val="1"/>
          <w:numId w:val="133"/>
        </w:numPr>
        <w:contextualSpacing w:val="0"/>
        <w:rPr>
          <w:iCs/>
        </w:rPr>
      </w:pPr>
      <w:r>
        <w:rPr>
          <w:iCs/>
        </w:rPr>
        <w:t xml:space="preserve">présenter </w:t>
      </w:r>
      <w:r w:rsidR="003F396B">
        <w:rPr>
          <w:iCs/>
        </w:rPr>
        <w:t>l</w:t>
      </w:r>
      <w:r w:rsidR="00301F2E" w:rsidRPr="003B4A79">
        <w:rPr>
          <w:iCs/>
        </w:rPr>
        <w:t>es critères d'éligibilité, de disponibilité et de quantité des sûretés permettant de s'assurer que ces sûretés protègent les expositions générées par ces opérations, conformément aux dispositions de l'article 7 de l'arrêté portan</w:t>
      </w:r>
      <w:r w:rsidR="003F396B">
        <w:rPr>
          <w:iCs/>
        </w:rPr>
        <w:t>t application de la loi SRAB</w:t>
      </w:r>
      <w:r>
        <w:rPr>
          <w:iCs/>
        </w:rPr>
        <w:t>;</w:t>
      </w:r>
    </w:p>
    <w:p w:rsidR="003F396B" w:rsidRPr="00262482" w:rsidRDefault="002C6CC7" w:rsidP="002F6550">
      <w:pPr>
        <w:pStyle w:val="Paragraphedeliste"/>
        <w:numPr>
          <w:ilvl w:val="1"/>
          <w:numId w:val="133"/>
        </w:numPr>
        <w:contextualSpacing w:val="0"/>
        <w:rPr>
          <w:iCs/>
        </w:rPr>
      </w:pPr>
      <w:r>
        <w:rPr>
          <w:iCs/>
        </w:rPr>
        <w:t xml:space="preserve">préciser </w:t>
      </w:r>
      <w:r w:rsidR="003F396B">
        <w:rPr>
          <w:iCs/>
        </w:rPr>
        <w:t>c</w:t>
      </w:r>
      <w:r w:rsidR="00301F2E" w:rsidRPr="003B4A79">
        <w:rPr>
          <w:iCs/>
        </w:rPr>
        <w:t>omment les critères de quantité et de disponibilité des sûretés sont adaptés à leur qualité et au niveau des risques induits par les opérati</w:t>
      </w:r>
      <w:r w:rsidR="00301F2E">
        <w:rPr>
          <w:iCs/>
        </w:rPr>
        <w:t>ons garanties par ces sûretés</w:t>
      </w:r>
      <w:r>
        <w:rPr>
          <w:iCs/>
        </w:rPr>
        <w:t> ;</w:t>
      </w:r>
    </w:p>
    <w:p w:rsidR="003F396B" w:rsidRPr="00262482" w:rsidRDefault="003F396B" w:rsidP="002F6550">
      <w:pPr>
        <w:pStyle w:val="Paragraphedeliste"/>
        <w:numPr>
          <w:ilvl w:val="1"/>
          <w:numId w:val="133"/>
        </w:numPr>
        <w:contextualSpacing w:val="0"/>
        <w:rPr>
          <w:iCs/>
        </w:rPr>
      </w:pPr>
      <w:r>
        <w:rPr>
          <w:iCs/>
        </w:rPr>
        <w:t>l</w:t>
      </w:r>
      <w:r w:rsidR="00301F2E" w:rsidRPr="003E722C">
        <w:rPr>
          <w:iCs/>
        </w:rPr>
        <w:t xml:space="preserve">orsque les critères de qualité et de disponibilité ne sont pas respectés, </w:t>
      </w:r>
      <w:r w:rsidR="003E4058">
        <w:rPr>
          <w:iCs/>
        </w:rPr>
        <w:t xml:space="preserve">indiquer si </w:t>
      </w:r>
      <w:r w:rsidR="00301F2E" w:rsidRPr="003E722C">
        <w:rPr>
          <w:iCs/>
        </w:rPr>
        <w:t>la mise en place d'une exigence de quantité plus importante</w:t>
      </w:r>
      <w:r>
        <w:rPr>
          <w:iCs/>
        </w:rPr>
        <w:t xml:space="preserve"> </w:t>
      </w:r>
      <w:r w:rsidR="00301F2E" w:rsidRPr="003E722C">
        <w:rPr>
          <w:iCs/>
        </w:rPr>
        <w:t xml:space="preserve">est </w:t>
      </w:r>
      <w:r w:rsidR="00301F2E">
        <w:rPr>
          <w:iCs/>
        </w:rPr>
        <w:t>prévue</w:t>
      </w:r>
      <w:r w:rsidR="003E4058">
        <w:rPr>
          <w:iCs/>
        </w:rPr>
        <w:t xml:space="preserve"> et si oui d</w:t>
      </w:r>
      <w:r w:rsidR="00301F2E">
        <w:rPr>
          <w:iCs/>
        </w:rPr>
        <w:t>ans quelle mesure</w:t>
      </w:r>
      <w:r w:rsidR="003E4058">
        <w:rPr>
          <w:iCs/>
        </w:rPr>
        <w:t> ;</w:t>
      </w:r>
      <w:r w:rsidR="00301F2E">
        <w:rPr>
          <w:iCs/>
        </w:rPr>
        <w:t xml:space="preserve"> </w:t>
      </w:r>
    </w:p>
    <w:p w:rsidR="003F396B" w:rsidRPr="00262482" w:rsidRDefault="006914B8" w:rsidP="002F6550">
      <w:pPr>
        <w:pStyle w:val="Paragraphedeliste"/>
        <w:numPr>
          <w:ilvl w:val="1"/>
          <w:numId w:val="133"/>
        </w:numPr>
        <w:contextualSpacing w:val="0"/>
        <w:rPr>
          <w:iCs/>
        </w:rPr>
      </w:pPr>
      <w:r>
        <w:rPr>
          <w:iCs/>
        </w:rPr>
        <w:t xml:space="preserve">indiquer si </w:t>
      </w:r>
      <w:r w:rsidR="003F396B">
        <w:rPr>
          <w:iCs/>
        </w:rPr>
        <w:t>l</w:t>
      </w:r>
      <w:r w:rsidR="00301F2E" w:rsidRPr="00435247">
        <w:rPr>
          <w:iCs/>
        </w:rPr>
        <w:t>a politique prévoit des dérogations éventuelles à son application</w:t>
      </w:r>
      <w:r>
        <w:rPr>
          <w:iCs/>
        </w:rPr>
        <w:t>.</w:t>
      </w:r>
      <w:r w:rsidR="00301F2E" w:rsidRPr="00435247">
        <w:rPr>
          <w:iCs/>
        </w:rPr>
        <w:t xml:space="preserve"> Le cas échéant, </w:t>
      </w:r>
      <w:r>
        <w:rPr>
          <w:iCs/>
        </w:rPr>
        <w:t xml:space="preserve">décrire </w:t>
      </w:r>
      <w:r w:rsidR="00301F2E" w:rsidRPr="00435247">
        <w:rPr>
          <w:iCs/>
        </w:rPr>
        <w:t xml:space="preserve">comment elles </w:t>
      </w:r>
      <w:r>
        <w:rPr>
          <w:iCs/>
        </w:rPr>
        <w:t xml:space="preserve">sont </w:t>
      </w:r>
      <w:r w:rsidR="00301F2E" w:rsidRPr="00435247">
        <w:rPr>
          <w:iCs/>
        </w:rPr>
        <w:t>encadrées</w:t>
      </w:r>
      <w:r>
        <w:rPr>
          <w:iCs/>
        </w:rPr>
        <w:t> ;</w:t>
      </w:r>
    </w:p>
    <w:p w:rsidR="00301F2E" w:rsidRDefault="00C72ECA" w:rsidP="002F6550">
      <w:pPr>
        <w:pStyle w:val="Paragraphedeliste"/>
        <w:numPr>
          <w:ilvl w:val="1"/>
          <w:numId w:val="133"/>
        </w:numPr>
        <w:contextualSpacing w:val="0"/>
        <w:rPr>
          <w:iCs/>
        </w:rPr>
      </w:pPr>
      <w:r>
        <w:rPr>
          <w:iCs/>
        </w:rPr>
        <w:t xml:space="preserve">préciser si </w:t>
      </w:r>
      <w:r w:rsidR="003F396B">
        <w:rPr>
          <w:iCs/>
        </w:rPr>
        <w:t>d</w:t>
      </w:r>
      <w:r w:rsidR="00301F2E" w:rsidRPr="00435247">
        <w:rPr>
          <w:iCs/>
        </w:rPr>
        <w:t>es indicateurs sont utilisés pour mesurer le degré de collatéralisation des opérations</w:t>
      </w:r>
      <w:r>
        <w:rPr>
          <w:iCs/>
        </w:rPr>
        <w:t xml:space="preserve">. Si oui, </w:t>
      </w:r>
      <w:r w:rsidR="00301F2E" w:rsidRPr="00435247">
        <w:rPr>
          <w:iCs/>
        </w:rPr>
        <w:t>les définir et commenter leur utilisation opérationnelle</w:t>
      </w:r>
      <w:r>
        <w:rPr>
          <w:iCs/>
        </w:rPr>
        <w:t> ;</w:t>
      </w:r>
    </w:p>
    <w:p w:rsidR="00301F2E" w:rsidRPr="00435247" w:rsidRDefault="00301F2E" w:rsidP="002F6550">
      <w:pPr>
        <w:pStyle w:val="Paragraphedeliste"/>
        <w:ind w:left="1440"/>
        <w:contextualSpacing w:val="0"/>
        <w:rPr>
          <w:iCs/>
        </w:rPr>
      </w:pPr>
    </w:p>
    <w:p w:rsidR="00301F2E" w:rsidRPr="00262482" w:rsidRDefault="00301F2E" w:rsidP="002F6550">
      <w:pPr>
        <w:pStyle w:val="Paragraphedeliste"/>
        <w:numPr>
          <w:ilvl w:val="1"/>
          <w:numId w:val="39"/>
        </w:numPr>
        <w:ind w:left="284" w:hanging="284"/>
        <w:rPr>
          <w:iCs/>
        </w:rPr>
      </w:pPr>
      <w:r w:rsidRPr="00262482">
        <w:t>résumer les principes retenus pour encadrer les degrés de concentration (i) des</w:t>
      </w:r>
      <w:r w:rsidRPr="00262482">
        <w:rPr>
          <w:iCs/>
        </w:rPr>
        <w:t xml:space="preserve"> expositions individuelles sur un OPC ou un autre véhicule similaire ayant recours à l'effet de levier de manière substantielle, et (ii) des sûretés obtenues de la part de cette contrepartie</w:t>
      </w:r>
      <w:r w:rsidR="00A42E8A" w:rsidRPr="00262482">
        <w:rPr>
          <w:iCs/>
        </w:rPr>
        <w:t>.</w:t>
      </w:r>
      <w:r w:rsidRPr="00262482">
        <w:rPr>
          <w:iCs/>
        </w:rPr>
        <w:tab/>
      </w:r>
    </w:p>
    <w:p w:rsidR="008E03C1" w:rsidRDefault="008E03C1" w:rsidP="00FD37C4">
      <w:pPr>
        <w:pStyle w:val="SGACP-enumerationniveau1"/>
        <w:numPr>
          <w:ilvl w:val="0"/>
          <w:numId w:val="0"/>
        </w:numPr>
        <w:spacing w:before="0"/>
        <w:ind w:left="284"/>
      </w:pPr>
    </w:p>
    <w:p w:rsidR="00110755" w:rsidRDefault="008F3AF1" w:rsidP="00FD37C4">
      <w:pPr>
        <w:pStyle w:val="SGACP-sous-titrederubriquenivaeu2"/>
        <w:spacing w:after="120"/>
      </w:pPr>
      <w:r>
        <w:t>19</w:t>
      </w:r>
      <w:r w:rsidR="00FD37C4">
        <w:t>.4. Résultats des contrôles</w:t>
      </w:r>
    </w:p>
    <w:p w:rsidR="00110755" w:rsidRPr="00FD37C4" w:rsidRDefault="00FD37C4" w:rsidP="00FD37C4">
      <w:pPr>
        <w:pStyle w:val="SGACP-enumerationniveau1"/>
        <w:spacing w:before="0"/>
        <w:ind w:left="284" w:hanging="284"/>
      </w:pPr>
      <w:r w:rsidRPr="00FD37C4">
        <w:t>r</w:t>
      </w:r>
      <w:r w:rsidR="00110755" w:rsidRPr="00FD37C4">
        <w:t>ésultats du contrôle permanent relatif aux exigences prévues à l’article 2</w:t>
      </w:r>
      <w:r w:rsidR="009A6F5A" w:rsidRPr="00FD37C4">
        <w:t xml:space="preserve"> de l’arrêté du 9 septembre 2014 portant application du titre Ier de la loi n°2013-672 du 26 juillet 2013 de séparation et de </w:t>
      </w:r>
      <w:r w:rsidR="009A6F5A" w:rsidRPr="00FD37C4">
        <w:lastRenderedPageBreak/>
        <w:t>régulation des activités bancaires</w:t>
      </w:r>
      <w:r w:rsidR="00316D0F" w:rsidRPr="00FD37C4">
        <w:t xml:space="preserve">, </w:t>
      </w:r>
      <w:r w:rsidR="009A6F5A" w:rsidRPr="00FD37C4">
        <w:t>action</w:t>
      </w:r>
      <w:r w:rsidR="00110755" w:rsidRPr="00FD37C4">
        <w:t>s et mesures correctives engagées pour remédier aux insuffisances relevées ;</w:t>
      </w:r>
    </w:p>
    <w:p w:rsidR="00110755" w:rsidRDefault="00FD37C4" w:rsidP="001D505C">
      <w:pPr>
        <w:pStyle w:val="SGACP-enumerationniveau1"/>
        <w:ind w:left="284" w:hanging="284"/>
      </w:pPr>
      <w:r w:rsidRPr="00FD37C4">
        <w:t>r</w:t>
      </w:r>
      <w:r w:rsidR="00110755" w:rsidRPr="00FD37C4">
        <w:t>ésultats du contrôle périodique du</w:t>
      </w:r>
      <w:r w:rsidR="00110755">
        <w:t xml:space="preserve"> respect du titre Ier de la loi n°2013-672 du 26 juillet 2013 de séparation et de régulation bancaire, </w:t>
      </w:r>
      <w:r w:rsidR="009A6F5A">
        <w:t>ac</w:t>
      </w:r>
      <w:r w:rsidR="00110755">
        <w:t>tions et mesures correctives engagées pour remédier aux insuffisances relevées.</w:t>
      </w:r>
    </w:p>
    <w:p w:rsidR="00ED286C" w:rsidRDefault="00ED286C" w:rsidP="00ED286C">
      <w:pPr>
        <w:pStyle w:val="SGACP-enumerationniveau1"/>
        <w:numPr>
          <w:ilvl w:val="0"/>
          <w:numId w:val="0"/>
        </w:numPr>
        <w:spacing w:before="0"/>
        <w:ind w:left="284"/>
      </w:pPr>
    </w:p>
    <w:p w:rsidR="00703C4B" w:rsidRDefault="00703C4B" w:rsidP="00463A1C">
      <w:bookmarkStart w:id="233" w:name="_Toc244576480"/>
      <w:bookmarkStart w:id="234" w:name="_Toc244598010"/>
      <w:bookmarkStart w:id="235" w:name="_Toc244601064"/>
      <w:bookmarkStart w:id="236" w:name="_Toc244692482"/>
      <w:bookmarkStart w:id="237" w:name="_Toc244692551"/>
      <w:bookmarkStart w:id="238" w:name="_Toc244938471"/>
      <w:bookmarkStart w:id="239" w:name="_Toc244938704"/>
      <w:bookmarkStart w:id="240" w:name="_Toc266799847"/>
      <w:bookmarkStart w:id="241" w:name="_Toc266799870"/>
    </w:p>
    <w:p w:rsidR="006036AB" w:rsidRPr="00676039" w:rsidRDefault="00CD6D4E" w:rsidP="00FD37C4">
      <w:pPr>
        <w:pStyle w:val="StyleSGACP-titrederubriqueniveau1CouleurpersonnaliseRVB"/>
        <w:keepNext/>
        <w:keepLines/>
        <w:ind w:left="426" w:hanging="426"/>
      </w:pPr>
      <w:r>
        <w:t xml:space="preserve"> </w:t>
      </w:r>
      <w:bookmarkStart w:id="242" w:name="_Toc137799892"/>
      <w:r w:rsidR="006036AB">
        <w:t>Politique en matière d’</w:t>
      </w:r>
      <w:r w:rsidR="006036AB" w:rsidRPr="00651BBE">
        <w:t>externalis</w:t>
      </w:r>
      <w:r w:rsidR="006036AB">
        <w:t>ation</w:t>
      </w:r>
      <w:bookmarkEnd w:id="242"/>
    </w:p>
    <w:p w:rsidR="006036AB" w:rsidRDefault="006036AB" w:rsidP="006036AB"/>
    <w:p w:rsidR="00450314" w:rsidRDefault="00450314" w:rsidP="00065BBD">
      <w:pPr>
        <w:pStyle w:val="SGACP-enumerationniveau1"/>
        <w:ind w:left="284" w:hanging="284"/>
      </w:pPr>
      <w:r w:rsidRPr="00073AA7">
        <w:t>p</w:t>
      </w:r>
      <w:r w:rsidRPr="00BC1D0A">
        <w:t xml:space="preserve">résentation de la stratégie </w:t>
      </w:r>
      <w:r w:rsidR="00ED286C" w:rsidRPr="00BC1D0A">
        <w:t>de l’établiss</w:t>
      </w:r>
      <w:r w:rsidR="00ED286C" w:rsidRPr="00231890">
        <w:t xml:space="preserve">ement ou du groupe </w:t>
      </w:r>
      <w:r w:rsidRPr="00231890">
        <w:t>en matière d’externalisation</w:t>
      </w:r>
      <w:r w:rsidR="005E3783">
        <w:t xml:space="preserve">, </w:t>
      </w:r>
      <w:r w:rsidR="003E428E">
        <w:t>incluant</w:t>
      </w:r>
      <w:r w:rsidR="005E3783">
        <w:t xml:space="preserve"> notamment l</w:t>
      </w:r>
      <w:r w:rsidR="003E428E">
        <w:t>a description d</w:t>
      </w:r>
      <w:r w:rsidR="005E3783">
        <w:t xml:space="preserve">es </w:t>
      </w:r>
      <w:r w:rsidR="003E428E">
        <w:t>dispositions</w:t>
      </w:r>
      <w:r w:rsidR="005E3783">
        <w:t xml:space="preserve"> </w:t>
      </w:r>
      <w:r w:rsidR="003E428E">
        <w:t>existantes</w:t>
      </w:r>
      <w:r w:rsidR="005E3783">
        <w:t xml:space="preserve"> </w:t>
      </w:r>
      <w:r w:rsidR="003E428E">
        <w:t xml:space="preserve">pour éclairer la prise de décision d’externalisation </w:t>
      </w:r>
      <w:r w:rsidR="00361F6E" w:rsidRPr="00D1728C">
        <w:rPr>
          <w:i/>
        </w:rPr>
        <w:t>(analyse préalable menée sur la criticité de l’activité à externaliser et l’évaluation des risques associés</w:t>
      </w:r>
      <w:r w:rsidR="00361F6E">
        <w:rPr>
          <w:i/>
        </w:rPr>
        <w:t>…</w:t>
      </w:r>
      <w:r w:rsidR="00361F6E" w:rsidRPr="00D1728C">
        <w:rPr>
          <w:i/>
        </w:rPr>
        <w:t>)</w:t>
      </w:r>
      <w:r w:rsidR="00361F6E">
        <w:t xml:space="preserve"> </w:t>
      </w:r>
      <w:r w:rsidR="003E428E">
        <w:t>avant que celle-ci ne soit effective</w:t>
      </w:r>
      <w:r w:rsidR="007A52AA">
        <w:t xml:space="preserve"> (notamment quand cela peut affecter les TIC de l’établissement)</w:t>
      </w:r>
      <w:r w:rsidRPr="00231890">
        <w:t> ;</w:t>
      </w:r>
    </w:p>
    <w:p w:rsidR="00CE5AA0" w:rsidRPr="00231890" w:rsidRDefault="00C5461D" w:rsidP="00C5461D">
      <w:pPr>
        <w:pStyle w:val="SGACP-enumerationniveau1"/>
        <w:ind w:left="284" w:hanging="284"/>
      </w:pPr>
      <w:r>
        <w:t xml:space="preserve">adaptations prises </w:t>
      </w:r>
      <w:r w:rsidR="00CE5AA0">
        <w:t>pour</w:t>
      </w:r>
      <w:r>
        <w:t xml:space="preserve"> se conformer à l’exigence de </w:t>
      </w:r>
      <w:r w:rsidR="00CE5AA0">
        <w:t xml:space="preserve">tenue d’un registre comprenant les informations visées à la section 11 des </w:t>
      </w:r>
      <w:r w:rsidR="000001E8">
        <w:t>O</w:t>
      </w:r>
      <w:r w:rsidR="00CE5AA0">
        <w:t>rientations de l’ABE sur l’ensemble des dispositifs d’externalisation </w:t>
      </w:r>
      <w:r>
        <w:t>(</w:t>
      </w:r>
      <w:r w:rsidRPr="00C5461D">
        <w:t>cf. article 2</w:t>
      </w:r>
      <w:r>
        <w:t>38</w:t>
      </w:r>
      <w:r w:rsidRPr="00C5461D">
        <w:t xml:space="preserve"> de l’arrêté du 3 novembre 2014</w:t>
      </w:r>
      <w:r w:rsidR="00B15F0F">
        <w:t xml:space="preserve"> modifié</w:t>
      </w:r>
      <w:r w:rsidRPr="00C5461D">
        <w:t>)</w:t>
      </w:r>
      <w:r w:rsidR="00CE5AA0">
        <w:t xml:space="preserve">; </w:t>
      </w:r>
    </w:p>
    <w:p w:rsidR="00231890" w:rsidRDefault="006036AB" w:rsidP="00460E3D">
      <w:pPr>
        <w:pStyle w:val="SGACP-enumerationniveau1"/>
        <w:ind w:left="284" w:hanging="284"/>
      </w:pPr>
      <w:r w:rsidRPr="00231890">
        <w:t xml:space="preserve">description </w:t>
      </w:r>
      <w:r w:rsidR="00450314" w:rsidRPr="00231890">
        <w:t>d</w:t>
      </w:r>
      <w:r w:rsidRPr="00231890">
        <w:t>es activités externalisées</w:t>
      </w:r>
      <w:r w:rsidR="003632D1">
        <w:rPr>
          <w:rStyle w:val="Appelnotedebasdep"/>
        </w:rPr>
        <w:footnoteReference w:id="13"/>
      </w:r>
      <w:r w:rsidR="00450314" w:rsidRPr="00231890">
        <w:t xml:space="preserve"> </w:t>
      </w:r>
      <w:r w:rsidR="00BF1837" w:rsidRPr="00231890">
        <w:t>(au sens des paragraphes q) et r) de l’article 10 de l’arrêté du 3 novembre 2014</w:t>
      </w:r>
      <w:r w:rsidR="00192F7C">
        <w:t xml:space="preserve"> modifié</w:t>
      </w:r>
      <w:r w:rsidR="00BF1837" w:rsidRPr="00231890">
        <w:t>)</w:t>
      </w:r>
      <w:r w:rsidR="00231890" w:rsidRPr="00231890">
        <w:t xml:space="preserve"> et</w:t>
      </w:r>
      <w:r w:rsidRPr="00231890">
        <w:t xml:space="preserve"> proportion</w:t>
      </w:r>
      <w:r w:rsidR="00450314" w:rsidRPr="00231890">
        <w:t xml:space="preserve"> </w:t>
      </w:r>
      <w:r w:rsidRPr="00231890">
        <w:t xml:space="preserve">par rapport à l’activité globale de l’établissement </w:t>
      </w:r>
      <w:r w:rsidRPr="00231890">
        <w:rPr>
          <w:i/>
        </w:rPr>
        <w:t>(</w:t>
      </w:r>
      <w:r w:rsidR="00450314" w:rsidRPr="00231890">
        <w:rPr>
          <w:i/>
        </w:rPr>
        <w:t>dans s</w:t>
      </w:r>
      <w:r w:rsidR="00ED286C" w:rsidRPr="00231890">
        <w:rPr>
          <w:i/>
        </w:rPr>
        <w:t>on ensemble</w:t>
      </w:r>
      <w:r w:rsidR="00450314" w:rsidRPr="00231890">
        <w:rPr>
          <w:i/>
        </w:rPr>
        <w:t xml:space="preserve"> et</w:t>
      </w:r>
      <w:r w:rsidR="00CD6D4E" w:rsidRPr="00231890">
        <w:rPr>
          <w:i/>
        </w:rPr>
        <w:t xml:space="preserve"> </w:t>
      </w:r>
      <w:r w:rsidRPr="00231890">
        <w:rPr>
          <w:i/>
        </w:rPr>
        <w:t>domaine par domaine</w:t>
      </w:r>
      <w:r w:rsidR="00CD6D4E" w:rsidRPr="00231890">
        <w:rPr>
          <w:i/>
        </w:rPr>
        <w:t>)</w:t>
      </w:r>
      <w:r w:rsidR="00231890" w:rsidRPr="00231890">
        <w:rPr>
          <w:i/>
        </w:rPr>
        <w:t> </w:t>
      </w:r>
      <w:r w:rsidR="00231890" w:rsidRPr="00231890">
        <w:t>;</w:t>
      </w:r>
    </w:p>
    <w:p w:rsidR="00B1448D" w:rsidRPr="00231890" w:rsidRDefault="009516A5" w:rsidP="00CE5AA0">
      <w:pPr>
        <w:pStyle w:val="SGACP-enumerationniveau1"/>
        <w:ind w:left="284" w:hanging="284"/>
      </w:pPr>
      <w:r w:rsidRPr="00CE5AA0">
        <w:t xml:space="preserve">communication </w:t>
      </w:r>
      <w:r w:rsidR="00B20931" w:rsidRPr="00CE5AA0">
        <w:t xml:space="preserve">de l’extraction </w:t>
      </w:r>
      <w:r w:rsidR="00CE5AA0" w:rsidRPr="00CE5AA0">
        <w:t>annuelle du registre mentionnant les dispositifs d'externalisation portant sur l</w:t>
      </w:r>
      <w:r w:rsidR="003632D1" w:rsidRPr="00CE5AA0">
        <w:t>es activités essentielles ou importantes (au sens de l’article 10 de l’arrêté du 3 novembre 2014</w:t>
      </w:r>
      <w:r w:rsidR="00B15F0F">
        <w:t xml:space="preserve"> modifié</w:t>
      </w:r>
      <w:r w:rsidR="003632D1" w:rsidRPr="00CE5AA0">
        <w:t>)</w:t>
      </w:r>
      <w:r w:rsidR="00CE5AA0">
        <w:t> </w:t>
      </w:r>
      <w:r w:rsidR="003632D1">
        <w:t>;</w:t>
      </w:r>
    </w:p>
    <w:p w:rsidR="006036AB" w:rsidRDefault="00477B99" w:rsidP="00460E3D">
      <w:pPr>
        <w:pStyle w:val="SGACP-enumerationniveau1"/>
        <w:ind w:left="284" w:hanging="284"/>
      </w:pPr>
      <w:r w:rsidRPr="00073AA7">
        <w:t xml:space="preserve">description des </w:t>
      </w:r>
      <w:r w:rsidR="00BF1837" w:rsidRPr="00073AA7">
        <w:t xml:space="preserve">conditions dans lesquelles a lieu le recours à l’externalisation : </w:t>
      </w:r>
      <w:r w:rsidR="004B0ECF">
        <w:t xml:space="preserve">nom du fournisseur de services, </w:t>
      </w:r>
      <w:r w:rsidR="00BF1837" w:rsidRPr="00073AA7">
        <w:t xml:space="preserve">pays d’implantation, agrément et surveillance prudentielle des prestataires externes, </w:t>
      </w:r>
      <w:r w:rsidR="00F7177B" w:rsidRPr="00073AA7">
        <w:t xml:space="preserve">procédures mises en place en vue de s’assurer de l’existence d’un contrat écrit et </w:t>
      </w:r>
      <w:r w:rsidR="00231890" w:rsidRPr="00073AA7">
        <w:t>de sa conformité avec les</w:t>
      </w:r>
      <w:r w:rsidR="00F7177B" w:rsidRPr="00073AA7">
        <w:t xml:space="preserve"> exigences de l’article 239 de l’arrêté du 3 novembre 2014</w:t>
      </w:r>
      <w:r w:rsidR="00192F7C">
        <w:t xml:space="preserve"> modifié</w:t>
      </w:r>
      <w:r w:rsidR="00F7177B" w:rsidRPr="00073AA7">
        <w:t xml:space="preserve">, </w:t>
      </w:r>
      <w:r w:rsidR="00073AA7">
        <w:t xml:space="preserve">y compris </w:t>
      </w:r>
      <w:r w:rsidR="00073AA7" w:rsidRPr="00073AA7">
        <w:t>celle permettan</w:t>
      </w:r>
      <w:r w:rsidR="00073AA7" w:rsidRPr="00BC1D0A">
        <w:t>t à</w:t>
      </w:r>
      <w:r w:rsidR="00BF1D95" w:rsidRPr="00460E3D">
        <w:t xml:space="preserve"> l’Autorité de contrôle prudentiel et de résolution, ou la BCE selon les cas, </w:t>
      </w:r>
      <w:r w:rsidR="00073AA7" w:rsidRPr="00460E3D">
        <w:t>de se rendre sur place au sein du prestataire extérieur</w:t>
      </w:r>
      <w:r w:rsidR="00BF1837" w:rsidRPr="00073AA7">
        <w:t>, etc.</w:t>
      </w:r>
      <w:r w:rsidR="00BF1837" w:rsidRPr="00BC1D0A">
        <w:t> ;</w:t>
      </w:r>
    </w:p>
    <w:p w:rsidR="004B0ECF" w:rsidRPr="00BC1D0A" w:rsidRDefault="004B0ECF" w:rsidP="00460E3D">
      <w:pPr>
        <w:pStyle w:val="SGACP-enumerationniveau1"/>
        <w:ind w:left="284" w:hanging="284"/>
      </w:pPr>
      <w:r>
        <w:t>pour le cas particulier d’activités externalisées par le recours à un fournisseur de services en nuage (</w:t>
      </w:r>
      <w:r w:rsidRPr="004B0ECF">
        <w:rPr>
          <w:i/>
        </w:rPr>
        <w:t>cloud computing</w:t>
      </w:r>
      <w:r>
        <w:t>), description des conditions dans lesquelles a lieu le recours à l’externalisation</w:t>
      </w:r>
      <w:r w:rsidR="002B5522">
        <w:t> </w:t>
      </w:r>
      <w:r w:rsidR="005E3783">
        <w:t xml:space="preserve">: le modèle de services en nuage (public/privé…), les dates de début et d’expiration des services fournis, le nom des éventuels sous-traitants de « nième rang » et une indication sur </w:t>
      </w:r>
      <w:r w:rsidR="00A34019">
        <w:t>le caractère substituable</w:t>
      </w:r>
      <w:r w:rsidR="005E3783">
        <w:t xml:space="preserve"> </w:t>
      </w:r>
      <w:r w:rsidR="00A34019">
        <w:t>du</w:t>
      </w:r>
      <w:r w:rsidR="005E3783">
        <w:t xml:space="preserve"> fournisseur de services (facile/difficile/impossible)</w:t>
      </w:r>
      <w:r w:rsidR="00A34019">
        <w:t> ;</w:t>
      </w:r>
    </w:p>
    <w:p w:rsidR="006036AB" w:rsidRDefault="006036AB" w:rsidP="00460E3D">
      <w:pPr>
        <w:pStyle w:val="SGACP-enumerationniveau1"/>
        <w:ind w:left="284" w:hanging="284"/>
      </w:pPr>
      <w:r w:rsidRPr="00F7177B">
        <w:t xml:space="preserve">description du </w:t>
      </w:r>
      <w:r w:rsidR="00CD6D4E" w:rsidRPr="00F7177B">
        <w:t xml:space="preserve">dispositif de </w:t>
      </w:r>
      <w:r w:rsidRPr="00F7177B">
        <w:t>contrôle permanent et périodique des activités externalisées</w:t>
      </w:r>
      <w:r w:rsidR="00A142DC" w:rsidRPr="00F7177B">
        <w:t> ;</w:t>
      </w:r>
    </w:p>
    <w:p w:rsidR="00990316" w:rsidRPr="00F7177B" w:rsidRDefault="00990316" w:rsidP="00990316">
      <w:pPr>
        <w:pStyle w:val="SGACP-enumerationniveau1"/>
        <w:ind w:left="284" w:hanging="284"/>
      </w:pPr>
      <w:r>
        <w:t>descriptif de la méthodologie d’évaluation de la qualité de la prestation et sa fréquence de revue ;</w:t>
      </w:r>
    </w:p>
    <w:p w:rsidR="00450314" w:rsidRPr="00BC1D0A" w:rsidRDefault="00450314" w:rsidP="00450314">
      <w:pPr>
        <w:pStyle w:val="SGACP-enumerationniveau1"/>
        <w:ind w:left="284" w:hanging="284"/>
      </w:pPr>
      <w:r w:rsidRPr="00F7177B">
        <w:t>description du dispositif d’identification, de gestion et de suivi des risques associés à l'externalisation</w:t>
      </w:r>
      <w:r w:rsidR="00F7177B" w:rsidRPr="00460E3D">
        <w:t> </w:t>
      </w:r>
      <w:r w:rsidR="00F7177B" w:rsidRPr="00073AA7">
        <w:t>;</w:t>
      </w:r>
    </w:p>
    <w:p w:rsidR="00D401F3" w:rsidRDefault="00D401F3" w:rsidP="00073AA7">
      <w:pPr>
        <w:pStyle w:val="SGACP-enumerationniveau1"/>
        <w:ind w:left="284" w:hanging="284"/>
      </w:pPr>
      <w:r w:rsidRPr="00BC1D0A">
        <w:t xml:space="preserve">description des </w:t>
      </w:r>
      <w:r w:rsidR="00BF1D95" w:rsidRPr="00460E3D">
        <w:t>dispositifs</w:t>
      </w:r>
      <w:r w:rsidRPr="00073AA7">
        <w:t xml:space="preserve"> mis en œuvre </w:t>
      </w:r>
      <w:r w:rsidR="00F7177B" w:rsidRPr="00460E3D">
        <w:t xml:space="preserve">par l’établissement </w:t>
      </w:r>
      <w:r w:rsidRPr="00073AA7">
        <w:t xml:space="preserve">pour conserver l'expertise nécessaire </w:t>
      </w:r>
      <w:r w:rsidR="00F7177B" w:rsidRPr="00460E3D">
        <w:t>afin de</w:t>
      </w:r>
      <w:r w:rsidRPr="00073AA7">
        <w:t xml:space="preserve"> contrôler effectivement les a</w:t>
      </w:r>
      <w:r w:rsidRPr="00BC1D0A">
        <w:t>ctivités externalisées et gérer les risques</w:t>
      </w:r>
      <w:r w:rsidR="00F7177B" w:rsidRPr="00460E3D">
        <w:t xml:space="preserve"> associés à l'externalisation </w:t>
      </w:r>
      <w:r w:rsidR="00F7177B" w:rsidRPr="00073AA7">
        <w:t>;</w:t>
      </w:r>
    </w:p>
    <w:p w:rsidR="00361F6E" w:rsidRDefault="00361F6E" w:rsidP="00073AA7">
      <w:pPr>
        <w:pStyle w:val="SGACP-enumerationniveau1"/>
        <w:ind w:left="284" w:hanging="284"/>
      </w:pPr>
      <w:r>
        <w:t>description des procédures d’identification, d’évaluation et de gestion des conflits d’intérêts liés au dispositif d’externalisation de l’établissement, y compris entre entités du même groupe ;</w:t>
      </w:r>
    </w:p>
    <w:p w:rsidR="00C81FA0" w:rsidRPr="00BC1D0A" w:rsidRDefault="00591A97" w:rsidP="00073AA7">
      <w:pPr>
        <w:pStyle w:val="SGACP-enumerationniveau1"/>
        <w:ind w:left="284" w:hanging="284"/>
      </w:pPr>
      <w:r w:rsidRPr="00055D51">
        <w:t xml:space="preserve">description des plans de poursuite d’activité et de </w:t>
      </w:r>
      <w:r>
        <w:t>la stratégie de sortie</w:t>
      </w:r>
      <w:r w:rsidRPr="00055D51">
        <w:t xml:space="preserve"> définis pour les activités critiques ou importantes externalisées</w:t>
      </w:r>
      <w:r w:rsidR="00A3046A">
        <w:t xml:space="preserve"> : </w:t>
      </w:r>
      <w:r w:rsidR="00C81FA0">
        <w:t>formalisation des scénarii</w:t>
      </w:r>
      <w:r w:rsidR="00055D51">
        <w:t xml:space="preserve"> et objectifs</w:t>
      </w:r>
      <w:r w:rsidR="00C81FA0">
        <w:t xml:space="preserve"> retenus</w:t>
      </w:r>
      <w:r>
        <w:t xml:space="preserve"> </w:t>
      </w:r>
      <w:r w:rsidR="00055D51">
        <w:t>ainsi que</w:t>
      </w:r>
      <w:r w:rsidR="00C81FA0">
        <w:t xml:space="preserve"> des mesures alternatives </w:t>
      </w:r>
      <w:r>
        <w:t xml:space="preserve">envisagées, </w:t>
      </w:r>
      <w:r w:rsidR="00A3046A">
        <w:t>présentation d</w:t>
      </w:r>
      <w:r w:rsidR="00055D51">
        <w:t xml:space="preserve">es </w:t>
      </w:r>
      <w:r>
        <w:t>tests réalisés</w:t>
      </w:r>
      <w:r w:rsidR="00A3046A">
        <w:t xml:space="preserve"> (fréquence</w:t>
      </w:r>
      <w:r w:rsidR="00055D51">
        <w:t>, résultats</w:t>
      </w:r>
      <w:r w:rsidR="00A3046A">
        <w:t xml:space="preserve">…), </w:t>
      </w:r>
      <w:r w:rsidR="00A3046A" w:rsidRPr="007F2900">
        <w:t>reporting à la direction (su</w:t>
      </w:r>
      <w:r w:rsidR="00A3046A">
        <w:t xml:space="preserve">r les tests, les mises à jour apportées aux plans ou à la stratégie de sortie) </w:t>
      </w:r>
      <w:r w:rsidR="00055D51">
        <w:t> ;</w:t>
      </w:r>
    </w:p>
    <w:p w:rsidR="006036AB" w:rsidRDefault="006036AB" w:rsidP="006036AB">
      <w:pPr>
        <w:pStyle w:val="SGACP-enumerationniveau1"/>
        <w:ind w:left="284" w:hanging="284"/>
      </w:pPr>
      <w:r>
        <w:lastRenderedPageBreak/>
        <w:t>m</w:t>
      </w:r>
      <w:r w:rsidRPr="007F2900">
        <w:t>odalités d</w:t>
      </w:r>
      <w:r>
        <w:t>’</w:t>
      </w:r>
      <w:r w:rsidRPr="007F2900">
        <w:t>information de l</w:t>
      </w:r>
      <w:r>
        <w:t>’</w:t>
      </w:r>
      <w:r w:rsidRPr="007F2900">
        <w:t xml:space="preserve">organe </w:t>
      </w:r>
      <w:r>
        <w:t>de surveillance</w:t>
      </w:r>
      <w:r w:rsidRPr="00BA073B">
        <w:t xml:space="preserve"> </w:t>
      </w:r>
      <w:r>
        <w:t>ainsi que, le cas échéant, du comité des risques</w:t>
      </w:r>
      <w:r w:rsidRPr="007F2900">
        <w:t xml:space="preserve"> sur les mesures prises pour assurer le contrôle des activités externalisées et des risques</w:t>
      </w:r>
      <w:r>
        <w:t xml:space="preserve"> </w:t>
      </w:r>
      <w:r w:rsidRPr="007F2900">
        <w:t>en résultant (cf. article</w:t>
      </w:r>
      <w:r>
        <w:t> 253 c) de l’arrêté du 3 novembre 2014</w:t>
      </w:r>
      <w:r w:rsidR="00A721C6">
        <w:t xml:space="preserve"> modifié</w:t>
      </w:r>
      <w:r w:rsidRPr="007F2900">
        <w:t>)</w:t>
      </w:r>
      <w:r>
        <w:t> ;</w:t>
      </w:r>
    </w:p>
    <w:p w:rsidR="00BF1837" w:rsidRPr="00BF1837" w:rsidRDefault="00BF1837" w:rsidP="00460E3D">
      <w:pPr>
        <w:pStyle w:val="SGACP-enumerationniveau1"/>
        <w:ind w:left="284" w:hanging="284"/>
      </w:pPr>
      <w:r w:rsidRPr="00BF1837">
        <w:t xml:space="preserve">description des diligences effectuées par les dirigeants effectifs pour vérifier l’efficacité des dispositifs et procédures de contrôle interne </w:t>
      </w:r>
      <w:r w:rsidR="004A235A" w:rsidRPr="004A235A">
        <w:t xml:space="preserve">des activités externalisées </w:t>
      </w:r>
      <w:r w:rsidRPr="00BF1837">
        <w:t>(cf. articles 24</w:t>
      </w:r>
      <w:r w:rsidR="004A235A">
        <w:t>2</w:t>
      </w:r>
      <w:r w:rsidRPr="00BF1837">
        <w:t xml:space="preserve"> de l’arrêté du 3 novembre 2014</w:t>
      </w:r>
      <w:r w:rsidR="00A721C6">
        <w:t xml:space="preserve"> modifié</w:t>
      </w:r>
      <w:r w:rsidRPr="00BF1837">
        <w:t>)</w:t>
      </w:r>
      <w:r w:rsidR="00793249">
        <w:t> ;</w:t>
      </w:r>
    </w:p>
    <w:p w:rsidR="006036AB" w:rsidRDefault="006036AB" w:rsidP="006036AB">
      <w:pPr>
        <w:pStyle w:val="SGACP-enumerationniveau1"/>
        <w:ind w:left="284" w:hanging="284"/>
      </w:pPr>
      <w:r w:rsidRPr="00FB79B2">
        <w:t xml:space="preserve">description, formalisation et date(s) de mise à jour des procédures sur lesquelles s’appuie le contrôle permanent </w:t>
      </w:r>
      <w:r>
        <w:t>et périodique d</w:t>
      </w:r>
      <w:r w:rsidRPr="00FB79B2">
        <w:t>es activités externalisées (dont les procédures d’examen de la conformité);</w:t>
      </w:r>
    </w:p>
    <w:p w:rsidR="006036AB" w:rsidRPr="007F594C" w:rsidRDefault="006036AB" w:rsidP="00065BBD">
      <w:pPr>
        <w:pStyle w:val="SGACP-enumerationniveau1"/>
        <w:ind w:left="284" w:hanging="284"/>
        <w:rPr>
          <w:i/>
        </w:rPr>
      </w:pPr>
      <w:r>
        <w:t>r</w:t>
      </w:r>
      <w:r w:rsidRPr="00065BBD">
        <w:t xml:space="preserve">ésultats des contrôles permanents </w:t>
      </w:r>
      <w:r w:rsidR="002B7399">
        <w:t>de 2</w:t>
      </w:r>
      <w:r w:rsidR="002B7399" w:rsidRPr="002B7399">
        <w:rPr>
          <w:vertAlign w:val="superscript"/>
        </w:rPr>
        <w:t>ème</w:t>
      </w:r>
      <w:r w:rsidR="002B7399">
        <w:t xml:space="preserve"> niveau</w:t>
      </w:r>
      <w:r w:rsidR="002B7399" w:rsidRPr="007F2900">
        <w:t xml:space="preserve"> </w:t>
      </w:r>
      <w:r w:rsidRPr="00065BBD">
        <w:t>menés sur les activités externalisées</w:t>
      </w:r>
      <w:r>
        <w:t> : p</w:t>
      </w:r>
      <w:r w:rsidRPr="007F2900">
        <w:t>rincipales insuffisances relevées</w:t>
      </w:r>
      <w:r>
        <w:t xml:space="preserve"> et m</w:t>
      </w:r>
      <w:r w:rsidRPr="007F2900">
        <w:t xml:space="preserve">esures correctives engagées pour </w:t>
      </w:r>
      <w:r>
        <w:t xml:space="preserve">y </w:t>
      </w:r>
      <w:r w:rsidRPr="007F2900">
        <w:t>remédier</w:t>
      </w:r>
      <w:r>
        <w:t xml:space="preserve"> (d</w:t>
      </w:r>
      <w:r w:rsidRPr="008335E0">
        <w:t>ate de réalisation prévisionnelle et état d</w:t>
      </w:r>
      <w:r>
        <w:t>’</w:t>
      </w:r>
      <w:r w:rsidRPr="008335E0">
        <w:t>avancement de leur mise en œuvre à la date de rédaction du présent rapport</w:t>
      </w:r>
      <w:r>
        <w:t>), m</w:t>
      </w:r>
      <w:r w:rsidRPr="007F2900">
        <w:t xml:space="preserve">odalités de suivi des recommandations résultant des contrôles permanents </w:t>
      </w:r>
      <w:r w:rsidRPr="00065BBD">
        <w:rPr>
          <w:i/>
        </w:rPr>
        <w:t>(outils, personnes en charge)</w:t>
      </w:r>
      <w:r w:rsidRPr="00743C3A">
        <w:t> ;</w:t>
      </w:r>
    </w:p>
    <w:p w:rsidR="003E1F58" w:rsidRDefault="006036AB" w:rsidP="007F594C">
      <w:pPr>
        <w:pStyle w:val="SGACP-enumerationniveau1"/>
        <w:ind w:left="284" w:hanging="284"/>
      </w:pPr>
      <w:r>
        <w:t>résultats d</w:t>
      </w:r>
      <w:r w:rsidR="00CD6D4E">
        <w:t>es contrôle</w:t>
      </w:r>
      <w:r w:rsidR="00FD37C4">
        <w:t>s</w:t>
      </w:r>
      <w:r w:rsidR="00CD6D4E">
        <w:t xml:space="preserve"> périodique</w:t>
      </w:r>
      <w:r w:rsidR="00FD37C4">
        <w:t>s</w:t>
      </w:r>
      <w:r w:rsidR="00CD6D4E" w:rsidRPr="00CD6D4E">
        <w:t xml:space="preserve"> menés sur les activités externalisées</w:t>
      </w:r>
      <w:r w:rsidR="00CD6D4E">
        <w:t xml:space="preserve"> : principales insuffisances relevées </w:t>
      </w:r>
      <w:r w:rsidR="003E1F58" w:rsidRPr="003E1F58">
        <w:t>et mesures correctives engagées pour y remédier (date de réalisation prévisionnelle et état d’avancement de leur mise en œuvre à la date de rédaction du présent rapport)</w:t>
      </w:r>
      <w:r w:rsidR="003E1F58">
        <w:t xml:space="preserve">, </w:t>
      </w:r>
      <w:r w:rsidR="003E1F58" w:rsidRPr="003E1F58">
        <w:t>modalités de suivi des recommandations résultant des contrôles p</w:t>
      </w:r>
      <w:r w:rsidR="003E1F58">
        <w:t>ériodique</w:t>
      </w:r>
      <w:r w:rsidR="003E1F58" w:rsidRPr="003E1F58">
        <w:t>s</w:t>
      </w:r>
      <w:r w:rsidR="00793249">
        <w:t>.</w:t>
      </w:r>
      <w:r w:rsidR="003E1F58">
        <w:t xml:space="preserve"> </w:t>
      </w:r>
    </w:p>
    <w:p w:rsidR="006036AB" w:rsidRDefault="006036AB" w:rsidP="00463A1C"/>
    <w:p w:rsidR="00703C4B" w:rsidRDefault="00703C4B" w:rsidP="00463A1C"/>
    <w:p w:rsidR="00331B88" w:rsidRDefault="00463A1C">
      <w:pPr>
        <w:pStyle w:val="StyleSGACP-titrederubriqueniveau1CouleurpersonnaliseRVB"/>
        <w:keepNext/>
        <w:keepLines/>
        <w:ind w:left="426" w:hanging="426"/>
      </w:pPr>
      <w:bookmarkStart w:id="243" w:name="_Toc137799893"/>
      <w:r w:rsidRPr="007D7872">
        <w:t>Informations spécifiques demandées aux conglomérats financiers</w:t>
      </w:r>
      <w:bookmarkEnd w:id="233"/>
      <w:bookmarkEnd w:id="234"/>
      <w:bookmarkEnd w:id="235"/>
      <w:bookmarkEnd w:id="236"/>
      <w:bookmarkEnd w:id="237"/>
      <w:bookmarkEnd w:id="238"/>
      <w:bookmarkEnd w:id="239"/>
      <w:bookmarkEnd w:id="240"/>
      <w:bookmarkEnd w:id="241"/>
      <w:bookmarkEnd w:id="243"/>
      <w:r w:rsidR="00BA07CA" w:rsidRPr="007D7872">
        <w:t> </w:t>
      </w:r>
    </w:p>
    <w:p w:rsidR="0024125E" w:rsidRPr="00935917" w:rsidRDefault="0024125E" w:rsidP="00460E3D"/>
    <w:p w:rsidR="00331B88" w:rsidRDefault="00BA07CA" w:rsidP="006D1AEB">
      <w:pPr>
        <w:pStyle w:val="SGACP-enumerationniveau1"/>
        <w:ind w:left="284" w:hanging="284"/>
      </w:pPr>
      <w:r>
        <w:t>t</w:t>
      </w:r>
      <w:r w:rsidR="00463A1C" w:rsidRPr="007F2900">
        <w:t>otal de bilan du groupe et total de bilan respectif du secteur bancaire, du secteur des assuran</w:t>
      </w:r>
      <w:r>
        <w:t>ces et du secteur non financier.</w:t>
      </w:r>
    </w:p>
    <w:p w:rsidR="002266BC" w:rsidRDefault="002266BC" w:rsidP="00463A1C">
      <w:bookmarkStart w:id="244" w:name="_Toc244576481"/>
      <w:bookmarkStart w:id="245" w:name="_Toc266799848"/>
    </w:p>
    <w:p w:rsidR="00463A1C" w:rsidRPr="007F2900" w:rsidRDefault="00110755" w:rsidP="002266BC">
      <w:pPr>
        <w:pStyle w:val="SGACP-sous-titrederubriquenivaeu2"/>
      </w:pPr>
      <w:r>
        <w:t>2</w:t>
      </w:r>
      <w:r w:rsidR="008F3AF1">
        <w:t>1</w:t>
      </w:r>
      <w:r w:rsidR="002266BC">
        <w:t>.1.</w:t>
      </w:r>
      <w:r w:rsidR="002266BC">
        <w:tab/>
      </w:r>
      <w:r w:rsidR="00463A1C" w:rsidRPr="007F2900">
        <w:t>Dispositif de contrôle interne et d</w:t>
      </w:r>
      <w:r w:rsidR="001224E7">
        <w:t>’</w:t>
      </w:r>
      <w:r w:rsidR="00463A1C" w:rsidRPr="007F2900">
        <w:t>évaluation des risques appliqué à l</w:t>
      </w:r>
      <w:r w:rsidR="001224E7">
        <w:t>’</w:t>
      </w:r>
      <w:r w:rsidR="00463A1C" w:rsidRPr="007F2900">
        <w:t>ensemble des entités appartenant au conglomérat financier</w:t>
      </w:r>
      <w:bookmarkEnd w:id="244"/>
      <w:bookmarkEnd w:id="245"/>
      <w:r w:rsidR="00BA07CA">
        <w:t> :</w:t>
      </w:r>
    </w:p>
    <w:p w:rsidR="00331B88" w:rsidRDefault="00BA07CA" w:rsidP="006D1AEB">
      <w:pPr>
        <w:pStyle w:val="SGACP-enumerationniveau1"/>
        <w:ind w:left="284" w:hanging="284"/>
      </w:pPr>
      <w:r>
        <w:t>p</w:t>
      </w:r>
      <w:r w:rsidR="00463A1C" w:rsidRPr="007F2900">
        <w:t>résentation des conditions dans lesquelles les activités des entités d</w:t>
      </w:r>
      <w:r w:rsidR="001224E7">
        <w:t>’</w:t>
      </w:r>
      <w:r w:rsidR="00463A1C" w:rsidRPr="007F2900">
        <w:t>assurance sont prises en compte dans le système de contrôle interne du conglomérat</w:t>
      </w:r>
      <w:r>
        <w:t> ;</w:t>
      </w:r>
    </w:p>
    <w:p w:rsidR="00331B88" w:rsidRDefault="00BA07CA" w:rsidP="006D1AEB">
      <w:pPr>
        <w:pStyle w:val="SGACP-enumerationniveau1"/>
        <w:ind w:left="284" w:hanging="284"/>
      </w:pPr>
      <w:r>
        <w:t>p</w:t>
      </w:r>
      <w:r w:rsidR="00463A1C" w:rsidRPr="007F2900">
        <w:t>résentation des procédures anticipant l</w:t>
      </w:r>
      <w:r w:rsidR="001224E7">
        <w:t>’</w:t>
      </w:r>
      <w:r w:rsidR="00463A1C" w:rsidRPr="007F2900">
        <w:t>impact des stratégies de développement sur le profil des risques et les exigences complémentaires en matière de fonds propres</w:t>
      </w:r>
      <w:r>
        <w:t> ;</w:t>
      </w:r>
    </w:p>
    <w:p w:rsidR="002A53BE" w:rsidRDefault="00BA07CA">
      <w:pPr>
        <w:pStyle w:val="SGACP-enumerationniveau1"/>
        <w:keepNext/>
        <w:ind w:left="284" w:hanging="284"/>
      </w:pPr>
      <w:r>
        <w:t>p</w:t>
      </w:r>
      <w:r w:rsidR="00463A1C" w:rsidRPr="007F2900">
        <w:t>résentation des procédures permettant d</w:t>
      </w:r>
      <w:r w:rsidR="001224E7">
        <w:t>’</w:t>
      </w:r>
      <w:r w:rsidR="00463A1C" w:rsidRPr="007F2900">
        <w:t>identifier, de mesurer, de surveiller et de maîtriser les transactions entre les différentes entités du conglomérat ainsi que la concentration des risques</w:t>
      </w:r>
      <w:r>
        <w:t> ;</w:t>
      </w:r>
    </w:p>
    <w:p w:rsidR="002A53BE" w:rsidRDefault="00BA07CA">
      <w:pPr>
        <w:pStyle w:val="SGACP-enumerationniveau1"/>
        <w:keepNext/>
        <w:ind w:left="284" w:hanging="284"/>
      </w:pPr>
      <w:r>
        <w:t>r</w:t>
      </w:r>
      <w:r w:rsidR="00463A1C" w:rsidRPr="007F2900">
        <w:t xml:space="preserve">ésultats des contrôles permanents </w:t>
      </w:r>
      <w:r w:rsidR="002B7399">
        <w:t>de 2</w:t>
      </w:r>
      <w:r w:rsidR="002B7399" w:rsidRPr="002B7399">
        <w:rPr>
          <w:vertAlign w:val="superscript"/>
        </w:rPr>
        <w:t>ème</w:t>
      </w:r>
      <w:r w:rsidR="002B7399">
        <w:t xml:space="preserve"> niveau</w:t>
      </w:r>
      <w:r w:rsidR="002B7399" w:rsidRPr="007F2900">
        <w:t xml:space="preserve"> </w:t>
      </w:r>
      <w:r w:rsidR="00463A1C" w:rsidRPr="007F2900">
        <w:t>me</w:t>
      </w:r>
      <w:r>
        <w:t>nés sur les entités d</w:t>
      </w:r>
      <w:r w:rsidR="001224E7">
        <w:t>’</w:t>
      </w:r>
      <w:r>
        <w:t>assurance.</w:t>
      </w:r>
    </w:p>
    <w:p w:rsidR="002266BC" w:rsidRDefault="002266BC" w:rsidP="00463A1C">
      <w:bookmarkStart w:id="246" w:name="_Toc244576482"/>
      <w:bookmarkStart w:id="247" w:name="_Toc266799849"/>
    </w:p>
    <w:p w:rsidR="00463A1C" w:rsidRPr="007F2900" w:rsidRDefault="00D838C9" w:rsidP="002266BC">
      <w:pPr>
        <w:pStyle w:val="SGACP-sous-titrederubriquenivaeu2"/>
      </w:pPr>
      <w:r>
        <w:t>2</w:t>
      </w:r>
      <w:r w:rsidR="008F3AF1">
        <w:t>1</w:t>
      </w:r>
      <w:r w:rsidR="002266BC">
        <w:t>.2.</w:t>
      </w:r>
      <w:r w:rsidR="002266BC">
        <w:tab/>
      </w:r>
      <w:r w:rsidR="00463A1C" w:rsidRPr="007F2900">
        <w:t>Informations sur les risques liés aux entités du secteur des assurances</w:t>
      </w:r>
      <w:bookmarkEnd w:id="246"/>
      <w:bookmarkEnd w:id="247"/>
      <w:r w:rsidR="00BA07CA">
        <w:t> :</w:t>
      </w:r>
    </w:p>
    <w:p w:rsidR="002A53BE" w:rsidRDefault="00BA07CA">
      <w:pPr>
        <w:pStyle w:val="SGACP-enumerationniveau1"/>
        <w:ind w:left="284" w:hanging="284"/>
      </w:pPr>
      <w:r>
        <w:t>d</w:t>
      </w:r>
      <w:r w:rsidR="00463A1C" w:rsidRPr="007F2900">
        <w:t>escription des risques portés par les entités du secteur des assurances et qui sont de même nature que les risques liés aux act</w:t>
      </w:r>
      <w:r>
        <w:t>ivités bancaires et financières ;</w:t>
      </w:r>
    </w:p>
    <w:p w:rsidR="002A53BE" w:rsidRDefault="00BA07CA">
      <w:pPr>
        <w:pStyle w:val="SGACP-enumerationniveau1"/>
        <w:ind w:left="284" w:hanging="284"/>
      </w:pPr>
      <w:r>
        <w:t>d</w:t>
      </w:r>
      <w:r w:rsidR="00463A1C" w:rsidRPr="007F2900">
        <w:t>escription des risques spécifiques attachés aux activités d</w:t>
      </w:r>
      <w:r w:rsidR="001224E7">
        <w:t>’</w:t>
      </w:r>
      <w:r w:rsidR="00463A1C" w:rsidRPr="007F2900">
        <w:t xml:space="preserve">assurance </w:t>
      </w:r>
      <w:r w:rsidR="00463A1C" w:rsidRPr="00210431">
        <w:rPr>
          <w:i/>
        </w:rPr>
        <w:t>(il conviendra notamment de préciser quels risques sont gérés de façon centralisée, selon quelles procédures, ceux qui restent décentralisés)</w:t>
      </w:r>
      <w:r w:rsidR="00463A1C" w:rsidRPr="007F2900">
        <w:t>.</w:t>
      </w:r>
    </w:p>
    <w:p w:rsidR="002266BC" w:rsidRDefault="002266BC" w:rsidP="00463A1C">
      <w:bookmarkStart w:id="248" w:name="_Toc244576483"/>
      <w:bookmarkStart w:id="249" w:name="_Toc266799850"/>
    </w:p>
    <w:p w:rsidR="00463A1C" w:rsidRPr="007F2900" w:rsidRDefault="00110755" w:rsidP="002266BC">
      <w:pPr>
        <w:pStyle w:val="SGACP-sous-titrederubriquenivaeu2"/>
      </w:pPr>
      <w:r>
        <w:t>2</w:t>
      </w:r>
      <w:r w:rsidR="008F3AF1">
        <w:t>1</w:t>
      </w:r>
      <w:r w:rsidR="002266BC">
        <w:t>.3.</w:t>
      </w:r>
      <w:r w:rsidR="002266BC">
        <w:tab/>
      </w:r>
      <w:r w:rsidR="00463A1C" w:rsidRPr="007F2900">
        <w:t>Informations sur les transactions intra-groupe</w:t>
      </w:r>
      <w:bookmarkEnd w:id="248"/>
      <w:bookmarkEnd w:id="249"/>
      <w:r w:rsidR="00BA07CA">
        <w:t> :</w:t>
      </w:r>
    </w:p>
    <w:p w:rsidR="002A53BE" w:rsidRDefault="00BA07CA">
      <w:pPr>
        <w:pStyle w:val="SGACP-enumerationniveau1"/>
        <w:ind w:left="284" w:hanging="284"/>
      </w:pPr>
      <w:r>
        <w:t>i</w:t>
      </w:r>
      <w:r w:rsidR="00463A1C" w:rsidRPr="007F2900">
        <w:t>nformations relatives aux transactions intragroupe réalisées au cours de l</w:t>
      </w:r>
      <w:r w:rsidR="001224E7">
        <w:t>’</w:t>
      </w:r>
      <w:r w:rsidR="00463A1C" w:rsidRPr="007F2900">
        <w:t>année entre les entités du conglomérat ayant une activité bancaire ou de services d</w:t>
      </w:r>
      <w:r w:rsidR="001224E7">
        <w:t>’</w:t>
      </w:r>
      <w:r w:rsidR="00463A1C" w:rsidRPr="007F2900">
        <w:t>investissement d</w:t>
      </w:r>
      <w:r w:rsidR="001224E7">
        <w:t>’</w:t>
      </w:r>
      <w:r w:rsidR="00463A1C" w:rsidRPr="007F2900">
        <w:t>une part et celles ayant une activité d</w:t>
      </w:r>
      <w:r w:rsidR="001224E7">
        <w:t>’</w:t>
      </w:r>
      <w:r w:rsidR="00463A1C" w:rsidRPr="007F2900">
        <w:t>assurance d</w:t>
      </w:r>
      <w:r w:rsidR="001224E7">
        <w:t>’</w:t>
      </w:r>
      <w:r w:rsidR="00463A1C" w:rsidRPr="007F2900">
        <w:t>autre part dès lors qu</w:t>
      </w:r>
      <w:r w:rsidR="001224E7">
        <w:t>’</w:t>
      </w:r>
      <w:r w:rsidR="00463A1C" w:rsidRPr="007F2900">
        <w:t>elles font au moins l</w:t>
      </w:r>
      <w:r w:rsidR="001224E7">
        <w:t>’</w:t>
      </w:r>
      <w:r w:rsidR="00463A1C" w:rsidRPr="007F2900">
        <w:t>objet d</w:t>
      </w:r>
      <w:r w:rsidR="001224E7">
        <w:t>’</w:t>
      </w:r>
      <w:r w:rsidR="00463A1C" w:rsidRPr="007F2900">
        <w:t>une influence notable</w:t>
      </w:r>
      <w:r>
        <w:t> </w:t>
      </w:r>
      <w:r w:rsidR="00463A1C" w:rsidRPr="007F2900">
        <w:t>:</w:t>
      </w:r>
    </w:p>
    <w:p w:rsidR="002A53BE" w:rsidRDefault="00463A1C" w:rsidP="00460E3D">
      <w:pPr>
        <w:pStyle w:val="SGACP-enumerationniveau2"/>
        <w:numPr>
          <w:ilvl w:val="0"/>
          <w:numId w:val="31"/>
        </w:numPr>
        <w:ind w:left="567" w:hanging="283"/>
      </w:pPr>
      <w:r w:rsidRPr="007F2900">
        <w:t>description de celles-ci en soulignant le degré d</w:t>
      </w:r>
      <w:r w:rsidR="001224E7">
        <w:t>’</w:t>
      </w:r>
      <w:r w:rsidRPr="007F2900">
        <w:t xml:space="preserve">interdépendance des activités au sein du conglomérat, </w:t>
      </w:r>
    </w:p>
    <w:p w:rsidR="002A53BE" w:rsidRDefault="00463A1C" w:rsidP="00460E3D">
      <w:pPr>
        <w:pStyle w:val="SGACP-enumerationniveau2"/>
        <w:numPr>
          <w:ilvl w:val="0"/>
          <w:numId w:val="31"/>
        </w:numPr>
        <w:ind w:left="567" w:hanging="283"/>
      </w:pPr>
      <w:r w:rsidRPr="007F2900">
        <w:lastRenderedPageBreak/>
        <w:t>pour chaque type de transaction, le sens dans lequel elle est réalisée dans la majorité des cas (d</w:t>
      </w:r>
      <w:r w:rsidR="001224E7">
        <w:t>’</w:t>
      </w:r>
      <w:r w:rsidRPr="007F2900">
        <w:t>une entité ayant une activité bancaire ou de services d</w:t>
      </w:r>
      <w:r w:rsidR="001224E7">
        <w:t>’</w:t>
      </w:r>
      <w:r w:rsidRPr="007F2900">
        <w:t>investissement vers une entité ayant une activité d</w:t>
      </w:r>
      <w:r w:rsidR="001224E7">
        <w:t>’</w:t>
      </w:r>
      <w:r w:rsidRPr="007F2900">
        <w:t>assurance ou l</w:t>
      </w:r>
      <w:r w:rsidR="001224E7">
        <w:t>’</w:t>
      </w:r>
      <w:r w:rsidRPr="007F2900">
        <w:t>inverse), et les objectifs poursuivis,</w:t>
      </w:r>
    </w:p>
    <w:p w:rsidR="002A53BE" w:rsidRDefault="00463A1C" w:rsidP="00460E3D">
      <w:pPr>
        <w:pStyle w:val="SGACP-enumerationniveau2"/>
        <w:numPr>
          <w:ilvl w:val="0"/>
          <w:numId w:val="31"/>
        </w:numPr>
        <w:ind w:left="567" w:hanging="283"/>
      </w:pPr>
      <w:r w:rsidRPr="007F2900">
        <w:t>modalités de tarificat</w:t>
      </w:r>
      <w:r w:rsidR="00BA07CA">
        <w:t>ion interne de ces transactions ;</w:t>
      </w:r>
    </w:p>
    <w:p w:rsidR="002A53BE" w:rsidRDefault="00BA07CA">
      <w:pPr>
        <w:pStyle w:val="SGACP-enumerationniveau1"/>
        <w:ind w:left="284" w:hanging="284"/>
      </w:pPr>
      <w:r>
        <w:t>i</w:t>
      </w:r>
      <w:r w:rsidR="00463A1C" w:rsidRPr="007F2900">
        <w:t>nformation quantitative sur toute transaction intragroupe dont le montant excède 5 % de la somme des exigences de solvabilité applicables aux différents secteurs, calculée sur la base de l</w:t>
      </w:r>
      <w:r w:rsidR="001224E7">
        <w:t>’</w:t>
      </w:r>
      <w:r w:rsidR="00463A1C" w:rsidRPr="007F2900">
        <w:t>arrêté annuel précédent</w:t>
      </w:r>
      <w:r>
        <w:t> </w:t>
      </w:r>
      <w:r w:rsidR="00463A1C" w:rsidRPr="007F2900">
        <w:t>:</w:t>
      </w:r>
    </w:p>
    <w:p w:rsidR="002A53BE" w:rsidRDefault="00463A1C" w:rsidP="00460E3D">
      <w:pPr>
        <w:pStyle w:val="SGACP-enumerationniveau2"/>
        <w:numPr>
          <w:ilvl w:val="0"/>
          <w:numId w:val="31"/>
        </w:numPr>
        <w:ind w:left="567" w:hanging="283"/>
      </w:pPr>
      <w:r w:rsidRPr="007F2900">
        <w:t>dès lors qu</w:t>
      </w:r>
      <w:r w:rsidR="001224E7">
        <w:t>’</w:t>
      </w:r>
      <w:r w:rsidRPr="007F2900">
        <w:t>ils sont supérieurs au seuil : le montant nominal cumulé des transactions donnant lieu à des versements de flux financiers hors opérations de marché (prêts, garanties, ventes d</w:t>
      </w:r>
      <w:r w:rsidR="001224E7">
        <w:t>’</w:t>
      </w:r>
      <w:r w:rsidRPr="007F2900">
        <w:t>actifs…) le montant global des commissions versées, et pour les opérations sur instruments financiers à terme, l</w:t>
      </w:r>
      <w:r w:rsidR="001224E7">
        <w:t>’</w:t>
      </w:r>
      <w:r w:rsidRPr="007F2900">
        <w:t xml:space="preserve">équivalent risque de crédit global (ou à défaut le montant notionnel </w:t>
      </w:r>
      <w:r w:rsidR="00BA07CA">
        <w:t>global),</w:t>
      </w:r>
    </w:p>
    <w:p w:rsidR="002A53BE" w:rsidRDefault="00463A1C" w:rsidP="00460E3D">
      <w:pPr>
        <w:pStyle w:val="SGACP-enumerationniveau2"/>
        <w:numPr>
          <w:ilvl w:val="0"/>
          <w:numId w:val="31"/>
        </w:numPr>
        <w:ind w:left="567" w:hanging="283"/>
      </w:pPr>
      <w:r w:rsidRPr="007F2900">
        <w:t>pour chaque transaction, lorsqu</w:t>
      </w:r>
      <w:r w:rsidR="001224E7">
        <w:t>’</w:t>
      </w:r>
      <w:r w:rsidRPr="007F2900">
        <w:t>il est supérieur au seuil, le montant nominal de la transaction et la date de conclusion de celle-ci. Les conglomérats financiers donnent, de surcroît, une description de la transaction, en précisant l</w:t>
      </w:r>
      <w:r w:rsidR="001224E7">
        <w:t>’</w:t>
      </w:r>
      <w:r w:rsidRPr="007F2900">
        <w:t>identité des contreparties, le sens dans lequel elle est réalisée et les objectifs poursuivis, selon le modèle ci-après :</w:t>
      </w:r>
    </w:p>
    <w:p w:rsidR="00463A1C" w:rsidRPr="007F2900" w:rsidRDefault="00463A1C" w:rsidP="00463A1C"/>
    <w:tbl>
      <w:tblPr>
        <w:tblW w:w="94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567"/>
        <w:gridCol w:w="3685"/>
        <w:gridCol w:w="2828"/>
      </w:tblGrid>
      <w:tr w:rsidR="00463A1C" w:rsidRPr="002266BC" w:rsidTr="002266BC">
        <w:trPr>
          <w:trHeight w:val="1020"/>
          <w:jc w:val="right"/>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463A1C" w:rsidRPr="002266BC" w:rsidRDefault="00463A1C" w:rsidP="002266BC">
            <w:pPr>
              <w:jc w:val="center"/>
              <w:rPr>
                <w:rFonts w:ascii="Arial" w:hAnsi="Arial" w:cs="Arial"/>
                <w:sz w:val="18"/>
                <w:szCs w:val="18"/>
              </w:rPr>
            </w:pPr>
            <w:r w:rsidRPr="002266BC">
              <w:rPr>
                <w:rFonts w:ascii="Arial" w:hAnsi="Arial" w:cs="Arial"/>
                <w:sz w:val="18"/>
                <w:szCs w:val="18"/>
              </w:rPr>
              <w:t>Type de transaction</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463A1C" w:rsidRPr="002266BC" w:rsidRDefault="00463A1C" w:rsidP="002266BC">
            <w:pPr>
              <w:jc w:val="center"/>
              <w:rPr>
                <w:rFonts w:ascii="Arial" w:hAnsi="Arial" w:cs="Arial"/>
                <w:sz w:val="18"/>
                <w:szCs w:val="18"/>
              </w:rPr>
            </w:pPr>
            <w:r w:rsidRPr="002266BC">
              <w:rPr>
                <w:rFonts w:ascii="Arial" w:hAnsi="Arial" w:cs="Arial"/>
                <w:sz w:val="18"/>
                <w:szCs w:val="18"/>
              </w:rPr>
              <w:t>Date de la conclusion de l</w:t>
            </w:r>
            <w:r w:rsidR="001224E7">
              <w:rPr>
                <w:rFonts w:ascii="Arial" w:hAnsi="Arial" w:cs="Arial"/>
                <w:sz w:val="18"/>
                <w:szCs w:val="18"/>
              </w:rPr>
              <w:t>’</w:t>
            </w:r>
            <w:r w:rsidRPr="002266BC">
              <w:rPr>
                <w:rFonts w:ascii="Arial" w:hAnsi="Arial" w:cs="Arial"/>
                <w:sz w:val="18"/>
                <w:szCs w:val="18"/>
              </w:rPr>
              <w:t>opération</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463A1C" w:rsidRPr="002266BC" w:rsidRDefault="00463A1C" w:rsidP="002266BC">
            <w:pPr>
              <w:jc w:val="center"/>
              <w:rPr>
                <w:rFonts w:ascii="Arial" w:hAnsi="Arial" w:cs="Arial"/>
                <w:sz w:val="18"/>
                <w:szCs w:val="18"/>
              </w:rPr>
            </w:pPr>
            <w:r w:rsidRPr="002266BC">
              <w:rPr>
                <w:rFonts w:ascii="Arial" w:hAnsi="Arial" w:cs="Arial"/>
                <w:sz w:val="18"/>
                <w:szCs w:val="18"/>
              </w:rPr>
              <w:t>Montant nominal pour les éléments du bilan, le montant notionnel et l</w:t>
            </w:r>
            <w:r w:rsidR="001224E7">
              <w:rPr>
                <w:rFonts w:ascii="Arial" w:hAnsi="Arial" w:cs="Arial"/>
                <w:sz w:val="18"/>
                <w:szCs w:val="18"/>
              </w:rPr>
              <w:t>’</w:t>
            </w:r>
            <w:r w:rsidRPr="002266BC">
              <w:rPr>
                <w:rFonts w:ascii="Arial" w:hAnsi="Arial" w:cs="Arial"/>
                <w:sz w:val="18"/>
                <w:szCs w:val="18"/>
              </w:rPr>
              <w:t>équivalent risque de crédit pour les instruments financiers à terme.</w:t>
            </w: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tcPr>
          <w:p w:rsidR="00463A1C" w:rsidRPr="002266BC" w:rsidRDefault="00463A1C" w:rsidP="002266BC">
            <w:pPr>
              <w:jc w:val="center"/>
              <w:rPr>
                <w:rFonts w:ascii="Arial" w:hAnsi="Arial" w:cs="Arial"/>
                <w:sz w:val="18"/>
                <w:szCs w:val="18"/>
              </w:rPr>
            </w:pPr>
            <w:r w:rsidRPr="002266BC">
              <w:rPr>
                <w:rFonts w:ascii="Arial" w:hAnsi="Arial" w:cs="Arial"/>
                <w:sz w:val="18"/>
                <w:szCs w:val="18"/>
              </w:rPr>
              <w:t>Description de l</w:t>
            </w:r>
            <w:r w:rsidR="001224E7">
              <w:rPr>
                <w:rFonts w:ascii="Arial" w:hAnsi="Arial" w:cs="Arial"/>
                <w:sz w:val="18"/>
                <w:szCs w:val="18"/>
              </w:rPr>
              <w:t>’</w:t>
            </w:r>
            <w:r w:rsidRPr="002266BC">
              <w:rPr>
                <w:rFonts w:ascii="Arial" w:hAnsi="Arial" w:cs="Arial"/>
                <w:sz w:val="18"/>
                <w:szCs w:val="18"/>
              </w:rPr>
              <w:t>opération (contreparties, sens, objectifs poursuivis …)</w:t>
            </w:r>
          </w:p>
        </w:tc>
      </w:tr>
      <w:tr w:rsidR="00612E3E" w:rsidRPr="002266BC" w:rsidTr="00612E3E">
        <w:trPr>
          <w:trHeight w:val="547"/>
          <w:jc w:val="right"/>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612E3E" w:rsidRPr="002266BC" w:rsidRDefault="00612E3E" w:rsidP="002266BC">
            <w:pPr>
              <w:jc w:val="center"/>
              <w:rPr>
                <w:rFonts w:ascii="Arial" w:hAnsi="Arial" w:cs="Arial"/>
                <w:sz w:val="18"/>
                <w:szCs w:val="18"/>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612E3E" w:rsidRPr="002266BC" w:rsidRDefault="00612E3E" w:rsidP="002266BC">
            <w:pPr>
              <w:jc w:val="center"/>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612E3E" w:rsidRPr="002266BC" w:rsidRDefault="00612E3E" w:rsidP="002266BC">
            <w:pPr>
              <w:jc w:val="center"/>
              <w:rPr>
                <w:rFonts w:ascii="Arial" w:hAnsi="Arial" w:cs="Arial"/>
                <w:sz w:val="18"/>
                <w:szCs w:val="18"/>
              </w:rPr>
            </w:pPr>
          </w:p>
        </w:tc>
        <w:tc>
          <w:tcPr>
            <w:tcW w:w="2828" w:type="dxa"/>
            <w:tcBorders>
              <w:top w:val="single" w:sz="4" w:space="0" w:color="auto"/>
              <w:left w:val="single" w:sz="4" w:space="0" w:color="auto"/>
              <w:bottom w:val="single" w:sz="4" w:space="0" w:color="auto"/>
              <w:right w:val="single" w:sz="4" w:space="0" w:color="auto"/>
            </w:tcBorders>
            <w:shd w:val="clear" w:color="auto" w:fill="auto"/>
            <w:vAlign w:val="center"/>
          </w:tcPr>
          <w:p w:rsidR="00612E3E" w:rsidRPr="002266BC" w:rsidRDefault="00612E3E" w:rsidP="002266BC">
            <w:pPr>
              <w:jc w:val="center"/>
              <w:rPr>
                <w:rFonts w:ascii="Arial" w:hAnsi="Arial" w:cs="Arial"/>
                <w:sz w:val="18"/>
                <w:szCs w:val="18"/>
              </w:rPr>
            </w:pPr>
          </w:p>
        </w:tc>
      </w:tr>
    </w:tbl>
    <w:p w:rsidR="00EA6D5F" w:rsidRDefault="00EA6D5F">
      <w:pPr>
        <w:jc w:val="left"/>
        <w:rPr>
          <w:rFonts w:ascii="Arial" w:hAnsi="Arial"/>
          <w:b/>
          <w:bCs/>
          <w:color w:val="003B8E"/>
        </w:rPr>
      </w:pPr>
      <w:r>
        <w:rPr>
          <w:bCs/>
          <w:color w:val="003B8E"/>
        </w:rPr>
        <w:br w:type="page"/>
      </w:r>
    </w:p>
    <w:p w:rsidR="001839DC" w:rsidRDefault="003B20EE" w:rsidP="001839DC">
      <w:pPr>
        <w:pStyle w:val="StyleSGACP-titrederubriqueniveau1CouleurpersonnaliseRVB"/>
        <w:keepNext/>
        <w:keepLines/>
        <w:ind w:left="426" w:hanging="426"/>
        <w:jc w:val="both"/>
      </w:pPr>
      <w:hyperlink w:anchor="_Toc244938705" w:history="1">
        <w:bookmarkStart w:id="250" w:name="_Toc266799851"/>
        <w:bookmarkStart w:id="251" w:name="_Toc266799871"/>
        <w:bookmarkStart w:id="252" w:name="_Toc137799894"/>
        <w:r w:rsidR="0093520A" w:rsidRPr="0093520A">
          <w:t xml:space="preserve">Annexe relative à la sécurité des moyens de paiement scripturaux </w:t>
        </w:r>
        <w:r w:rsidR="00063939">
          <w:br/>
        </w:r>
        <w:r w:rsidR="0093520A" w:rsidRPr="0093520A">
          <w:t>mis à disposition ou gérés par</w:t>
        </w:r>
        <w:r w:rsidR="00BB5031">
          <w:t> </w:t>
        </w:r>
        <w:r w:rsidR="0093520A" w:rsidRPr="0093520A">
          <w:t>l</w:t>
        </w:r>
        <w:r w:rsidR="001224E7">
          <w:t>’</w:t>
        </w:r>
        <w:r w:rsidR="0093520A" w:rsidRPr="0093520A">
          <w:t>établissement</w:t>
        </w:r>
        <w:bookmarkEnd w:id="250"/>
        <w:bookmarkEnd w:id="251"/>
      </w:hyperlink>
      <w:r w:rsidR="001839DC" w:rsidRPr="001839DC">
        <w:t xml:space="preserve"> </w:t>
      </w:r>
      <w:r w:rsidR="001839DC">
        <w:t>et de l’accès aux comptes de paiement et à leurs informations</w:t>
      </w:r>
      <w:bookmarkEnd w:id="252"/>
    </w:p>
    <w:p w:rsidR="002A53BE" w:rsidRDefault="002A53BE" w:rsidP="00D1728C">
      <w:pPr>
        <w:pStyle w:val="StyleSGACP-titrederubriqueniveau1CouleurpersonnaliseRVB"/>
        <w:keepNext/>
        <w:keepLines/>
        <w:numPr>
          <w:ilvl w:val="0"/>
          <w:numId w:val="0"/>
        </w:numPr>
        <w:ind w:left="426"/>
        <w:jc w:val="both"/>
      </w:pPr>
    </w:p>
    <w:p w:rsidR="009F110B" w:rsidRDefault="009F110B" w:rsidP="002266BC">
      <w:pPr>
        <w:pStyle w:val="SGACP-textecourant"/>
        <w:ind w:left="284"/>
        <w:rPr>
          <w:i/>
          <w:iCs/>
        </w:rPr>
      </w:pPr>
    </w:p>
    <w:p w:rsidR="005A28EA" w:rsidRPr="00460E3D" w:rsidRDefault="005A28EA" w:rsidP="005A28EA">
      <w:pPr>
        <w:spacing w:after="200" w:line="276" w:lineRule="auto"/>
        <w:jc w:val="center"/>
        <w:rPr>
          <w:rFonts w:eastAsia="Calibri"/>
          <w:b/>
          <w:sz w:val="26"/>
          <w:szCs w:val="26"/>
          <w:lang w:eastAsia="en-US"/>
        </w:rPr>
      </w:pPr>
      <w:r w:rsidRPr="00460E3D">
        <w:rPr>
          <w:rFonts w:eastAsia="Calibri"/>
          <w:b/>
          <w:sz w:val="26"/>
          <w:szCs w:val="26"/>
          <w:lang w:eastAsia="en-US"/>
        </w:rPr>
        <w:t>SOMMAIRE</w:t>
      </w:r>
    </w:p>
    <w:p w:rsidR="005A28EA" w:rsidRPr="00072003" w:rsidRDefault="005A28EA" w:rsidP="005A28EA">
      <w:pPr>
        <w:spacing w:after="200" w:line="276" w:lineRule="auto"/>
        <w:jc w:val="left"/>
        <w:rPr>
          <w:rFonts w:eastAsia="Calibri"/>
          <w:b/>
          <w:sz w:val="20"/>
          <w:lang w:eastAsia="en-US"/>
        </w:rPr>
      </w:pPr>
      <w:r w:rsidRPr="00072003">
        <w:rPr>
          <w:rFonts w:eastAsia="Calibri"/>
          <w:b/>
          <w:sz w:val="20"/>
          <w:lang w:eastAsia="en-US"/>
        </w:rPr>
        <w:t>Introduction</w:t>
      </w:r>
    </w:p>
    <w:p w:rsidR="005A28EA" w:rsidRPr="00072003" w:rsidRDefault="005A28EA" w:rsidP="00D1728C">
      <w:pPr>
        <w:numPr>
          <w:ilvl w:val="0"/>
          <w:numId w:val="68"/>
        </w:numPr>
        <w:spacing w:after="200" w:line="276" w:lineRule="auto"/>
        <w:ind w:left="567" w:hanging="567"/>
        <w:contextualSpacing/>
        <w:rPr>
          <w:rFonts w:eastAsia="Calibri"/>
          <w:b/>
          <w:sz w:val="20"/>
          <w:lang w:eastAsia="en-US"/>
        </w:rPr>
      </w:pPr>
      <w:r w:rsidRPr="00072003">
        <w:rPr>
          <w:rFonts w:eastAsia="Calibri"/>
          <w:b/>
          <w:sz w:val="20"/>
          <w:lang w:eastAsia="en-US"/>
        </w:rPr>
        <w:t>Présentation des moyens</w:t>
      </w:r>
      <w:r w:rsidR="009F5C2E">
        <w:rPr>
          <w:rFonts w:eastAsia="Calibri"/>
          <w:b/>
          <w:sz w:val="20"/>
          <w:lang w:eastAsia="en-US"/>
        </w:rPr>
        <w:t xml:space="preserve"> et services</w:t>
      </w:r>
      <w:r w:rsidRPr="00072003">
        <w:rPr>
          <w:rFonts w:eastAsia="Calibri"/>
          <w:b/>
          <w:sz w:val="20"/>
          <w:lang w:eastAsia="en-US"/>
        </w:rPr>
        <w:t xml:space="preserve"> de paiement et des risques de fraude </w:t>
      </w:r>
      <w:r w:rsidR="009F5C2E">
        <w:rPr>
          <w:rFonts w:eastAsia="Calibri"/>
          <w:b/>
          <w:sz w:val="20"/>
          <w:lang w:eastAsia="en-US"/>
        </w:rPr>
        <w:t>encourus par l’établissement</w:t>
      </w:r>
    </w:p>
    <w:p w:rsidR="005A28EA" w:rsidRPr="00072003" w:rsidRDefault="005A28EA" w:rsidP="005A28EA">
      <w:pPr>
        <w:numPr>
          <w:ilvl w:val="0"/>
          <w:numId w:val="69"/>
        </w:numPr>
        <w:spacing w:after="200" w:line="276" w:lineRule="auto"/>
        <w:contextualSpacing/>
        <w:jc w:val="left"/>
        <w:rPr>
          <w:rFonts w:eastAsia="Calibri"/>
          <w:sz w:val="20"/>
          <w:lang w:eastAsia="en-US"/>
        </w:rPr>
      </w:pPr>
      <w:r w:rsidRPr="00072003">
        <w:rPr>
          <w:rFonts w:eastAsia="Calibri"/>
          <w:sz w:val="20"/>
          <w:lang w:eastAsia="en-US"/>
        </w:rPr>
        <w:t>Carte et assimilée</w:t>
      </w:r>
    </w:p>
    <w:p w:rsidR="005A28EA" w:rsidRPr="00072003" w:rsidRDefault="005A28EA" w:rsidP="005A28EA">
      <w:pPr>
        <w:spacing w:after="200"/>
        <w:ind w:left="641"/>
        <w:contextualSpacing/>
        <w:rPr>
          <w:rFonts w:eastAsia="Calibri"/>
          <w:sz w:val="20"/>
          <w:lang w:eastAsia="en-US"/>
        </w:rPr>
      </w:pPr>
      <w:r w:rsidRPr="00072003">
        <w:rPr>
          <w:rFonts w:eastAsia="Calibri"/>
          <w:sz w:val="20"/>
          <w:lang w:eastAsia="en-US"/>
        </w:rPr>
        <w:t xml:space="preserve">1.1. Présentation de l’offre </w:t>
      </w:r>
    </w:p>
    <w:p w:rsidR="005A28EA" w:rsidRPr="00072003" w:rsidRDefault="005A28EA" w:rsidP="005A28EA">
      <w:pPr>
        <w:spacing w:after="200"/>
        <w:ind w:left="641"/>
        <w:contextualSpacing/>
        <w:rPr>
          <w:rFonts w:eastAsia="Calibri"/>
          <w:sz w:val="20"/>
          <w:lang w:eastAsia="en-US"/>
        </w:rPr>
      </w:pPr>
      <w:r w:rsidRPr="00072003">
        <w:rPr>
          <w:rFonts w:eastAsia="Calibri"/>
          <w:sz w:val="20"/>
          <w:lang w:eastAsia="en-US"/>
        </w:rPr>
        <w:t xml:space="preserve">1.2. Organisation opérationnelle de l’activité </w:t>
      </w:r>
    </w:p>
    <w:p w:rsidR="005A28EA" w:rsidRPr="00072003" w:rsidRDefault="005A28EA" w:rsidP="005A28EA">
      <w:pPr>
        <w:spacing w:after="200"/>
        <w:ind w:left="641"/>
        <w:contextualSpacing/>
        <w:rPr>
          <w:rFonts w:eastAsia="Calibri"/>
          <w:sz w:val="20"/>
          <w:lang w:eastAsia="en-US"/>
        </w:rPr>
      </w:pPr>
      <w:r w:rsidRPr="00072003">
        <w:rPr>
          <w:rFonts w:eastAsia="Calibri"/>
          <w:sz w:val="20"/>
          <w:lang w:eastAsia="en-US"/>
        </w:rPr>
        <w:t>1.3. Grille d’analyse des risques et principaux incidents de fraude</w:t>
      </w:r>
    </w:p>
    <w:p w:rsidR="005A28EA" w:rsidRPr="00072003" w:rsidRDefault="005A28EA" w:rsidP="005A28EA">
      <w:pPr>
        <w:spacing w:after="200"/>
        <w:ind w:left="641"/>
        <w:contextualSpacing/>
        <w:rPr>
          <w:rFonts w:eastAsia="Calibri"/>
          <w:sz w:val="20"/>
          <w:lang w:eastAsia="en-US"/>
        </w:rPr>
      </w:pPr>
    </w:p>
    <w:p w:rsidR="005A28EA" w:rsidRPr="00072003" w:rsidRDefault="005A28EA" w:rsidP="005A28EA">
      <w:pPr>
        <w:numPr>
          <w:ilvl w:val="0"/>
          <w:numId w:val="69"/>
        </w:numPr>
        <w:spacing w:after="200" w:line="276" w:lineRule="auto"/>
        <w:contextualSpacing/>
        <w:jc w:val="left"/>
        <w:rPr>
          <w:rFonts w:eastAsia="Calibri"/>
          <w:sz w:val="20"/>
          <w:lang w:eastAsia="en-US"/>
        </w:rPr>
      </w:pPr>
      <w:r w:rsidRPr="00072003">
        <w:rPr>
          <w:rFonts w:eastAsia="Calibri"/>
          <w:sz w:val="20"/>
          <w:lang w:eastAsia="en-US"/>
        </w:rPr>
        <w:t xml:space="preserve">Virement </w:t>
      </w:r>
    </w:p>
    <w:p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2.1. Présentation de l’offre</w:t>
      </w:r>
    </w:p>
    <w:p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2.2. Organisation opérationnelle de l’activité virement</w:t>
      </w:r>
    </w:p>
    <w:p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2.3. Grille d’analyse des risques et principaux incidents de fraude</w:t>
      </w:r>
    </w:p>
    <w:p w:rsidR="005A28EA" w:rsidRPr="00072003" w:rsidRDefault="005A28EA" w:rsidP="005A28EA">
      <w:pPr>
        <w:spacing w:after="200"/>
        <w:ind w:left="641"/>
        <w:contextualSpacing/>
        <w:rPr>
          <w:rFonts w:eastAsia="Calibri"/>
          <w:sz w:val="20"/>
          <w:lang w:eastAsia="en-US"/>
        </w:rPr>
      </w:pPr>
    </w:p>
    <w:p w:rsidR="005A28EA" w:rsidRPr="00072003" w:rsidRDefault="005A28EA" w:rsidP="005A28EA">
      <w:pPr>
        <w:numPr>
          <w:ilvl w:val="0"/>
          <w:numId w:val="69"/>
        </w:numPr>
        <w:spacing w:after="200" w:line="276" w:lineRule="auto"/>
        <w:ind w:left="641" w:hanging="357"/>
        <w:contextualSpacing/>
        <w:jc w:val="left"/>
        <w:rPr>
          <w:rFonts w:eastAsia="Calibri"/>
          <w:sz w:val="20"/>
          <w:lang w:eastAsia="en-US"/>
        </w:rPr>
      </w:pPr>
      <w:r w:rsidRPr="00072003">
        <w:rPr>
          <w:rFonts w:eastAsia="Calibri"/>
          <w:sz w:val="20"/>
          <w:lang w:eastAsia="en-US"/>
        </w:rPr>
        <w:t>Prélèvement</w:t>
      </w:r>
    </w:p>
    <w:p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3.1. Présentation de l’offre</w:t>
      </w:r>
    </w:p>
    <w:p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3.2. Organisation opérationnelle de l’activité prélèvement</w:t>
      </w:r>
    </w:p>
    <w:p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3.3. Grille d’analyse des risques et principaux incidents de fraude</w:t>
      </w:r>
    </w:p>
    <w:p w:rsidR="005A28EA" w:rsidRPr="00072003" w:rsidRDefault="005A28EA" w:rsidP="005A28EA">
      <w:pPr>
        <w:spacing w:after="200" w:line="276" w:lineRule="auto"/>
        <w:ind w:left="641"/>
        <w:contextualSpacing/>
        <w:rPr>
          <w:rFonts w:eastAsia="Calibri"/>
          <w:sz w:val="20"/>
          <w:lang w:eastAsia="en-US"/>
        </w:rPr>
      </w:pPr>
    </w:p>
    <w:p w:rsidR="005A28EA" w:rsidRPr="00072003" w:rsidRDefault="005A28EA" w:rsidP="005A28EA">
      <w:pPr>
        <w:numPr>
          <w:ilvl w:val="0"/>
          <w:numId w:val="69"/>
        </w:numPr>
        <w:spacing w:after="200" w:line="276" w:lineRule="auto"/>
        <w:contextualSpacing/>
        <w:jc w:val="left"/>
        <w:rPr>
          <w:rFonts w:eastAsia="Calibri"/>
          <w:sz w:val="20"/>
          <w:lang w:eastAsia="en-US"/>
        </w:rPr>
      </w:pPr>
      <w:r w:rsidRPr="00072003">
        <w:rPr>
          <w:rFonts w:eastAsia="Calibri"/>
          <w:sz w:val="20"/>
          <w:lang w:eastAsia="en-US"/>
        </w:rPr>
        <w:t>Lettre de change (LCR) et billet à ordre relevé (BOR)</w:t>
      </w:r>
    </w:p>
    <w:p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4.1. Présentation de l’offre</w:t>
      </w:r>
    </w:p>
    <w:p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4.2. Organisation opérationnelle de l’activité LCR et BOR</w:t>
      </w:r>
    </w:p>
    <w:p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4.3. Grille d’analyse des risques et principaux incidents de fraude</w:t>
      </w:r>
    </w:p>
    <w:p w:rsidR="005A28EA" w:rsidRPr="00072003" w:rsidRDefault="005A28EA" w:rsidP="005A28EA">
      <w:pPr>
        <w:spacing w:after="200" w:line="276" w:lineRule="auto"/>
        <w:ind w:left="720"/>
        <w:contextualSpacing/>
        <w:jc w:val="left"/>
        <w:rPr>
          <w:rFonts w:eastAsia="Calibri"/>
          <w:sz w:val="20"/>
          <w:lang w:eastAsia="en-US"/>
        </w:rPr>
      </w:pPr>
    </w:p>
    <w:p w:rsidR="005A28EA" w:rsidRPr="00072003" w:rsidRDefault="005A28EA" w:rsidP="005A28EA">
      <w:pPr>
        <w:numPr>
          <w:ilvl w:val="0"/>
          <w:numId w:val="69"/>
        </w:numPr>
        <w:spacing w:after="200" w:line="276" w:lineRule="auto"/>
        <w:contextualSpacing/>
        <w:jc w:val="left"/>
        <w:rPr>
          <w:rFonts w:eastAsia="Calibri"/>
          <w:sz w:val="20"/>
          <w:lang w:eastAsia="en-US"/>
        </w:rPr>
      </w:pPr>
      <w:r w:rsidRPr="00072003">
        <w:rPr>
          <w:rFonts w:eastAsia="Calibri"/>
          <w:sz w:val="20"/>
          <w:lang w:eastAsia="en-US"/>
        </w:rPr>
        <w:t xml:space="preserve">Chèque </w:t>
      </w:r>
    </w:p>
    <w:p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5.1. Présentation de l’offre</w:t>
      </w:r>
    </w:p>
    <w:p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5.2. Organisation opérationnelle de l’activité chèque</w:t>
      </w:r>
    </w:p>
    <w:p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 xml:space="preserve">5.3. </w:t>
      </w:r>
      <w:r w:rsidR="009F5C2E">
        <w:rPr>
          <w:rFonts w:eastAsia="Calibri"/>
          <w:sz w:val="20"/>
          <w:lang w:eastAsia="en-US"/>
        </w:rPr>
        <w:t xml:space="preserve">Évolution de la </w:t>
      </w:r>
      <w:r w:rsidRPr="00072003">
        <w:rPr>
          <w:rFonts w:eastAsia="Calibri"/>
          <w:sz w:val="20"/>
          <w:lang w:eastAsia="en-US"/>
        </w:rPr>
        <w:t>fraude</w:t>
      </w:r>
      <w:r w:rsidR="009F5C2E">
        <w:rPr>
          <w:rFonts w:eastAsia="Calibri"/>
          <w:sz w:val="20"/>
          <w:lang w:eastAsia="en-US"/>
        </w:rPr>
        <w:t xml:space="preserve"> au cours de la période sous revue</w:t>
      </w:r>
    </w:p>
    <w:p w:rsidR="005A28EA" w:rsidRPr="00072003" w:rsidRDefault="005A28EA" w:rsidP="005A28EA">
      <w:pPr>
        <w:spacing w:after="200"/>
        <w:ind w:left="644"/>
        <w:contextualSpacing/>
        <w:rPr>
          <w:rFonts w:eastAsia="Calibri"/>
          <w:sz w:val="20"/>
          <w:lang w:eastAsia="en-US"/>
        </w:rPr>
      </w:pPr>
    </w:p>
    <w:p w:rsidR="005A28EA" w:rsidRPr="00072003" w:rsidRDefault="005A28EA" w:rsidP="005A28EA">
      <w:pPr>
        <w:numPr>
          <w:ilvl w:val="0"/>
          <w:numId w:val="69"/>
        </w:numPr>
        <w:spacing w:after="200" w:line="276" w:lineRule="auto"/>
        <w:contextualSpacing/>
        <w:jc w:val="left"/>
        <w:rPr>
          <w:rFonts w:eastAsia="Calibri"/>
          <w:sz w:val="20"/>
          <w:lang w:eastAsia="en-US"/>
        </w:rPr>
      </w:pPr>
      <w:r w:rsidRPr="00072003">
        <w:rPr>
          <w:rFonts w:eastAsia="Calibri"/>
          <w:sz w:val="20"/>
          <w:lang w:eastAsia="en-US"/>
        </w:rPr>
        <w:t>Monnaie électronique</w:t>
      </w:r>
    </w:p>
    <w:p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6.1. Présentation de l’offre</w:t>
      </w:r>
    </w:p>
    <w:p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6.2. Organisation opérationnelle de l’activité monnaie électronique</w:t>
      </w:r>
    </w:p>
    <w:p w:rsidR="005A28EA" w:rsidRPr="00072003" w:rsidRDefault="005A28EA" w:rsidP="005A28EA">
      <w:pPr>
        <w:spacing w:after="200"/>
        <w:ind w:left="644"/>
        <w:contextualSpacing/>
        <w:rPr>
          <w:rFonts w:eastAsia="Calibri"/>
          <w:sz w:val="20"/>
          <w:lang w:eastAsia="en-US"/>
        </w:rPr>
      </w:pPr>
      <w:r w:rsidRPr="00072003">
        <w:rPr>
          <w:rFonts w:eastAsia="Calibri"/>
          <w:sz w:val="20"/>
          <w:lang w:eastAsia="en-US"/>
        </w:rPr>
        <w:t xml:space="preserve">6.3. </w:t>
      </w:r>
      <w:r w:rsidR="009F5C2E">
        <w:rPr>
          <w:rFonts w:eastAsia="Calibri"/>
          <w:sz w:val="20"/>
          <w:lang w:eastAsia="en-US"/>
        </w:rPr>
        <w:t xml:space="preserve">Description </w:t>
      </w:r>
      <w:r w:rsidRPr="00072003">
        <w:rPr>
          <w:rFonts w:eastAsia="Calibri"/>
          <w:sz w:val="20"/>
          <w:lang w:eastAsia="en-US"/>
        </w:rPr>
        <w:t xml:space="preserve">des principaux incidents de fraude </w:t>
      </w:r>
    </w:p>
    <w:p w:rsidR="009B66E4" w:rsidRPr="00072003" w:rsidRDefault="009B66E4" w:rsidP="00D63D99">
      <w:pPr>
        <w:pStyle w:val="Paragraphedeliste"/>
        <w:numPr>
          <w:ilvl w:val="0"/>
          <w:numId w:val="69"/>
        </w:numPr>
        <w:spacing w:after="200"/>
        <w:rPr>
          <w:rFonts w:eastAsia="Calibri"/>
          <w:sz w:val="20"/>
          <w:lang w:eastAsia="en-US"/>
        </w:rPr>
      </w:pPr>
      <w:r w:rsidRPr="00072003">
        <w:rPr>
          <w:rFonts w:eastAsia="Calibri"/>
          <w:sz w:val="20"/>
          <w:lang w:eastAsia="en-US"/>
        </w:rPr>
        <w:t>Service</w:t>
      </w:r>
      <w:r w:rsidR="001C5B1C" w:rsidRPr="00072003">
        <w:rPr>
          <w:rFonts w:eastAsia="Calibri"/>
          <w:sz w:val="20"/>
          <w:lang w:eastAsia="en-US"/>
        </w:rPr>
        <w:t>s</w:t>
      </w:r>
      <w:r w:rsidRPr="00072003">
        <w:rPr>
          <w:rFonts w:eastAsia="Calibri"/>
          <w:sz w:val="20"/>
          <w:lang w:eastAsia="en-US"/>
        </w:rPr>
        <w:t xml:space="preserve"> d’information sur les comptes</w:t>
      </w:r>
      <w:r w:rsidR="001C5B1C" w:rsidRPr="00072003">
        <w:rPr>
          <w:rFonts w:eastAsia="Calibri"/>
          <w:sz w:val="20"/>
          <w:lang w:eastAsia="en-US"/>
        </w:rPr>
        <w:t xml:space="preserve"> et d’initiation de paiement</w:t>
      </w:r>
    </w:p>
    <w:p w:rsidR="009B66E4" w:rsidRPr="00072003" w:rsidRDefault="009B66E4" w:rsidP="00D63D99">
      <w:pPr>
        <w:pStyle w:val="Paragraphedeliste"/>
        <w:spacing w:after="200"/>
        <w:ind w:left="644"/>
        <w:rPr>
          <w:rFonts w:eastAsia="Calibri"/>
          <w:sz w:val="20"/>
          <w:lang w:eastAsia="en-US"/>
        </w:rPr>
      </w:pPr>
      <w:r w:rsidRPr="00072003">
        <w:rPr>
          <w:rFonts w:eastAsia="Calibri"/>
          <w:sz w:val="20"/>
          <w:lang w:eastAsia="en-US"/>
        </w:rPr>
        <w:t xml:space="preserve">7.1. Présentation </w:t>
      </w:r>
      <w:r w:rsidR="001C5B1C" w:rsidRPr="00072003">
        <w:rPr>
          <w:rFonts w:eastAsia="Calibri"/>
          <w:sz w:val="20"/>
          <w:lang w:eastAsia="en-US"/>
        </w:rPr>
        <w:t>de l’offre</w:t>
      </w:r>
    </w:p>
    <w:p w:rsidR="009B66E4" w:rsidRPr="00072003" w:rsidRDefault="009B66E4" w:rsidP="00D63D99">
      <w:pPr>
        <w:pStyle w:val="Paragraphedeliste"/>
        <w:spacing w:after="200"/>
        <w:ind w:left="644"/>
        <w:rPr>
          <w:rFonts w:eastAsia="Calibri"/>
          <w:sz w:val="20"/>
          <w:lang w:eastAsia="en-US"/>
        </w:rPr>
      </w:pPr>
      <w:r w:rsidRPr="00072003">
        <w:rPr>
          <w:rFonts w:eastAsia="Calibri"/>
          <w:sz w:val="20"/>
          <w:lang w:eastAsia="en-US"/>
        </w:rPr>
        <w:t xml:space="preserve">7.2. Organisation opérationnelle </w:t>
      </w:r>
      <w:r w:rsidR="001C5B1C" w:rsidRPr="00072003">
        <w:rPr>
          <w:rFonts w:eastAsia="Calibri"/>
          <w:sz w:val="20"/>
          <w:lang w:eastAsia="en-US"/>
        </w:rPr>
        <w:t>de l’offre</w:t>
      </w:r>
    </w:p>
    <w:p w:rsidR="009B66E4" w:rsidRPr="00072003" w:rsidRDefault="009B66E4" w:rsidP="00D63D99">
      <w:pPr>
        <w:pStyle w:val="Paragraphedeliste"/>
        <w:spacing w:after="200"/>
        <w:ind w:left="644"/>
        <w:rPr>
          <w:rFonts w:eastAsia="Calibri"/>
          <w:sz w:val="20"/>
          <w:lang w:eastAsia="en-US"/>
        </w:rPr>
      </w:pPr>
      <w:r w:rsidRPr="00072003">
        <w:rPr>
          <w:rFonts w:eastAsia="Calibri"/>
          <w:sz w:val="20"/>
          <w:lang w:eastAsia="en-US"/>
        </w:rPr>
        <w:t>7.3. Présentation des mesures de protection des données de</w:t>
      </w:r>
      <w:r w:rsidR="00D47F13" w:rsidRPr="00072003">
        <w:rPr>
          <w:rFonts w:eastAsia="Calibri"/>
          <w:sz w:val="20"/>
          <w:lang w:eastAsia="en-US"/>
        </w:rPr>
        <w:t xml:space="preserve"> paiement sensibles</w:t>
      </w:r>
    </w:p>
    <w:p w:rsidR="005A28EA" w:rsidRPr="00072003" w:rsidRDefault="005A28EA" w:rsidP="00460E3D">
      <w:pPr>
        <w:numPr>
          <w:ilvl w:val="0"/>
          <w:numId w:val="68"/>
        </w:numPr>
        <w:tabs>
          <w:tab w:val="left" w:pos="567"/>
        </w:tabs>
        <w:spacing w:after="200" w:line="276" w:lineRule="auto"/>
        <w:ind w:left="567" w:hanging="567"/>
        <w:contextualSpacing/>
        <w:jc w:val="left"/>
        <w:rPr>
          <w:rFonts w:eastAsia="Calibri"/>
          <w:b/>
          <w:sz w:val="20"/>
          <w:lang w:eastAsia="en-US"/>
        </w:rPr>
      </w:pPr>
      <w:r w:rsidRPr="00072003">
        <w:rPr>
          <w:rFonts w:eastAsia="Calibri"/>
          <w:b/>
          <w:sz w:val="20"/>
          <w:lang w:eastAsia="en-US"/>
        </w:rPr>
        <w:t>Présentation des résultats du contrôle périodique sur le périmètre des moyens de paiement scripturaux</w:t>
      </w:r>
      <w:r w:rsidR="009F5C2E">
        <w:rPr>
          <w:rFonts w:eastAsia="Calibri"/>
          <w:b/>
          <w:sz w:val="20"/>
          <w:lang w:eastAsia="en-US"/>
        </w:rPr>
        <w:t xml:space="preserve"> et de l’accès aux comptes</w:t>
      </w:r>
    </w:p>
    <w:p w:rsidR="005A28EA" w:rsidRPr="00072003" w:rsidRDefault="005A28EA" w:rsidP="005A28EA">
      <w:pPr>
        <w:spacing w:after="200" w:line="276" w:lineRule="auto"/>
        <w:ind w:left="284"/>
        <w:contextualSpacing/>
        <w:rPr>
          <w:rFonts w:eastAsia="Calibri"/>
          <w:b/>
          <w:sz w:val="20"/>
          <w:lang w:eastAsia="en-US"/>
        </w:rPr>
      </w:pPr>
    </w:p>
    <w:p w:rsidR="005A28EA" w:rsidRPr="00072003" w:rsidRDefault="005A28EA" w:rsidP="00D63D99">
      <w:pPr>
        <w:numPr>
          <w:ilvl w:val="0"/>
          <w:numId w:val="68"/>
        </w:numPr>
        <w:tabs>
          <w:tab w:val="left" w:pos="567"/>
        </w:tabs>
        <w:spacing w:line="276" w:lineRule="auto"/>
        <w:ind w:left="567" w:hanging="567"/>
        <w:contextualSpacing/>
        <w:jc w:val="left"/>
        <w:rPr>
          <w:rFonts w:eastAsia="Calibri"/>
          <w:b/>
          <w:sz w:val="20"/>
          <w:lang w:eastAsia="en-US"/>
        </w:rPr>
      </w:pPr>
      <w:r w:rsidRPr="00072003">
        <w:rPr>
          <w:rFonts w:eastAsia="Calibri"/>
          <w:b/>
          <w:sz w:val="20"/>
          <w:lang w:eastAsia="en-US"/>
        </w:rPr>
        <w:t>Évaluation de la conformité aux recommandations d’organismes externes en matière de sécurité des moyens de paiement</w:t>
      </w:r>
      <w:r w:rsidR="009F5C2E">
        <w:rPr>
          <w:rFonts w:eastAsia="Calibri"/>
          <w:b/>
          <w:sz w:val="20"/>
          <w:lang w:eastAsia="en-US"/>
        </w:rPr>
        <w:t xml:space="preserve"> et de sécurité de l’accès aux comptes</w:t>
      </w:r>
    </w:p>
    <w:p w:rsidR="00072003" w:rsidRPr="00072003" w:rsidRDefault="00072003" w:rsidP="00A85C3C">
      <w:pPr>
        <w:pStyle w:val="Paragraphedeliste"/>
        <w:rPr>
          <w:rFonts w:eastAsia="Calibri"/>
          <w:b/>
          <w:sz w:val="20"/>
          <w:lang w:eastAsia="en-US"/>
        </w:rPr>
      </w:pPr>
    </w:p>
    <w:p w:rsidR="00072003" w:rsidRPr="00072003" w:rsidRDefault="00072003" w:rsidP="00D63D99">
      <w:pPr>
        <w:numPr>
          <w:ilvl w:val="0"/>
          <w:numId w:val="68"/>
        </w:numPr>
        <w:tabs>
          <w:tab w:val="left" w:pos="567"/>
        </w:tabs>
        <w:spacing w:line="276" w:lineRule="auto"/>
        <w:ind w:left="567" w:hanging="567"/>
        <w:contextualSpacing/>
        <w:jc w:val="left"/>
        <w:rPr>
          <w:rFonts w:eastAsia="Calibri"/>
          <w:b/>
          <w:sz w:val="20"/>
          <w:lang w:eastAsia="en-US"/>
        </w:rPr>
      </w:pPr>
      <w:r w:rsidRPr="00072003">
        <w:rPr>
          <w:rFonts w:eastAsia="Calibri"/>
          <w:b/>
          <w:sz w:val="20"/>
          <w:lang w:eastAsia="en-US"/>
        </w:rPr>
        <w:t>Rapport d’audit sur la mise en œuvre des mesures de sécurité inscrites dans les RTS (</w:t>
      </w:r>
      <w:r w:rsidRPr="00072003">
        <w:rPr>
          <w:rFonts w:eastAsia="Calibri"/>
          <w:b/>
          <w:i/>
          <w:sz w:val="20"/>
          <w:lang w:eastAsia="en-US"/>
        </w:rPr>
        <w:t>Regulatory technical standard</w:t>
      </w:r>
      <w:r w:rsidRPr="00072003">
        <w:rPr>
          <w:rFonts w:eastAsia="Calibri"/>
          <w:b/>
          <w:sz w:val="20"/>
          <w:lang w:eastAsia="en-US"/>
        </w:rPr>
        <w:t>)</w:t>
      </w:r>
    </w:p>
    <w:p w:rsidR="009B66E4" w:rsidRPr="00072003" w:rsidRDefault="009B66E4" w:rsidP="00D63D99">
      <w:pPr>
        <w:pStyle w:val="Paragraphedeliste"/>
        <w:rPr>
          <w:rFonts w:eastAsia="Calibri"/>
          <w:b/>
          <w:sz w:val="20"/>
          <w:lang w:eastAsia="en-US"/>
        </w:rPr>
      </w:pPr>
    </w:p>
    <w:p w:rsidR="005A28EA" w:rsidRPr="00072003" w:rsidRDefault="005A28EA" w:rsidP="00460E3D">
      <w:pPr>
        <w:numPr>
          <w:ilvl w:val="0"/>
          <w:numId w:val="68"/>
        </w:numPr>
        <w:tabs>
          <w:tab w:val="left" w:pos="567"/>
        </w:tabs>
        <w:spacing w:after="200" w:line="276" w:lineRule="auto"/>
        <w:ind w:left="284" w:hanging="284"/>
        <w:contextualSpacing/>
        <w:jc w:val="left"/>
        <w:rPr>
          <w:rFonts w:eastAsia="Calibri"/>
          <w:b/>
          <w:sz w:val="20"/>
          <w:lang w:eastAsia="en-US"/>
        </w:rPr>
      </w:pPr>
      <w:r w:rsidRPr="00072003">
        <w:rPr>
          <w:rFonts w:eastAsia="Calibri"/>
          <w:b/>
          <w:sz w:val="20"/>
          <w:lang w:eastAsia="en-US"/>
        </w:rPr>
        <w:t>Annexes</w:t>
      </w:r>
    </w:p>
    <w:p w:rsidR="009B66E4" w:rsidRPr="00072003" w:rsidRDefault="005A28EA">
      <w:pPr>
        <w:numPr>
          <w:ilvl w:val="0"/>
          <w:numId w:val="70"/>
        </w:numPr>
        <w:spacing w:after="200" w:line="276" w:lineRule="auto"/>
        <w:contextualSpacing/>
        <w:jc w:val="left"/>
        <w:rPr>
          <w:rFonts w:eastAsia="Calibri"/>
          <w:sz w:val="20"/>
          <w:lang w:eastAsia="en-US"/>
        </w:rPr>
      </w:pPr>
      <w:r w:rsidRPr="00072003">
        <w:rPr>
          <w:rFonts w:eastAsia="Calibri"/>
          <w:sz w:val="20"/>
          <w:lang w:eastAsia="en-US"/>
        </w:rPr>
        <w:t>Matrice de cotation des risques de fraude de l’établissement</w:t>
      </w:r>
    </w:p>
    <w:p w:rsidR="005A28EA" w:rsidRDefault="009B66E4">
      <w:pPr>
        <w:numPr>
          <w:ilvl w:val="0"/>
          <w:numId w:val="70"/>
        </w:numPr>
        <w:spacing w:after="200" w:line="276" w:lineRule="auto"/>
        <w:contextualSpacing/>
        <w:jc w:val="left"/>
        <w:rPr>
          <w:rFonts w:eastAsia="Calibri"/>
          <w:sz w:val="20"/>
          <w:lang w:eastAsia="en-US"/>
        </w:rPr>
      </w:pPr>
      <w:r w:rsidRPr="00072003">
        <w:rPr>
          <w:rFonts w:eastAsia="Calibri"/>
          <w:sz w:val="20"/>
          <w:lang w:eastAsia="en-US"/>
        </w:rPr>
        <w:t>G</w:t>
      </w:r>
      <w:r w:rsidR="005A28EA" w:rsidRPr="00072003">
        <w:rPr>
          <w:rFonts w:eastAsia="Calibri"/>
          <w:sz w:val="20"/>
          <w:lang w:eastAsia="en-US"/>
        </w:rPr>
        <w:t>lossaire</w:t>
      </w:r>
    </w:p>
    <w:p w:rsidR="00072003" w:rsidRDefault="00072003" w:rsidP="00072003">
      <w:pPr>
        <w:spacing w:after="200" w:line="276" w:lineRule="auto"/>
        <w:contextualSpacing/>
        <w:jc w:val="left"/>
        <w:rPr>
          <w:rFonts w:eastAsia="Calibri"/>
          <w:sz w:val="20"/>
          <w:lang w:eastAsia="en-US"/>
        </w:rPr>
      </w:pPr>
    </w:p>
    <w:p w:rsidR="005A28EA" w:rsidRPr="00460E3D" w:rsidRDefault="005A28EA" w:rsidP="005A28EA">
      <w:pPr>
        <w:jc w:val="left"/>
        <w:rPr>
          <w:rFonts w:eastAsia="Calibri"/>
          <w:b/>
          <w:smallCaps/>
          <w:color w:val="1F497D"/>
          <w:sz w:val="28"/>
          <w:szCs w:val="22"/>
          <w:lang w:eastAsia="en-US"/>
        </w:rPr>
      </w:pPr>
      <w:r w:rsidRPr="00460E3D">
        <w:rPr>
          <w:rFonts w:eastAsia="Calibri"/>
          <w:b/>
          <w:smallCaps/>
          <w:color w:val="1F497D"/>
          <w:sz w:val="28"/>
          <w:szCs w:val="22"/>
          <w:lang w:eastAsia="en-US"/>
        </w:rPr>
        <w:t>Introduction</w:t>
      </w:r>
    </w:p>
    <w:p w:rsidR="005A28EA" w:rsidRPr="00460E3D" w:rsidRDefault="005A28EA" w:rsidP="005A28EA">
      <w:pPr>
        <w:jc w:val="left"/>
        <w:rPr>
          <w:rFonts w:eastAsia="Calibri"/>
          <w:b/>
          <w:smallCaps/>
          <w:color w:val="1F497D"/>
          <w:sz w:val="28"/>
          <w:szCs w:val="22"/>
          <w:lang w:eastAsia="en-US"/>
        </w:rPr>
      </w:pPr>
    </w:p>
    <w:p w:rsidR="005A28EA" w:rsidRPr="00460E3D" w:rsidRDefault="005A28EA" w:rsidP="005A28EA">
      <w:pPr>
        <w:rPr>
          <w:rFonts w:eastAsia="Calibri"/>
          <w:b/>
          <w:sz w:val="22"/>
          <w:szCs w:val="22"/>
          <w:lang w:eastAsia="en-US"/>
        </w:rPr>
      </w:pPr>
      <w:r w:rsidRPr="00460E3D">
        <w:rPr>
          <w:rFonts w:eastAsia="Calibri"/>
          <w:b/>
          <w:sz w:val="22"/>
          <w:szCs w:val="22"/>
          <w:lang w:eastAsia="en-US"/>
        </w:rPr>
        <w:t>Rappel du cadre règlementaire</w:t>
      </w:r>
    </w:p>
    <w:p w:rsidR="005A28EA" w:rsidRPr="00460E3D" w:rsidRDefault="005A28EA" w:rsidP="005A28EA">
      <w:pPr>
        <w:rPr>
          <w:sz w:val="22"/>
          <w:szCs w:val="22"/>
        </w:rPr>
      </w:pPr>
    </w:p>
    <w:p w:rsidR="005A28EA" w:rsidRPr="00460E3D" w:rsidRDefault="005A28EA" w:rsidP="005A28EA">
      <w:pPr>
        <w:rPr>
          <w:sz w:val="22"/>
          <w:szCs w:val="22"/>
        </w:rPr>
      </w:pPr>
      <w:r w:rsidRPr="00460E3D">
        <w:rPr>
          <w:sz w:val="22"/>
          <w:szCs w:val="22"/>
        </w:rPr>
        <w:t xml:space="preserve">Cette annexe est consacrée à la sécurité des </w:t>
      </w:r>
      <w:r w:rsidRPr="00460E3D">
        <w:rPr>
          <w:b/>
          <w:sz w:val="22"/>
          <w:szCs w:val="22"/>
        </w:rPr>
        <w:t>moyens de paiement scripturaux</w:t>
      </w:r>
      <w:r w:rsidRPr="00460E3D">
        <w:rPr>
          <w:sz w:val="22"/>
          <w:szCs w:val="22"/>
        </w:rPr>
        <w:t>, définis à l’article L. 311-3 du Code monétaire et financier, émis ou gérés par l’établissement</w:t>
      </w:r>
      <w:r w:rsidR="001505E4">
        <w:rPr>
          <w:sz w:val="22"/>
          <w:szCs w:val="22"/>
        </w:rPr>
        <w:t xml:space="preserve">, ainsi qu’à </w:t>
      </w:r>
      <w:r w:rsidR="001505E4">
        <w:rPr>
          <w:b/>
          <w:sz w:val="22"/>
          <w:szCs w:val="22"/>
        </w:rPr>
        <w:t xml:space="preserve">la sécurité de l’accès aux comptes de paiement et à leurs informations </w:t>
      </w:r>
      <w:r w:rsidR="001505E4" w:rsidRPr="00C2209B">
        <w:rPr>
          <w:sz w:val="22"/>
          <w:szCs w:val="22"/>
        </w:rPr>
        <w:t>dans le cadre de la fourniture des services d’initiation de paiement et d’</w:t>
      </w:r>
      <w:r w:rsidR="001505E4" w:rsidRPr="00E63E12">
        <w:rPr>
          <w:sz w:val="22"/>
          <w:szCs w:val="22"/>
        </w:rPr>
        <w:t>information</w:t>
      </w:r>
      <w:r w:rsidR="001505E4" w:rsidRPr="00C2209B">
        <w:rPr>
          <w:sz w:val="22"/>
          <w:szCs w:val="22"/>
        </w:rPr>
        <w:t xml:space="preserve"> sur les comptes</w:t>
      </w:r>
      <w:r w:rsidRPr="00460E3D">
        <w:rPr>
          <w:sz w:val="22"/>
          <w:szCs w:val="22"/>
        </w:rPr>
        <w:t>. Sont considérés comme moyens de paiement tous les instruments qui permettent à toute personne de transférer des fonds, quel que soit le support ou le procédé technique utilisé.</w:t>
      </w:r>
    </w:p>
    <w:p w:rsidR="005A28EA" w:rsidRPr="00460E3D" w:rsidRDefault="005A28EA" w:rsidP="005A28EA">
      <w:pPr>
        <w:rPr>
          <w:sz w:val="22"/>
          <w:szCs w:val="22"/>
        </w:rPr>
      </w:pPr>
    </w:p>
    <w:p w:rsidR="005A28EA" w:rsidRPr="00460E3D" w:rsidRDefault="005A28EA" w:rsidP="005A28EA">
      <w:pPr>
        <w:rPr>
          <w:sz w:val="22"/>
          <w:szCs w:val="22"/>
        </w:rPr>
      </w:pPr>
      <w:r w:rsidRPr="00460E3D">
        <w:rPr>
          <w:sz w:val="22"/>
          <w:szCs w:val="22"/>
        </w:rPr>
        <w:t>L’annexe est transmise par le Secrétariat général de l’Autorité de contrôle prudentiel et de résolution à la Banque de France pour l’exercice de s</w:t>
      </w:r>
      <w:r w:rsidR="001505E4">
        <w:rPr>
          <w:sz w:val="22"/>
          <w:szCs w:val="22"/>
        </w:rPr>
        <w:t>es</w:t>
      </w:r>
      <w:r w:rsidRPr="00460E3D">
        <w:rPr>
          <w:sz w:val="22"/>
          <w:szCs w:val="22"/>
        </w:rPr>
        <w:t xml:space="preserve"> mission</w:t>
      </w:r>
      <w:r w:rsidR="001505E4">
        <w:rPr>
          <w:sz w:val="22"/>
          <w:szCs w:val="22"/>
        </w:rPr>
        <w:t>s</w:t>
      </w:r>
      <w:r w:rsidRPr="00460E3D">
        <w:rPr>
          <w:sz w:val="22"/>
          <w:szCs w:val="22"/>
        </w:rPr>
        <w:t xml:space="preserve"> définie</w:t>
      </w:r>
      <w:r w:rsidR="001505E4">
        <w:rPr>
          <w:sz w:val="22"/>
          <w:szCs w:val="22"/>
        </w:rPr>
        <w:t>s</w:t>
      </w:r>
      <w:r w:rsidRPr="00460E3D">
        <w:rPr>
          <w:sz w:val="22"/>
          <w:szCs w:val="22"/>
        </w:rPr>
        <w:t xml:space="preserve"> au I de l’article L. 141-4 </w:t>
      </w:r>
      <w:r w:rsidR="001505E4">
        <w:rPr>
          <w:sz w:val="22"/>
          <w:szCs w:val="22"/>
        </w:rPr>
        <w:t>et à l’article L. 521-8</w:t>
      </w:r>
      <w:r w:rsidR="001505E4" w:rsidRPr="00460E3D">
        <w:rPr>
          <w:sz w:val="22"/>
          <w:szCs w:val="22"/>
        </w:rPr>
        <w:t xml:space="preserve"> </w:t>
      </w:r>
      <w:r w:rsidRPr="00460E3D">
        <w:rPr>
          <w:sz w:val="22"/>
          <w:szCs w:val="22"/>
        </w:rPr>
        <w:t>du Code monétaire et financier</w:t>
      </w:r>
      <w:r w:rsidR="003D2E0B" w:rsidRPr="003D2E0B">
        <w:rPr>
          <w:sz w:val="22"/>
          <w:szCs w:val="22"/>
        </w:rPr>
        <w:t xml:space="preserve"> </w:t>
      </w:r>
      <w:r w:rsidR="003D2E0B" w:rsidRPr="009616A9">
        <w:rPr>
          <w:sz w:val="22"/>
          <w:szCs w:val="22"/>
        </w:rPr>
        <w:t>et, pour les annexes établies par les établissements ayant leur siège social dans les collectivités françaises du Pacifique, à l’Institut d’émission d’Outre-Mer (IEOM) pour l’exercice de ses missions définies à l’article L. 721-20 du même Code</w:t>
      </w:r>
      <w:r w:rsidR="003D2E0B">
        <w:rPr>
          <w:rStyle w:val="Appelnotedebasdep"/>
          <w:szCs w:val="22"/>
        </w:rPr>
        <w:footnoteReference w:id="14"/>
      </w:r>
      <w:r w:rsidRPr="00460E3D">
        <w:rPr>
          <w:sz w:val="22"/>
          <w:szCs w:val="22"/>
        </w:rPr>
        <w:t>.</w:t>
      </w:r>
    </w:p>
    <w:p w:rsidR="005A28EA" w:rsidRPr="00460E3D" w:rsidRDefault="005A28EA" w:rsidP="005A28EA">
      <w:pPr>
        <w:rPr>
          <w:sz w:val="22"/>
          <w:szCs w:val="22"/>
        </w:rPr>
      </w:pPr>
    </w:p>
    <w:p w:rsidR="005A28EA" w:rsidRPr="00460E3D" w:rsidRDefault="005A28EA" w:rsidP="005A28EA">
      <w:pPr>
        <w:rPr>
          <w:rFonts w:eastAsia="Calibri"/>
          <w:sz w:val="22"/>
          <w:szCs w:val="22"/>
          <w:lang w:eastAsia="en-US"/>
        </w:rPr>
      </w:pPr>
      <w:r w:rsidRPr="00460E3D">
        <w:rPr>
          <w:sz w:val="22"/>
          <w:szCs w:val="22"/>
        </w:rPr>
        <w:t xml:space="preserve">L’annexe étant principalement destinée à la Banque de France, </w:t>
      </w:r>
      <w:r w:rsidRPr="00460E3D">
        <w:rPr>
          <w:sz w:val="22"/>
          <w:szCs w:val="22"/>
          <w:u w:val="single"/>
        </w:rPr>
        <w:t>elle constitue un document autonome du reste des rapports établis en vertu des articles 258 à 266 de l’arrêté du 3 novembre 2014</w:t>
      </w:r>
      <w:r w:rsidR="00A721C6">
        <w:rPr>
          <w:sz w:val="22"/>
          <w:szCs w:val="22"/>
          <w:u w:val="single"/>
        </w:rPr>
        <w:t xml:space="preserve"> modifié</w:t>
      </w:r>
      <w:r w:rsidRPr="00460E3D">
        <w:rPr>
          <w:sz w:val="22"/>
          <w:szCs w:val="22"/>
          <w:u w:val="single"/>
        </w:rPr>
        <w:t>.</w:t>
      </w:r>
      <w:r w:rsidRPr="00460E3D">
        <w:rPr>
          <w:rFonts w:eastAsia="Calibri"/>
          <w:sz w:val="22"/>
          <w:szCs w:val="22"/>
          <w:lang w:eastAsia="en-US"/>
        </w:rPr>
        <w:t xml:space="preserve"> </w:t>
      </w:r>
      <w:r w:rsidR="0029217F">
        <w:rPr>
          <w:rFonts w:eastAsia="Calibri"/>
          <w:sz w:val="22"/>
          <w:szCs w:val="22"/>
          <w:lang w:eastAsia="en-US"/>
        </w:rPr>
        <w:t>Par ailleurs, dans la mesure où la compétence de la Banque de France porte sur le territoire français, seuls les moyens de paiement offerts en France (ou les comptes de paiement ouverts en France) sont concernés par la présente annexe, excluant donc les services des établissements fournis via leurs succursales installées à l’étranger.</w:t>
      </w:r>
    </w:p>
    <w:p w:rsidR="005A28EA" w:rsidRPr="00460E3D" w:rsidRDefault="005A28EA" w:rsidP="005A28EA">
      <w:pPr>
        <w:rPr>
          <w:b/>
          <w:i/>
          <w:sz w:val="22"/>
          <w:szCs w:val="22"/>
        </w:rPr>
      </w:pPr>
    </w:p>
    <w:p w:rsidR="005A28EA" w:rsidRPr="00460E3D" w:rsidRDefault="005A28EA" w:rsidP="005A28EA">
      <w:pPr>
        <w:rPr>
          <w:sz w:val="22"/>
          <w:szCs w:val="22"/>
        </w:rPr>
      </w:pPr>
      <w:r w:rsidRPr="00460E3D">
        <w:rPr>
          <w:b/>
          <w:sz w:val="22"/>
          <w:szCs w:val="22"/>
        </w:rPr>
        <w:t>Les établissements gestionnaires de moyens de paiement sans être pour autant leurs émetteurs doivent renseigner cette annexe.</w:t>
      </w:r>
      <w:r w:rsidRPr="00460E3D">
        <w:rPr>
          <w:sz w:val="22"/>
          <w:szCs w:val="22"/>
        </w:rPr>
        <w:t xml:space="preserve"> Les établissements qui n’émettent </w:t>
      </w:r>
      <w:r w:rsidR="000C7C6C">
        <w:rPr>
          <w:sz w:val="22"/>
          <w:szCs w:val="22"/>
        </w:rPr>
        <w:t>ni</w:t>
      </w:r>
      <w:r w:rsidRPr="00460E3D">
        <w:rPr>
          <w:sz w:val="22"/>
          <w:szCs w:val="22"/>
        </w:rPr>
        <w:t xml:space="preserve"> ne gèrent aucun moyen de paiement portent la mention : « </w:t>
      </w:r>
      <w:r w:rsidR="000C7C6C">
        <w:rPr>
          <w:sz w:val="22"/>
          <w:szCs w:val="22"/>
        </w:rPr>
        <w:t>L</w:t>
      </w:r>
      <w:r w:rsidRPr="00460E3D">
        <w:rPr>
          <w:sz w:val="22"/>
          <w:szCs w:val="22"/>
        </w:rPr>
        <w:t xml:space="preserve">’établissement n’émet </w:t>
      </w:r>
      <w:r w:rsidR="000C7C6C">
        <w:rPr>
          <w:sz w:val="22"/>
          <w:szCs w:val="22"/>
        </w:rPr>
        <w:t>ni</w:t>
      </w:r>
      <w:r w:rsidRPr="00460E3D">
        <w:rPr>
          <w:sz w:val="22"/>
          <w:szCs w:val="22"/>
        </w:rPr>
        <w:t xml:space="preserve"> ne gère aucun moyen de paiement au titre de son activité ». </w:t>
      </w:r>
    </w:p>
    <w:p w:rsidR="005A28EA" w:rsidRPr="00460E3D" w:rsidRDefault="005A28EA" w:rsidP="005A28EA">
      <w:pPr>
        <w:jc w:val="left"/>
        <w:rPr>
          <w:rFonts w:eastAsia="Calibri"/>
          <w:b/>
          <w:sz w:val="22"/>
          <w:szCs w:val="22"/>
          <w:lang w:eastAsia="en-US"/>
        </w:rPr>
      </w:pPr>
    </w:p>
    <w:p w:rsidR="005A28EA" w:rsidRPr="00460E3D" w:rsidRDefault="005A28EA" w:rsidP="005A28EA">
      <w:pPr>
        <w:jc w:val="left"/>
        <w:rPr>
          <w:rFonts w:eastAsia="Calibri"/>
          <w:b/>
          <w:sz w:val="22"/>
          <w:szCs w:val="22"/>
          <w:lang w:eastAsia="en-US"/>
        </w:rPr>
      </w:pPr>
      <w:r w:rsidRPr="00460E3D">
        <w:rPr>
          <w:rFonts w:eastAsia="Calibri"/>
          <w:b/>
          <w:sz w:val="22"/>
          <w:szCs w:val="22"/>
          <w:lang w:eastAsia="en-US"/>
        </w:rPr>
        <w:t>Caractéristiques et contenu de l’annexe</w:t>
      </w:r>
    </w:p>
    <w:p w:rsidR="005A28EA" w:rsidRPr="00460E3D" w:rsidRDefault="005A28EA" w:rsidP="005A28EA">
      <w:pPr>
        <w:rPr>
          <w:sz w:val="22"/>
          <w:szCs w:val="22"/>
        </w:rPr>
      </w:pPr>
    </w:p>
    <w:p w:rsidR="005A28EA" w:rsidRPr="00460E3D" w:rsidRDefault="005A28EA" w:rsidP="005A28EA">
      <w:pPr>
        <w:rPr>
          <w:sz w:val="22"/>
          <w:szCs w:val="22"/>
        </w:rPr>
      </w:pPr>
      <w:r w:rsidRPr="00460E3D">
        <w:rPr>
          <w:sz w:val="22"/>
          <w:szCs w:val="22"/>
        </w:rPr>
        <w:t>Cette annexe a pour objet d’apprécier le niveau de sécurité atteint par l’ensemble des moyens de paiement scripturaux émis ou gérés par l’établissement</w:t>
      </w:r>
      <w:r w:rsidR="000C7C6C">
        <w:rPr>
          <w:sz w:val="22"/>
          <w:szCs w:val="22"/>
        </w:rPr>
        <w:t>, ainsi que celui de l’accès aux comptes de paiement tenus par l’établissement</w:t>
      </w:r>
      <w:r w:rsidRPr="00460E3D">
        <w:rPr>
          <w:sz w:val="22"/>
          <w:szCs w:val="22"/>
        </w:rPr>
        <w:t xml:space="preserve">. </w:t>
      </w:r>
    </w:p>
    <w:p w:rsidR="005A28EA" w:rsidRPr="00460E3D" w:rsidRDefault="005A28EA" w:rsidP="005A28EA">
      <w:pPr>
        <w:rPr>
          <w:sz w:val="22"/>
          <w:szCs w:val="22"/>
        </w:rPr>
      </w:pPr>
    </w:p>
    <w:p w:rsidR="005A28EA" w:rsidRPr="00460E3D" w:rsidRDefault="005A28EA" w:rsidP="005A28EA">
      <w:pPr>
        <w:rPr>
          <w:sz w:val="22"/>
          <w:szCs w:val="22"/>
        </w:rPr>
      </w:pPr>
      <w:r w:rsidRPr="00460E3D">
        <w:rPr>
          <w:sz w:val="22"/>
          <w:szCs w:val="22"/>
        </w:rPr>
        <w:t xml:space="preserve">Cette annexe comporte </w:t>
      </w:r>
      <w:r w:rsidR="00EB01DB">
        <w:rPr>
          <w:sz w:val="22"/>
          <w:szCs w:val="22"/>
        </w:rPr>
        <w:t>5</w:t>
      </w:r>
      <w:r w:rsidRPr="00460E3D">
        <w:rPr>
          <w:sz w:val="22"/>
          <w:szCs w:val="22"/>
        </w:rPr>
        <w:t xml:space="preserve"> parties :</w:t>
      </w:r>
    </w:p>
    <w:p w:rsidR="005A28EA" w:rsidRPr="00460E3D" w:rsidRDefault="005A28EA" w:rsidP="005A28EA">
      <w:pPr>
        <w:rPr>
          <w:sz w:val="22"/>
          <w:szCs w:val="22"/>
        </w:rPr>
      </w:pPr>
    </w:p>
    <w:p w:rsidR="005A28EA" w:rsidRPr="00460E3D" w:rsidRDefault="005A28EA" w:rsidP="00460E3D">
      <w:pPr>
        <w:numPr>
          <w:ilvl w:val="0"/>
          <w:numId w:val="80"/>
        </w:numPr>
        <w:spacing w:after="200"/>
        <w:ind w:left="714" w:hanging="357"/>
        <w:rPr>
          <w:sz w:val="22"/>
          <w:szCs w:val="22"/>
        </w:rPr>
      </w:pPr>
      <w:r w:rsidRPr="00460E3D">
        <w:rPr>
          <w:sz w:val="22"/>
          <w:szCs w:val="22"/>
        </w:rPr>
        <w:t xml:space="preserve">une partie portant sur la présentation de chaque moyen </w:t>
      </w:r>
      <w:r w:rsidR="001505E4">
        <w:rPr>
          <w:sz w:val="22"/>
          <w:szCs w:val="22"/>
        </w:rPr>
        <w:t xml:space="preserve">et service </w:t>
      </w:r>
      <w:r w:rsidRPr="00460E3D">
        <w:rPr>
          <w:sz w:val="22"/>
          <w:szCs w:val="22"/>
        </w:rPr>
        <w:t>de paiement</w:t>
      </w:r>
      <w:r w:rsidR="004725B5">
        <w:rPr>
          <w:sz w:val="22"/>
          <w:szCs w:val="22"/>
        </w:rPr>
        <w:t>,</w:t>
      </w:r>
      <w:r w:rsidRPr="00460E3D">
        <w:rPr>
          <w:sz w:val="22"/>
          <w:szCs w:val="22"/>
        </w:rPr>
        <w:t xml:space="preserve"> des risques de fraude associés</w:t>
      </w:r>
      <w:r w:rsidR="004725B5">
        <w:rPr>
          <w:sz w:val="22"/>
          <w:szCs w:val="22"/>
        </w:rPr>
        <w:t xml:space="preserve"> </w:t>
      </w:r>
      <w:r w:rsidR="001C5B1C">
        <w:rPr>
          <w:sz w:val="22"/>
          <w:szCs w:val="22"/>
        </w:rPr>
        <w:t>et des dispositifs de maitrise des risques mis en place</w:t>
      </w:r>
      <w:r w:rsidR="001C5B1C" w:rsidRPr="00460E3D">
        <w:rPr>
          <w:sz w:val="22"/>
          <w:szCs w:val="22"/>
        </w:rPr>
        <w:t xml:space="preserve"> </w:t>
      </w:r>
      <w:r w:rsidRPr="00460E3D">
        <w:rPr>
          <w:sz w:val="22"/>
          <w:szCs w:val="22"/>
        </w:rPr>
        <w:t>(I) ;</w:t>
      </w:r>
    </w:p>
    <w:p w:rsidR="005A28EA" w:rsidRPr="00460E3D" w:rsidRDefault="005A28EA" w:rsidP="00460E3D">
      <w:pPr>
        <w:numPr>
          <w:ilvl w:val="0"/>
          <w:numId w:val="80"/>
        </w:numPr>
        <w:spacing w:after="200"/>
        <w:ind w:left="714" w:hanging="357"/>
        <w:rPr>
          <w:sz w:val="22"/>
          <w:szCs w:val="22"/>
        </w:rPr>
      </w:pPr>
      <w:r w:rsidRPr="00460E3D">
        <w:rPr>
          <w:sz w:val="22"/>
          <w:szCs w:val="22"/>
        </w:rPr>
        <w:t>une partie consacrée aux r</w:t>
      </w:r>
      <w:r w:rsidRPr="0057011B">
        <w:rPr>
          <w:sz w:val="22"/>
          <w:szCs w:val="22"/>
        </w:rPr>
        <w:t>ésultats du contrôle périodique</w:t>
      </w:r>
      <w:r>
        <w:rPr>
          <w:sz w:val="22"/>
          <w:szCs w:val="22"/>
        </w:rPr>
        <w:t xml:space="preserve"> </w:t>
      </w:r>
      <w:r w:rsidRPr="00460E3D">
        <w:rPr>
          <w:sz w:val="22"/>
          <w:szCs w:val="22"/>
        </w:rPr>
        <w:t xml:space="preserve">sur le périmètre des moyens de paiement scripturaux </w:t>
      </w:r>
      <w:r w:rsidR="001505E4">
        <w:rPr>
          <w:sz w:val="22"/>
          <w:szCs w:val="22"/>
        </w:rPr>
        <w:t>et de l’accès aux comptes</w:t>
      </w:r>
      <w:r w:rsidR="001505E4" w:rsidRPr="00460E3D">
        <w:rPr>
          <w:sz w:val="22"/>
          <w:szCs w:val="22"/>
        </w:rPr>
        <w:t xml:space="preserve"> </w:t>
      </w:r>
      <w:r w:rsidRPr="00460E3D">
        <w:rPr>
          <w:sz w:val="22"/>
          <w:szCs w:val="22"/>
        </w:rPr>
        <w:t>(II)</w:t>
      </w:r>
      <w:r>
        <w:rPr>
          <w:sz w:val="22"/>
          <w:szCs w:val="22"/>
        </w:rPr>
        <w:t> </w:t>
      </w:r>
      <w:r w:rsidRPr="00460E3D">
        <w:rPr>
          <w:sz w:val="22"/>
          <w:szCs w:val="22"/>
        </w:rPr>
        <w:t>;</w:t>
      </w:r>
    </w:p>
    <w:p w:rsidR="005A28EA" w:rsidRDefault="005A28EA" w:rsidP="00460E3D">
      <w:pPr>
        <w:numPr>
          <w:ilvl w:val="0"/>
          <w:numId w:val="80"/>
        </w:numPr>
        <w:spacing w:after="200"/>
        <w:ind w:left="714" w:hanging="357"/>
        <w:rPr>
          <w:sz w:val="22"/>
          <w:szCs w:val="22"/>
        </w:rPr>
      </w:pPr>
      <w:r w:rsidRPr="00460E3D">
        <w:rPr>
          <w:sz w:val="22"/>
          <w:szCs w:val="22"/>
        </w:rPr>
        <w:t xml:space="preserve">une partie destinée à recueillir l’auto-évaluation de la conformité de l’établissement aux recommandations d’organismes externes en matière de sécurité des moyens de paiement scripturaux </w:t>
      </w:r>
      <w:r w:rsidR="001505E4">
        <w:rPr>
          <w:sz w:val="22"/>
          <w:szCs w:val="22"/>
        </w:rPr>
        <w:t>et de sécurité de l’accès aux comptes</w:t>
      </w:r>
      <w:r w:rsidR="001505E4" w:rsidRPr="00460E3D">
        <w:rPr>
          <w:sz w:val="22"/>
          <w:szCs w:val="22"/>
        </w:rPr>
        <w:t xml:space="preserve"> </w:t>
      </w:r>
      <w:r w:rsidRPr="00460E3D">
        <w:rPr>
          <w:sz w:val="22"/>
          <w:szCs w:val="22"/>
        </w:rPr>
        <w:t>(III) ;</w:t>
      </w:r>
    </w:p>
    <w:p w:rsidR="00EB01DB" w:rsidRPr="00460E3D" w:rsidRDefault="00EB01DB" w:rsidP="00460E3D">
      <w:pPr>
        <w:numPr>
          <w:ilvl w:val="0"/>
          <w:numId w:val="80"/>
        </w:numPr>
        <w:spacing w:after="200"/>
        <w:ind w:left="714" w:hanging="357"/>
        <w:rPr>
          <w:sz w:val="22"/>
          <w:szCs w:val="22"/>
        </w:rPr>
      </w:pPr>
      <w:r>
        <w:rPr>
          <w:sz w:val="22"/>
          <w:szCs w:val="22"/>
        </w:rPr>
        <w:lastRenderedPageBreak/>
        <w:t>une partie relative au rapport d’audit sur la mise en œuvre des mesures de sécurité inscrites dans les RTS (</w:t>
      </w:r>
      <w:r w:rsidRPr="00A85C3C">
        <w:rPr>
          <w:i/>
          <w:sz w:val="22"/>
          <w:szCs w:val="22"/>
        </w:rPr>
        <w:t>Regulatory Technical Standards</w:t>
      </w:r>
      <w:r>
        <w:rPr>
          <w:sz w:val="22"/>
          <w:szCs w:val="22"/>
        </w:rPr>
        <w:t>)</w:t>
      </w:r>
      <w:r w:rsidR="0029217F" w:rsidRPr="0029217F">
        <w:rPr>
          <w:rStyle w:val="Appelnotedebasdep"/>
          <w:szCs w:val="22"/>
        </w:rPr>
        <w:t xml:space="preserve"> </w:t>
      </w:r>
      <w:r w:rsidR="0029217F">
        <w:rPr>
          <w:rStyle w:val="Appelnotedebasdep"/>
          <w:szCs w:val="22"/>
        </w:rPr>
        <w:footnoteReference w:id="15"/>
      </w:r>
      <w:r>
        <w:rPr>
          <w:sz w:val="22"/>
          <w:szCs w:val="22"/>
        </w:rPr>
        <w:t> (IV) ;</w:t>
      </w:r>
    </w:p>
    <w:p w:rsidR="005A28EA" w:rsidRPr="00460E3D" w:rsidRDefault="005A28EA" w:rsidP="00460E3D">
      <w:pPr>
        <w:numPr>
          <w:ilvl w:val="0"/>
          <w:numId w:val="80"/>
        </w:numPr>
        <w:spacing w:after="200"/>
        <w:ind w:left="714" w:hanging="357"/>
        <w:rPr>
          <w:sz w:val="22"/>
          <w:szCs w:val="22"/>
        </w:rPr>
      </w:pPr>
      <w:r w:rsidRPr="00460E3D">
        <w:rPr>
          <w:sz w:val="22"/>
          <w:szCs w:val="22"/>
        </w:rPr>
        <w:t xml:space="preserve">une annexe comprenant la matrice de cotation des risques de fraude et un glossaire pour la définition des termes techniques/acronymes utilisés par l’établissement dans l’annexe (V). </w:t>
      </w:r>
    </w:p>
    <w:p w:rsidR="005A28EA" w:rsidRPr="00460E3D" w:rsidRDefault="005A28EA" w:rsidP="005A28EA">
      <w:pPr>
        <w:rPr>
          <w:sz w:val="22"/>
          <w:szCs w:val="22"/>
        </w:rPr>
      </w:pPr>
    </w:p>
    <w:p w:rsidR="00E23663" w:rsidRDefault="005A28EA" w:rsidP="0057011B">
      <w:pPr>
        <w:rPr>
          <w:sz w:val="22"/>
          <w:szCs w:val="22"/>
        </w:rPr>
      </w:pPr>
      <w:r w:rsidRPr="00460E3D">
        <w:rPr>
          <w:sz w:val="22"/>
          <w:szCs w:val="22"/>
        </w:rPr>
        <w:t>Concernant la partie I, l’analyse des risques de fraude de chaque moyen de paiement est réalisée à partir des données de fraude telles que déclarées par l’établissement auprès de la Banque de France dans le cadre de la collecte statistiques « Recensement de la fraude sur les moyens de paiement scripturaux »</w:t>
      </w:r>
      <w:r w:rsidRPr="00460E3D">
        <w:rPr>
          <w:sz w:val="22"/>
          <w:szCs w:val="22"/>
          <w:vertAlign w:val="superscript"/>
        </w:rPr>
        <w:footnoteReference w:id="16"/>
      </w:r>
      <w:r w:rsidRPr="0057011B">
        <w:rPr>
          <w:sz w:val="22"/>
          <w:szCs w:val="22"/>
        </w:rPr>
        <w:t xml:space="preserve">. </w:t>
      </w:r>
    </w:p>
    <w:p w:rsidR="00E23663" w:rsidRDefault="00E23663" w:rsidP="0057011B">
      <w:pPr>
        <w:rPr>
          <w:sz w:val="22"/>
          <w:szCs w:val="22"/>
        </w:rPr>
      </w:pPr>
    </w:p>
    <w:p w:rsidR="005A28EA" w:rsidRPr="00460E3D" w:rsidRDefault="005A28EA" w:rsidP="0057011B">
      <w:pPr>
        <w:rPr>
          <w:sz w:val="22"/>
          <w:szCs w:val="22"/>
        </w:rPr>
      </w:pPr>
      <w:r w:rsidRPr="0057011B">
        <w:rPr>
          <w:sz w:val="22"/>
          <w:szCs w:val="22"/>
        </w:rPr>
        <w:t>En conséquence, cette analyse</w:t>
      </w:r>
      <w:r>
        <w:rPr>
          <w:sz w:val="22"/>
          <w:szCs w:val="22"/>
        </w:rPr>
        <w:t xml:space="preserve"> </w:t>
      </w:r>
      <w:r w:rsidRPr="00460E3D">
        <w:rPr>
          <w:sz w:val="22"/>
          <w:szCs w:val="22"/>
        </w:rPr>
        <w:t>s’effectue :</w:t>
      </w:r>
    </w:p>
    <w:p w:rsidR="005A28EA" w:rsidRPr="00460E3D" w:rsidRDefault="005A28EA" w:rsidP="00890013">
      <w:pPr>
        <w:numPr>
          <w:ilvl w:val="0"/>
          <w:numId w:val="80"/>
        </w:numPr>
        <w:spacing w:before="120" w:after="120"/>
        <w:ind w:left="714" w:hanging="357"/>
        <w:jc w:val="left"/>
        <w:rPr>
          <w:sz w:val="22"/>
          <w:szCs w:val="22"/>
        </w:rPr>
      </w:pPr>
      <w:r w:rsidRPr="00460E3D">
        <w:rPr>
          <w:sz w:val="22"/>
          <w:szCs w:val="22"/>
        </w:rPr>
        <w:t>sur la fraude brute et couvre à la fois la fraude interne et la fraude externe ;</w:t>
      </w:r>
    </w:p>
    <w:p w:rsidR="005A28EA" w:rsidRDefault="005A28EA" w:rsidP="00460E3D">
      <w:pPr>
        <w:numPr>
          <w:ilvl w:val="0"/>
          <w:numId w:val="80"/>
        </w:numPr>
        <w:spacing w:after="200"/>
        <w:ind w:left="714" w:hanging="357"/>
        <w:jc w:val="left"/>
        <w:rPr>
          <w:sz w:val="22"/>
          <w:szCs w:val="22"/>
        </w:rPr>
      </w:pPr>
      <w:r w:rsidRPr="00460E3D">
        <w:rPr>
          <w:sz w:val="22"/>
          <w:szCs w:val="22"/>
        </w:rPr>
        <w:t>et, sur la base des définitions et typologie</w:t>
      </w:r>
      <w:r w:rsidR="0029217F">
        <w:rPr>
          <w:sz w:val="22"/>
          <w:szCs w:val="22"/>
        </w:rPr>
        <w:t>s</w:t>
      </w:r>
      <w:r w:rsidRPr="00460E3D">
        <w:rPr>
          <w:sz w:val="22"/>
          <w:szCs w:val="22"/>
        </w:rPr>
        <w:t xml:space="preserve"> de fraude</w:t>
      </w:r>
      <w:r w:rsidR="0029217F">
        <w:rPr>
          <w:sz w:val="22"/>
          <w:szCs w:val="22"/>
        </w:rPr>
        <w:t xml:space="preserve"> aux moyens de paiement</w:t>
      </w:r>
      <w:r w:rsidRPr="00460E3D">
        <w:rPr>
          <w:sz w:val="22"/>
          <w:szCs w:val="22"/>
        </w:rPr>
        <w:t xml:space="preserve"> retenue pour la déclaration statistique auprès de la Banque de France.</w:t>
      </w:r>
    </w:p>
    <w:p w:rsidR="0029217F" w:rsidRPr="00460E3D" w:rsidRDefault="0029217F" w:rsidP="00997F0E">
      <w:pPr>
        <w:spacing w:after="200"/>
        <w:ind w:left="714"/>
        <w:jc w:val="left"/>
        <w:rPr>
          <w:sz w:val="22"/>
          <w:szCs w:val="22"/>
        </w:rPr>
      </w:pPr>
      <w:r w:rsidRPr="008F4461">
        <w:rPr>
          <w:noProof/>
          <w:sz w:val="22"/>
          <w:szCs w:val="22"/>
        </w:rPr>
        <w:drawing>
          <wp:inline distT="0" distB="0" distL="0" distR="0" wp14:anchorId="2A3E5744" wp14:editId="34A689BF">
            <wp:extent cx="5760720" cy="26168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2616835"/>
                    </a:xfrm>
                    <a:prstGeom prst="rect">
                      <a:avLst/>
                    </a:prstGeom>
                  </pic:spPr>
                </pic:pic>
              </a:graphicData>
            </a:graphic>
          </wp:inline>
        </w:drawing>
      </w:r>
    </w:p>
    <w:p w:rsidR="0029217F" w:rsidRDefault="0029217F" w:rsidP="005A28EA">
      <w:pPr>
        <w:rPr>
          <w:sz w:val="22"/>
          <w:szCs w:val="22"/>
        </w:rPr>
      </w:pPr>
    </w:p>
    <w:p w:rsidR="0029217F" w:rsidRPr="00460E3D" w:rsidRDefault="005A28EA" w:rsidP="0029217F">
      <w:pPr>
        <w:rPr>
          <w:sz w:val="22"/>
          <w:szCs w:val="22"/>
        </w:rPr>
      </w:pPr>
      <w:r w:rsidRPr="00460E3D">
        <w:rPr>
          <w:sz w:val="22"/>
          <w:szCs w:val="22"/>
        </w:rPr>
        <w:t xml:space="preserve">Pour ce faire, des grilles d’analyse </w:t>
      </w:r>
      <w:r w:rsidR="001C5B1C">
        <w:rPr>
          <w:sz w:val="22"/>
          <w:szCs w:val="22"/>
        </w:rPr>
        <w:t>des risques de fraude</w:t>
      </w:r>
      <w:r w:rsidR="001C5B1C" w:rsidRPr="00460E3D">
        <w:rPr>
          <w:sz w:val="22"/>
          <w:szCs w:val="22"/>
        </w:rPr>
        <w:t xml:space="preserve"> </w:t>
      </w:r>
      <w:r w:rsidRPr="00460E3D">
        <w:rPr>
          <w:sz w:val="22"/>
          <w:szCs w:val="22"/>
        </w:rPr>
        <w:t>spécifiques à chaque moyen de paiement scriptural, présentées dans l’annexe, sont à compléter en fonction des offres propres à chaque établissement.</w:t>
      </w:r>
      <w:r w:rsidR="0029217F" w:rsidRPr="0029217F">
        <w:rPr>
          <w:b/>
          <w:sz w:val="22"/>
          <w:szCs w:val="22"/>
        </w:rPr>
        <w:t xml:space="preserve"> </w:t>
      </w:r>
      <w:r w:rsidR="0029217F" w:rsidRPr="00DF7045">
        <w:rPr>
          <w:b/>
          <w:sz w:val="22"/>
          <w:szCs w:val="22"/>
        </w:rPr>
        <w:t>À partir du rapport annuel 2023 sur l’exercice 2022, il est également attendu que les établissements remplissent la partie consacrée au chèque.</w:t>
      </w:r>
      <w:r w:rsidR="0029217F" w:rsidRPr="00DF7045">
        <w:rPr>
          <w:sz w:val="22"/>
          <w:szCs w:val="22"/>
        </w:rPr>
        <w:t xml:space="preserve"> En </w:t>
      </w:r>
      <w:r w:rsidR="0029217F">
        <w:rPr>
          <w:sz w:val="22"/>
          <w:szCs w:val="22"/>
        </w:rPr>
        <w:t>ce qui concerne le chèque</w:t>
      </w:r>
      <w:r w:rsidR="0029217F" w:rsidRPr="00DF7045">
        <w:rPr>
          <w:sz w:val="22"/>
          <w:szCs w:val="22"/>
        </w:rPr>
        <w:t xml:space="preserve">, </w:t>
      </w:r>
      <w:r w:rsidR="0029217F">
        <w:rPr>
          <w:sz w:val="22"/>
          <w:szCs w:val="22"/>
        </w:rPr>
        <w:t xml:space="preserve">le </w:t>
      </w:r>
      <w:r w:rsidR="0029217F" w:rsidRPr="00DF7045">
        <w:rPr>
          <w:sz w:val="22"/>
          <w:szCs w:val="22"/>
        </w:rPr>
        <w:t>rapport annuel de contrôle interne permet de remonter à la Banque de France une information sur l’offre de produits et de services liés au chèque, sur l’organisation opérationnelle de l’activité ou sur l’évolution de la fraude au cours de l’année et les dispositifs de maîtrise des risques mis en place</w:t>
      </w:r>
      <w:r w:rsidR="0029217F">
        <w:rPr>
          <w:sz w:val="22"/>
          <w:szCs w:val="22"/>
        </w:rPr>
        <w:t>, ce que ne permet pas l’exercice annuel d’autoévaluation au Référentiel de Sécurité du Chèque de la Banque de France (RSC).</w:t>
      </w:r>
    </w:p>
    <w:p w:rsidR="005A28EA" w:rsidRPr="00460E3D" w:rsidRDefault="005A28EA" w:rsidP="005A28EA">
      <w:pPr>
        <w:rPr>
          <w:sz w:val="22"/>
          <w:szCs w:val="22"/>
        </w:rPr>
      </w:pPr>
    </w:p>
    <w:p w:rsidR="005A28EA" w:rsidRDefault="00F7315F" w:rsidP="005A28EA">
      <w:pPr>
        <w:rPr>
          <w:sz w:val="22"/>
          <w:szCs w:val="22"/>
        </w:rPr>
      </w:pPr>
      <w:r>
        <w:rPr>
          <w:sz w:val="22"/>
          <w:szCs w:val="22"/>
        </w:rPr>
        <w:t>La</w:t>
      </w:r>
      <w:r w:rsidR="005A28EA" w:rsidRPr="00460E3D">
        <w:rPr>
          <w:sz w:val="22"/>
          <w:szCs w:val="22"/>
        </w:rPr>
        <w:t xml:space="preserve"> liste de recommandations liées à la sécurité des moyens de paiement émises par des organismes externes</w:t>
      </w:r>
      <w:r>
        <w:rPr>
          <w:sz w:val="22"/>
          <w:szCs w:val="22"/>
        </w:rPr>
        <w:t>,</w:t>
      </w:r>
      <w:r w:rsidR="005A28EA" w:rsidRPr="00460E3D">
        <w:rPr>
          <w:sz w:val="22"/>
          <w:szCs w:val="22"/>
        </w:rPr>
        <w:t xml:space="preserve"> présentée</w:t>
      </w:r>
      <w:r w:rsidR="006E29E8">
        <w:rPr>
          <w:sz w:val="22"/>
          <w:szCs w:val="22"/>
        </w:rPr>
        <w:t xml:space="preserve"> dans la partie III de l</w:t>
      </w:r>
      <w:r w:rsidR="00156BD6">
        <w:rPr>
          <w:sz w:val="22"/>
          <w:szCs w:val="22"/>
        </w:rPr>
        <w:t>’</w:t>
      </w:r>
      <w:r w:rsidR="006E29E8">
        <w:rPr>
          <w:sz w:val="22"/>
          <w:szCs w:val="22"/>
        </w:rPr>
        <w:t>annexe</w:t>
      </w:r>
      <w:r>
        <w:rPr>
          <w:sz w:val="22"/>
          <w:szCs w:val="22"/>
        </w:rPr>
        <w:t>, tient compte de l’entrée en application, le 13 janvier 201</w:t>
      </w:r>
      <w:r w:rsidR="00156BD6">
        <w:rPr>
          <w:sz w:val="22"/>
          <w:szCs w:val="22"/>
        </w:rPr>
        <w:t>8</w:t>
      </w:r>
      <w:r>
        <w:rPr>
          <w:sz w:val="22"/>
          <w:szCs w:val="22"/>
        </w:rPr>
        <w:t>, de la 2</w:t>
      </w:r>
      <w:r w:rsidRPr="00D63D99">
        <w:rPr>
          <w:sz w:val="22"/>
          <w:szCs w:val="22"/>
          <w:vertAlign w:val="superscript"/>
        </w:rPr>
        <w:t>ème</w:t>
      </w:r>
      <w:r>
        <w:rPr>
          <w:sz w:val="22"/>
          <w:szCs w:val="22"/>
        </w:rPr>
        <w:t xml:space="preserve"> directive européenne sur les services de paiement</w:t>
      </w:r>
      <w:r w:rsidR="005A28EA" w:rsidRPr="00460E3D">
        <w:rPr>
          <w:sz w:val="22"/>
          <w:szCs w:val="22"/>
        </w:rPr>
        <w:t xml:space="preserve">. Il est demandé de fournir des </w:t>
      </w:r>
      <w:r w:rsidR="00182A38">
        <w:rPr>
          <w:sz w:val="22"/>
          <w:szCs w:val="22"/>
        </w:rPr>
        <w:t xml:space="preserve">commentaires explicatifs pour </w:t>
      </w:r>
      <w:r w:rsidR="00BD4C10">
        <w:rPr>
          <w:sz w:val="22"/>
          <w:szCs w:val="22"/>
        </w:rPr>
        <w:t xml:space="preserve">les </w:t>
      </w:r>
      <w:r w:rsidR="001C5B1C">
        <w:rPr>
          <w:sz w:val="22"/>
          <w:szCs w:val="22"/>
        </w:rPr>
        <w:t>recommandations pour lesquelles la pleine conformité de l’établissement n’est pas assurée</w:t>
      </w:r>
      <w:r w:rsidR="001F4FEF">
        <w:rPr>
          <w:sz w:val="22"/>
          <w:szCs w:val="22"/>
        </w:rPr>
        <w:t>.</w:t>
      </w:r>
    </w:p>
    <w:p w:rsidR="00EB01DB" w:rsidRDefault="00EB01DB" w:rsidP="005A28EA">
      <w:pPr>
        <w:rPr>
          <w:sz w:val="22"/>
          <w:szCs w:val="22"/>
        </w:rPr>
      </w:pPr>
    </w:p>
    <w:p w:rsidR="00EB01DB" w:rsidRDefault="00EB01DB" w:rsidP="00EB01DB">
      <w:pPr>
        <w:rPr>
          <w:b/>
          <w:smallCaps/>
          <w:color w:val="1F497D"/>
          <w:sz w:val="28"/>
        </w:rPr>
      </w:pPr>
      <w:r>
        <w:rPr>
          <w:sz w:val="22"/>
          <w:szCs w:val="22"/>
        </w:rPr>
        <w:lastRenderedPageBreak/>
        <w:t xml:space="preserve">S’agissant de la partie IV, elle est destinée à recueillir </w:t>
      </w:r>
      <w:r w:rsidR="000C7C6C">
        <w:rPr>
          <w:sz w:val="22"/>
          <w:szCs w:val="22"/>
        </w:rPr>
        <w:t>les résultats du</w:t>
      </w:r>
      <w:r>
        <w:rPr>
          <w:sz w:val="22"/>
          <w:szCs w:val="22"/>
        </w:rPr>
        <w:t xml:space="preserve"> rapport d’audit devant être établi </w:t>
      </w:r>
      <w:r w:rsidR="00F440D6">
        <w:rPr>
          <w:sz w:val="22"/>
          <w:szCs w:val="22"/>
        </w:rPr>
        <w:t xml:space="preserve">par l’établissement </w:t>
      </w:r>
      <w:r>
        <w:rPr>
          <w:sz w:val="22"/>
          <w:szCs w:val="22"/>
        </w:rPr>
        <w:t xml:space="preserve">en application de l’article 3 du </w:t>
      </w:r>
      <w:r w:rsidRPr="00983B9E">
        <w:rPr>
          <w:sz w:val="22"/>
        </w:rPr>
        <w:t>règlement délégué (UE) 2018/389 de la Commission</w:t>
      </w:r>
      <w:r>
        <w:rPr>
          <w:sz w:val="22"/>
        </w:rPr>
        <w:t xml:space="preserve"> européenne</w:t>
      </w:r>
      <w:r w:rsidRPr="00983B9E">
        <w:rPr>
          <w:sz w:val="22"/>
        </w:rPr>
        <w:t xml:space="preserve"> du 27 novembre 2017 complétant la directive (UE) 2015/2366 du Parlement européen et du Conseil </w:t>
      </w:r>
      <w:r>
        <w:rPr>
          <w:sz w:val="22"/>
        </w:rPr>
        <w:t xml:space="preserve">par </w:t>
      </w:r>
      <w:r w:rsidRPr="00983B9E">
        <w:rPr>
          <w:sz w:val="22"/>
        </w:rPr>
        <w:t xml:space="preserve">des normes techniques de réglementation relatives à l’authentification forte du client et à des normes ouvertes communes </w:t>
      </w:r>
      <w:r>
        <w:rPr>
          <w:sz w:val="22"/>
        </w:rPr>
        <w:t>et sécurisées de communication ou RTS (</w:t>
      </w:r>
      <w:r w:rsidRPr="00A85C3C">
        <w:rPr>
          <w:i/>
          <w:sz w:val="22"/>
        </w:rPr>
        <w:t>Regulatory Technical Standards</w:t>
      </w:r>
      <w:r>
        <w:rPr>
          <w:sz w:val="22"/>
        </w:rPr>
        <w:t xml:space="preserve">). </w:t>
      </w:r>
      <w:r w:rsidR="001505E4">
        <w:rPr>
          <w:sz w:val="22"/>
        </w:rPr>
        <w:t xml:space="preserve">Ces normes techniques constituent des exigences essentielles pour la sécurité des moyens de paiement scripturaux et pour la sécurité des accès aux comptes de paiement et à leurs informations. </w:t>
      </w:r>
      <w:r>
        <w:rPr>
          <w:sz w:val="22"/>
        </w:rPr>
        <w:t xml:space="preserve">Ce rapport a pour objet d’évaluer la conformité de l’établissement au regard des exigences de sécurité inscrites dans les RTS. </w:t>
      </w:r>
      <w:r w:rsidR="009A1A14">
        <w:rPr>
          <w:sz w:val="22"/>
        </w:rPr>
        <w:t>Il se</w:t>
      </w:r>
      <w:r>
        <w:rPr>
          <w:sz w:val="22"/>
        </w:rPr>
        <w:t xml:space="preserve"> présente sous la forme d’un questionnaire reprenant les mesures de sécurité prévues dans les RTS et pour le</w:t>
      </w:r>
      <w:r w:rsidR="009A1A14">
        <w:rPr>
          <w:sz w:val="22"/>
        </w:rPr>
        <w:t>s</w:t>
      </w:r>
      <w:r>
        <w:rPr>
          <w:sz w:val="22"/>
        </w:rPr>
        <w:t>quel</w:t>
      </w:r>
      <w:r w:rsidR="009A1A14">
        <w:rPr>
          <w:sz w:val="22"/>
        </w:rPr>
        <w:t>les</w:t>
      </w:r>
      <w:r>
        <w:rPr>
          <w:sz w:val="22"/>
        </w:rPr>
        <w:t xml:space="preserve"> l’établissement doit fournir des réponses argumentées sur leur mise en œuvre ou le cas échéant, sur le plan d’action envisagé pour s’y conformer. Les éléments de preuve correspondants doivent être mis à la disposition de la Banque de France sur sa demande. Conformément à l’article 3 des RTS, il est rappelé que ce rapport d’audit doit être établi annuellement par les équipes du contrôle périodique</w:t>
      </w:r>
      <w:r w:rsidR="00320DBE">
        <w:rPr>
          <w:sz w:val="22"/>
        </w:rPr>
        <w:t xml:space="preserve"> de l’établissement</w:t>
      </w:r>
      <w:r>
        <w:rPr>
          <w:sz w:val="22"/>
        </w:rPr>
        <w:t>. Toutefois, concernant l’évaluation de la conformité de l’établissement à l’article 18 des RTS en cas d’usage à la dérogation qui y est visée, celle-ci doit être réalisée par un auditeur externe indépendant et qualifié la première année de sa mise en œuvre puis ensuite tous les 3 ans. Cette évaluation a pour objet de vérifier la conformité des conditions de mise en œuvre de l’exemption au titre de l’analyse des risques</w:t>
      </w:r>
      <w:r w:rsidR="00D84D7E">
        <w:rPr>
          <w:sz w:val="22"/>
        </w:rPr>
        <w:t xml:space="preserve"> </w:t>
      </w:r>
      <w:r>
        <w:rPr>
          <w:sz w:val="22"/>
        </w:rPr>
        <w:t xml:space="preserve">et en particulier du taux de fraude mesuré par l’établissement pour le type d’opération de paiement concerné (c’est-à-dire au regard de l’instrument de paiement utilisé et du montant de l’opération de paiement) ; </w:t>
      </w:r>
      <w:r w:rsidR="000C7C6C">
        <w:rPr>
          <w:sz w:val="22"/>
        </w:rPr>
        <w:t xml:space="preserve">cette évaluation réalisée par un auditeur externe </w:t>
      </w:r>
      <w:r>
        <w:rPr>
          <w:sz w:val="22"/>
        </w:rPr>
        <w:t xml:space="preserve">doit être annexée </w:t>
      </w:r>
      <w:r w:rsidR="000C7C6C">
        <w:rPr>
          <w:sz w:val="22"/>
        </w:rPr>
        <w:t xml:space="preserve">à la partie IV sur les conclusions du </w:t>
      </w:r>
      <w:r>
        <w:rPr>
          <w:sz w:val="22"/>
        </w:rPr>
        <w:t>rapport d’audit.</w:t>
      </w:r>
      <w:r>
        <w:rPr>
          <w:b/>
          <w:smallCaps/>
          <w:color w:val="1F497D"/>
          <w:sz w:val="28"/>
        </w:rPr>
        <w:t xml:space="preserve">  </w:t>
      </w:r>
    </w:p>
    <w:p w:rsidR="005A28EA" w:rsidRDefault="005A28EA" w:rsidP="005A28EA">
      <w:pPr>
        <w:jc w:val="left"/>
        <w:rPr>
          <w:rFonts w:eastAsia="Calibri"/>
          <w:b/>
          <w:sz w:val="22"/>
          <w:szCs w:val="22"/>
          <w:highlight w:val="yellow"/>
          <w:u w:val="single"/>
          <w:lang w:eastAsia="en-US"/>
        </w:rPr>
      </w:pPr>
    </w:p>
    <w:p w:rsidR="00E23663" w:rsidRPr="00460E3D" w:rsidRDefault="00E23663" w:rsidP="005A28EA">
      <w:pPr>
        <w:jc w:val="left"/>
        <w:rPr>
          <w:rFonts w:eastAsia="Calibri"/>
          <w:b/>
          <w:sz w:val="22"/>
          <w:szCs w:val="22"/>
          <w:highlight w:val="yellow"/>
          <w:u w:val="single"/>
          <w:lang w:eastAsia="en-US"/>
        </w:rPr>
      </w:pPr>
    </w:p>
    <w:p w:rsidR="005A28EA" w:rsidRPr="00460E3D" w:rsidRDefault="005A28EA" w:rsidP="000C7C6C">
      <w:pPr>
        <w:rPr>
          <w:rFonts w:eastAsia="Calibri"/>
          <w:b/>
          <w:sz w:val="22"/>
          <w:szCs w:val="22"/>
          <w:lang w:eastAsia="en-US"/>
        </w:rPr>
      </w:pPr>
      <w:r w:rsidRPr="00460E3D">
        <w:rPr>
          <w:rFonts w:eastAsia="Calibri"/>
          <w:b/>
          <w:sz w:val="22"/>
          <w:szCs w:val="22"/>
          <w:lang w:eastAsia="en-US"/>
        </w:rPr>
        <w:t>Remarque importante concernant les</w:t>
      </w:r>
      <w:r w:rsidR="000C7C6C">
        <w:rPr>
          <w:rFonts w:eastAsia="Calibri"/>
          <w:b/>
          <w:sz w:val="22"/>
          <w:szCs w:val="22"/>
          <w:lang w:eastAsia="en-US"/>
        </w:rPr>
        <w:t xml:space="preserve"> établissements bancaires affiliés à un groupe, réseau ou organe central, ce dernier étant responsable au niveau central du dispositif de contrôle interne et de maîtrise des risques sur la sécurité des moyens de paiement et de l’accès aux comptes</w:t>
      </w:r>
      <w:r w:rsidR="00571764">
        <w:rPr>
          <w:rFonts w:eastAsia="Calibri"/>
          <w:b/>
          <w:sz w:val="22"/>
          <w:szCs w:val="22"/>
          <w:lang w:eastAsia="en-US"/>
        </w:rPr>
        <w:t>.</w:t>
      </w:r>
    </w:p>
    <w:p w:rsidR="005A28EA" w:rsidRPr="00460E3D" w:rsidRDefault="005A28EA" w:rsidP="005A28EA">
      <w:pPr>
        <w:jc w:val="left"/>
        <w:rPr>
          <w:rFonts w:eastAsia="Calibri"/>
          <w:b/>
          <w:sz w:val="22"/>
          <w:szCs w:val="22"/>
          <w:u w:val="single"/>
          <w:lang w:eastAsia="en-US"/>
        </w:rPr>
      </w:pPr>
    </w:p>
    <w:p w:rsidR="002435AD" w:rsidRDefault="000C7C6C" w:rsidP="00D63D99">
      <w:pPr>
        <w:numPr>
          <w:ilvl w:val="0"/>
          <w:numId w:val="109"/>
        </w:numPr>
        <w:spacing w:after="200"/>
        <w:rPr>
          <w:sz w:val="22"/>
        </w:rPr>
      </w:pPr>
      <w:r>
        <w:rPr>
          <w:sz w:val="22"/>
        </w:rPr>
        <w:t>P</w:t>
      </w:r>
      <w:r w:rsidR="002435AD">
        <w:rPr>
          <w:sz w:val="22"/>
        </w:rPr>
        <w:t>our la partie portant sur la présentation de chaque moyen de paiement (I), l’établissement affilié est tenu de présenter so</w:t>
      </w:r>
      <w:r w:rsidR="000E3C71">
        <w:rPr>
          <w:sz w:val="22"/>
        </w:rPr>
        <w:t>n offre de produits et services</w:t>
      </w:r>
      <w:r w:rsidR="002435AD">
        <w:rPr>
          <w:sz w:val="22"/>
        </w:rPr>
        <w:t xml:space="preserve"> ainsi que l’organisation opérationnelle de l’activité. En revanche, il est dispensé de produire la grille d’analyse des risques et principaux incidents de fraude et doit mentionner « </w:t>
      </w:r>
      <w:r w:rsidR="002435AD" w:rsidRPr="002F6550">
        <w:rPr>
          <w:i/>
          <w:sz w:val="22"/>
        </w:rPr>
        <w:t xml:space="preserve">qu’il se réfère à ce qui a été décrit par </w:t>
      </w:r>
      <w:r w:rsidRPr="002F6550">
        <w:rPr>
          <w:i/>
          <w:sz w:val="22"/>
        </w:rPr>
        <w:t>l’établissement en charge du dispositif de contrôle et de maîtrise des risques dans sa propre annexe</w:t>
      </w:r>
      <w:r w:rsidR="002435AD">
        <w:rPr>
          <w:sz w:val="22"/>
        </w:rPr>
        <w:t> ».</w:t>
      </w:r>
    </w:p>
    <w:p w:rsidR="005A28EA" w:rsidRPr="00460E3D" w:rsidRDefault="000C7C6C" w:rsidP="00D63D99">
      <w:pPr>
        <w:numPr>
          <w:ilvl w:val="0"/>
          <w:numId w:val="109"/>
        </w:numPr>
        <w:spacing w:after="200"/>
        <w:rPr>
          <w:sz w:val="22"/>
        </w:rPr>
      </w:pPr>
      <w:r>
        <w:rPr>
          <w:sz w:val="22"/>
        </w:rPr>
        <w:t>C</w:t>
      </w:r>
      <w:r w:rsidR="00FF7F03">
        <w:rPr>
          <w:sz w:val="22"/>
        </w:rPr>
        <w:t xml:space="preserve">oncernant la partie consacrée </w:t>
      </w:r>
      <w:r w:rsidR="005A28EA" w:rsidRPr="00460E3D">
        <w:rPr>
          <w:sz w:val="22"/>
        </w:rPr>
        <w:t xml:space="preserve">à </w:t>
      </w:r>
      <w:r w:rsidR="00481D58">
        <w:rPr>
          <w:sz w:val="22"/>
        </w:rPr>
        <w:t>la présentation des résultats du</w:t>
      </w:r>
      <w:r w:rsidR="005A28EA" w:rsidRPr="00460E3D">
        <w:rPr>
          <w:sz w:val="22"/>
        </w:rPr>
        <w:t xml:space="preserve"> contrôle périodique</w:t>
      </w:r>
      <w:r w:rsidR="00FF7F03">
        <w:rPr>
          <w:sz w:val="22"/>
        </w:rPr>
        <w:t xml:space="preserve"> (II), s</w:t>
      </w:r>
      <w:r w:rsidR="005A28EA" w:rsidRPr="00460E3D">
        <w:rPr>
          <w:sz w:val="22"/>
        </w:rPr>
        <w:t xml:space="preserve">i </w:t>
      </w:r>
      <w:r w:rsidR="003D6747">
        <w:rPr>
          <w:sz w:val="22"/>
        </w:rPr>
        <w:t>celui-ci</w:t>
      </w:r>
      <w:r w:rsidR="00481D58">
        <w:rPr>
          <w:sz w:val="22"/>
        </w:rPr>
        <w:t xml:space="preserve"> </w:t>
      </w:r>
      <w:r w:rsidR="005A28EA" w:rsidRPr="00460E3D">
        <w:rPr>
          <w:sz w:val="22"/>
        </w:rPr>
        <w:t>est effectué</w:t>
      </w:r>
      <w:r w:rsidR="00481D58">
        <w:rPr>
          <w:sz w:val="22"/>
        </w:rPr>
        <w:t xml:space="preserve"> </w:t>
      </w:r>
      <w:r w:rsidR="005A28EA" w:rsidRPr="00460E3D">
        <w:rPr>
          <w:sz w:val="22"/>
        </w:rPr>
        <w:t xml:space="preserve">sous la responsabilité </w:t>
      </w:r>
      <w:r>
        <w:rPr>
          <w:sz w:val="22"/>
        </w:rPr>
        <w:t xml:space="preserve">du groupe, réseau ou organe central </w:t>
      </w:r>
      <w:r w:rsidR="005A28EA" w:rsidRPr="00460E3D">
        <w:rPr>
          <w:sz w:val="22"/>
        </w:rPr>
        <w:t xml:space="preserve">et décrit par </w:t>
      </w:r>
      <w:r w:rsidR="007A72CC">
        <w:rPr>
          <w:sz w:val="22"/>
        </w:rPr>
        <w:t>ce</w:t>
      </w:r>
      <w:r w:rsidR="005A28EA" w:rsidRPr="00460E3D">
        <w:rPr>
          <w:sz w:val="22"/>
        </w:rPr>
        <w:t>lui</w:t>
      </w:r>
      <w:r w:rsidR="007A72CC">
        <w:rPr>
          <w:sz w:val="22"/>
        </w:rPr>
        <w:t>-ci dans sa propre annexe</w:t>
      </w:r>
      <w:r w:rsidR="00FF7F03">
        <w:rPr>
          <w:sz w:val="22"/>
        </w:rPr>
        <w:t xml:space="preserve">, </w:t>
      </w:r>
      <w:r w:rsidR="005A28EA" w:rsidRPr="00460E3D">
        <w:rPr>
          <w:sz w:val="22"/>
        </w:rPr>
        <w:t xml:space="preserve">seuls les contrôles propres à l’établissement affilié doivent être fournis par ce dernier. </w:t>
      </w:r>
    </w:p>
    <w:p w:rsidR="000D1BED" w:rsidRDefault="007A72CC" w:rsidP="00460E3D">
      <w:pPr>
        <w:numPr>
          <w:ilvl w:val="0"/>
          <w:numId w:val="32"/>
        </w:numPr>
        <w:spacing w:after="200"/>
        <w:ind w:left="714" w:hanging="357"/>
        <w:rPr>
          <w:sz w:val="22"/>
        </w:rPr>
      </w:pPr>
      <w:r>
        <w:rPr>
          <w:sz w:val="22"/>
        </w:rPr>
        <w:t>P</w:t>
      </w:r>
      <w:r w:rsidR="00FF7F03">
        <w:rPr>
          <w:sz w:val="22"/>
        </w:rPr>
        <w:t xml:space="preserve">our la partie destinée à recueillir l’auto-évaluation de </w:t>
      </w:r>
      <w:r w:rsidR="008F277D">
        <w:rPr>
          <w:sz w:val="22"/>
        </w:rPr>
        <w:t xml:space="preserve">la </w:t>
      </w:r>
      <w:r w:rsidR="00FF7F03">
        <w:rPr>
          <w:sz w:val="22"/>
        </w:rPr>
        <w:t xml:space="preserve">conformité aux recommandations d’organismes externes en matière de sécurité des moyens de paiement scripturaux (III), </w:t>
      </w:r>
      <w:r w:rsidR="005A28EA" w:rsidRPr="00460E3D">
        <w:rPr>
          <w:sz w:val="22"/>
        </w:rPr>
        <w:t xml:space="preserve">l’établissement affilié </w:t>
      </w:r>
      <w:r w:rsidR="0049058F">
        <w:rPr>
          <w:sz w:val="22"/>
        </w:rPr>
        <w:t xml:space="preserve">en est dispensé et </w:t>
      </w:r>
      <w:r w:rsidR="005A28EA" w:rsidRPr="00460E3D">
        <w:rPr>
          <w:sz w:val="22"/>
        </w:rPr>
        <w:t xml:space="preserve">doit </w:t>
      </w:r>
      <w:r w:rsidR="008F277D">
        <w:rPr>
          <w:sz w:val="22"/>
        </w:rPr>
        <w:t xml:space="preserve">mentionner </w:t>
      </w:r>
      <w:r w:rsidR="008F277D" w:rsidRPr="002F6550">
        <w:rPr>
          <w:i/>
          <w:sz w:val="22"/>
        </w:rPr>
        <w:t>« qu’il se réfère à ce qui a été décrit par l’</w:t>
      </w:r>
      <w:r w:rsidRPr="007A72CC">
        <w:rPr>
          <w:i/>
          <w:sz w:val="22"/>
        </w:rPr>
        <w:t>établissement en charge du dispositif de contrôle interne et de maîtrise des risques</w:t>
      </w:r>
      <w:r w:rsidRPr="002F6550">
        <w:rPr>
          <w:i/>
          <w:sz w:val="22"/>
        </w:rPr>
        <w:t xml:space="preserve"> </w:t>
      </w:r>
      <w:r w:rsidR="008F277D" w:rsidRPr="002F6550">
        <w:rPr>
          <w:i/>
          <w:sz w:val="22"/>
        </w:rPr>
        <w:t>dans sa propre annexe »</w:t>
      </w:r>
      <w:r w:rsidR="004A4BC8">
        <w:rPr>
          <w:sz w:val="22"/>
        </w:rPr>
        <w:t>.</w:t>
      </w:r>
    </w:p>
    <w:p w:rsidR="005A28EA" w:rsidRPr="00460E3D" w:rsidRDefault="007A72CC" w:rsidP="00D1728C">
      <w:pPr>
        <w:numPr>
          <w:ilvl w:val="0"/>
          <w:numId w:val="32"/>
        </w:numPr>
        <w:spacing w:after="60"/>
        <w:ind w:left="714" w:hanging="357"/>
        <w:rPr>
          <w:sz w:val="22"/>
        </w:rPr>
      </w:pPr>
      <w:r>
        <w:rPr>
          <w:sz w:val="22"/>
        </w:rPr>
        <w:t>S</w:t>
      </w:r>
      <w:r w:rsidR="000D1BED">
        <w:rPr>
          <w:sz w:val="22"/>
        </w:rPr>
        <w:t>’agissant du rapport d’audit sur la mise en œuvre des mesure</w:t>
      </w:r>
      <w:r w:rsidR="00DD1663">
        <w:rPr>
          <w:sz w:val="22"/>
        </w:rPr>
        <w:t>s</w:t>
      </w:r>
      <w:r w:rsidR="000D1BED">
        <w:rPr>
          <w:sz w:val="22"/>
        </w:rPr>
        <w:t xml:space="preserve"> de sécurité inscrites dans les RTS (IV), l’établissement affilié en est dispensé et doit mentionner </w:t>
      </w:r>
      <w:r w:rsidR="000D1BED" w:rsidRPr="002F6550">
        <w:rPr>
          <w:i/>
          <w:sz w:val="22"/>
        </w:rPr>
        <w:t>« qu’il se réfère à ce qui a été décrit par l’</w:t>
      </w:r>
      <w:r w:rsidRPr="00EE2088">
        <w:rPr>
          <w:i/>
          <w:sz w:val="22"/>
        </w:rPr>
        <w:t xml:space="preserve">établissement en charge du dispositif de contrôle interne et de maîtrise des risques </w:t>
      </w:r>
      <w:r w:rsidR="000D1BED" w:rsidRPr="002F6550">
        <w:rPr>
          <w:i/>
          <w:sz w:val="22"/>
        </w:rPr>
        <w:t>dans sa propre annexe </w:t>
      </w:r>
      <w:r w:rsidR="000D1BED">
        <w:rPr>
          <w:sz w:val="22"/>
        </w:rPr>
        <w:t>».</w:t>
      </w:r>
    </w:p>
    <w:p w:rsidR="005A28EA" w:rsidRPr="00460E3D" w:rsidRDefault="005A28EA" w:rsidP="005A28EA">
      <w:pPr>
        <w:ind w:left="709" w:right="567" w:hanging="142"/>
        <w:jc w:val="left"/>
        <w:rPr>
          <w:rFonts w:eastAsia="Calibri"/>
          <w:sz w:val="22"/>
          <w:szCs w:val="22"/>
          <w:lang w:eastAsia="en-US"/>
        </w:rPr>
      </w:pPr>
    </w:p>
    <w:p w:rsidR="005A28EA" w:rsidRDefault="007A72CC" w:rsidP="002F6550">
      <w:pPr>
        <w:rPr>
          <w:b/>
          <w:sz w:val="22"/>
          <w:szCs w:val="22"/>
        </w:rPr>
      </w:pPr>
      <w:r w:rsidRPr="005D2607">
        <w:rPr>
          <w:b/>
          <w:sz w:val="22"/>
          <w:szCs w:val="22"/>
        </w:rPr>
        <w:t>Quand l’établissement renvoie le lecteur à l’annexe produite p</w:t>
      </w:r>
      <w:r>
        <w:rPr>
          <w:b/>
          <w:sz w:val="22"/>
          <w:szCs w:val="22"/>
        </w:rPr>
        <w:t xml:space="preserve">ar l’établissement en charge du </w:t>
      </w:r>
      <w:r w:rsidRPr="005D2607">
        <w:rPr>
          <w:b/>
          <w:sz w:val="22"/>
          <w:szCs w:val="22"/>
        </w:rPr>
        <w:t xml:space="preserve">dispositif de contrôle interne et de maîtrise des risques </w:t>
      </w:r>
      <w:r>
        <w:rPr>
          <w:b/>
          <w:sz w:val="22"/>
          <w:szCs w:val="22"/>
        </w:rPr>
        <w:t>pour</w:t>
      </w:r>
      <w:r w:rsidRPr="005D2607">
        <w:rPr>
          <w:b/>
          <w:sz w:val="22"/>
          <w:szCs w:val="22"/>
        </w:rPr>
        <w:t xml:space="preserve"> la sécurité des moyens des paiements et de l’accès aux comptes, il spécifie l’identité exacte et le code interbancaire de l’établissement en question.</w:t>
      </w:r>
    </w:p>
    <w:p w:rsidR="007A72CC" w:rsidRDefault="007A72CC" w:rsidP="005A28EA">
      <w:pPr>
        <w:ind w:left="284"/>
        <w:rPr>
          <w:sz w:val="22"/>
          <w:szCs w:val="24"/>
        </w:rPr>
      </w:pPr>
    </w:p>
    <w:p w:rsidR="00E23663" w:rsidRDefault="00E23663" w:rsidP="005A28EA">
      <w:pPr>
        <w:ind w:left="284"/>
        <w:rPr>
          <w:sz w:val="22"/>
          <w:szCs w:val="24"/>
        </w:rPr>
      </w:pPr>
    </w:p>
    <w:p w:rsidR="005A28EA" w:rsidRPr="00460E3D" w:rsidRDefault="005A28EA" w:rsidP="005A28EA">
      <w:pPr>
        <w:jc w:val="left"/>
        <w:rPr>
          <w:rFonts w:eastAsia="Calibri"/>
          <w:b/>
          <w:sz w:val="22"/>
          <w:szCs w:val="22"/>
          <w:lang w:eastAsia="en-US"/>
        </w:rPr>
      </w:pPr>
      <w:r w:rsidRPr="00460E3D">
        <w:rPr>
          <w:rFonts w:eastAsia="Calibri"/>
          <w:b/>
          <w:sz w:val="22"/>
          <w:szCs w:val="22"/>
          <w:lang w:eastAsia="en-US"/>
        </w:rPr>
        <w:lastRenderedPageBreak/>
        <w:t>Définition des principaux termes utilisés dans l’annexe</w:t>
      </w:r>
    </w:p>
    <w:p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657"/>
        <w:gridCol w:w="7405"/>
      </w:tblGrid>
      <w:tr w:rsidR="005A28EA" w:rsidRPr="00C0062E" w:rsidTr="005A28EA">
        <w:tc>
          <w:tcPr>
            <w:tcW w:w="1668" w:type="dxa"/>
            <w:shd w:val="clear" w:color="auto" w:fill="000000" w:themeFill="text1"/>
          </w:tcPr>
          <w:p w:rsidR="005A28EA" w:rsidRPr="00460E3D" w:rsidRDefault="005A28EA" w:rsidP="005A28EA">
            <w:pPr>
              <w:jc w:val="center"/>
              <w:rPr>
                <w:rFonts w:ascii="Times New Roman" w:hAnsi="Times New Roman"/>
                <w:b/>
                <w:color w:val="FFFFFF"/>
                <w:sz w:val="22"/>
              </w:rPr>
            </w:pPr>
            <w:r w:rsidRPr="00C0062E">
              <w:rPr>
                <w:b/>
                <w:color w:val="FFFFFF"/>
                <w:sz w:val="22"/>
              </w:rPr>
              <w:t>Termes</w:t>
            </w:r>
          </w:p>
        </w:tc>
        <w:tc>
          <w:tcPr>
            <w:tcW w:w="7512" w:type="dxa"/>
            <w:shd w:val="clear" w:color="auto" w:fill="000000" w:themeFill="text1"/>
          </w:tcPr>
          <w:p w:rsidR="005A28EA" w:rsidRPr="00460E3D" w:rsidRDefault="005A28EA" w:rsidP="005A28EA">
            <w:pPr>
              <w:jc w:val="center"/>
              <w:rPr>
                <w:rFonts w:ascii="Times New Roman" w:hAnsi="Times New Roman"/>
                <w:b/>
                <w:color w:val="FFFFFF"/>
                <w:sz w:val="22"/>
              </w:rPr>
            </w:pPr>
            <w:r w:rsidRPr="00C0062E">
              <w:rPr>
                <w:b/>
                <w:color w:val="FFFFFF"/>
                <w:sz w:val="22"/>
              </w:rPr>
              <w:t>Définitions</w:t>
            </w:r>
          </w:p>
        </w:tc>
      </w:tr>
      <w:tr w:rsidR="00133F0B" w:rsidRPr="00C0062E" w:rsidTr="00D1728C">
        <w:trPr>
          <w:trHeight w:val="2986"/>
        </w:trPr>
        <w:tc>
          <w:tcPr>
            <w:tcW w:w="1668" w:type="dxa"/>
          </w:tcPr>
          <w:p w:rsidR="00133F0B" w:rsidRPr="00D30BB4" w:rsidRDefault="00133F0B" w:rsidP="005A28EA">
            <w:pPr>
              <w:jc w:val="left"/>
              <w:rPr>
                <w:rFonts w:ascii="Times New Roman" w:hAnsi="Times New Roman"/>
                <w:sz w:val="22"/>
              </w:rPr>
            </w:pPr>
            <w:r w:rsidRPr="00D30BB4">
              <w:rPr>
                <w:rFonts w:ascii="Times New Roman" w:hAnsi="Times New Roman"/>
                <w:sz w:val="22"/>
              </w:rPr>
              <w:t xml:space="preserve">Canal d’initiation </w:t>
            </w:r>
          </w:p>
        </w:tc>
        <w:tc>
          <w:tcPr>
            <w:tcW w:w="7512" w:type="dxa"/>
          </w:tcPr>
          <w:p w:rsidR="00C234E5" w:rsidRPr="00D30BB4" w:rsidRDefault="00C234E5" w:rsidP="00D63D99">
            <w:pPr>
              <w:rPr>
                <w:rFonts w:ascii="Times New Roman" w:hAnsi="Times New Roman"/>
              </w:rPr>
            </w:pPr>
            <w:r w:rsidRPr="00D30BB4">
              <w:rPr>
                <w:rFonts w:ascii="Times New Roman" w:hAnsi="Times New Roman"/>
                <w:sz w:val="22"/>
              </w:rPr>
              <w:t xml:space="preserve">Selon les différents </w:t>
            </w:r>
            <w:r w:rsidR="00905E1F" w:rsidRPr="00D30BB4">
              <w:rPr>
                <w:rFonts w:ascii="Times New Roman" w:hAnsi="Times New Roman"/>
                <w:sz w:val="22"/>
              </w:rPr>
              <w:t xml:space="preserve">services et </w:t>
            </w:r>
            <w:r w:rsidRPr="00D30BB4">
              <w:rPr>
                <w:rFonts w:ascii="Times New Roman" w:hAnsi="Times New Roman"/>
                <w:sz w:val="22"/>
              </w:rPr>
              <w:t>moyens de paiement, la notion de canal d’initiation correspond :</w:t>
            </w:r>
          </w:p>
          <w:p w:rsidR="00C234E5" w:rsidRPr="00D30BB4" w:rsidRDefault="00C234E5" w:rsidP="00C234E5">
            <w:pPr>
              <w:pStyle w:val="Paragraphedeliste"/>
              <w:numPr>
                <w:ilvl w:val="0"/>
                <w:numId w:val="110"/>
              </w:numPr>
              <w:spacing w:after="200" w:line="276" w:lineRule="auto"/>
              <w:ind w:left="720"/>
              <w:rPr>
                <w:rFonts w:ascii="Times New Roman" w:hAnsi="Times New Roman"/>
              </w:rPr>
            </w:pPr>
            <w:r w:rsidRPr="00D30BB4">
              <w:rPr>
                <w:rFonts w:ascii="Times New Roman" w:hAnsi="Times New Roman"/>
              </w:rPr>
              <w:t xml:space="preserve">pour la carte, au canal d’utilisation de la carte : paiement point de vente, retrait, paiement à distance, sans contact, enrôlement dans des </w:t>
            </w:r>
            <w:r w:rsidRPr="00D30BB4">
              <w:rPr>
                <w:rFonts w:ascii="Times New Roman" w:hAnsi="Times New Roman"/>
                <w:i/>
              </w:rPr>
              <w:t>wallets</w:t>
            </w:r>
            <w:r w:rsidRPr="00D30BB4">
              <w:rPr>
                <w:rFonts w:ascii="Times New Roman" w:hAnsi="Times New Roman"/>
              </w:rPr>
              <w:t xml:space="preserve"> internet ou des solutions de paiement mobile</w:t>
            </w:r>
            <w:r w:rsidR="00316148" w:rsidRPr="00D30BB4">
              <w:rPr>
                <w:rFonts w:ascii="Times New Roman" w:hAnsi="Times New Roman"/>
              </w:rPr>
              <w:t xml:space="preserve"> </w:t>
            </w:r>
            <w:r w:rsidRPr="00D30BB4">
              <w:rPr>
                <w:rFonts w:ascii="Times New Roman" w:hAnsi="Times New Roman"/>
              </w:rPr>
              <w:t>;</w:t>
            </w:r>
          </w:p>
          <w:p w:rsidR="00C234E5" w:rsidRPr="00D30BB4" w:rsidRDefault="00C234E5" w:rsidP="00C234E5">
            <w:pPr>
              <w:pStyle w:val="Paragraphedeliste"/>
              <w:numPr>
                <w:ilvl w:val="0"/>
                <w:numId w:val="110"/>
              </w:numPr>
              <w:spacing w:after="200" w:line="276" w:lineRule="auto"/>
              <w:ind w:left="720"/>
              <w:rPr>
                <w:rFonts w:ascii="Times New Roman" w:hAnsi="Times New Roman"/>
              </w:rPr>
            </w:pPr>
            <w:r w:rsidRPr="00D30BB4">
              <w:rPr>
                <w:rFonts w:ascii="Times New Roman" w:hAnsi="Times New Roman"/>
              </w:rPr>
              <w:t>pour le virement, au canal de réception de l’ordre de virement : guichet, espace de banque en ligne, solution de télétransmission… ;</w:t>
            </w:r>
          </w:p>
          <w:p w:rsidR="00C234E5" w:rsidRPr="00D30BB4" w:rsidRDefault="00C234E5" w:rsidP="00C234E5">
            <w:pPr>
              <w:pStyle w:val="Paragraphedeliste"/>
              <w:numPr>
                <w:ilvl w:val="0"/>
                <w:numId w:val="110"/>
              </w:numPr>
              <w:spacing w:after="200" w:line="276" w:lineRule="auto"/>
              <w:ind w:left="720"/>
              <w:rPr>
                <w:rFonts w:ascii="Times New Roman" w:hAnsi="Times New Roman"/>
              </w:rPr>
            </w:pPr>
            <w:r w:rsidRPr="00D30BB4">
              <w:rPr>
                <w:rFonts w:ascii="Times New Roman" w:hAnsi="Times New Roman"/>
              </w:rPr>
              <w:t>pour le prélèvement, au canal de réception des ordres de prélèvement ;</w:t>
            </w:r>
          </w:p>
          <w:p w:rsidR="00133F0B" w:rsidRPr="00D30BB4" w:rsidRDefault="00C234E5" w:rsidP="00D63D99">
            <w:pPr>
              <w:pStyle w:val="Paragraphedeliste"/>
              <w:numPr>
                <w:ilvl w:val="0"/>
                <w:numId w:val="110"/>
              </w:numPr>
              <w:spacing w:after="200" w:line="276" w:lineRule="auto"/>
              <w:ind w:left="720"/>
              <w:rPr>
                <w:rFonts w:ascii="Times New Roman" w:hAnsi="Times New Roman"/>
              </w:rPr>
            </w:pPr>
            <w:r w:rsidRPr="00D30BB4">
              <w:rPr>
                <w:rFonts w:ascii="Times New Roman" w:hAnsi="Times New Roman"/>
              </w:rPr>
              <w:t>pour le chèque, au canal de remise du chèque : courrier, automate…</w:t>
            </w:r>
          </w:p>
          <w:p w:rsidR="00905E1F" w:rsidRPr="00D30BB4" w:rsidRDefault="00905E1F" w:rsidP="00D1728C">
            <w:pPr>
              <w:pStyle w:val="Paragraphedeliste"/>
              <w:numPr>
                <w:ilvl w:val="0"/>
                <w:numId w:val="110"/>
              </w:numPr>
              <w:spacing w:after="60" w:line="276" w:lineRule="auto"/>
              <w:ind w:left="714" w:hanging="357"/>
              <w:contextualSpacing w:val="0"/>
              <w:rPr>
                <w:rFonts w:ascii="Times New Roman" w:hAnsi="Times New Roman"/>
              </w:rPr>
            </w:pPr>
            <w:r w:rsidRPr="00D30BB4">
              <w:rPr>
                <w:rFonts w:ascii="Times New Roman" w:hAnsi="Times New Roman"/>
              </w:rPr>
              <w:t xml:space="preserve">pour les services </w:t>
            </w:r>
            <w:r w:rsidRPr="00D30BB4">
              <w:rPr>
                <w:rFonts w:ascii="Times New Roman" w:hAnsi="Times New Roman"/>
                <w:szCs w:val="18"/>
              </w:rPr>
              <w:t>d’information sur les comptes et d’initiation de paiement au moyen de connexion : site web, application mobile, protocole dédié…</w:t>
            </w:r>
          </w:p>
        </w:tc>
      </w:tr>
      <w:tr w:rsidR="005A28EA" w:rsidRPr="00C0062E" w:rsidTr="005A28EA">
        <w:tc>
          <w:tcPr>
            <w:tcW w:w="1668" w:type="dxa"/>
          </w:tcPr>
          <w:p w:rsidR="005A28EA" w:rsidRPr="00D30BB4" w:rsidRDefault="005A28EA" w:rsidP="005A28EA">
            <w:pPr>
              <w:jc w:val="left"/>
              <w:rPr>
                <w:rFonts w:ascii="Times New Roman" w:hAnsi="Times New Roman"/>
                <w:sz w:val="22"/>
              </w:rPr>
            </w:pPr>
            <w:r w:rsidRPr="00D30BB4">
              <w:rPr>
                <w:rFonts w:ascii="Times New Roman" w:hAnsi="Times New Roman"/>
                <w:sz w:val="22"/>
              </w:rPr>
              <w:t>Fraude externe</w:t>
            </w:r>
          </w:p>
        </w:tc>
        <w:tc>
          <w:tcPr>
            <w:tcW w:w="7512" w:type="dxa"/>
          </w:tcPr>
          <w:p w:rsidR="000C32D1" w:rsidRPr="00D30BB4" w:rsidRDefault="005A28EA" w:rsidP="000C32D1">
            <w:pPr>
              <w:rPr>
                <w:rFonts w:ascii="Times New Roman" w:hAnsi="Times New Roman"/>
                <w:sz w:val="22"/>
              </w:rPr>
            </w:pPr>
            <w:r w:rsidRPr="00D30BB4">
              <w:rPr>
                <w:rFonts w:ascii="Times New Roman" w:hAnsi="Times New Roman"/>
                <w:sz w:val="22"/>
              </w:rPr>
              <w:t xml:space="preserve">Dans le domaine des moyens de paiement, détournement de ces derniers, par des actes de tiers, au profit d’un bénéficiaire illégitime. </w:t>
            </w:r>
          </w:p>
        </w:tc>
      </w:tr>
      <w:tr w:rsidR="005A28EA" w:rsidRPr="00C0062E" w:rsidTr="005A28EA">
        <w:tc>
          <w:tcPr>
            <w:tcW w:w="1668" w:type="dxa"/>
          </w:tcPr>
          <w:p w:rsidR="005A28EA" w:rsidRPr="00D30BB4" w:rsidRDefault="005A28EA" w:rsidP="005A28EA">
            <w:pPr>
              <w:jc w:val="left"/>
              <w:rPr>
                <w:rFonts w:ascii="Times New Roman" w:hAnsi="Times New Roman"/>
                <w:sz w:val="22"/>
              </w:rPr>
            </w:pPr>
            <w:r w:rsidRPr="00D30BB4">
              <w:rPr>
                <w:rFonts w:ascii="Times New Roman" w:hAnsi="Times New Roman"/>
                <w:sz w:val="22"/>
              </w:rPr>
              <w:t>Fraude interne</w:t>
            </w:r>
          </w:p>
        </w:tc>
        <w:tc>
          <w:tcPr>
            <w:tcW w:w="7512" w:type="dxa"/>
          </w:tcPr>
          <w:p w:rsidR="000C32D1" w:rsidRPr="00D30BB4" w:rsidRDefault="005A28EA" w:rsidP="000C32D1">
            <w:pPr>
              <w:rPr>
                <w:rFonts w:ascii="Times New Roman" w:hAnsi="Times New Roman"/>
                <w:sz w:val="22"/>
              </w:rPr>
            </w:pPr>
            <w:r w:rsidRPr="00D30BB4">
              <w:rPr>
                <w:rFonts w:ascii="Times New Roman" w:hAnsi="Times New Roman"/>
                <w:color w:val="000000"/>
                <w:sz w:val="22"/>
              </w:rPr>
              <w:t>Dans le domaine des moyens de paiement, détournement de ces derniers, par des actes de tiers et impliquant au moins un membre de l’entreprise, au profit d’un bénéficiaire illégitime.</w:t>
            </w:r>
          </w:p>
        </w:tc>
      </w:tr>
      <w:tr w:rsidR="005A28EA" w:rsidRPr="00C0062E" w:rsidTr="005A28EA">
        <w:tc>
          <w:tcPr>
            <w:tcW w:w="1668" w:type="dxa"/>
          </w:tcPr>
          <w:p w:rsidR="005A28EA" w:rsidRPr="00D30BB4" w:rsidRDefault="005A28EA" w:rsidP="005A28EA">
            <w:pPr>
              <w:jc w:val="left"/>
              <w:rPr>
                <w:rFonts w:ascii="Times New Roman" w:hAnsi="Times New Roman"/>
                <w:sz w:val="22"/>
              </w:rPr>
            </w:pPr>
            <w:r w:rsidRPr="00D30BB4">
              <w:rPr>
                <w:rFonts w:ascii="Times New Roman" w:hAnsi="Times New Roman"/>
                <w:sz w:val="22"/>
              </w:rPr>
              <w:t>Fraude brute</w:t>
            </w:r>
          </w:p>
        </w:tc>
        <w:tc>
          <w:tcPr>
            <w:tcW w:w="7512" w:type="dxa"/>
          </w:tcPr>
          <w:p w:rsidR="000C32D1" w:rsidRPr="00D30BB4" w:rsidRDefault="005A28EA" w:rsidP="000C32D1">
            <w:pPr>
              <w:rPr>
                <w:rFonts w:ascii="Times New Roman" w:hAnsi="Times New Roman"/>
                <w:sz w:val="22"/>
              </w:rPr>
            </w:pPr>
            <w:r w:rsidRPr="00D30BB4">
              <w:rPr>
                <w:rFonts w:ascii="Times New Roman" w:hAnsi="Times New Roman"/>
                <w:sz w:val="22"/>
              </w:rPr>
              <w:t>Au sens de la collecte statistiques « Recensement de la fraude sur les moyens de paiement scripturaux » de la Banque de France, la fraude brute correspond au montant nominal des transactions de paiement autorisées ayant fait l’objet d’un rejet a postériori pour motif de fraude. Elle ne tient donc pas compte des fonds qui ont pu être recouvrés après traitement du contentieux.</w:t>
            </w:r>
          </w:p>
        </w:tc>
      </w:tr>
      <w:tr w:rsidR="005A28EA" w:rsidRPr="00C0062E" w:rsidTr="005A28EA">
        <w:tc>
          <w:tcPr>
            <w:tcW w:w="1668" w:type="dxa"/>
          </w:tcPr>
          <w:p w:rsidR="005A28EA" w:rsidRPr="00D30BB4" w:rsidRDefault="005A28EA" w:rsidP="005A28EA">
            <w:pPr>
              <w:jc w:val="left"/>
              <w:rPr>
                <w:rFonts w:ascii="Times New Roman" w:hAnsi="Times New Roman"/>
                <w:sz w:val="22"/>
              </w:rPr>
            </w:pPr>
            <w:r w:rsidRPr="00D30BB4">
              <w:rPr>
                <w:rFonts w:ascii="Times New Roman" w:hAnsi="Times New Roman"/>
                <w:sz w:val="22"/>
              </w:rPr>
              <w:t>Risque brut</w:t>
            </w:r>
          </w:p>
        </w:tc>
        <w:tc>
          <w:tcPr>
            <w:tcW w:w="7512" w:type="dxa"/>
          </w:tcPr>
          <w:p w:rsidR="000C32D1" w:rsidRPr="00D30BB4" w:rsidRDefault="005A28EA" w:rsidP="000C32D1">
            <w:pPr>
              <w:rPr>
                <w:rFonts w:ascii="Times New Roman" w:hAnsi="Times New Roman"/>
                <w:sz w:val="22"/>
              </w:rPr>
            </w:pPr>
            <w:r w:rsidRPr="00D30BB4">
              <w:rPr>
                <w:rFonts w:ascii="Times New Roman" w:hAnsi="Times New Roman"/>
                <w:sz w:val="22"/>
              </w:rPr>
              <w:t>Les risques susceptibles d’affecter le bon fonctionnement et la sécurité des moyens de paiement, avant la prise en compte par l’établissement des procédures et mesures pour les maîtriser.</w:t>
            </w:r>
          </w:p>
        </w:tc>
      </w:tr>
      <w:tr w:rsidR="005A28EA" w:rsidRPr="00C0062E" w:rsidTr="005A28EA">
        <w:tc>
          <w:tcPr>
            <w:tcW w:w="1668" w:type="dxa"/>
          </w:tcPr>
          <w:p w:rsidR="005A28EA" w:rsidRPr="00D30BB4" w:rsidRDefault="005A28EA" w:rsidP="005A28EA">
            <w:pPr>
              <w:jc w:val="left"/>
              <w:rPr>
                <w:rFonts w:ascii="Times New Roman" w:hAnsi="Times New Roman"/>
                <w:sz w:val="22"/>
              </w:rPr>
            </w:pPr>
            <w:r w:rsidRPr="00D30BB4">
              <w:rPr>
                <w:rFonts w:ascii="Times New Roman" w:hAnsi="Times New Roman"/>
                <w:sz w:val="22"/>
              </w:rPr>
              <w:t>Risque résiduel</w:t>
            </w:r>
          </w:p>
        </w:tc>
        <w:tc>
          <w:tcPr>
            <w:tcW w:w="7512" w:type="dxa"/>
          </w:tcPr>
          <w:p w:rsidR="000C32D1" w:rsidRPr="00D30BB4" w:rsidRDefault="005A28EA" w:rsidP="000C32D1">
            <w:pPr>
              <w:rPr>
                <w:rFonts w:ascii="Times New Roman" w:hAnsi="Times New Roman"/>
                <w:sz w:val="22"/>
              </w:rPr>
            </w:pPr>
            <w:r w:rsidRPr="00D30BB4">
              <w:rPr>
                <w:rFonts w:ascii="Times New Roman" w:hAnsi="Times New Roman"/>
                <w:sz w:val="22"/>
              </w:rPr>
              <w:t>Risque subsistant après prise en compte des mesures de couverture.</w:t>
            </w:r>
          </w:p>
        </w:tc>
      </w:tr>
      <w:tr w:rsidR="005A28EA" w:rsidRPr="00C0062E" w:rsidTr="005A28EA">
        <w:tc>
          <w:tcPr>
            <w:tcW w:w="1668" w:type="dxa"/>
          </w:tcPr>
          <w:p w:rsidR="005A28EA" w:rsidRPr="00D30BB4" w:rsidRDefault="005A28EA" w:rsidP="005A28EA">
            <w:pPr>
              <w:jc w:val="left"/>
              <w:rPr>
                <w:rFonts w:ascii="Times New Roman" w:hAnsi="Times New Roman"/>
                <w:sz w:val="22"/>
              </w:rPr>
            </w:pPr>
            <w:r w:rsidRPr="00D30BB4">
              <w:rPr>
                <w:rFonts w:ascii="Times New Roman" w:hAnsi="Times New Roman"/>
                <w:sz w:val="22"/>
              </w:rPr>
              <w:t>Mesures de couverture</w:t>
            </w:r>
          </w:p>
        </w:tc>
        <w:tc>
          <w:tcPr>
            <w:tcW w:w="7512" w:type="dxa"/>
          </w:tcPr>
          <w:p w:rsidR="000C32D1" w:rsidRPr="00D30BB4" w:rsidRDefault="005A28EA" w:rsidP="000C32D1">
            <w:pPr>
              <w:rPr>
                <w:rFonts w:ascii="Times New Roman" w:hAnsi="Times New Roman"/>
                <w:sz w:val="22"/>
              </w:rPr>
            </w:pPr>
            <w:r w:rsidRPr="00D30BB4">
              <w:rPr>
                <w:rFonts w:ascii="Times New Roman" w:hAnsi="Times New Roman"/>
                <w:sz w:val="22"/>
              </w:rPr>
              <w:t>Ensemble d’actions mises en place par l’établissement afin de mieux maitriser ses risques, en diminuant leur impact ainsi que leur fréquence de survenance.</w:t>
            </w:r>
          </w:p>
        </w:tc>
      </w:tr>
    </w:tbl>
    <w:p w:rsidR="005A28EA" w:rsidRPr="00460E3D" w:rsidRDefault="005A28EA" w:rsidP="005A28EA">
      <w:pPr>
        <w:jc w:val="left"/>
        <w:rPr>
          <w:rFonts w:eastAsia="Calibri"/>
          <w:b/>
          <w:sz w:val="22"/>
          <w:szCs w:val="22"/>
          <w:lang w:eastAsia="en-US"/>
        </w:rPr>
      </w:pPr>
    </w:p>
    <w:p w:rsidR="005A28EA" w:rsidRPr="00460E3D" w:rsidRDefault="005A28EA" w:rsidP="005A28EA">
      <w:pPr>
        <w:spacing w:after="200" w:line="276" w:lineRule="auto"/>
        <w:jc w:val="left"/>
        <w:rPr>
          <w:rFonts w:eastAsia="Calibri"/>
          <w:b/>
          <w:smallCaps/>
          <w:color w:val="1F497D"/>
          <w:sz w:val="28"/>
          <w:szCs w:val="22"/>
          <w:lang w:eastAsia="en-US"/>
        </w:rPr>
        <w:sectPr w:rsidR="005A28EA" w:rsidRPr="00460E3D" w:rsidSect="00D63D99">
          <w:pgSz w:w="11906" w:h="16838"/>
          <w:pgMar w:top="1276" w:right="1417" w:bottom="1417" w:left="1417" w:header="708" w:footer="708" w:gutter="0"/>
          <w:cols w:space="708"/>
          <w:docGrid w:linePitch="360"/>
        </w:sect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002"/>
      </w:tblGrid>
      <w:tr w:rsidR="005A28EA" w:rsidRPr="00C0062E" w:rsidTr="005A28EA">
        <w:tc>
          <w:tcPr>
            <w:tcW w:w="14142" w:type="dxa"/>
            <w:shd w:val="clear" w:color="auto" w:fill="FFFFFF" w:themeFill="background1"/>
          </w:tcPr>
          <w:p w:rsidR="005A28EA" w:rsidRPr="00460E3D" w:rsidRDefault="005A28EA" w:rsidP="005A28EA">
            <w:pPr>
              <w:jc w:val="left"/>
              <w:rPr>
                <w:rFonts w:ascii="Times New Roman" w:hAnsi="Times New Roman"/>
                <w:b/>
                <w:smallCaps/>
                <w:color w:val="1F497D"/>
                <w:sz w:val="28"/>
              </w:rPr>
            </w:pPr>
            <w:r w:rsidRPr="00460E3D">
              <w:rPr>
                <w:b/>
                <w:smallCaps/>
                <w:color w:val="1F497D"/>
                <w:sz w:val="28"/>
              </w:rPr>
              <w:lastRenderedPageBreak/>
              <w:t xml:space="preserve">I - Présentation des moyens </w:t>
            </w:r>
            <w:r w:rsidR="001505E4">
              <w:rPr>
                <w:b/>
                <w:smallCaps/>
                <w:color w:val="1F497D"/>
                <w:sz w:val="28"/>
              </w:rPr>
              <w:t>et services</w:t>
            </w:r>
            <w:r w:rsidR="001505E4" w:rsidRPr="00460E3D">
              <w:rPr>
                <w:b/>
                <w:smallCaps/>
                <w:color w:val="1F497D"/>
                <w:sz w:val="28"/>
              </w:rPr>
              <w:t xml:space="preserve"> </w:t>
            </w:r>
            <w:r w:rsidRPr="00460E3D">
              <w:rPr>
                <w:b/>
                <w:smallCaps/>
                <w:color w:val="1F497D"/>
                <w:sz w:val="28"/>
              </w:rPr>
              <w:t>de paiement et des risques de fraude encourus par l’établissement</w:t>
            </w:r>
          </w:p>
        </w:tc>
      </w:tr>
    </w:tbl>
    <w:p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rsidTr="005A28EA">
        <w:tc>
          <w:tcPr>
            <w:tcW w:w="14142" w:type="dxa"/>
            <w:shd w:val="clear" w:color="auto" w:fill="FBD4B4" w:themeFill="accent6" w:themeFillTint="66"/>
          </w:tcPr>
          <w:p w:rsidR="005A28EA" w:rsidRPr="00460E3D" w:rsidRDefault="005A28EA" w:rsidP="005A28EA">
            <w:pPr>
              <w:numPr>
                <w:ilvl w:val="0"/>
                <w:numId w:val="72"/>
              </w:numPr>
              <w:jc w:val="left"/>
              <w:rPr>
                <w:rFonts w:ascii="Times New Roman" w:hAnsi="Times New Roman"/>
                <w:b/>
                <w:sz w:val="22"/>
              </w:rPr>
            </w:pPr>
            <w:r w:rsidRPr="00C0062E">
              <w:rPr>
                <w:b/>
                <w:sz w:val="22"/>
              </w:rPr>
              <w:t>Carte et assimilée</w:t>
            </w:r>
          </w:p>
        </w:tc>
      </w:tr>
    </w:tbl>
    <w:p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rsidTr="005A28EA">
        <w:tc>
          <w:tcPr>
            <w:tcW w:w="14142" w:type="dxa"/>
            <w:shd w:val="clear" w:color="auto" w:fill="8DB3E2" w:themeFill="text2" w:themeFillTint="66"/>
          </w:tcPr>
          <w:p w:rsidR="005A28EA" w:rsidRPr="00460E3D" w:rsidRDefault="005A28EA" w:rsidP="005A28EA">
            <w:pPr>
              <w:ind w:left="360"/>
              <w:jc w:val="left"/>
              <w:rPr>
                <w:rFonts w:ascii="Times New Roman" w:hAnsi="Times New Roman"/>
                <w:b/>
                <w:sz w:val="22"/>
              </w:rPr>
            </w:pPr>
            <w:r w:rsidRPr="00C0062E">
              <w:rPr>
                <w:b/>
                <w:sz w:val="22"/>
              </w:rPr>
              <w:t>1.1. Présentation de l’offre</w:t>
            </w:r>
          </w:p>
        </w:tc>
      </w:tr>
    </w:tbl>
    <w:p w:rsidR="005A28EA" w:rsidRPr="00460E3D" w:rsidRDefault="005A28EA" w:rsidP="005A28EA">
      <w:pPr>
        <w:ind w:left="720"/>
        <w:jc w:val="left"/>
        <w:rPr>
          <w:rFonts w:eastAsia="Calibri"/>
          <w:sz w:val="22"/>
          <w:szCs w:val="22"/>
          <w:lang w:eastAsia="en-US"/>
        </w:rPr>
      </w:pPr>
    </w:p>
    <w:p w:rsidR="005A28EA" w:rsidRPr="00460E3D" w:rsidRDefault="005A28EA" w:rsidP="005A28EA">
      <w:pPr>
        <w:numPr>
          <w:ilvl w:val="0"/>
          <w:numId w:val="73"/>
        </w:numPr>
        <w:spacing w:after="200" w:line="276" w:lineRule="auto"/>
        <w:jc w:val="left"/>
        <w:rPr>
          <w:rFonts w:eastAsia="Calibri"/>
          <w:b/>
          <w:sz w:val="22"/>
          <w:szCs w:val="22"/>
          <w:lang w:eastAsia="en-US"/>
        </w:rPr>
      </w:pPr>
      <w:r w:rsidRPr="00460E3D">
        <w:rPr>
          <w:rFonts w:eastAsia="Calibri"/>
          <w:b/>
          <w:sz w:val="22"/>
          <w:szCs w:val="22"/>
          <w:lang w:eastAsia="en-US"/>
        </w:rPr>
        <w:t xml:space="preserve">Description de l’offre de produits et de services </w:t>
      </w:r>
    </w:p>
    <w:tbl>
      <w:tblPr>
        <w:tblStyle w:val="Grilledutableau2"/>
        <w:tblW w:w="0" w:type="auto"/>
        <w:tblLook w:val="04A0" w:firstRow="1" w:lastRow="0" w:firstColumn="1" w:lastColumn="0" w:noHBand="0" w:noVBand="1"/>
      </w:tblPr>
      <w:tblGrid>
        <w:gridCol w:w="1499"/>
        <w:gridCol w:w="2278"/>
        <w:gridCol w:w="1506"/>
        <w:gridCol w:w="1730"/>
        <w:gridCol w:w="2938"/>
        <w:gridCol w:w="4041"/>
      </w:tblGrid>
      <w:tr w:rsidR="005A28EA" w:rsidRPr="00C0062E" w:rsidTr="005A28EA">
        <w:tc>
          <w:tcPr>
            <w:tcW w:w="1501"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rsidTr="005A28EA">
        <w:tc>
          <w:tcPr>
            <w:tcW w:w="14142" w:type="dxa"/>
            <w:gridSpan w:val="6"/>
            <w:shd w:val="pct10" w:color="auto" w:fill="auto"/>
          </w:tcPr>
          <w:p w:rsidR="005A28EA" w:rsidRPr="00460E3D" w:rsidRDefault="005A28EA" w:rsidP="005A28EA">
            <w:pPr>
              <w:jc w:val="center"/>
              <w:rPr>
                <w:rFonts w:ascii="Times New Roman" w:hAnsi="Times New Roman"/>
                <w:b/>
                <w:sz w:val="22"/>
              </w:rPr>
            </w:pPr>
            <w:r w:rsidRPr="00C0062E">
              <w:rPr>
                <w:b/>
                <w:sz w:val="22"/>
              </w:rPr>
              <w:t>En tant qu’établissement émetteur</w:t>
            </w:r>
          </w:p>
        </w:tc>
      </w:tr>
      <w:tr w:rsidR="005A28EA" w:rsidRPr="00C0062E" w:rsidTr="005A28EA">
        <w:tc>
          <w:tcPr>
            <w:tcW w:w="1501" w:type="dxa"/>
          </w:tcPr>
          <w:p w:rsidR="007F45C1" w:rsidRPr="00D63D99" w:rsidRDefault="007F45C1" w:rsidP="007F45C1">
            <w:pPr>
              <w:jc w:val="left"/>
              <w:rPr>
                <w:sz w:val="18"/>
                <w:szCs w:val="18"/>
              </w:rPr>
            </w:pPr>
            <w:r w:rsidRPr="00D63D99">
              <w:rPr>
                <w:i/>
                <w:iCs/>
                <w:sz w:val="18"/>
                <w:szCs w:val="18"/>
              </w:rPr>
              <w:t xml:space="preserve">Ex : </w:t>
            </w:r>
            <w:r w:rsidRPr="00D63D99">
              <w:rPr>
                <w:b/>
                <w:bCs/>
                <w:i/>
                <w:iCs/>
                <w:sz w:val="18"/>
                <w:szCs w:val="18"/>
              </w:rPr>
              <w:t xml:space="preserve">Carte de paiement </w:t>
            </w:r>
            <w:r w:rsidRPr="00D63D99">
              <w:rPr>
                <w:i/>
                <w:iCs/>
                <w:sz w:val="18"/>
                <w:szCs w:val="18"/>
              </w:rPr>
              <w:t xml:space="preserve">: carte </w:t>
            </w:r>
            <w:r w:rsidR="001C5B1C">
              <w:rPr>
                <w:i/>
                <w:iCs/>
                <w:sz w:val="18"/>
                <w:szCs w:val="18"/>
              </w:rPr>
              <w:t>internationale</w:t>
            </w:r>
            <w:r w:rsidRPr="00D63D99">
              <w:rPr>
                <w:i/>
                <w:iCs/>
                <w:sz w:val="18"/>
                <w:szCs w:val="18"/>
              </w:rPr>
              <w:t>,…</w:t>
            </w:r>
          </w:p>
          <w:p w:rsidR="007F45C1" w:rsidRPr="00D63D99" w:rsidRDefault="007F45C1" w:rsidP="005A28EA">
            <w:pPr>
              <w:jc w:val="left"/>
              <w:rPr>
                <w:rFonts w:ascii="Times New Roman" w:hAnsi="Times New Roman"/>
                <w:sz w:val="18"/>
                <w:szCs w:val="18"/>
              </w:rPr>
            </w:pPr>
          </w:p>
        </w:tc>
        <w:tc>
          <w:tcPr>
            <w:tcW w:w="2293" w:type="dxa"/>
          </w:tcPr>
          <w:p w:rsidR="007F45C1" w:rsidRPr="00D63D99" w:rsidRDefault="007F45C1" w:rsidP="007F45C1">
            <w:pPr>
              <w:jc w:val="left"/>
              <w:rPr>
                <w:sz w:val="18"/>
                <w:szCs w:val="18"/>
              </w:rPr>
            </w:pPr>
            <w:r w:rsidRPr="00D63D99">
              <w:rPr>
                <w:i/>
                <w:iCs/>
                <w:sz w:val="18"/>
                <w:szCs w:val="18"/>
              </w:rPr>
              <w:t>Ex :</w:t>
            </w:r>
            <w:r w:rsidR="00AD7E02">
              <w:rPr>
                <w:i/>
                <w:iCs/>
                <w:sz w:val="18"/>
                <w:szCs w:val="18"/>
              </w:rPr>
              <w:t xml:space="preserve"> </w:t>
            </w:r>
            <w:r w:rsidRPr="00D63D99">
              <w:rPr>
                <w:i/>
                <w:iCs/>
                <w:sz w:val="18"/>
                <w:szCs w:val="18"/>
              </w:rPr>
              <w:t>-Maturité</w:t>
            </w:r>
          </w:p>
          <w:p w:rsidR="007F45C1" w:rsidRPr="00D63D99" w:rsidRDefault="007F45C1" w:rsidP="007F45C1">
            <w:pPr>
              <w:jc w:val="left"/>
              <w:rPr>
                <w:sz w:val="18"/>
                <w:szCs w:val="18"/>
              </w:rPr>
            </w:pPr>
            <w:r w:rsidRPr="00D63D99">
              <w:rPr>
                <w:i/>
                <w:iCs/>
                <w:sz w:val="18"/>
                <w:szCs w:val="18"/>
              </w:rPr>
              <w:t>-Date de commercialisation</w:t>
            </w:r>
          </w:p>
          <w:p w:rsidR="007F45C1" w:rsidRPr="00D63D99" w:rsidRDefault="007F45C1" w:rsidP="007F45C1">
            <w:pPr>
              <w:jc w:val="left"/>
              <w:rPr>
                <w:sz w:val="18"/>
                <w:szCs w:val="18"/>
              </w:rPr>
            </w:pPr>
            <w:r w:rsidRPr="00D63D99">
              <w:rPr>
                <w:i/>
                <w:iCs/>
                <w:sz w:val="18"/>
                <w:szCs w:val="18"/>
              </w:rPr>
              <w:t>-Équipée de la fonction sans contact par défaut</w:t>
            </w:r>
          </w:p>
          <w:p w:rsidR="007F45C1" w:rsidRPr="00D63D99" w:rsidRDefault="007F45C1" w:rsidP="007F45C1">
            <w:pPr>
              <w:jc w:val="left"/>
              <w:rPr>
                <w:sz w:val="18"/>
                <w:szCs w:val="18"/>
              </w:rPr>
            </w:pPr>
            <w:r w:rsidRPr="00D63D99">
              <w:rPr>
                <w:i/>
                <w:iCs/>
                <w:sz w:val="18"/>
                <w:szCs w:val="18"/>
              </w:rPr>
              <w:t>-</w:t>
            </w:r>
            <w:r w:rsidR="001C5B1C">
              <w:rPr>
                <w:i/>
                <w:iCs/>
                <w:sz w:val="18"/>
                <w:szCs w:val="18"/>
              </w:rPr>
              <w:t xml:space="preserve"> Enrôlement dans un dispositif d’authentification</w:t>
            </w:r>
          </w:p>
          <w:p w:rsidR="005A28EA" w:rsidRPr="00D63D99" w:rsidRDefault="007F45C1" w:rsidP="00C30A7D">
            <w:pPr>
              <w:jc w:val="left"/>
              <w:rPr>
                <w:rFonts w:ascii="Times New Roman" w:hAnsi="Times New Roman"/>
                <w:sz w:val="18"/>
                <w:szCs w:val="18"/>
              </w:rPr>
            </w:pPr>
            <w:r w:rsidRPr="00D63D99">
              <w:rPr>
                <w:i/>
                <w:iCs/>
                <w:sz w:val="18"/>
                <w:szCs w:val="18"/>
              </w:rPr>
              <w:t>-Service carte virtuelle…</w:t>
            </w:r>
          </w:p>
        </w:tc>
        <w:tc>
          <w:tcPr>
            <w:tcW w:w="1516" w:type="dxa"/>
          </w:tcPr>
          <w:p w:rsidR="007F45C1" w:rsidRPr="00D63D99" w:rsidRDefault="007F45C1" w:rsidP="00D63D99">
            <w:pPr>
              <w:rPr>
                <w:sz w:val="18"/>
                <w:szCs w:val="18"/>
              </w:rPr>
            </w:pPr>
            <w:r w:rsidRPr="00D63D99">
              <w:rPr>
                <w:i/>
                <w:iCs/>
                <w:sz w:val="18"/>
                <w:szCs w:val="18"/>
              </w:rPr>
              <w:t>Ex : Particuliers</w:t>
            </w:r>
          </w:p>
          <w:p w:rsidR="005A28EA" w:rsidRPr="00D63D99" w:rsidRDefault="005A28EA" w:rsidP="005A28EA">
            <w:pPr>
              <w:jc w:val="left"/>
              <w:rPr>
                <w:rFonts w:ascii="Times New Roman" w:hAnsi="Times New Roman"/>
                <w:sz w:val="18"/>
                <w:szCs w:val="18"/>
              </w:rPr>
            </w:pPr>
          </w:p>
        </w:tc>
        <w:tc>
          <w:tcPr>
            <w:tcW w:w="1744" w:type="dxa"/>
          </w:tcPr>
          <w:p w:rsidR="007F45C1" w:rsidRPr="00D63D99" w:rsidRDefault="007F45C1" w:rsidP="007F45C1">
            <w:pPr>
              <w:jc w:val="left"/>
              <w:rPr>
                <w:sz w:val="18"/>
                <w:szCs w:val="18"/>
              </w:rPr>
            </w:pPr>
            <w:r w:rsidRPr="00D63D99">
              <w:rPr>
                <w:i/>
                <w:iCs/>
                <w:sz w:val="18"/>
                <w:szCs w:val="18"/>
              </w:rPr>
              <w:t xml:space="preserve">Ex : Au point </w:t>
            </w:r>
          </w:p>
          <w:p w:rsidR="007F45C1" w:rsidRPr="00D63D99" w:rsidRDefault="007F45C1" w:rsidP="007F45C1">
            <w:pPr>
              <w:jc w:val="left"/>
              <w:rPr>
                <w:sz w:val="18"/>
                <w:szCs w:val="18"/>
              </w:rPr>
            </w:pPr>
            <w:r w:rsidRPr="00D63D99">
              <w:rPr>
                <w:i/>
                <w:iCs/>
                <w:sz w:val="18"/>
                <w:szCs w:val="18"/>
              </w:rPr>
              <w:t>de vente ou sur automate, paiement à distance,…</w:t>
            </w:r>
          </w:p>
          <w:p w:rsidR="005A28EA" w:rsidRPr="00D63D99" w:rsidRDefault="005A28EA" w:rsidP="005A28EA">
            <w:pPr>
              <w:jc w:val="left"/>
              <w:rPr>
                <w:rFonts w:ascii="Times New Roman" w:hAnsi="Times New Roman"/>
                <w:sz w:val="18"/>
                <w:szCs w:val="18"/>
              </w:rPr>
            </w:pPr>
          </w:p>
        </w:tc>
        <w:tc>
          <w:tcPr>
            <w:tcW w:w="2977" w:type="dxa"/>
          </w:tcPr>
          <w:p w:rsidR="007F45C1" w:rsidRPr="00D63D99" w:rsidRDefault="007F45C1" w:rsidP="007F45C1">
            <w:pPr>
              <w:jc w:val="left"/>
              <w:rPr>
                <w:sz w:val="18"/>
                <w:szCs w:val="18"/>
              </w:rPr>
            </w:pPr>
            <w:r w:rsidRPr="00D63D99">
              <w:rPr>
                <w:i/>
                <w:iCs/>
                <w:sz w:val="18"/>
                <w:szCs w:val="18"/>
              </w:rPr>
              <w:t>Préciser les facteurs explicatifs des variations significatives de l’activité (nombre et montant)</w:t>
            </w:r>
          </w:p>
          <w:p w:rsidR="005A28EA" w:rsidRPr="00D63D99" w:rsidRDefault="005A28EA" w:rsidP="005A28EA">
            <w:pPr>
              <w:jc w:val="left"/>
              <w:rPr>
                <w:rFonts w:ascii="Times New Roman" w:hAnsi="Times New Roman"/>
                <w:sz w:val="18"/>
                <w:szCs w:val="18"/>
              </w:rPr>
            </w:pPr>
          </w:p>
        </w:tc>
        <w:tc>
          <w:tcPr>
            <w:tcW w:w="4111" w:type="dxa"/>
          </w:tcPr>
          <w:p w:rsidR="007F45C1" w:rsidRPr="00D63D99" w:rsidRDefault="007F45C1" w:rsidP="007F45C1">
            <w:pPr>
              <w:jc w:val="left"/>
              <w:rPr>
                <w:sz w:val="18"/>
                <w:szCs w:val="18"/>
              </w:rPr>
            </w:pPr>
            <w:r w:rsidRPr="00D63D99">
              <w:rPr>
                <w:i/>
                <w:iCs/>
                <w:sz w:val="18"/>
                <w:szCs w:val="18"/>
              </w:rPr>
              <w:t>Indiquer les évolutions intervenues au cours de l’exercice sous revue</w:t>
            </w:r>
          </w:p>
          <w:p w:rsidR="007F45C1" w:rsidRPr="00D63D99" w:rsidRDefault="007F45C1" w:rsidP="007F45C1">
            <w:pPr>
              <w:jc w:val="left"/>
              <w:rPr>
                <w:sz w:val="18"/>
                <w:szCs w:val="18"/>
              </w:rPr>
            </w:pPr>
            <w:r w:rsidRPr="00D63D99">
              <w:rPr>
                <w:i/>
                <w:iCs/>
                <w:sz w:val="18"/>
                <w:szCs w:val="18"/>
              </w:rPr>
              <w:t xml:space="preserve">Ex : réalisation de pilote, mise en place d’alertes SMS pour les transactions des cartes haut de gamme à l’international,… </w:t>
            </w:r>
          </w:p>
          <w:p w:rsidR="005A28EA" w:rsidRPr="00D63D99" w:rsidRDefault="005A28EA" w:rsidP="005A28EA">
            <w:pPr>
              <w:jc w:val="left"/>
              <w:rPr>
                <w:rFonts w:ascii="Times New Roman" w:hAnsi="Times New Roman"/>
                <w:sz w:val="18"/>
                <w:szCs w:val="18"/>
              </w:rPr>
            </w:pPr>
          </w:p>
        </w:tc>
      </w:tr>
      <w:tr w:rsidR="005A28EA" w:rsidRPr="00C0062E" w:rsidTr="005A28EA">
        <w:tc>
          <w:tcPr>
            <w:tcW w:w="1501" w:type="dxa"/>
          </w:tcPr>
          <w:p w:rsidR="005A28EA" w:rsidRPr="00D63D99" w:rsidRDefault="007F45C1" w:rsidP="00C30A7D">
            <w:pPr>
              <w:jc w:val="left"/>
              <w:rPr>
                <w:rFonts w:ascii="Times New Roman" w:hAnsi="Times New Roman"/>
                <w:sz w:val="18"/>
                <w:szCs w:val="18"/>
              </w:rPr>
            </w:pPr>
            <w:r w:rsidRPr="00D63D99">
              <w:rPr>
                <w:i/>
                <w:iCs/>
                <w:sz w:val="18"/>
                <w:szCs w:val="18"/>
              </w:rPr>
              <w:t xml:space="preserve">Ex : </w:t>
            </w:r>
            <w:r w:rsidRPr="00D63D99">
              <w:rPr>
                <w:b/>
                <w:bCs/>
                <w:i/>
                <w:iCs/>
                <w:sz w:val="18"/>
                <w:szCs w:val="18"/>
              </w:rPr>
              <w:t>Carte de retrait</w:t>
            </w:r>
          </w:p>
        </w:tc>
        <w:tc>
          <w:tcPr>
            <w:tcW w:w="2293" w:type="dxa"/>
          </w:tcPr>
          <w:p w:rsidR="005A28EA" w:rsidRPr="00D63D99" w:rsidRDefault="005A28EA" w:rsidP="005A28EA">
            <w:pPr>
              <w:jc w:val="left"/>
              <w:rPr>
                <w:rFonts w:ascii="Times New Roman" w:hAnsi="Times New Roman"/>
                <w:sz w:val="18"/>
                <w:szCs w:val="18"/>
              </w:rPr>
            </w:pPr>
          </w:p>
        </w:tc>
        <w:tc>
          <w:tcPr>
            <w:tcW w:w="1516" w:type="dxa"/>
          </w:tcPr>
          <w:p w:rsidR="005A28EA" w:rsidRPr="00D63D99" w:rsidRDefault="005A28EA" w:rsidP="005A28EA">
            <w:pPr>
              <w:jc w:val="left"/>
              <w:rPr>
                <w:rFonts w:ascii="Times New Roman" w:hAnsi="Times New Roman"/>
                <w:sz w:val="18"/>
                <w:szCs w:val="18"/>
              </w:rPr>
            </w:pPr>
          </w:p>
        </w:tc>
        <w:tc>
          <w:tcPr>
            <w:tcW w:w="1744" w:type="dxa"/>
          </w:tcPr>
          <w:p w:rsidR="005A28EA" w:rsidRPr="00D63D99" w:rsidRDefault="005A28EA" w:rsidP="005A28EA">
            <w:pPr>
              <w:jc w:val="left"/>
              <w:rPr>
                <w:rFonts w:ascii="Times New Roman" w:hAnsi="Times New Roman"/>
                <w:sz w:val="18"/>
                <w:szCs w:val="18"/>
              </w:rPr>
            </w:pPr>
          </w:p>
        </w:tc>
        <w:tc>
          <w:tcPr>
            <w:tcW w:w="2977" w:type="dxa"/>
          </w:tcPr>
          <w:p w:rsidR="005A28EA" w:rsidRPr="00D63D99" w:rsidRDefault="005A28EA" w:rsidP="005A28EA">
            <w:pPr>
              <w:jc w:val="left"/>
              <w:rPr>
                <w:rFonts w:ascii="Times New Roman" w:hAnsi="Times New Roman"/>
                <w:sz w:val="18"/>
                <w:szCs w:val="18"/>
              </w:rPr>
            </w:pPr>
          </w:p>
        </w:tc>
        <w:tc>
          <w:tcPr>
            <w:tcW w:w="4111" w:type="dxa"/>
          </w:tcPr>
          <w:p w:rsidR="005A28EA" w:rsidRPr="00D63D99" w:rsidRDefault="005A28EA" w:rsidP="005A28EA">
            <w:pPr>
              <w:jc w:val="left"/>
              <w:rPr>
                <w:rFonts w:ascii="Times New Roman" w:hAnsi="Times New Roman"/>
                <w:sz w:val="18"/>
                <w:szCs w:val="18"/>
              </w:rPr>
            </w:pPr>
          </w:p>
        </w:tc>
      </w:tr>
      <w:tr w:rsidR="005A28EA" w:rsidRPr="00C0062E" w:rsidTr="005A28EA">
        <w:tc>
          <w:tcPr>
            <w:tcW w:w="1501" w:type="dxa"/>
            <w:tcBorders>
              <w:bottom w:val="single" w:sz="4" w:space="0" w:color="auto"/>
            </w:tcBorders>
          </w:tcPr>
          <w:p w:rsidR="005A28EA" w:rsidRPr="00D63D99" w:rsidRDefault="007F45C1" w:rsidP="00C30A7D">
            <w:pPr>
              <w:jc w:val="left"/>
              <w:rPr>
                <w:rFonts w:ascii="Times New Roman" w:hAnsi="Times New Roman"/>
                <w:b/>
                <w:sz w:val="18"/>
                <w:szCs w:val="18"/>
              </w:rPr>
            </w:pPr>
            <w:r w:rsidRPr="00D63D99">
              <w:rPr>
                <w:b/>
                <w:i/>
                <w:iCs/>
                <w:sz w:val="18"/>
                <w:szCs w:val="18"/>
              </w:rPr>
              <w:t xml:space="preserve">Ex : </w:t>
            </w:r>
            <w:r w:rsidRPr="00D63D99">
              <w:rPr>
                <w:b/>
                <w:bCs/>
                <w:i/>
                <w:iCs/>
                <w:sz w:val="18"/>
                <w:szCs w:val="18"/>
              </w:rPr>
              <w:t>Enrôlement dans des wallets</w:t>
            </w:r>
          </w:p>
        </w:tc>
        <w:tc>
          <w:tcPr>
            <w:tcW w:w="2293" w:type="dxa"/>
            <w:tcBorders>
              <w:bottom w:val="single" w:sz="4" w:space="0" w:color="auto"/>
            </w:tcBorders>
          </w:tcPr>
          <w:p w:rsidR="005A28EA" w:rsidRPr="00D63D99" w:rsidRDefault="005A28EA" w:rsidP="005A28EA">
            <w:pPr>
              <w:jc w:val="left"/>
              <w:rPr>
                <w:rFonts w:ascii="Times New Roman" w:hAnsi="Times New Roman"/>
                <w:sz w:val="18"/>
                <w:szCs w:val="18"/>
              </w:rPr>
            </w:pPr>
          </w:p>
        </w:tc>
        <w:tc>
          <w:tcPr>
            <w:tcW w:w="1516" w:type="dxa"/>
            <w:tcBorders>
              <w:bottom w:val="single" w:sz="4" w:space="0" w:color="auto"/>
            </w:tcBorders>
          </w:tcPr>
          <w:p w:rsidR="005A28EA" w:rsidRPr="00D63D99" w:rsidRDefault="005A28EA" w:rsidP="005A28EA">
            <w:pPr>
              <w:jc w:val="left"/>
              <w:rPr>
                <w:rFonts w:ascii="Times New Roman" w:hAnsi="Times New Roman"/>
                <w:sz w:val="18"/>
                <w:szCs w:val="18"/>
              </w:rPr>
            </w:pPr>
          </w:p>
        </w:tc>
        <w:tc>
          <w:tcPr>
            <w:tcW w:w="1744" w:type="dxa"/>
            <w:tcBorders>
              <w:bottom w:val="single" w:sz="4" w:space="0" w:color="auto"/>
            </w:tcBorders>
          </w:tcPr>
          <w:p w:rsidR="005A28EA" w:rsidRPr="00D63D99" w:rsidRDefault="005A28EA" w:rsidP="005A28EA">
            <w:pPr>
              <w:jc w:val="left"/>
              <w:rPr>
                <w:rFonts w:ascii="Times New Roman" w:hAnsi="Times New Roman"/>
                <w:sz w:val="18"/>
                <w:szCs w:val="18"/>
              </w:rPr>
            </w:pPr>
          </w:p>
        </w:tc>
        <w:tc>
          <w:tcPr>
            <w:tcW w:w="2977" w:type="dxa"/>
            <w:tcBorders>
              <w:bottom w:val="single" w:sz="4" w:space="0" w:color="auto"/>
            </w:tcBorders>
          </w:tcPr>
          <w:p w:rsidR="005A28EA" w:rsidRPr="00D63D99" w:rsidRDefault="005A28EA" w:rsidP="005A28EA">
            <w:pPr>
              <w:jc w:val="left"/>
              <w:rPr>
                <w:rFonts w:ascii="Times New Roman" w:hAnsi="Times New Roman"/>
                <w:sz w:val="18"/>
                <w:szCs w:val="18"/>
              </w:rPr>
            </w:pPr>
          </w:p>
        </w:tc>
        <w:tc>
          <w:tcPr>
            <w:tcW w:w="4111" w:type="dxa"/>
            <w:tcBorders>
              <w:bottom w:val="single" w:sz="4" w:space="0" w:color="auto"/>
            </w:tcBorders>
          </w:tcPr>
          <w:p w:rsidR="005A28EA" w:rsidRPr="00D63D99" w:rsidRDefault="005A28EA" w:rsidP="005A28EA">
            <w:pPr>
              <w:jc w:val="left"/>
              <w:rPr>
                <w:rFonts w:ascii="Times New Roman" w:hAnsi="Times New Roman"/>
                <w:sz w:val="18"/>
                <w:szCs w:val="18"/>
              </w:rPr>
            </w:pPr>
          </w:p>
        </w:tc>
      </w:tr>
      <w:tr w:rsidR="005A28EA" w:rsidRPr="00C0062E" w:rsidTr="005A28EA">
        <w:tc>
          <w:tcPr>
            <w:tcW w:w="14142" w:type="dxa"/>
            <w:gridSpan w:val="6"/>
            <w:shd w:val="pct10" w:color="auto" w:fill="auto"/>
          </w:tcPr>
          <w:p w:rsidR="005A28EA" w:rsidRPr="00460E3D" w:rsidRDefault="005A28EA" w:rsidP="005A28EA">
            <w:pPr>
              <w:jc w:val="center"/>
              <w:rPr>
                <w:rFonts w:ascii="Times New Roman" w:hAnsi="Times New Roman"/>
                <w:b/>
                <w:sz w:val="22"/>
              </w:rPr>
            </w:pPr>
            <w:r w:rsidRPr="00C0062E">
              <w:rPr>
                <w:b/>
                <w:sz w:val="22"/>
              </w:rPr>
              <w:t>En tant qu’établissement acquéreur</w:t>
            </w:r>
          </w:p>
        </w:tc>
      </w:tr>
      <w:tr w:rsidR="005A28EA" w:rsidRPr="00C0062E" w:rsidTr="005A28EA">
        <w:tc>
          <w:tcPr>
            <w:tcW w:w="1501" w:type="dxa"/>
          </w:tcPr>
          <w:p w:rsidR="007F45C1" w:rsidRPr="00D63D99" w:rsidRDefault="007F45C1" w:rsidP="007F45C1">
            <w:pPr>
              <w:jc w:val="left"/>
              <w:rPr>
                <w:sz w:val="18"/>
                <w:szCs w:val="18"/>
              </w:rPr>
            </w:pPr>
            <w:r w:rsidRPr="00D63D99">
              <w:rPr>
                <w:i/>
                <w:iCs/>
                <w:sz w:val="18"/>
                <w:szCs w:val="18"/>
              </w:rPr>
              <w:t xml:space="preserve">Ex : </w:t>
            </w:r>
            <w:r w:rsidRPr="00D63D99">
              <w:rPr>
                <w:bCs/>
                <w:i/>
                <w:iCs/>
                <w:sz w:val="18"/>
                <w:szCs w:val="18"/>
              </w:rPr>
              <w:t>Offre d’acceptation des paiements par carte en proximité</w:t>
            </w:r>
          </w:p>
          <w:p w:rsidR="005A28EA" w:rsidRPr="00D63D99" w:rsidRDefault="005A28EA" w:rsidP="005A28EA">
            <w:pPr>
              <w:jc w:val="left"/>
              <w:rPr>
                <w:rFonts w:ascii="Times New Roman" w:hAnsi="Times New Roman"/>
                <w:sz w:val="18"/>
                <w:szCs w:val="18"/>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7F45C1" w:rsidRPr="00D63D99" w:rsidRDefault="007F45C1" w:rsidP="007F45C1">
            <w:pPr>
              <w:jc w:val="left"/>
              <w:rPr>
                <w:sz w:val="18"/>
                <w:szCs w:val="18"/>
              </w:rPr>
            </w:pPr>
            <w:r w:rsidRPr="00D63D99">
              <w:rPr>
                <w:i/>
                <w:iCs/>
                <w:sz w:val="18"/>
                <w:szCs w:val="18"/>
              </w:rPr>
              <w:t xml:space="preserve">Ex : </w:t>
            </w:r>
            <w:r w:rsidRPr="00D63D99">
              <w:rPr>
                <w:bCs/>
                <w:i/>
                <w:iCs/>
                <w:sz w:val="18"/>
                <w:szCs w:val="18"/>
              </w:rPr>
              <w:t>Offre d’acceptation des paiements par carte en VAD</w:t>
            </w:r>
          </w:p>
          <w:p w:rsidR="005A28EA" w:rsidRPr="00D63D99" w:rsidRDefault="005A28EA" w:rsidP="005A28EA">
            <w:pPr>
              <w:jc w:val="left"/>
              <w:rPr>
                <w:rFonts w:ascii="Times New Roman" w:hAnsi="Times New Roman"/>
                <w:sz w:val="18"/>
                <w:szCs w:val="18"/>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bl>
    <w:p w:rsidR="005A28EA" w:rsidRPr="00460E3D" w:rsidRDefault="005A28EA" w:rsidP="005A28EA">
      <w:pPr>
        <w:jc w:val="left"/>
        <w:rPr>
          <w:rFonts w:eastAsia="Calibri"/>
          <w:b/>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p>
    <w:p w:rsidR="005A28EA" w:rsidRPr="00460E3D" w:rsidRDefault="005A28EA" w:rsidP="005A28EA">
      <w:pPr>
        <w:numPr>
          <w:ilvl w:val="0"/>
          <w:numId w:val="73"/>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p w:rsidR="005A28EA" w:rsidRPr="00460E3D" w:rsidRDefault="005A28EA" w:rsidP="005A28EA">
      <w:pPr>
        <w:ind w:left="720"/>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rsidTr="005A28EA">
        <w:tc>
          <w:tcPr>
            <w:tcW w:w="9212" w:type="dxa"/>
          </w:tcPr>
          <w:p w:rsidR="007F45C1" w:rsidRDefault="005A28EA" w:rsidP="005A28EA">
            <w:pPr>
              <w:rPr>
                <w:i/>
                <w:sz w:val="22"/>
              </w:rPr>
            </w:pPr>
            <w:r w:rsidRPr="00460E3D">
              <w:rPr>
                <w:i/>
                <w:sz w:val="22"/>
              </w:rPr>
              <w:t xml:space="preserve">Décrire les projets </w:t>
            </w:r>
            <w:r w:rsidR="00406390">
              <w:rPr>
                <w:i/>
                <w:sz w:val="22"/>
              </w:rPr>
              <w:t xml:space="preserve">de commercialisation de nouveaux produits/services ou d’évolution de l’offre existante d’ordre technologique, fonctionnel et sécuritaire </w:t>
            </w:r>
            <w:r w:rsidR="00406390" w:rsidRPr="00460E3D">
              <w:rPr>
                <w:i/>
                <w:sz w:val="22"/>
              </w:rPr>
              <w:t>prévus à court et moyen terme</w:t>
            </w:r>
            <w:r w:rsidR="00406390">
              <w:rPr>
                <w:i/>
                <w:sz w:val="22"/>
              </w:rPr>
              <w:t>.</w:t>
            </w:r>
          </w:p>
          <w:p w:rsidR="005A28EA" w:rsidRPr="00460E3D" w:rsidRDefault="005A28EA" w:rsidP="005A28EA">
            <w:pPr>
              <w:rPr>
                <w:rFonts w:ascii="Times New Roman" w:hAnsi="Times New Roman"/>
                <w:szCs w:val="24"/>
              </w:rPr>
            </w:pPr>
          </w:p>
          <w:p w:rsidR="005A28EA" w:rsidRPr="00460E3D" w:rsidRDefault="005A28EA" w:rsidP="005A28EA">
            <w:pPr>
              <w:rPr>
                <w:rFonts w:ascii="Times New Roman" w:hAnsi="Times New Roman"/>
                <w:szCs w:val="24"/>
              </w:rPr>
            </w:pPr>
          </w:p>
          <w:p w:rsidR="005A28EA" w:rsidRPr="00460E3D" w:rsidRDefault="005A28EA" w:rsidP="005A28EA">
            <w:pPr>
              <w:rPr>
                <w:rFonts w:ascii="Times New Roman" w:hAnsi="Times New Roman"/>
                <w:szCs w:val="24"/>
              </w:rPr>
            </w:pPr>
          </w:p>
          <w:p w:rsidR="005A28EA" w:rsidRPr="00460E3D" w:rsidRDefault="005A28EA" w:rsidP="005A28EA">
            <w:pPr>
              <w:rPr>
                <w:rFonts w:ascii="Times New Roman" w:hAnsi="Times New Roman"/>
                <w:szCs w:val="24"/>
              </w:rPr>
            </w:pPr>
          </w:p>
        </w:tc>
      </w:tr>
    </w:tbl>
    <w:p w:rsidR="005A28EA" w:rsidRPr="00460E3D" w:rsidRDefault="005A28EA" w:rsidP="005A28EA">
      <w:pPr>
        <w:jc w:val="left"/>
        <w:rPr>
          <w:rFonts w:eastAsia="Calibri"/>
          <w:sz w:val="22"/>
          <w:szCs w:val="22"/>
          <w:lang w:eastAsia="en-US"/>
        </w:rPr>
      </w:pPr>
    </w:p>
    <w:p w:rsidR="005A28EA" w:rsidRPr="00460E3D" w:rsidRDefault="005A28EA"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5A28EA" w:rsidRPr="00C0062E" w:rsidTr="005A28EA">
        <w:tc>
          <w:tcPr>
            <w:tcW w:w="9212" w:type="dxa"/>
            <w:shd w:val="clear" w:color="auto" w:fill="8DB3E2" w:themeFill="text2" w:themeFillTint="66"/>
          </w:tcPr>
          <w:p w:rsidR="005A28EA" w:rsidRPr="00460E3D" w:rsidRDefault="005A28EA" w:rsidP="005A28EA">
            <w:pPr>
              <w:ind w:left="360"/>
              <w:jc w:val="left"/>
              <w:rPr>
                <w:rFonts w:ascii="Times New Roman" w:hAnsi="Times New Roman"/>
                <w:b/>
                <w:sz w:val="22"/>
              </w:rPr>
            </w:pPr>
            <w:r w:rsidRPr="00C0062E">
              <w:rPr>
                <w:b/>
                <w:sz w:val="22"/>
              </w:rPr>
              <w:t>1.2. Organisation opérationnelle de l’activité</w:t>
            </w:r>
          </w:p>
        </w:tc>
      </w:tr>
    </w:tbl>
    <w:p w:rsidR="005A28EA" w:rsidRPr="00460E3D" w:rsidRDefault="005A28EA" w:rsidP="005A28EA">
      <w:pPr>
        <w:jc w:val="left"/>
        <w:rPr>
          <w:rFonts w:eastAsia="Calibri"/>
          <w:sz w:val="22"/>
          <w:szCs w:val="22"/>
          <w:lang w:eastAsia="en-US"/>
        </w:rPr>
      </w:pPr>
    </w:p>
    <w:p w:rsidR="005A28EA" w:rsidRPr="00460E3D"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8F54D5">
        <w:rPr>
          <w:rFonts w:eastAsia="Calibri"/>
          <w:i/>
          <w:sz w:val="22"/>
          <w:szCs w:val="22"/>
          <w:lang w:eastAsia="en-US"/>
        </w:rPr>
        <w:t>du moyen/service de paiement depuis son émission/réception jusqu’à sa remise aux systèmes d’échange/imputation en compte</w:t>
      </w:r>
      <w:r w:rsidR="005E616C">
        <w:rPr>
          <w:rFonts w:eastAsia="Calibri"/>
          <w:i/>
          <w:sz w:val="22"/>
          <w:szCs w:val="22"/>
          <w:lang w:eastAsia="en-US"/>
        </w:rPr>
        <w:t xml:space="preserve"> </w:t>
      </w:r>
      <w:r w:rsidRPr="00460E3D">
        <w:rPr>
          <w:rFonts w:eastAsia="Calibri"/>
          <w:i/>
          <w:sz w:val="22"/>
          <w:szCs w:val="22"/>
          <w:lang w:eastAsia="en-US"/>
        </w:rPr>
        <w:t>en précisant en particulier les traitements externalisés (y compris auprès d’entités du groupe) et ceux mutualisés avec d’autres établissements.</w:t>
      </w:r>
      <w:r w:rsidR="005E616C">
        <w:rPr>
          <w:rFonts w:eastAsia="Calibri"/>
          <w:i/>
          <w:sz w:val="22"/>
          <w:szCs w:val="22"/>
          <w:lang w:eastAsia="en-US"/>
        </w:rPr>
        <w:t xml:space="preserve"> Un schéma organisationnel peut-être inséré si nécessaire.</w:t>
      </w:r>
    </w:p>
    <w:p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3334"/>
        <w:gridCol w:w="5728"/>
      </w:tblGrid>
      <w:tr w:rsidR="005A28EA" w:rsidRPr="00C0062E" w:rsidTr="005A28EA">
        <w:tc>
          <w:tcPr>
            <w:tcW w:w="3369"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Acteurs</w:t>
            </w:r>
            <w:r w:rsidR="005E616C">
              <w:rPr>
                <w:b/>
                <w:sz w:val="22"/>
              </w:rPr>
              <w:t xml:space="preserve"> </w:t>
            </w:r>
          </w:p>
        </w:tc>
        <w:tc>
          <w:tcPr>
            <w:tcW w:w="5811"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Rôles</w:t>
            </w:r>
          </w:p>
        </w:tc>
      </w:tr>
      <w:tr w:rsidR="005A28EA" w:rsidRPr="00C0062E" w:rsidTr="005A28EA">
        <w:tc>
          <w:tcPr>
            <w:tcW w:w="9180" w:type="dxa"/>
            <w:gridSpan w:val="2"/>
            <w:shd w:val="pct10" w:color="auto" w:fill="auto"/>
          </w:tcPr>
          <w:p w:rsidR="005A28EA" w:rsidRPr="00460E3D" w:rsidRDefault="005A28EA" w:rsidP="005A28EA">
            <w:pPr>
              <w:jc w:val="center"/>
              <w:rPr>
                <w:rFonts w:ascii="Times New Roman" w:hAnsi="Times New Roman"/>
                <w:b/>
                <w:sz w:val="22"/>
              </w:rPr>
            </w:pPr>
            <w:r w:rsidRPr="00C0062E">
              <w:rPr>
                <w:b/>
                <w:sz w:val="22"/>
              </w:rPr>
              <w:t>Activité d’émission et de gestion</w:t>
            </w:r>
          </w:p>
        </w:tc>
      </w:tr>
      <w:tr w:rsidR="005A28EA" w:rsidRPr="00C0062E" w:rsidTr="005A28EA">
        <w:tc>
          <w:tcPr>
            <w:tcW w:w="3369" w:type="dxa"/>
          </w:tcPr>
          <w:p w:rsidR="005A28EA" w:rsidRPr="00D63D99" w:rsidRDefault="005E616C" w:rsidP="005A28EA">
            <w:pPr>
              <w:jc w:val="left"/>
              <w:rPr>
                <w:rFonts w:asciiTheme="minorHAnsi" w:hAnsiTheme="minorHAnsi" w:cstheme="minorHAnsi"/>
                <w:sz w:val="18"/>
                <w:szCs w:val="18"/>
              </w:rPr>
            </w:pPr>
            <w:r w:rsidRPr="00D63D99">
              <w:rPr>
                <w:rFonts w:asciiTheme="minorHAnsi" w:hAnsiTheme="minorHAnsi" w:cstheme="minorHAnsi"/>
                <w:sz w:val="18"/>
                <w:szCs w:val="18"/>
              </w:rPr>
              <w:t>Directions, services, prestataires,…</w:t>
            </w: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9180" w:type="dxa"/>
            <w:gridSpan w:val="2"/>
            <w:shd w:val="pct10" w:color="auto" w:fill="auto"/>
          </w:tcPr>
          <w:p w:rsidR="005A28EA" w:rsidRPr="00460E3D" w:rsidRDefault="005A28EA" w:rsidP="005A28EA">
            <w:pPr>
              <w:jc w:val="center"/>
              <w:rPr>
                <w:rFonts w:ascii="Times New Roman" w:hAnsi="Times New Roman"/>
                <w:b/>
                <w:sz w:val="22"/>
              </w:rPr>
            </w:pPr>
            <w:r w:rsidRPr="00C0062E">
              <w:rPr>
                <w:b/>
                <w:sz w:val="22"/>
              </w:rPr>
              <w:t>Activité d’acquisition</w:t>
            </w: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bl>
    <w:p w:rsidR="005A28EA" w:rsidRPr="00460E3D" w:rsidRDefault="005A28EA" w:rsidP="005A28EA">
      <w:pPr>
        <w:jc w:val="left"/>
        <w:rPr>
          <w:rFonts w:eastAsia="Calibri"/>
          <w:sz w:val="22"/>
          <w:szCs w:val="22"/>
          <w:lang w:eastAsia="en-US"/>
        </w:rPr>
      </w:pPr>
    </w:p>
    <w:p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rsidTr="005A28EA">
        <w:tc>
          <w:tcPr>
            <w:tcW w:w="9212" w:type="dxa"/>
          </w:tcPr>
          <w:p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rsidR="005A28EA" w:rsidRPr="00460E3D" w:rsidRDefault="005A28EA" w:rsidP="005A28EA">
            <w:pPr>
              <w:jc w:val="left"/>
              <w:rPr>
                <w:rFonts w:ascii="Times New Roman" w:hAnsi="Times New Roman"/>
                <w:i/>
                <w:sz w:val="22"/>
              </w:rPr>
            </w:pPr>
          </w:p>
          <w:p w:rsidR="005A28EA" w:rsidRPr="00460E3D" w:rsidRDefault="005A28EA" w:rsidP="005A28EA">
            <w:pPr>
              <w:jc w:val="left"/>
              <w:rPr>
                <w:rFonts w:ascii="Times New Roman" w:hAnsi="Times New Roman"/>
                <w:i/>
                <w:sz w:val="22"/>
              </w:rPr>
            </w:pPr>
          </w:p>
          <w:p w:rsidR="005A28EA" w:rsidRDefault="005A28EA" w:rsidP="005A28EA">
            <w:pPr>
              <w:jc w:val="left"/>
              <w:rPr>
                <w:rFonts w:ascii="Times New Roman" w:hAnsi="Times New Roman"/>
                <w:sz w:val="22"/>
              </w:rPr>
            </w:pPr>
          </w:p>
          <w:p w:rsidR="00743D9E" w:rsidRPr="00460E3D" w:rsidRDefault="00743D9E"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tc>
      </w:tr>
    </w:tbl>
    <w:p w:rsidR="005A28EA" w:rsidRPr="00460E3D" w:rsidRDefault="005A28EA" w:rsidP="005A28EA">
      <w:pPr>
        <w:jc w:val="left"/>
        <w:rPr>
          <w:rFonts w:eastAsia="Calibri"/>
          <w:sz w:val="22"/>
          <w:szCs w:val="22"/>
          <w:lang w:eastAsia="en-US"/>
        </w:rPr>
      </w:pPr>
    </w:p>
    <w:p w:rsidR="005A28EA" w:rsidRPr="00460E3D" w:rsidRDefault="005A28EA"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5A28EA" w:rsidRPr="00C0062E" w:rsidTr="005A28EA">
        <w:tc>
          <w:tcPr>
            <w:tcW w:w="9212" w:type="dxa"/>
            <w:shd w:val="clear" w:color="auto" w:fill="8DB3E2" w:themeFill="text2" w:themeFillTint="66"/>
          </w:tcPr>
          <w:p w:rsidR="005A28EA" w:rsidRPr="00460E3D" w:rsidRDefault="005A28EA" w:rsidP="005A28EA">
            <w:pPr>
              <w:ind w:left="360"/>
              <w:jc w:val="left"/>
              <w:rPr>
                <w:rFonts w:ascii="Times New Roman" w:hAnsi="Times New Roman"/>
                <w:b/>
                <w:sz w:val="22"/>
              </w:rPr>
            </w:pPr>
            <w:r w:rsidRPr="00C0062E">
              <w:rPr>
                <w:b/>
                <w:sz w:val="22"/>
              </w:rPr>
              <w:t>1.3. Grille d’analyse des risques et principaux incidents de fraude</w:t>
            </w:r>
          </w:p>
        </w:tc>
      </w:tr>
    </w:tbl>
    <w:p w:rsidR="005A28EA" w:rsidRPr="00460E3D" w:rsidRDefault="005A28EA" w:rsidP="005A28EA">
      <w:pPr>
        <w:ind w:left="720"/>
        <w:jc w:val="left"/>
        <w:rPr>
          <w:rFonts w:eastAsia="Calibri"/>
          <w:b/>
          <w:sz w:val="22"/>
          <w:szCs w:val="22"/>
          <w:lang w:eastAsia="en-US"/>
        </w:rPr>
      </w:pPr>
    </w:p>
    <w:p w:rsidR="0029217F" w:rsidRPr="00460E3D" w:rsidRDefault="0029217F" w:rsidP="0029217F">
      <w:pPr>
        <w:numPr>
          <w:ilvl w:val="0"/>
          <w:numId w:val="79"/>
        </w:numPr>
        <w:spacing w:after="200" w:line="276" w:lineRule="auto"/>
        <w:jc w:val="left"/>
        <w:rPr>
          <w:rFonts w:eastAsia="Calibri"/>
          <w:b/>
          <w:sz w:val="22"/>
          <w:szCs w:val="22"/>
          <w:lang w:eastAsia="en-US"/>
        </w:rPr>
      </w:pPr>
      <w:r w:rsidRPr="00460E3D">
        <w:rPr>
          <w:rFonts w:eastAsia="Calibri"/>
          <w:b/>
          <w:sz w:val="22"/>
          <w:szCs w:val="22"/>
          <w:lang w:eastAsia="en-US"/>
        </w:rPr>
        <w:t>Rappel de la typologie de fraude applicable</w:t>
      </w:r>
    </w:p>
    <w:p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2629"/>
        <w:gridCol w:w="6433"/>
      </w:tblGrid>
      <w:tr w:rsidR="005A28EA" w:rsidRPr="00C0062E" w:rsidTr="00AC07EF">
        <w:tc>
          <w:tcPr>
            <w:tcW w:w="2629" w:type="dxa"/>
            <w:shd w:val="clear" w:color="auto" w:fill="B6DDE8" w:themeFill="accent5" w:themeFillTint="66"/>
          </w:tcPr>
          <w:p w:rsidR="005A28EA" w:rsidRPr="00460E3D" w:rsidRDefault="005A28EA" w:rsidP="005A28EA">
            <w:pPr>
              <w:jc w:val="center"/>
              <w:rPr>
                <w:rFonts w:ascii="Times New Roman" w:hAnsi="Times New Roman"/>
                <w:b/>
                <w:sz w:val="22"/>
              </w:rPr>
            </w:pPr>
            <w:r w:rsidRPr="00C0062E">
              <w:rPr>
                <w:b/>
                <w:sz w:val="22"/>
              </w:rPr>
              <w:t>Typologie de fraude</w:t>
            </w:r>
          </w:p>
        </w:tc>
        <w:tc>
          <w:tcPr>
            <w:tcW w:w="6433" w:type="dxa"/>
            <w:shd w:val="clear" w:color="auto" w:fill="B6DDE8" w:themeFill="accent5" w:themeFillTint="66"/>
          </w:tcPr>
          <w:p w:rsidR="005A28EA" w:rsidRPr="00460E3D" w:rsidRDefault="005A28EA" w:rsidP="005A28EA">
            <w:pPr>
              <w:jc w:val="center"/>
              <w:rPr>
                <w:rFonts w:ascii="Times New Roman" w:hAnsi="Times New Roman"/>
                <w:b/>
                <w:sz w:val="22"/>
              </w:rPr>
            </w:pPr>
            <w:r w:rsidRPr="00C0062E">
              <w:rPr>
                <w:b/>
                <w:sz w:val="22"/>
              </w:rPr>
              <w:t>Description</w:t>
            </w:r>
          </w:p>
        </w:tc>
      </w:tr>
      <w:tr w:rsidR="005A28EA" w:rsidRPr="00C0062E" w:rsidTr="00AC07EF">
        <w:tc>
          <w:tcPr>
            <w:tcW w:w="2629" w:type="dxa"/>
          </w:tcPr>
          <w:p w:rsidR="005A28EA" w:rsidRPr="00460E3D" w:rsidRDefault="0077000F" w:rsidP="005A28EA">
            <w:pPr>
              <w:jc w:val="left"/>
              <w:rPr>
                <w:rFonts w:ascii="Times New Roman" w:hAnsi="Times New Roman"/>
                <w:sz w:val="22"/>
              </w:rPr>
            </w:pPr>
            <w:r>
              <w:rPr>
                <w:sz w:val="22"/>
              </w:rPr>
              <w:t>Carte perdue ou volée</w:t>
            </w:r>
          </w:p>
        </w:tc>
        <w:tc>
          <w:tcPr>
            <w:tcW w:w="6433" w:type="dxa"/>
          </w:tcPr>
          <w:p w:rsidR="005A28EA" w:rsidRPr="00460E3D" w:rsidRDefault="0077000F" w:rsidP="0077000F">
            <w:pPr>
              <w:rPr>
                <w:rFonts w:ascii="Times New Roman" w:hAnsi="Times New Roman"/>
                <w:sz w:val="22"/>
              </w:rPr>
            </w:pPr>
            <w:r w:rsidRPr="00472EE8">
              <w:rPr>
                <w:rFonts w:asciiTheme="minorHAnsi" w:hAnsiTheme="minorHAnsi" w:cstheme="minorHAnsi"/>
                <w:sz w:val="22"/>
                <w:szCs w:val="20"/>
              </w:rPr>
              <w:t>Le fraudeur utilise une carte de paiement à la suite d’une perte ou d’un vol, à l’insu du titulaire légitime.</w:t>
            </w:r>
            <w:r>
              <w:rPr>
                <w:rFonts w:asciiTheme="minorHAnsi" w:hAnsiTheme="minorHAnsi" w:cstheme="minorHAnsi"/>
                <w:sz w:val="22"/>
                <w:szCs w:val="20"/>
              </w:rPr>
              <w:t xml:space="preserve"> </w:t>
            </w:r>
          </w:p>
        </w:tc>
      </w:tr>
      <w:tr w:rsidR="005A28EA" w:rsidRPr="00C0062E" w:rsidTr="00AC07EF">
        <w:tc>
          <w:tcPr>
            <w:tcW w:w="2629" w:type="dxa"/>
          </w:tcPr>
          <w:p w:rsidR="005A28EA" w:rsidRPr="00460E3D" w:rsidRDefault="005A28EA" w:rsidP="005A28EA">
            <w:pPr>
              <w:jc w:val="left"/>
              <w:rPr>
                <w:rFonts w:ascii="Times New Roman" w:hAnsi="Times New Roman"/>
                <w:sz w:val="22"/>
              </w:rPr>
            </w:pPr>
            <w:r w:rsidRPr="00C0062E">
              <w:rPr>
                <w:sz w:val="22"/>
              </w:rPr>
              <w:t>Carte non parvenue</w:t>
            </w:r>
          </w:p>
        </w:tc>
        <w:tc>
          <w:tcPr>
            <w:tcW w:w="6433" w:type="dxa"/>
          </w:tcPr>
          <w:p w:rsidR="005A28EA" w:rsidRPr="00460E3D" w:rsidRDefault="005A28EA" w:rsidP="00460E3D">
            <w:pPr>
              <w:rPr>
                <w:rFonts w:ascii="Times New Roman" w:hAnsi="Times New Roman"/>
                <w:sz w:val="22"/>
              </w:rPr>
            </w:pPr>
            <w:r w:rsidRPr="00C0062E">
              <w:rPr>
                <w:sz w:val="22"/>
              </w:rPr>
              <w:t>La carte a été interceptée lors de son envoi entre l’émetteur et le titulaire légitime.</w:t>
            </w:r>
          </w:p>
          <w:p w:rsidR="005A28EA" w:rsidRPr="00460E3D" w:rsidRDefault="005A28EA" w:rsidP="0011204C">
            <w:pPr>
              <w:rPr>
                <w:rFonts w:ascii="Times New Roman" w:hAnsi="Times New Roman"/>
                <w:sz w:val="22"/>
              </w:rPr>
            </w:pPr>
            <w:r w:rsidRPr="00C0062E">
              <w:rPr>
                <w:sz w:val="22"/>
              </w:rPr>
              <w:t>Ce type d</w:t>
            </w:r>
            <w:r w:rsidR="0077000F">
              <w:rPr>
                <w:sz w:val="22"/>
              </w:rPr>
              <w:t>e fraude</w:t>
            </w:r>
            <w:r w:rsidRPr="00C0062E">
              <w:rPr>
                <w:sz w:val="22"/>
              </w:rPr>
              <w:t xml:space="preserve"> se rapproche de la perte ou du vol. Cependant, il s’en distingue dans la mesure où le porteur peut </w:t>
            </w:r>
            <w:r w:rsidR="0077000F">
              <w:rPr>
                <w:sz w:val="22"/>
              </w:rPr>
              <w:t>difficilement</w:t>
            </w:r>
            <w:r w:rsidRPr="00C0062E">
              <w:rPr>
                <w:sz w:val="22"/>
              </w:rPr>
              <w:t xml:space="preserve"> constater qu’un fraudeur est en possession d’une carte lui </w:t>
            </w:r>
            <w:r w:rsidR="0011204C">
              <w:rPr>
                <w:sz w:val="22"/>
              </w:rPr>
              <w:t xml:space="preserve">étant </w:t>
            </w:r>
            <w:r w:rsidR="0011204C">
              <w:rPr>
                <w:sz w:val="22"/>
              </w:rPr>
              <w:lastRenderedPageBreak/>
              <w:t>destinée. Dans ce cas de figure,</w:t>
            </w:r>
            <w:r w:rsidR="0011204C" w:rsidRPr="00C0062E">
              <w:rPr>
                <w:sz w:val="22"/>
              </w:rPr>
              <w:t xml:space="preserve"> </w:t>
            </w:r>
            <w:r w:rsidR="0011204C">
              <w:rPr>
                <w:sz w:val="22"/>
              </w:rPr>
              <w:t>le fraudeur s’attache à exploiter des vulnérabilités dans les</w:t>
            </w:r>
            <w:r w:rsidR="0011204C" w:rsidRPr="00C0062E">
              <w:rPr>
                <w:sz w:val="22"/>
              </w:rPr>
              <w:t xml:space="preserve"> </w:t>
            </w:r>
            <w:r w:rsidRPr="00C0062E">
              <w:rPr>
                <w:sz w:val="22"/>
              </w:rPr>
              <w:t>procédures d’envoi des cartes.</w:t>
            </w:r>
          </w:p>
        </w:tc>
      </w:tr>
      <w:tr w:rsidR="005A28EA" w:rsidRPr="00C0062E" w:rsidTr="00AC07EF">
        <w:tc>
          <w:tcPr>
            <w:tcW w:w="2629" w:type="dxa"/>
          </w:tcPr>
          <w:p w:rsidR="005A28EA" w:rsidRPr="00460E3D" w:rsidRDefault="005A28EA" w:rsidP="0011204C">
            <w:pPr>
              <w:jc w:val="left"/>
              <w:rPr>
                <w:rFonts w:ascii="Times New Roman" w:hAnsi="Times New Roman"/>
                <w:sz w:val="22"/>
              </w:rPr>
            </w:pPr>
            <w:r w:rsidRPr="00C0062E">
              <w:rPr>
                <w:sz w:val="22"/>
              </w:rPr>
              <w:lastRenderedPageBreak/>
              <w:t>Carte contrefaite</w:t>
            </w:r>
          </w:p>
        </w:tc>
        <w:tc>
          <w:tcPr>
            <w:tcW w:w="6433" w:type="dxa"/>
          </w:tcPr>
          <w:p w:rsidR="005A28EA" w:rsidRPr="00460E3D" w:rsidRDefault="00DA3FC8" w:rsidP="00460E3D">
            <w:pPr>
              <w:rPr>
                <w:rFonts w:ascii="Times New Roman" w:hAnsi="Times New Roman"/>
                <w:sz w:val="22"/>
              </w:rPr>
            </w:pPr>
            <w:r w:rsidRPr="00472EE8">
              <w:rPr>
                <w:rFonts w:cstheme="minorHAnsi"/>
                <w:sz w:val="22"/>
              </w:rPr>
              <w:t>Le fraudeur utilise (i) une carte contrefaite, qui suppose la création d’un support donnant l’illusion d’être une carte de paiement authentique et/ou susceptible de tromper un automate ou un terminal de paiement de commerçant ou (ii) d’une carte falsifiée qui consiste à modifier les données magnétiques, d’embossage ou de programmation d’une carte authentique. Dans les deux cas, le fraudeur s’attache à ce qu’une telle carte supporte les données nécessaires pour tromper le système d’acceptation.</w:t>
            </w:r>
          </w:p>
        </w:tc>
      </w:tr>
      <w:tr w:rsidR="005A28EA" w:rsidRPr="00C0062E" w:rsidTr="00AC07EF">
        <w:tc>
          <w:tcPr>
            <w:tcW w:w="2629" w:type="dxa"/>
          </w:tcPr>
          <w:p w:rsidR="005A28EA" w:rsidRPr="00460E3D" w:rsidRDefault="005A28EA" w:rsidP="00333649">
            <w:pPr>
              <w:jc w:val="left"/>
              <w:rPr>
                <w:rFonts w:ascii="Times New Roman" w:hAnsi="Times New Roman"/>
                <w:sz w:val="22"/>
              </w:rPr>
            </w:pPr>
            <w:r w:rsidRPr="00C0062E">
              <w:rPr>
                <w:sz w:val="22"/>
              </w:rPr>
              <w:t xml:space="preserve">Numéro de carte usurpé </w:t>
            </w:r>
          </w:p>
        </w:tc>
        <w:tc>
          <w:tcPr>
            <w:tcW w:w="6433" w:type="dxa"/>
          </w:tcPr>
          <w:p w:rsidR="005A28EA" w:rsidRPr="00460E3D" w:rsidRDefault="005A28EA">
            <w:pPr>
              <w:rPr>
                <w:rFonts w:ascii="Times New Roman" w:hAnsi="Times New Roman"/>
                <w:sz w:val="22"/>
              </w:rPr>
            </w:pPr>
            <w:r w:rsidRPr="00C0062E">
              <w:rPr>
                <w:sz w:val="22"/>
              </w:rPr>
              <w:t>Le numéro de carte d’un porteur est relevé à son insu ou créé par « moulinage » (à l’aide de générateurs aléatoires de numéros de carte) et utilisé en vente à distance.</w:t>
            </w:r>
          </w:p>
        </w:tc>
      </w:tr>
      <w:tr w:rsidR="00AC07EF" w:rsidRPr="00C0062E" w:rsidTr="00AC07EF">
        <w:tc>
          <w:tcPr>
            <w:tcW w:w="2629" w:type="dxa"/>
          </w:tcPr>
          <w:p w:rsidR="00AC07EF" w:rsidRPr="00C0062E" w:rsidRDefault="00AC07EF" w:rsidP="00AC07EF">
            <w:pPr>
              <w:jc w:val="left"/>
              <w:rPr>
                <w:sz w:val="22"/>
              </w:rPr>
            </w:pPr>
            <w:r>
              <w:rPr>
                <w:sz w:val="22"/>
              </w:rPr>
              <w:t>Autre</w:t>
            </w:r>
          </w:p>
        </w:tc>
        <w:tc>
          <w:tcPr>
            <w:tcW w:w="6433" w:type="dxa"/>
          </w:tcPr>
          <w:p w:rsidR="00AC07EF" w:rsidRPr="00C0062E" w:rsidDel="00333649" w:rsidRDefault="00AC07EF" w:rsidP="00AC07EF">
            <w:pPr>
              <w:rPr>
                <w:sz w:val="22"/>
              </w:rPr>
            </w:pPr>
            <w:r w:rsidRPr="00EB6D95">
              <w:rPr>
                <w:sz w:val="22"/>
              </w:rPr>
              <w:t xml:space="preserve">Tout autre motif de fraude comme l’utilisation d’un numéro de carte cohérent mais non attribué à un porteur puis utilisé en vente à distance, la modification par le fraudeur d’un ordre de paiement légitime (falsification), la manipulation du payeur </w:t>
            </w:r>
            <w:r>
              <w:rPr>
                <w:sz w:val="22"/>
              </w:rPr>
              <w:t xml:space="preserve">ou la contrainte à l’égard de celui-ci </w:t>
            </w:r>
            <w:r w:rsidRPr="00EB6D95">
              <w:rPr>
                <w:sz w:val="22"/>
              </w:rPr>
              <w:t>ayant pour effet d’obtenir un paiement par carte (détournement) etc.</w:t>
            </w:r>
          </w:p>
        </w:tc>
      </w:tr>
    </w:tbl>
    <w:p w:rsidR="005A28EA" w:rsidRPr="00460E3D" w:rsidRDefault="005A28EA" w:rsidP="005A28EA">
      <w:pPr>
        <w:jc w:val="left"/>
        <w:rPr>
          <w:rFonts w:eastAsia="Calibri"/>
          <w:b/>
          <w:sz w:val="22"/>
          <w:szCs w:val="22"/>
          <w:lang w:eastAsia="en-US"/>
        </w:rPr>
      </w:pPr>
    </w:p>
    <w:p w:rsidR="005A28EA" w:rsidRPr="00460E3D" w:rsidRDefault="005A28EA" w:rsidP="005A28EA">
      <w:pPr>
        <w:numPr>
          <w:ilvl w:val="0"/>
          <w:numId w:val="79"/>
        </w:numPr>
        <w:spacing w:after="200" w:line="276" w:lineRule="auto"/>
        <w:jc w:val="left"/>
        <w:rPr>
          <w:rFonts w:eastAsia="Calibri"/>
          <w:b/>
          <w:sz w:val="22"/>
          <w:szCs w:val="22"/>
          <w:lang w:eastAsia="en-US"/>
        </w:rPr>
      </w:pPr>
      <w:r w:rsidRPr="00460E3D">
        <w:rPr>
          <w:rFonts w:eastAsia="Calibri"/>
          <w:b/>
          <w:sz w:val="22"/>
          <w:szCs w:val="22"/>
          <w:lang w:eastAsia="en-US"/>
        </w:rPr>
        <w:t>Cotation globale du risque de fraude sur la carte et assimilée</w:t>
      </w:r>
    </w:p>
    <w:p w:rsidR="005A28EA" w:rsidRPr="00460E3D" w:rsidRDefault="005A28EA" w:rsidP="005A28EA">
      <w:pPr>
        <w:rPr>
          <w:rFonts w:eastAsia="Calibri"/>
          <w:i/>
          <w:sz w:val="22"/>
          <w:szCs w:val="22"/>
          <w:lang w:eastAsia="en-US"/>
        </w:rPr>
      </w:pPr>
      <w:r w:rsidRPr="00460E3D">
        <w:rPr>
          <w:rFonts w:eastAsia="Calibri"/>
          <w:i/>
          <w:sz w:val="22"/>
          <w:szCs w:val="22"/>
          <w:lang w:eastAsia="en-US"/>
        </w:rPr>
        <w:t>La matrice de cotation utilisée par l’établissement pour évaluer le risque de fraude est à communiquer dans la partie IV de la présente annexe.</w:t>
      </w:r>
    </w:p>
    <w:p w:rsidR="005A28EA" w:rsidRPr="00460E3D" w:rsidRDefault="005A28EA" w:rsidP="005A28EA">
      <w:pPr>
        <w:ind w:left="720"/>
        <w:jc w:val="left"/>
        <w:rPr>
          <w:rFonts w:eastAsia="Calibri"/>
          <w:i/>
          <w:sz w:val="22"/>
          <w:szCs w:val="22"/>
          <w:lang w:eastAsia="en-US"/>
        </w:rPr>
      </w:pPr>
    </w:p>
    <w:tbl>
      <w:tblPr>
        <w:tblStyle w:val="Grilledutableau11"/>
        <w:tblW w:w="0" w:type="auto"/>
        <w:tblInd w:w="-34" w:type="dxa"/>
        <w:tblLook w:val="04A0" w:firstRow="1" w:lastRow="0" w:firstColumn="1" w:lastColumn="0" w:noHBand="0" w:noVBand="1"/>
      </w:tblPr>
      <w:tblGrid>
        <w:gridCol w:w="2952"/>
        <w:gridCol w:w="6144"/>
      </w:tblGrid>
      <w:tr w:rsidR="005A28EA" w:rsidRPr="00C0062E" w:rsidTr="005A28EA">
        <w:tc>
          <w:tcPr>
            <w:tcW w:w="2977" w:type="dxa"/>
            <w:shd w:val="clear" w:color="auto" w:fill="F2DBDB" w:themeFill="accent2" w:themeFillTint="33"/>
          </w:tcPr>
          <w:p w:rsidR="005A28EA" w:rsidRPr="00460E3D" w:rsidRDefault="005A28EA" w:rsidP="005A28EA">
            <w:pPr>
              <w:jc w:val="left"/>
              <w:rPr>
                <w:rFonts w:ascii="Times New Roman" w:hAnsi="Times New Roman"/>
                <w:szCs w:val="24"/>
                <w:u w:val="single"/>
              </w:rPr>
            </w:pPr>
            <w:r w:rsidRPr="00C0062E">
              <w:rPr>
                <w:szCs w:val="24"/>
                <w:u w:val="single"/>
              </w:rPr>
              <w:t>Risque brut</w:t>
            </w:r>
          </w:p>
          <w:p w:rsidR="005A28EA" w:rsidRPr="00460E3D" w:rsidRDefault="005A28EA" w:rsidP="005A28EA">
            <w:pPr>
              <w:jc w:val="left"/>
              <w:rPr>
                <w:rFonts w:ascii="Times New Roman" w:hAnsi="Times New Roman"/>
                <w:i/>
                <w:szCs w:val="24"/>
              </w:rPr>
            </w:pPr>
            <w:r w:rsidRPr="00C0062E">
              <w:rPr>
                <w:i/>
                <w:szCs w:val="24"/>
              </w:rPr>
              <w:t>(Risque inhérent avant les mesures de couverture)</w:t>
            </w:r>
          </w:p>
        </w:tc>
        <w:tc>
          <w:tcPr>
            <w:tcW w:w="6237" w:type="dxa"/>
          </w:tcPr>
          <w:p w:rsidR="005A28EA" w:rsidRPr="00460E3D" w:rsidRDefault="005A28EA" w:rsidP="005A28EA">
            <w:pPr>
              <w:jc w:val="left"/>
              <w:rPr>
                <w:rFonts w:ascii="Times New Roman" w:hAnsi="Times New Roman"/>
                <w:szCs w:val="24"/>
              </w:rPr>
            </w:pPr>
          </w:p>
        </w:tc>
      </w:tr>
      <w:tr w:rsidR="005A28EA" w:rsidRPr="00C0062E" w:rsidTr="005A28EA">
        <w:tc>
          <w:tcPr>
            <w:tcW w:w="2977" w:type="dxa"/>
            <w:shd w:val="clear" w:color="auto" w:fill="F2DBDB" w:themeFill="accent2" w:themeFillTint="33"/>
          </w:tcPr>
          <w:p w:rsidR="005A28EA" w:rsidRPr="00460E3D" w:rsidRDefault="005A28EA" w:rsidP="005A28EA">
            <w:pPr>
              <w:jc w:val="left"/>
              <w:rPr>
                <w:rFonts w:ascii="Times New Roman" w:hAnsi="Times New Roman"/>
                <w:szCs w:val="24"/>
                <w:u w:val="single"/>
              </w:rPr>
            </w:pPr>
            <w:r w:rsidRPr="00C0062E">
              <w:rPr>
                <w:szCs w:val="24"/>
                <w:u w:val="single"/>
              </w:rPr>
              <w:t>Risque résiduel</w:t>
            </w:r>
          </w:p>
          <w:p w:rsidR="005A28EA" w:rsidRPr="00460E3D" w:rsidRDefault="005A28EA" w:rsidP="005A28EA">
            <w:pPr>
              <w:jc w:val="left"/>
              <w:rPr>
                <w:rFonts w:ascii="Times New Roman" w:hAnsi="Times New Roman"/>
                <w:i/>
                <w:szCs w:val="24"/>
              </w:rPr>
            </w:pPr>
            <w:r w:rsidRPr="00C0062E">
              <w:rPr>
                <w:i/>
                <w:szCs w:val="24"/>
              </w:rPr>
              <w:t>(Risque subsistant après les mesures de couverture)</w:t>
            </w:r>
          </w:p>
        </w:tc>
        <w:tc>
          <w:tcPr>
            <w:tcW w:w="6237" w:type="dxa"/>
          </w:tcPr>
          <w:p w:rsidR="005A28EA" w:rsidRPr="00460E3D" w:rsidRDefault="005A28EA" w:rsidP="005A28EA">
            <w:pPr>
              <w:jc w:val="left"/>
              <w:rPr>
                <w:rFonts w:ascii="Times New Roman" w:hAnsi="Times New Roman"/>
                <w:szCs w:val="24"/>
              </w:rPr>
            </w:pPr>
          </w:p>
        </w:tc>
      </w:tr>
    </w:tbl>
    <w:p w:rsidR="005A28EA" w:rsidRPr="00460E3D" w:rsidRDefault="005A28EA" w:rsidP="005A28EA">
      <w:pPr>
        <w:ind w:left="360"/>
        <w:jc w:val="left"/>
        <w:rPr>
          <w:rFonts w:eastAsia="Calibri"/>
          <w:szCs w:val="24"/>
          <w:lang w:eastAsia="en-US"/>
        </w:rPr>
      </w:pPr>
    </w:p>
    <w:p w:rsidR="005A28EA" w:rsidRPr="00460E3D" w:rsidRDefault="005A28EA" w:rsidP="005A28EA">
      <w:pPr>
        <w:numPr>
          <w:ilvl w:val="0"/>
          <w:numId w:val="79"/>
        </w:numPr>
        <w:spacing w:after="200" w:line="276" w:lineRule="auto"/>
        <w:jc w:val="left"/>
        <w:rPr>
          <w:rFonts w:eastAsia="Calibri"/>
          <w:b/>
          <w:sz w:val="22"/>
          <w:szCs w:val="22"/>
          <w:lang w:eastAsia="en-US"/>
        </w:rPr>
      </w:pPr>
      <w:r w:rsidRPr="00460E3D">
        <w:rPr>
          <w:rFonts w:eastAsia="Calibri"/>
          <w:b/>
          <w:sz w:val="22"/>
          <w:szCs w:val="22"/>
          <w:lang w:eastAsia="en-US"/>
        </w:rPr>
        <w:t>Mesures de couverture du risque de fraude</w:t>
      </w:r>
    </w:p>
    <w:p w:rsidR="005A28EA" w:rsidRPr="00460E3D" w:rsidRDefault="005A28EA" w:rsidP="005A28EA">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rsidR="005A28EA" w:rsidRPr="00460E3D" w:rsidRDefault="005A28EA" w:rsidP="005A28EA">
      <w:pPr>
        <w:jc w:val="left"/>
        <w:rPr>
          <w:rFonts w:eastAsia="Calibri"/>
          <w:i/>
          <w:sz w:val="22"/>
          <w:szCs w:val="22"/>
          <w:lang w:eastAsia="en-US"/>
        </w:rPr>
      </w:pPr>
    </w:p>
    <w:p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émetteur</w:t>
      </w:r>
      <w:r w:rsidR="00A27DEA">
        <w:rPr>
          <w:rFonts w:eastAsia="Calibri"/>
          <w:sz w:val="22"/>
          <w:szCs w:val="22"/>
          <w:lang w:eastAsia="en-US"/>
        </w:rPr>
        <w:t> :</w:t>
      </w:r>
    </w:p>
    <w:p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069"/>
        <w:gridCol w:w="1688"/>
        <w:gridCol w:w="5305"/>
      </w:tblGrid>
      <w:tr w:rsidR="005A28EA" w:rsidRPr="00C0062E" w:rsidTr="005A28EA">
        <w:tc>
          <w:tcPr>
            <w:tcW w:w="2093" w:type="dxa"/>
            <w:shd w:val="clear" w:color="auto" w:fill="D6E3BC" w:themeFill="accent3" w:themeFillTint="66"/>
            <w:vAlign w:val="center"/>
          </w:tcPr>
          <w:p w:rsidR="005A28EA" w:rsidRPr="00460E3D" w:rsidRDefault="005A28EA">
            <w:pPr>
              <w:jc w:val="center"/>
              <w:rPr>
                <w:rFonts w:ascii="Times New Roman" w:hAnsi="Times New Roman"/>
                <w:b/>
                <w:sz w:val="22"/>
              </w:rPr>
            </w:pPr>
            <w:r w:rsidRPr="00C0062E">
              <w:rPr>
                <w:b/>
                <w:sz w:val="22"/>
              </w:rPr>
              <w:t>Typologie de fraude</w:t>
            </w:r>
          </w:p>
        </w:tc>
        <w:tc>
          <w:tcPr>
            <w:tcW w:w="1701" w:type="dxa"/>
            <w:shd w:val="clear" w:color="auto" w:fill="D6E3BC" w:themeFill="accent3" w:themeFillTint="66"/>
            <w:vAlign w:val="center"/>
          </w:tcPr>
          <w:p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5418" w:type="dxa"/>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rsidTr="005A28EA">
        <w:tc>
          <w:tcPr>
            <w:tcW w:w="2093" w:type="dxa"/>
          </w:tcPr>
          <w:p w:rsidR="005A28EA" w:rsidRPr="00460E3D" w:rsidRDefault="00AC07EF" w:rsidP="00460E3D">
            <w:pPr>
              <w:rPr>
                <w:rFonts w:ascii="Times New Roman" w:hAnsi="Times New Roman"/>
                <w:sz w:val="22"/>
              </w:rPr>
            </w:pPr>
            <w:r>
              <w:rPr>
                <w:sz w:val="22"/>
              </w:rPr>
              <w:t>Carte perdue ou volée</w:t>
            </w:r>
          </w:p>
        </w:tc>
        <w:tc>
          <w:tcPr>
            <w:tcW w:w="1701" w:type="dxa"/>
          </w:tcPr>
          <w:p w:rsidR="005A28EA" w:rsidRPr="00D63D99" w:rsidRDefault="005E616C" w:rsidP="005A28EA">
            <w:pPr>
              <w:jc w:val="left"/>
              <w:rPr>
                <w:rFonts w:asciiTheme="minorHAnsi" w:hAnsiTheme="minorHAnsi" w:cstheme="minorHAnsi"/>
                <w:i/>
                <w:sz w:val="18"/>
                <w:szCs w:val="18"/>
              </w:rPr>
            </w:pPr>
            <w:r w:rsidRPr="00D63D99">
              <w:rPr>
                <w:rFonts w:asciiTheme="minorHAnsi" w:hAnsiTheme="minorHAnsi" w:cstheme="minorHAnsi"/>
                <w:i/>
                <w:sz w:val="18"/>
                <w:szCs w:val="18"/>
              </w:rPr>
              <w:t>Ex : au point de vente</w:t>
            </w:r>
          </w:p>
        </w:tc>
        <w:tc>
          <w:tcPr>
            <w:tcW w:w="5418" w:type="dxa"/>
          </w:tcPr>
          <w:p w:rsidR="005A28EA" w:rsidRPr="00D63D99" w:rsidRDefault="005A28EA" w:rsidP="005A28EA">
            <w:pPr>
              <w:jc w:val="left"/>
              <w:rPr>
                <w:rFonts w:asciiTheme="minorHAnsi" w:hAnsiTheme="minorHAnsi" w:cstheme="minorHAnsi"/>
                <w:i/>
                <w:sz w:val="18"/>
                <w:szCs w:val="18"/>
              </w:rPr>
            </w:pPr>
          </w:p>
        </w:tc>
      </w:tr>
      <w:tr w:rsidR="005A28EA" w:rsidRPr="00C0062E" w:rsidTr="005A28EA">
        <w:tc>
          <w:tcPr>
            <w:tcW w:w="2093" w:type="dxa"/>
          </w:tcPr>
          <w:p w:rsidR="005A28EA" w:rsidRPr="00460E3D" w:rsidRDefault="005A28EA" w:rsidP="00460E3D">
            <w:pPr>
              <w:rPr>
                <w:rFonts w:ascii="Times New Roman" w:hAnsi="Times New Roman"/>
                <w:sz w:val="22"/>
              </w:rPr>
            </w:pPr>
            <w:r w:rsidRPr="00C0062E">
              <w:rPr>
                <w:sz w:val="22"/>
              </w:rPr>
              <w:t>Carte non parvenue</w:t>
            </w:r>
          </w:p>
        </w:tc>
        <w:tc>
          <w:tcPr>
            <w:tcW w:w="1701" w:type="dxa"/>
          </w:tcPr>
          <w:p w:rsidR="005A28EA" w:rsidRPr="00460E3D" w:rsidRDefault="005A28EA" w:rsidP="005A28EA">
            <w:pPr>
              <w:jc w:val="left"/>
              <w:rPr>
                <w:rFonts w:ascii="Times New Roman" w:hAnsi="Times New Roman"/>
                <w:b/>
                <w:sz w:val="22"/>
              </w:rPr>
            </w:pPr>
          </w:p>
        </w:tc>
        <w:tc>
          <w:tcPr>
            <w:tcW w:w="5418" w:type="dxa"/>
          </w:tcPr>
          <w:p w:rsidR="005A28EA" w:rsidRPr="00460E3D" w:rsidRDefault="005A28EA" w:rsidP="005A28EA">
            <w:pPr>
              <w:jc w:val="left"/>
              <w:rPr>
                <w:rFonts w:ascii="Times New Roman" w:hAnsi="Times New Roman"/>
                <w:b/>
                <w:sz w:val="22"/>
              </w:rPr>
            </w:pPr>
          </w:p>
        </w:tc>
      </w:tr>
      <w:tr w:rsidR="005A28EA" w:rsidRPr="00C0062E" w:rsidTr="005A28EA">
        <w:tc>
          <w:tcPr>
            <w:tcW w:w="2093" w:type="dxa"/>
          </w:tcPr>
          <w:p w:rsidR="005A28EA" w:rsidRPr="00460E3D" w:rsidRDefault="005A28EA" w:rsidP="00AC07EF">
            <w:pPr>
              <w:rPr>
                <w:rFonts w:ascii="Times New Roman" w:hAnsi="Times New Roman"/>
                <w:sz w:val="22"/>
              </w:rPr>
            </w:pPr>
            <w:r w:rsidRPr="00C0062E">
              <w:rPr>
                <w:sz w:val="22"/>
              </w:rPr>
              <w:t>Carte contrefaite</w:t>
            </w:r>
          </w:p>
        </w:tc>
        <w:tc>
          <w:tcPr>
            <w:tcW w:w="1701" w:type="dxa"/>
          </w:tcPr>
          <w:p w:rsidR="005A28EA" w:rsidRPr="00460E3D" w:rsidRDefault="005A28EA" w:rsidP="005A28EA">
            <w:pPr>
              <w:jc w:val="left"/>
              <w:rPr>
                <w:rFonts w:ascii="Times New Roman" w:hAnsi="Times New Roman"/>
                <w:b/>
                <w:sz w:val="22"/>
              </w:rPr>
            </w:pPr>
          </w:p>
        </w:tc>
        <w:tc>
          <w:tcPr>
            <w:tcW w:w="5418" w:type="dxa"/>
          </w:tcPr>
          <w:p w:rsidR="005A28EA" w:rsidRPr="00460E3D" w:rsidRDefault="005A28EA" w:rsidP="005A28EA">
            <w:pPr>
              <w:jc w:val="left"/>
              <w:rPr>
                <w:rFonts w:ascii="Times New Roman" w:hAnsi="Times New Roman"/>
                <w:b/>
                <w:sz w:val="22"/>
              </w:rPr>
            </w:pPr>
          </w:p>
        </w:tc>
      </w:tr>
      <w:tr w:rsidR="005A28EA" w:rsidRPr="00C0062E" w:rsidTr="005A28EA">
        <w:tc>
          <w:tcPr>
            <w:tcW w:w="2093" w:type="dxa"/>
          </w:tcPr>
          <w:p w:rsidR="005A28EA" w:rsidRPr="00460E3D" w:rsidRDefault="005A28EA" w:rsidP="00AC07EF">
            <w:pPr>
              <w:rPr>
                <w:rFonts w:ascii="Times New Roman" w:hAnsi="Times New Roman"/>
                <w:sz w:val="22"/>
              </w:rPr>
            </w:pPr>
            <w:r w:rsidRPr="00C0062E">
              <w:rPr>
                <w:sz w:val="22"/>
              </w:rPr>
              <w:t xml:space="preserve">Numéro de carte usurpé </w:t>
            </w:r>
          </w:p>
        </w:tc>
        <w:tc>
          <w:tcPr>
            <w:tcW w:w="1701" w:type="dxa"/>
          </w:tcPr>
          <w:p w:rsidR="005A28EA" w:rsidRPr="00460E3D" w:rsidRDefault="005A28EA" w:rsidP="005A28EA">
            <w:pPr>
              <w:jc w:val="left"/>
              <w:rPr>
                <w:rFonts w:ascii="Times New Roman" w:hAnsi="Times New Roman"/>
                <w:b/>
                <w:sz w:val="22"/>
              </w:rPr>
            </w:pPr>
          </w:p>
        </w:tc>
        <w:tc>
          <w:tcPr>
            <w:tcW w:w="5418" w:type="dxa"/>
          </w:tcPr>
          <w:p w:rsidR="005A28EA" w:rsidRPr="00460E3D" w:rsidRDefault="005A28EA" w:rsidP="005A28EA">
            <w:pPr>
              <w:jc w:val="left"/>
              <w:rPr>
                <w:rFonts w:ascii="Times New Roman" w:hAnsi="Times New Roman"/>
                <w:b/>
                <w:sz w:val="22"/>
              </w:rPr>
            </w:pPr>
          </w:p>
        </w:tc>
      </w:tr>
      <w:tr w:rsidR="00AC07EF" w:rsidRPr="00C0062E" w:rsidTr="005A28EA">
        <w:tc>
          <w:tcPr>
            <w:tcW w:w="2093" w:type="dxa"/>
          </w:tcPr>
          <w:p w:rsidR="00AC07EF" w:rsidRPr="00C0062E" w:rsidRDefault="00AC07EF" w:rsidP="00AC07EF">
            <w:pPr>
              <w:rPr>
                <w:sz w:val="22"/>
              </w:rPr>
            </w:pPr>
            <w:r>
              <w:rPr>
                <w:sz w:val="22"/>
              </w:rPr>
              <w:t>Autre</w:t>
            </w:r>
          </w:p>
        </w:tc>
        <w:tc>
          <w:tcPr>
            <w:tcW w:w="1701" w:type="dxa"/>
          </w:tcPr>
          <w:p w:rsidR="00AC07EF" w:rsidRPr="00460E3D" w:rsidRDefault="00AC07EF" w:rsidP="005A28EA">
            <w:pPr>
              <w:jc w:val="left"/>
              <w:rPr>
                <w:b/>
                <w:sz w:val="22"/>
              </w:rPr>
            </w:pPr>
          </w:p>
        </w:tc>
        <w:tc>
          <w:tcPr>
            <w:tcW w:w="5418" w:type="dxa"/>
          </w:tcPr>
          <w:p w:rsidR="00AC07EF" w:rsidRPr="00460E3D" w:rsidRDefault="00AC07EF" w:rsidP="005A28EA">
            <w:pPr>
              <w:jc w:val="left"/>
              <w:rPr>
                <w:b/>
                <w:sz w:val="22"/>
              </w:rPr>
            </w:pPr>
          </w:p>
        </w:tc>
      </w:tr>
    </w:tbl>
    <w:p w:rsidR="005A28EA" w:rsidRDefault="005A28EA" w:rsidP="005A28EA">
      <w:pPr>
        <w:jc w:val="left"/>
        <w:rPr>
          <w:rFonts w:eastAsia="Calibri"/>
          <w:b/>
          <w:sz w:val="22"/>
          <w:szCs w:val="22"/>
          <w:lang w:eastAsia="en-US"/>
        </w:rPr>
      </w:pPr>
    </w:p>
    <w:p w:rsidR="00E23663" w:rsidRDefault="00E23663" w:rsidP="005A28EA">
      <w:pPr>
        <w:jc w:val="left"/>
        <w:rPr>
          <w:rFonts w:eastAsia="Calibri"/>
          <w:b/>
          <w:sz w:val="22"/>
          <w:szCs w:val="22"/>
          <w:lang w:eastAsia="en-US"/>
        </w:rPr>
      </w:pPr>
    </w:p>
    <w:p w:rsidR="00E23663" w:rsidRDefault="00E23663" w:rsidP="005A28EA">
      <w:pPr>
        <w:jc w:val="left"/>
        <w:rPr>
          <w:rFonts w:eastAsia="Calibri"/>
          <w:b/>
          <w:sz w:val="22"/>
          <w:szCs w:val="22"/>
          <w:lang w:eastAsia="en-US"/>
        </w:rPr>
      </w:pPr>
    </w:p>
    <w:p w:rsidR="00E23663" w:rsidRPr="00460E3D" w:rsidRDefault="00E23663" w:rsidP="005A28EA">
      <w:pPr>
        <w:jc w:val="left"/>
        <w:rPr>
          <w:rFonts w:eastAsia="Calibri"/>
          <w:b/>
          <w:sz w:val="22"/>
          <w:szCs w:val="22"/>
          <w:lang w:eastAsia="en-US"/>
        </w:rPr>
      </w:pPr>
    </w:p>
    <w:p w:rsidR="005A28EA" w:rsidRDefault="005A28EA" w:rsidP="005A28EA">
      <w:pPr>
        <w:jc w:val="left"/>
        <w:rPr>
          <w:rFonts w:eastAsia="Calibri"/>
          <w:sz w:val="22"/>
          <w:szCs w:val="22"/>
          <w:lang w:eastAsia="en-US"/>
        </w:rPr>
      </w:pPr>
      <w:r w:rsidRPr="00460E3D">
        <w:rPr>
          <w:rFonts w:eastAsia="Calibri"/>
          <w:sz w:val="22"/>
          <w:szCs w:val="22"/>
          <w:lang w:eastAsia="en-US"/>
        </w:rPr>
        <w:lastRenderedPageBreak/>
        <w:t>En tant qu’établissement acquéreur</w:t>
      </w:r>
      <w:r w:rsidR="00A27DEA">
        <w:rPr>
          <w:rFonts w:eastAsia="Calibri"/>
          <w:sz w:val="22"/>
          <w:szCs w:val="22"/>
          <w:lang w:eastAsia="en-US"/>
        </w:rPr>
        <w:t> :</w:t>
      </w:r>
    </w:p>
    <w:p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069"/>
        <w:gridCol w:w="1688"/>
        <w:gridCol w:w="5305"/>
      </w:tblGrid>
      <w:tr w:rsidR="005A28EA" w:rsidRPr="00C0062E" w:rsidTr="005A28EA">
        <w:tc>
          <w:tcPr>
            <w:tcW w:w="2093" w:type="dxa"/>
            <w:shd w:val="clear" w:color="auto" w:fill="D6E3BC" w:themeFill="accent3" w:themeFillTint="66"/>
            <w:vAlign w:val="center"/>
          </w:tcPr>
          <w:p w:rsidR="005A28EA" w:rsidRPr="00460E3D" w:rsidRDefault="005A28EA">
            <w:pPr>
              <w:jc w:val="center"/>
              <w:rPr>
                <w:rFonts w:ascii="Times New Roman" w:hAnsi="Times New Roman"/>
                <w:b/>
                <w:sz w:val="22"/>
              </w:rPr>
            </w:pPr>
            <w:r w:rsidRPr="00C0062E">
              <w:rPr>
                <w:b/>
                <w:sz w:val="22"/>
              </w:rPr>
              <w:t>Typologie de fraude</w:t>
            </w:r>
          </w:p>
        </w:tc>
        <w:tc>
          <w:tcPr>
            <w:tcW w:w="1701" w:type="dxa"/>
            <w:shd w:val="clear" w:color="auto" w:fill="D6E3BC" w:themeFill="accent3" w:themeFillTint="66"/>
            <w:vAlign w:val="center"/>
          </w:tcPr>
          <w:p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5418" w:type="dxa"/>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rsidTr="005A28EA">
        <w:tc>
          <w:tcPr>
            <w:tcW w:w="2093" w:type="dxa"/>
          </w:tcPr>
          <w:p w:rsidR="005A28EA" w:rsidRPr="00460E3D" w:rsidRDefault="00AC07EF" w:rsidP="00460E3D">
            <w:pPr>
              <w:rPr>
                <w:rFonts w:ascii="Times New Roman" w:hAnsi="Times New Roman"/>
                <w:sz w:val="22"/>
              </w:rPr>
            </w:pPr>
            <w:r>
              <w:rPr>
                <w:sz w:val="22"/>
              </w:rPr>
              <w:t>Carte perdue ou volée</w:t>
            </w:r>
          </w:p>
        </w:tc>
        <w:tc>
          <w:tcPr>
            <w:tcW w:w="1701" w:type="dxa"/>
          </w:tcPr>
          <w:p w:rsidR="005A28EA" w:rsidRPr="00460E3D" w:rsidRDefault="005A28EA" w:rsidP="005A28EA">
            <w:pPr>
              <w:jc w:val="left"/>
              <w:rPr>
                <w:rFonts w:ascii="Times New Roman" w:hAnsi="Times New Roman"/>
                <w:b/>
                <w:sz w:val="22"/>
              </w:rPr>
            </w:pPr>
          </w:p>
        </w:tc>
        <w:tc>
          <w:tcPr>
            <w:tcW w:w="5418" w:type="dxa"/>
          </w:tcPr>
          <w:p w:rsidR="005A28EA" w:rsidRPr="00460E3D" w:rsidRDefault="005A28EA" w:rsidP="005A28EA">
            <w:pPr>
              <w:jc w:val="left"/>
              <w:rPr>
                <w:rFonts w:ascii="Times New Roman" w:hAnsi="Times New Roman"/>
                <w:b/>
                <w:sz w:val="22"/>
              </w:rPr>
            </w:pPr>
          </w:p>
        </w:tc>
      </w:tr>
      <w:tr w:rsidR="005A28EA" w:rsidRPr="00C0062E" w:rsidTr="005A28EA">
        <w:tc>
          <w:tcPr>
            <w:tcW w:w="2093" w:type="dxa"/>
          </w:tcPr>
          <w:p w:rsidR="005A28EA" w:rsidRPr="00460E3D" w:rsidRDefault="005A28EA" w:rsidP="00460E3D">
            <w:pPr>
              <w:rPr>
                <w:rFonts w:ascii="Times New Roman" w:hAnsi="Times New Roman"/>
                <w:sz w:val="22"/>
              </w:rPr>
            </w:pPr>
            <w:r w:rsidRPr="00C0062E">
              <w:rPr>
                <w:sz w:val="22"/>
              </w:rPr>
              <w:t>Carte non parvenue</w:t>
            </w:r>
          </w:p>
        </w:tc>
        <w:tc>
          <w:tcPr>
            <w:tcW w:w="1701" w:type="dxa"/>
          </w:tcPr>
          <w:p w:rsidR="005A28EA" w:rsidRPr="00460E3D" w:rsidRDefault="005A28EA" w:rsidP="005A28EA">
            <w:pPr>
              <w:jc w:val="left"/>
              <w:rPr>
                <w:rFonts w:ascii="Times New Roman" w:hAnsi="Times New Roman"/>
                <w:b/>
                <w:sz w:val="22"/>
              </w:rPr>
            </w:pPr>
          </w:p>
        </w:tc>
        <w:tc>
          <w:tcPr>
            <w:tcW w:w="5418" w:type="dxa"/>
          </w:tcPr>
          <w:p w:rsidR="005A28EA" w:rsidRPr="00460E3D" w:rsidRDefault="005A28EA" w:rsidP="005A28EA">
            <w:pPr>
              <w:jc w:val="left"/>
              <w:rPr>
                <w:rFonts w:ascii="Times New Roman" w:hAnsi="Times New Roman"/>
                <w:b/>
                <w:sz w:val="22"/>
              </w:rPr>
            </w:pPr>
          </w:p>
        </w:tc>
      </w:tr>
      <w:tr w:rsidR="005A28EA" w:rsidRPr="00C0062E" w:rsidTr="005A28EA">
        <w:tc>
          <w:tcPr>
            <w:tcW w:w="2093" w:type="dxa"/>
          </w:tcPr>
          <w:p w:rsidR="005A28EA" w:rsidRPr="00460E3D" w:rsidRDefault="005A28EA" w:rsidP="00AC07EF">
            <w:pPr>
              <w:rPr>
                <w:rFonts w:ascii="Times New Roman" w:hAnsi="Times New Roman"/>
                <w:sz w:val="22"/>
              </w:rPr>
            </w:pPr>
            <w:r w:rsidRPr="00C0062E">
              <w:rPr>
                <w:sz w:val="22"/>
              </w:rPr>
              <w:t>Carte contrefaite</w:t>
            </w:r>
          </w:p>
        </w:tc>
        <w:tc>
          <w:tcPr>
            <w:tcW w:w="1701" w:type="dxa"/>
          </w:tcPr>
          <w:p w:rsidR="005A28EA" w:rsidRPr="00460E3D" w:rsidRDefault="005A28EA" w:rsidP="005A28EA">
            <w:pPr>
              <w:jc w:val="left"/>
              <w:rPr>
                <w:rFonts w:ascii="Times New Roman" w:hAnsi="Times New Roman"/>
                <w:b/>
                <w:sz w:val="22"/>
              </w:rPr>
            </w:pPr>
          </w:p>
        </w:tc>
        <w:tc>
          <w:tcPr>
            <w:tcW w:w="5418" w:type="dxa"/>
          </w:tcPr>
          <w:p w:rsidR="005A28EA" w:rsidRPr="00460E3D" w:rsidRDefault="005A28EA" w:rsidP="005A28EA">
            <w:pPr>
              <w:jc w:val="left"/>
              <w:rPr>
                <w:rFonts w:ascii="Times New Roman" w:hAnsi="Times New Roman"/>
                <w:b/>
                <w:sz w:val="22"/>
              </w:rPr>
            </w:pPr>
          </w:p>
        </w:tc>
      </w:tr>
      <w:tr w:rsidR="005A28EA" w:rsidRPr="00C0062E" w:rsidTr="005A28EA">
        <w:tc>
          <w:tcPr>
            <w:tcW w:w="2093" w:type="dxa"/>
          </w:tcPr>
          <w:p w:rsidR="005A28EA" w:rsidRPr="00460E3D" w:rsidRDefault="005A28EA" w:rsidP="00AC07EF">
            <w:pPr>
              <w:rPr>
                <w:rFonts w:ascii="Times New Roman" w:hAnsi="Times New Roman"/>
                <w:sz w:val="22"/>
              </w:rPr>
            </w:pPr>
            <w:r w:rsidRPr="00C0062E">
              <w:rPr>
                <w:sz w:val="22"/>
              </w:rPr>
              <w:t xml:space="preserve">Numéro de carte usurpé </w:t>
            </w:r>
          </w:p>
        </w:tc>
        <w:tc>
          <w:tcPr>
            <w:tcW w:w="1701" w:type="dxa"/>
          </w:tcPr>
          <w:p w:rsidR="005A28EA" w:rsidRPr="00460E3D" w:rsidRDefault="005A28EA" w:rsidP="005A28EA">
            <w:pPr>
              <w:jc w:val="left"/>
              <w:rPr>
                <w:rFonts w:ascii="Times New Roman" w:hAnsi="Times New Roman"/>
                <w:b/>
                <w:sz w:val="22"/>
              </w:rPr>
            </w:pPr>
          </w:p>
        </w:tc>
        <w:tc>
          <w:tcPr>
            <w:tcW w:w="5418" w:type="dxa"/>
          </w:tcPr>
          <w:p w:rsidR="005A28EA" w:rsidRPr="00460E3D" w:rsidRDefault="005A28EA" w:rsidP="005A28EA">
            <w:pPr>
              <w:jc w:val="left"/>
              <w:rPr>
                <w:rFonts w:ascii="Times New Roman" w:hAnsi="Times New Roman"/>
                <w:b/>
                <w:sz w:val="22"/>
              </w:rPr>
            </w:pPr>
          </w:p>
        </w:tc>
      </w:tr>
      <w:tr w:rsidR="00AC07EF" w:rsidRPr="00C0062E" w:rsidTr="005A28EA">
        <w:tc>
          <w:tcPr>
            <w:tcW w:w="2093" w:type="dxa"/>
          </w:tcPr>
          <w:p w:rsidR="00AC07EF" w:rsidRPr="00C0062E" w:rsidRDefault="00AC07EF" w:rsidP="00AC07EF">
            <w:pPr>
              <w:rPr>
                <w:sz w:val="22"/>
              </w:rPr>
            </w:pPr>
            <w:r>
              <w:rPr>
                <w:sz w:val="22"/>
              </w:rPr>
              <w:t>Autre</w:t>
            </w:r>
          </w:p>
        </w:tc>
        <w:tc>
          <w:tcPr>
            <w:tcW w:w="1701" w:type="dxa"/>
          </w:tcPr>
          <w:p w:rsidR="00AC07EF" w:rsidRPr="00460E3D" w:rsidRDefault="00AC07EF" w:rsidP="005A28EA">
            <w:pPr>
              <w:jc w:val="left"/>
              <w:rPr>
                <w:b/>
                <w:sz w:val="22"/>
              </w:rPr>
            </w:pPr>
          </w:p>
        </w:tc>
        <w:tc>
          <w:tcPr>
            <w:tcW w:w="5418" w:type="dxa"/>
          </w:tcPr>
          <w:p w:rsidR="00AC07EF" w:rsidRPr="00460E3D" w:rsidRDefault="00AC07EF" w:rsidP="005A28EA">
            <w:pPr>
              <w:jc w:val="left"/>
              <w:rPr>
                <w:b/>
                <w:sz w:val="22"/>
              </w:rPr>
            </w:pPr>
          </w:p>
        </w:tc>
      </w:tr>
    </w:tbl>
    <w:p w:rsidR="00AC07EF" w:rsidRDefault="00AC07EF" w:rsidP="00AC07EF">
      <w:pPr>
        <w:spacing w:after="200" w:line="276" w:lineRule="auto"/>
        <w:ind w:left="720"/>
        <w:jc w:val="left"/>
        <w:rPr>
          <w:rFonts w:eastAsia="Calibri"/>
          <w:b/>
          <w:sz w:val="22"/>
          <w:szCs w:val="22"/>
          <w:lang w:eastAsia="en-US"/>
        </w:rPr>
      </w:pPr>
    </w:p>
    <w:p w:rsidR="005A28EA" w:rsidRPr="00460E3D" w:rsidRDefault="005A28EA" w:rsidP="005A28EA">
      <w:pPr>
        <w:numPr>
          <w:ilvl w:val="0"/>
          <w:numId w:val="79"/>
        </w:numPr>
        <w:spacing w:after="200" w:line="276" w:lineRule="auto"/>
        <w:jc w:val="left"/>
        <w:rPr>
          <w:rFonts w:eastAsia="Calibri"/>
          <w:b/>
          <w:sz w:val="22"/>
          <w:szCs w:val="22"/>
          <w:lang w:eastAsia="en-US"/>
        </w:rPr>
      </w:pPr>
      <w:r w:rsidRPr="00460E3D">
        <w:rPr>
          <w:rFonts w:eastAsia="Calibri"/>
          <w:b/>
          <w:sz w:val="22"/>
          <w:szCs w:val="22"/>
          <w:lang w:eastAsia="en-US"/>
        </w:rPr>
        <w:t>Évolution de la fraude brute au cours de la période sous revue</w:t>
      </w:r>
    </w:p>
    <w:p w:rsidR="005A28EA" w:rsidRPr="00460E3D" w:rsidRDefault="005A28EA" w:rsidP="005A28EA">
      <w:pPr>
        <w:jc w:val="left"/>
        <w:rPr>
          <w:rFonts w:eastAsia="Calibri"/>
          <w:sz w:val="22"/>
          <w:szCs w:val="22"/>
          <w:lang w:eastAsia="en-US"/>
        </w:rPr>
      </w:pPr>
    </w:p>
    <w:p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émetteur</w:t>
      </w:r>
      <w:r w:rsidR="00A27DEA">
        <w:rPr>
          <w:rFonts w:eastAsia="Calibri"/>
          <w:sz w:val="22"/>
          <w:szCs w:val="22"/>
          <w:lang w:eastAsia="en-US"/>
        </w:rPr>
        <w:t> :</w:t>
      </w:r>
    </w:p>
    <w:p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5"/>
      </w:tblGrid>
      <w:tr w:rsidR="005A28EA" w:rsidRPr="00C0062E" w:rsidTr="005A28EA">
        <w:tc>
          <w:tcPr>
            <w:tcW w:w="2376" w:type="dxa"/>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rsidTr="005A28EA">
        <w:tc>
          <w:tcPr>
            <w:tcW w:w="2376" w:type="dxa"/>
          </w:tcPr>
          <w:p w:rsidR="005A28EA" w:rsidRPr="00D63D99" w:rsidRDefault="005E616C" w:rsidP="005A28EA">
            <w:pPr>
              <w:jc w:val="left"/>
              <w:rPr>
                <w:rFonts w:asciiTheme="minorHAnsi" w:hAnsiTheme="minorHAnsi" w:cstheme="minorHAnsi"/>
                <w:i/>
                <w:sz w:val="18"/>
                <w:szCs w:val="18"/>
              </w:rPr>
            </w:pPr>
            <w:r>
              <w:rPr>
                <w:rFonts w:asciiTheme="minorHAnsi" w:hAnsiTheme="minorHAnsi" w:cstheme="minorHAnsi"/>
                <w:i/>
                <w:sz w:val="18"/>
                <w:szCs w:val="18"/>
              </w:rPr>
              <w:t>Ex : numéro de carte usurpé</w:t>
            </w:r>
          </w:p>
        </w:tc>
        <w:tc>
          <w:tcPr>
            <w:tcW w:w="1985" w:type="dxa"/>
          </w:tcPr>
          <w:p w:rsidR="005A28EA" w:rsidRPr="00D63D99" w:rsidRDefault="005E616C" w:rsidP="005A28EA">
            <w:pPr>
              <w:jc w:val="left"/>
              <w:rPr>
                <w:rFonts w:asciiTheme="minorHAnsi" w:hAnsiTheme="minorHAnsi" w:cstheme="minorHAnsi"/>
                <w:i/>
                <w:sz w:val="18"/>
                <w:szCs w:val="18"/>
              </w:rPr>
            </w:pPr>
            <w:r w:rsidRPr="00C30A7D">
              <w:rPr>
                <w:rFonts w:asciiTheme="minorHAnsi" w:hAnsiTheme="minorHAnsi" w:cstheme="minorHAnsi"/>
                <w:i/>
                <w:sz w:val="18"/>
                <w:szCs w:val="18"/>
              </w:rPr>
              <w:t>E</w:t>
            </w:r>
            <w:r w:rsidRPr="00D63D99">
              <w:rPr>
                <w:rFonts w:asciiTheme="minorHAnsi" w:hAnsiTheme="minorHAnsi" w:cstheme="minorHAnsi"/>
                <w:i/>
                <w:sz w:val="18"/>
                <w:szCs w:val="18"/>
              </w:rPr>
              <w:t>x</w:t>
            </w:r>
            <w:r>
              <w:rPr>
                <w:rFonts w:asciiTheme="minorHAnsi" w:hAnsiTheme="minorHAnsi" w:cstheme="minorHAnsi"/>
                <w:i/>
                <w:sz w:val="18"/>
                <w:szCs w:val="18"/>
              </w:rPr>
              <w:t> : paiement à distance</w:t>
            </w:r>
          </w:p>
        </w:tc>
        <w:tc>
          <w:tcPr>
            <w:tcW w:w="4851" w:type="dxa"/>
          </w:tcPr>
          <w:p w:rsidR="005A28EA" w:rsidRPr="00460E3D" w:rsidRDefault="00C30A7D" w:rsidP="005A28EA">
            <w:pPr>
              <w:jc w:val="left"/>
              <w:rPr>
                <w:rFonts w:ascii="Times New Roman" w:hAnsi="Times New Roman"/>
                <w:b/>
                <w:sz w:val="22"/>
              </w:rPr>
            </w:pPr>
            <w:r w:rsidRPr="00D63D99">
              <w:rPr>
                <w:rFonts w:asciiTheme="minorHAnsi" w:hAnsiTheme="minorHAnsi" w:cstheme="minorHAnsi"/>
                <w:i/>
                <w:sz w:val="18"/>
                <w:szCs w:val="18"/>
              </w:rPr>
              <w:t>Ex :</w:t>
            </w:r>
            <w:r>
              <w:rPr>
                <w:rFonts w:asciiTheme="minorHAnsi" w:hAnsiTheme="minorHAnsi" w:cstheme="minorHAnsi"/>
                <w:i/>
                <w:sz w:val="18"/>
                <w:szCs w:val="18"/>
              </w:rPr>
              <w:t xml:space="preserve"> </w:t>
            </w:r>
            <w:r w:rsidRPr="00D63D99">
              <w:rPr>
                <w:rFonts w:asciiTheme="minorHAnsi" w:hAnsiTheme="minorHAnsi" w:cstheme="minorHAnsi"/>
                <w:i/>
                <w:sz w:val="18"/>
                <w:szCs w:val="18"/>
              </w:rPr>
              <w:t>attaques par skimming, détournement de cartes SIM,…</w:t>
            </w: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bl>
    <w:p w:rsidR="005A28EA" w:rsidRPr="00460E3D" w:rsidRDefault="005A28EA" w:rsidP="005A28EA">
      <w:pPr>
        <w:jc w:val="left"/>
        <w:rPr>
          <w:rFonts w:eastAsia="Calibri"/>
          <w:b/>
          <w:sz w:val="22"/>
          <w:szCs w:val="22"/>
          <w:lang w:eastAsia="en-US"/>
        </w:rPr>
      </w:pPr>
    </w:p>
    <w:p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acquéreur</w:t>
      </w:r>
      <w:r w:rsidR="00A27DEA">
        <w:rPr>
          <w:rFonts w:eastAsia="Calibri"/>
          <w:sz w:val="22"/>
          <w:szCs w:val="22"/>
          <w:lang w:eastAsia="en-US"/>
        </w:rPr>
        <w:t> :</w:t>
      </w:r>
    </w:p>
    <w:p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5"/>
      </w:tblGrid>
      <w:tr w:rsidR="005A28EA" w:rsidRPr="00C0062E" w:rsidTr="005A28EA">
        <w:tc>
          <w:tcPr>
            <w:tcW w:w="2376" w:type="dxa"/>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bl>
    <w:p w:rsidR="005A28EA" w:rsidRPr="00460E3D" w:rsidRDefault="005A28EA" w:rsidP="005A28EA">
      <w:pPr>
        <w:jc w:val="left"/>
        <w:rPr>
          <w:rFonts w:eastAsia="Calibri"/>
          <w:b/>
          <w:sz w:val="22"/>
          <w:szCs w:val="22"/>
          <w:lang w:eastAsia="en-US"/>
        </w:rPr>
      </w:pPr>
    </w:p>
    <w:p w:rsidR="005A28EA" w:rsidRPr="00460E3D" w:rsidRDefault="005A28EA" w:rsidP="005A28EA">
      <w:pPr>
        <w:jc w:val="left"/>
        <w:rPr>
          <w:rFonts w:eastAsia="Calibri"/>
          <w:b/>
          <w:sz w:val="22"/>
          <w:szCs w:val="22"/>
          <w:lang w:eastAsia="en-US"/>
        </w:rPr>
      </w:pPr>
    </w:p>
    <w:p w:rsidR="005A28EA" w:rsidRPr="00460E3D" w:rsidRDefault="005A28EA" w:rsidP="005A28EA">
      <w:pPr>
        <w:numPr>
          <w:ilvl w:val="0"/>
          <w:numId w:val="79"/>
        </w:numPr>
        <w:spacing w:after="200" w:line="276" w:lineRule="auto"/>
        <w:jc w:val="left"/>
        <w:rPr>
          <w:rFonts w:eastAsia="Calibri"/>
          <w:b/>
          <w:sz w:val="22"/>
          <w:szCs w:val="22"/>
          <w:lang w:eastAsia="en-US"/>
        </w:rPr>
      </w:pPr>
      <w:r w:rsidRPr="00460E3D">
        <w:rPr>
          <w:rFonts w:eastAsia="Calibri"/>
          <w:b/>
          <w:sz w:val="22"/>
          <w:szCs w:val="22"/>
          <w:lang w:eastAsia="en-US"/>
        </w:rPr>
        <w:t>Présentation des risques de fraude émergents</w:t>
      </w:r>
    </w:p>
    <w:p w:rsidR="005A28EA" w:rsidRPr="00460E3D" w:rsidRDefault="005A28EA" w:rsidP="005A28EA">
      <w:pPr>
        <w:ind w:left="720"/>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rsidTr="005A28EA">
        <w:tc>
          <w:tcPr>
            <w:tcW w:w="9212" w:type="dxa"/>
          </w:tcPr>
          <w:p w:rsidR="005A28EA" w:rsidRPr="00460E3D" w:rsidRDefault="005A28EA" w:rsidP="005A28EA">
            <w:pPr>
              <w:rPr>
                <w:rFonts w:ascii="Times New Roman" w:hAnsi="Times New Roman"/>
                <w:szCs w:val="24"/>
              </w:rPr>
            </w:pPr>
            <w:r w:rsidRPr="00C0062E">
              <w:rPr>
                <w:i/>
                <w:sz w:val="22"/>
              </w:rPr>
              <w:t>Décrire les nouveaux scénarios de fraude rencontrés</w:t>
            </w:r>
            <w:r w:rsidR="00956C62">
              <w:rPr>
                <w:i/>
                <w:sz w:val="22"/>
              </w:rPr>
              <w:t xml:space="preserve"> au cours de l’exercice sous revue</w:t>
            </w:r>
            <w:r w:rsidRPr="00C0062E">
              <w:rPr>
                <w:i/>
                <w:sz w:val="22"/>
              </w:rPr>
              <w:t>.</w:t>
            </w:r>
          </w:p>
          <w:p w:rsidR="005A28EA" w:rsidRPr="00460E3D" w:rsidRDefault="005A28EA" w:rsidP="005A28EA">
            <w:pPr>
              <w:rPr>
                <w:rFonts w:ascii="Times New Roman" w:hAnsi="Times New Roman"/>
                <w:szCs w:val="24"/>
              </w:rPr>
            </w:pPr>
          </w:p>
          <w:p w:rsidR="005A28EA" w:rsidRPr="00460E3D" w:rsidRDefault="005A28EA" w:rsidP="005A28EA">
            <w:pPr>
              <w:rPr>
                <w:rFonts w:ascii="Times New Roman" w:hAnsi="Times New Roman"/>
                <w:szCs w:val="24"/>
              </w:rPr>
            </w:pPr>
          </w:p>
          <w:p w:rsidR="005A28EA" w:rsidRPr="00460E3D" w:rsidRDefault="005A28EA" w:rsidP="005A28EA">
            <w:pPr>
              <w:rPr>
                <w:rFonts w:ascii="Times New Roman" w:hAnsi="Times New Roman"/>
                <w:szCs w:val="24"/>
              </w:rPr>
            </w:pPr>
          </w:p>
          <w:p w:rsidR="005A28EA" w:rsidRPr="00460E3D" w:rsidRDefault="005A28EA" w:rsidP="005A28EA">
            <w:pPr>
              <w:rPr>
                <w:rFonts w:ascii="Times New Roman" w:hAnsi="Times New Roman"/>
                <w:szCs w:val="24"/>
              </w:rPr>
            </w:pPr>
          </w:p>
          <w:p w:rsidR="005A28EA" w:rsidRPr="00460E3D" w:rsidRDefault="005A28EA" w:rsidP="005A28EA">
            <w:pPr>
              <w:rPr>
                <w:rFonts w:ascii="Times New Roman" w:hAnsi="Times New Roman"/>
                <w:szCs w:val="24"/>
              </w:rPr>
            </w:pPr>
          </w:p>
          <w:p w:rsidR="005A28EA" w:rsidRPr="00460E3D" w:rsidRDefault="005A28EA" w:rsidP="005A28EA">
            <w:pPr>
              <w:rPr>
                <w:rFonts w:ascii="Times New Roman" w:hAnsi="Times New Roman"/>
                <w:szCs w:val="24"/>
              </w:rPr>
            </w:pPr>
          </w:p>
        </w:tc>
      </w:tr>
    </w:tbl>
    <w:p w:rsidR="005A28EA" w:rsidRPr="00460E3D" w:rsidRDefault="005A28EA" w:rsidP="005A28EA">
      <w:pPr>
        <w:spacing w:after="200" w:line="276" w:lineRule="auto"/>
        <w:jc w:val="left"/>
        <w:rPr>
          <w:rFonts w:eastAsia="Calibri"/>
          <w:szCs w:val="24"/>
          <w:lang w:eastAsia="en-US"/>
        </w:rPr>
      </w:pPr>
    </w:p>
    <w:p w:rsidR="005A28EA" w:rsidRPr="00460E3D" w:rsidRDefault="005A28EA" w:rsidP="005A28EA">
      <w:pPr>
        <w:spacing w:after="200" w:line="276" w:lineRule="auto"/>
        <w:jc w:val="left"/>
        <w:rPr>
          <w:rFonts w:eastAsia="Calibri"/>
          <w:szCs w:val="24"/>
          <w:lang w:eastAsia="en-US"/>
        </w:rPr>
      </w:pPr>
    </w:p>
    <w:p w:rsidR="005A28EA" w:rsidRPr="00460E3D" w:rsidRDefault="005A28EA" w:rsidP="005A28EA">
      <w:pPr>
        <w:spacing w:after="200" w:line="276" w:lineRule="auto"/>
        <w:jc w:val="left"/>
        <w:rPr>
          <w:rFonts w:eastAsia="Calibri"/>
          <w:sz w:val="22"/>
          <w:szCs w:val="22"/>
          <w:lang w:eastAsia="en-US"/>
        </w:rPr>
      </w:pPr>
      <w:r w:rsidRPr="00460E3D">
        <w:rPr>
          <w:rFonts w:eastAsia="Calibri"/>
          <w:sz w:val="22"/>
          <w:szCs w:val="22"/>
          <w:lang w:eastAsia="en-US"/>
        </w:rPr>
        <w:br w:type="page"/>
      </w:r>
    </w:p>
    <w:p w:rsidR="005A28EA" w:rsidRPr="00460E3D" w:rsidRDefault="005A28EA" w:rsidP="005A28EA">
      <w:pPr>
        <w:numPr>
          <w:ilvl w:val="0"/>
          <w:numId w:val="72"/>
        </w:numPr>
        <w:spacing w:after="200" w:line="276" w:lineRule="auto"/>
        <w:jc w:val="left"/>
        <w:rPr>
          <w:rFonts w:eastAsia="Calibri"/>
          <w:b/>
          <w:sz w:val="22"/>
          <w:szCs w:val="22"/>
          <w:lang w:eastAsia="en-US"/>
        </w:rPr>
        <w:sectPr w:rsidR="005A28EA" w:rsidRPr="00460E3D" w:rsidSect="005A28EA">
          <w:pgSz w:w="11906" w:h="16838"/>
          <w:pgMar w:top="1417" w:right="1417" w:bottom="1417" w:left="1417" w:header="708" w:footer="708"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rsidTr="005A28EA">
        <w:tc>
          <w:tcPr>
            <w:tcW w:w="14142" w:type="dxa"/>
            <w:shd w:val="clear" w:color="auto" w:fill="FBD4B4" w:themeFill="accent6" w:themeFillTint="66"/>
          </w:tcPr>
          <w:p w:rsidR="005A28EA" w:rsidRPr="00460E3D" w:rsidRDefault="005A28EA" w:rsidP="005A28EA">
            <w:pPr>
              <w:numPr>
                <w:ilvl w:val="0"/>
                <w:numId w:val="72"/>
              </w:numPr>
              <w:jc w:val="left"/>
              <w:rPr>
                <w:rFonts w:ascii="Times New Roman" w:hAnsi="Times New Roman"/>
                <w:b/>
                <w:sz w:val="22"/>
              </w:rPr>
            </w:pPr>
            <w:r w:rsidRPr="00460E3D">
              <w:rPr>
                <w:b/>
                <w:sz w:val="22"/>
              </w:rPr>
              <w:lastRenderedPageBreak/>
              <w:t>Virement</w:t>
            </w:r>
          </w:p>
        </w:tc>
      </w:tr>
    </w:tbl>
    <w:p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rsidTr="005A28EA">
        <w:tc>
          <w:tcPr>
            <w:tcW w:w="14142" w:type="dxa"/>
            <w:shd w:val="clear" w:color="auto" w:fill="8DB3E2" w:themeFill="text2" w:themeFillTint="66"/>
          </w:tcPr>
          <w:p w:rsidR="005A28EA" w:rsidRPr="00460E3D" w:rsidRDefault="005A28EA" w:rsidP="005A28EA">
            <w:pPr>
              <w:ind w:left="360"/>
              <w:jc w:val="left"/>
              <w:rPr>
                <w:rFonts w:ascii="Times New Roman" w:hAnsi="Times New Roman"/>
                <w:b/>
                <w:sz w:val="22"/>
              </w:rPr>
            </w:pPr>
            <w:r w:rsidRPr="00C0062E">
              <w:rPr>
                <w:b/>
                <w:sz w:val="22"/>
              </w:rPr>
              <w:t>2.1. Présentation de l’offre</w:t>
            </w:r>
          </w:p>
        </w:tc>
      </w:tr>
    </w:tbl>
    <w:p w:rsidR="005A28EA" w:rsidRPr="00460E3D" w:rsidRDefault="005A28EA" w:rsidP="005A28EA">
      <w:pPr>
        <w:ind w:left="720"/>
        <w:jc w:val="left"/>
        <w:rPr>
          <w:rFonts w:eastAsia="Calibri"/>
          <w:b/>
          <w:sz w:val="22"/>
          <w:szCs w:val="22"/>
          <w:lang w:eastAsia="en-US"/>
        </w:rPr>
      </w:pPr>
    </w:p>
    <w:p w:rsidR="005A28EA" w:rsidRPr="00460E3D" w:rsidRDefault="005A28EA" w:rsidP="005A28EA">
      <w:pPr>
        <w:numPr>
          <w:ilvl w:val="0"/>
          <w:numId w:val="74"/>
        </w:numPr>
        <w:spacing w:after="200" w:line="276" w:lineRule="auto"/>
        <w:jc w:val="left"/>
        <w:rPr>
          <w:rFonts w:eastAsia="Calibri"/>
          <w:b/>
          <w:sz w:val="22"/>
          <w:szCs w:val="22"/>
          <w:lang w:eastAsia="en-US"/>
        </w:rPr>
      </w:pPr>
      <w:r w:rsidRPr="00460E3D">
        <w:rPr>
          <w:rFonts w:eastAsia="Calibri"/>
          <w:b/>
          <w:sz w:val="22"/>
          <w:szCs w:val="22"/>
          <w:lang w:eastAsia="en-US"/>
        </w:rPr>
        <w:t>Description de l’offre de produits et de services</w:t>
      </w:r>
    </w:p>
    <w:p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79"/>
        <w:gridCol w:w="1507"/>
        <w:gridCol w:w="1731"/>
        <w:gridCol w:w="2941"/>
        <w:gridCol w:w="4048"/>
      </w:tblGrid>
      <w:tr w:rsidR="005A28EA" w:rsidRPr="00C0062E" w:rsidTr="005A28EA">
        <w:tc>
          <w:tcPr>
            <w:tcW w:w="1501"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rsidTr="005A28EA">
        <w:tc>
          <w:tcPr>
            <w:tcW w:w="14142" w:type="dxa"/>
            <w:gridSpan w:val="6"/>
            <w:shd w:val="pct10" w:color="auto" w:fill="auto"/>
          </w:tcPr>
          <w:p w:rsidR="005A28EA" w:rsidRPr="00460E3D" w:rsidRDefault="005A28EA" w:rsidP="005A28EA">
            <w:pPr>
              <w:jc w:val="center"/>
              <w:rPr>
                <w:rFonts w:ascii="Times New Roman" w:hAnsi="Times New Roman"/>
                <w:b/>
                <w:sz w:val="22"/>
              </w:rPr>
            </w:pPr>
            <w:r w:rsidRPr="00C0062E">
              <w:rPr>
                <w:b/>
                <w:sz w:val="22"/>
              </w:rPr>
              <w:t>En tant qu’établissement du donneur d’ordre</w:t>
            </w: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Borders>
              <w:bottom w:val="single" w:sz="4" w:space="0" w:color="auto"/>
            </w:tcBorders>
          </w:tcPr>
          <w:p w:rsidR="005A28EA" w:rsidRPr="00460E3D" w:rsidRDefault="005A28EA" w:rsidP="005A28EA">
            <w:pPr>
              <w:jc w:val="left"/>
              <w:rPr>
                <w:rFonts w:ascii="Times New Roman" w:hAnsi="Times New Roman"/>
                <w:sz w:val="22"/>
              </w:rPr>
            </w:pPr>
          </w:p>
        </w:tc>
        <w:tc>
          <w:tcPr>
            <w:tcW w:w="2293" w:type="dxa"/>
            <w:tcBorders>
              <w:bottom w:val="single" w:sz="4" w:space="0" w:color="auto"/>
            </w:tcBorders>
          </w:tcPr>
          <w:p w:rsidR="005A28EA" w:rsidRPr="00460E3D" w:rsidRDefault="005A28EA" w:rsidP="005A28EA">
            <w:pPr>
              <w:jc w:val="left"/>
              <w:rPr>
                <w:rFonts w:ascii="Times New Roman" w:hAnsi="Times New Roman"/>
                <w:sz w:val="22"/>
              </w:rPr>
            </w:pPr>
          </w:p>
        </w:tc>
        <w:tc>
          <w:tcPr>
            <w:tcW w:w="1516" w:type="dxa"/>
            <w:tcBorders>
              <w:bottom w:val="single" w:sz="4" w:space="0" w:color="auto"/>
            </w:tcBorders>
          </w:tcPr>
          <w:p w:rsidR="005A28EA" w:rsidRPr="00460E3D" w:rsidRDefault="005A28EA" w:rsidP="005A28EA">
            <w:pPr>
              <w:jc w:val="left"/>
              <w:rPr>
                <w:rFonts w:ascii="Times New Roman" w:hAnsi="Times New Roman"/>
                <w:sz w:val="22"/>
              </w:rPr>
            </w:pPr>
          </w:p>
        </w:tc>
        <w:tc>
          <w:tcPr>
            <w:tcW w:w="1744" w:type="dxa"/>
            <w:tcBorders>
              <w:bottom w:val="single" w:sz="4" w:space="0" w:color="auto"/>
            </w:tcBorders>
          </w:tcPr>
          <w:p w:rsidR="005A28EA" w:rsidRPr="00460E3D" w:rsidRDefault="005A28EA" w:rsidP="005A28EA">
            <w:pPr>
              <w:jc w:val="left"/>
              <w:rPr>
                <w:rFonts w:ascii="Times New Roman" w:hAnsi="Times New Roman"/>
                <w:sz w:val="22"/>
              </w:rPr>
            </w:pPr>
          </w:p>
        </w:tc>
        <w:tc>
          <w:tcPr>
            <w:tcW w:w="2977" w:type="dxa"/>
            <w:tcBorders>
              <w:bottom w:val="single" w:sz="4" w:space="0" w:color="auto"/>
            </w:tcBorders>
          </w:tcPr>
          <w:p w:rsidR="005A28EA" w:rsidRPr="00460E3D" w:rsidRDefault="005A28EA" w:rsidP="005A28EA">
            <w:pPr>
              <w:jc w:val="left"/>
              <w:rPr>
                <w:rFonts w:ascii="Times New Roman" w:hAnsi="Times New Roman"/>
                <w:sz w:val="22"/>
              </w:rPr>
            </w:pPr>
          </w:p>
        </w:tc>
        <w:tc>
          <w:tcPr>
            <w:tcW w:w="4111" w:type="dxa"/>
            <w:tcBorders>
              <w:bottom w:val="single" w:sz="4" w:space="0" w:color="auto"/>
            </w:tcBorders>
          </w:tcPr>
          <w:p w:rsidR="005A28EA" w:rsidRPr="00460E3D" w:rsidRDefault="005A28EA" w:rsidP="005A28EA">
            <w:pPr>
              <w:jc w:val="left"/>
              <w:rPr>
                <w:rFonts w:ascii="Times New Roman" w:hAnsi="Times New Roman"/>
                <w:sz w:val="22"/>
              </w:rPr>
            </w:pPr>
          </w:p>
        </w:tc>
      </w:tr>
      <w:tr w:rsidR="005A28EA" w:rsidRPr="00C0062E" w:rsidTr="005A28EA">
        <w:tc>
          <w:tcPr>
            <w:tcW w:w="1501" w:type="dxa"/>
            <w:tcBorders>
              <w:bottom w:val="single" w:sz="4" w:space="0" w:color="auto"/>
            </w:tcBorders>
          </w:tcPr>
          <w:p w:rsidR="005A28EA" w:rsidRPr="00460E3D" w:rsidRDefault="005A28EA" w:rsidP="005A28EA">
            <w:pPr>
              <w:jc w:val="left"/>
              <w:rPr>
                <w:rFonts w:ascii="Times New Roman" w:hAnsi="Times New Roman"/>
                <w:sz w:val="22"/>
              </w:rPr>
            </w:pPr>
          </w:p>
        </w:tc>
        <w:tc>
          <w:tcPr>
            <w:tcW w:w="2293" w:type="dxa"/>
            <w:tcBorders>
              <w:bottom w:val="single" w:sz="4" w:space="0" w:color="auto"/>
            </w:tcBorders>
          </w:tcPr>
          <w:p w:rsidR="005A28EA" w:rsidRPr="00460E3D" w:rsidRDefault="005A28EA" w:rsidP="005A28EA">
            <w:pPr>
              <w:jc w:val="left"/>
              <w:rPr>
                <w:rFonts w:ascii="Times New Roman" w:hAnsi="Times New Roman"/>
                <w:sz w:val="22"/>
              </w:rPr>
            </w:pPr>
          </w:p>
        </w:tc>
        <w:tc>
          <w:tcPr>
            <w:tcW w:w="1516" w:type="dxa"/>
            <w:tcBorders>
              <w:bottom w:val="single" w:sz="4" w:space="0" w:color="auto"/>
            </w:tcBorders>
          </w:tcPr>
          <w:p w:rsidR="005A28EA" w:rsidRPr="00460E3D" w:rsidRDefault="005A28EA" w:rsidP="005A28EA">
            <w:pPr>
              <w:jc w:val="left"/>
              <w:rPr>
                <w:rFonts w:ascii="Times New Roman" w:hAnsi="Times New Roman"/>
                <w:sz w:val="22"/>
              </w:rPr>
            </w:pPr>
          </w:p>
        </w:tc>
        <w:tc>
          <w:tcPr>
            <w:tcW w:w="1744" w:type="dxa"/>
            <w:tcBorders>
              <w:bottom w:val="single" w:sz="4" w:space="0" w:color="auto"/>
            </w:tcBorders>
          </w:tcPr>
          <w:p w:rsidR="005A28EA" w:rsidRPr="00460E3D" w:rsidRDefault="005A28EA" w:rsidP="005A28EA">
            <w:pPr>
              <w:jc w:val="left"/>
              <w:rPr>
                <w:rFonts w:ascii="Times New Roman" w:hAnsi="Times New Roman"/>
                <w:sz w:val="22"/>
              </w:rPr>
            </w:pPr>
          </w:p>
        </w:tc>
        <w:tc>
          <w:tcPr>
            <w:tcW w:w="2977" w:type="dxa"/>
            <w:tcBorders>
              <w:bottom w:val="single" w:sz="4" w:space="0" w:color="auto"/>
            </w:tcBorders>
          </w:tcPr>
          <w:p w:rsidR="005A28EA" w:rsidRPr="00460E3D" w:rsidRDefault="005A28EA" w:rsidP="005A28EA">
            <w:pPr>
              <w:jc w:val="left"/>
              <w:rPr>
                <w:rFonts w:ascii="Times New Roman" w:hAnsi="Times New Roman"/>
                <w:sz w:val="22"/>
              </w:rPr>
            </w:pPr>
          </w:p>
        </w:tc>
        <w:tc>
          <w:tcPr>
            <w:tcW w:w="4111" w:type="dxa"/>
            <w:tcBorders>
              <w:bottom w:val="single" w:sz="4" w:space="0" w:color="auto"/>
            </w:tcBorders>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bl>
    <w:p w:rsidR="005A28EA" w:rsidRPr="00460E3D" w:rsidRDefault="005A28EA" w:rsidP="005A28EA">
      <w:pPr>
        <w:jc w:val="left"/>
        <w:rPr>
          <w:rFonts w:eastAsia="Calibri"/>
          <w:b/>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p>
    <w:p w:rsidR="005A28EA" w:rsidRPr="00460E3D" w:rsidRDefault="005A28EA" w:rsidP="005A28EA">
      <w:pPr>
        <w:numPr>
          <w:ilvl w:val="0"/>
          <w:numId w:val="74"/>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p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rsidTr="005A28EA">
        <w:tc>
          <w:tcPr>
            <w:tcW w:w="9212" w:type="dxa"/>
          </w:tcPr>
          <w:p w:rsidR="005A28EA" w:rsidRPr="00460E3D" w:rsidRDefault="005A28EA" w:rsidP="00D63D99">
            <w:pPr>
              <w:rPr>
                <w:rFonts w:ascii="Times New Roman" w:hAnsi="Times New Roman"/>
                <w:sz w:val="22"/>
              </w:rPr>
            </w:pPr>
            <w:r w:rsidRPr="00460E3D">
              <w:rPr>
                <w:i/>
                <w:sz w:val="22"/>
              </w:rPr>
              <w:t xml:space="preserve">Décrire les projets </w:t>
            </w:r>
            <w:r w:rsidR="00C30A7D">
              <w:rPr>
                <w:i/>
                <w:sz w:val="22"/>
              </w:rPr>
              <w:t xml:space="preserve">de commercialisation de nouveaux produits/services ou d’évolution de l’offre existante d’ordre technologique, fonctionnel et sécuritaire </w:t>
            </w:r>
            <w:r w:rsidR="00C30A7D" w:rsidRPr="00460E3D">
              <w:rPr>
                <w:i/>
                <w:sz w:val="22"/>
              </w:rPr>
              <w:t>prévus à court et moyen terme</w:t>
            </w:r>
            <w:r w:rsidR="00C30A7D">
              <w:rPr>
                <w:i/>
                <w:sz w:val="22"/>
              </w:rPr>
              <w:t>.</w:t>
            </w:r>
          </w:p>
          <w:p w:rsidR="005A28EA" w:rsidRPr="00460E3D" w:rsidRDefault="005A28EA" w:rsidP="00D63D99">
            <w:pPr>
              <w:rPr>
                <w:rFonts w:ascii="Times New Roman" w:hAnsi="Times New Roman"/>
                <w:sz w:val="22"/>
              </w:rPr>
            </w:pPr>
          </w:p>
          <w:p w:rsidR="005A28EA" w:rsidRPr="00460E3D" w:rsidRDefault="005A28EA" w:rsidP="00D63D99">
            <w:pPr>
              <w:rPr>
                <w:rFonts w:ascii="Times New Roman" w:hAnsi="Times New Roman"/>
                <w:sz w:val="22"/>
              </w:rPr>
            </w:pPr>
          </w:p>
          <w:p w:rsidR="005A28EA" w:rsidRPr="00460E3D" w:rsidRDefault="005A28EA" w:rsidP="00D63D99">
            <w:pPr>
              <w:rPr>
                <w:rFonts w:ascii="Times New Roman" w:hAnsi="Times New Roman"/>
                <w:sz w:val="22"/>
              </w:rPr>
            </w:pPr>
          </w:p>
        </w:tc>
      </w:tr>
    </w:tbl>
    <w:p w:rsidR="005A28EA" w:rsidRPr="00460E3D" w:rsidRDefault="005A28EA"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5A28EA" w:rsidRPr="00C0062E" w:rsidTr="005A28EA">
        <w:tc>
          <w:tcPr>
            <w:tcW w:w="9212" w:type="dxa"/>
            <w:shd w:val="clear" w:color="auto" w:fill="8DB3E2" w:themeFill="text2" w:themeFillTint="66"/>
          </w:tcPr>
          <w:p w:rsidR="005A28EA" w:rsidRPr="00460E3D" w:rsidRDefault="005A28EA" w:rsidP="005A28EA">
            <w:pPr>
              <w:ind w:left="360"/>
              <w:jc w:val="left"/>
              <w:rPr>
                <w:rFonts w:ascii="Times New Roman" w:hAnsi="Times New Roman"/>
                <w:b/>
                <w:sz w:val="22"/>
              </w:rPr>
            </w:pPr>
            <w:r w:rsidRPr="00C0062E">
              <w:rPr>
                <w:b/>
                <w:sz w:val="22"/>
              </w:rPr>
              <w:t>2.2. Organisation opérationnelle de l’activité virement</w:t>
            </w:r>
          </w:p>
        </w:tc>
      </w:tr>
    </w:tbl>
    <w:p w:rsidR="005A28EA" w:rsidRPr="00460E3D" w:rsidRDefault="005A28EA" w:rsidP="005A28EA">
      <w:pPr>
        <w:jc w:val="left"/>
        <w:rPr>
          <w:rFonts w:eastAsia="Calibri"/>
          <w:sz w:val="22"/>
          <w:szCs w:val="22"/>
          <w:lang w:eastAsia="en-US"/>
        </w:rPr>
      </w:pPr>
    </w:p>
    <w:p w:rsidR="005702DC"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C30A7D">
        <w:rPr>
          <w:rFonts w:eastAsia="Calibri"/>
          <w:i/>
          <w:sz w:val="22"/>
          <w:szCs w:val="22"/>
          <w:lang w:eastAsia="en-US"/>
        </w:rPr>
        <w:t xml:space="preserve">du moyen/service de paiement depuis son émission/réception jusqu’à sa remise aux systèmes d’échange/imputation en compte </w:t>
      </w:r>
      <w:r w:rsidRPr="00460E3D">
        <w:rPr>
          <w:rFonts w:eastAsia="Calibri"/>
          <w:i/>
          <w:sz w:val="22"/>
          <w:szCs w:val="22"/>
          <w:lang w:eastAsia="en-US"/>
        </w:rPr>
        <w:t>en précisant en particulier les traitements externalisés (y compris auprès d’entités du groupe) et ceux mutualisés avec d’autres établissements.</w:t>
      </w:r>
      <w:r w:rsidR="00C30A7D">
        <w:rPr>
          <w:rFonts w:eastAsia="Calibri"/>
          <w:i/>
          <w:sz w:val="22"/>
          <w:szCs w:val="22"/>
          <w:lang w:eastAsia="en-US"/>
        </w:rPr>
        <w:t xml:space="preserve"> Un schéma organisationnel peut-être inséré si nécessaire.</w:t>
      </w:r>
    </w:p>
    <w:p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3331"/>
        <w:gridCol w:w="5731"/>
      </w:tblGrid>
      <w:tr w:rsidR="005A28EA" w:rsidRPr="00C0062E" w:rsidTr="005A28EA">
        <w:tc>
          <w:tcPr>
            <w:tcW w:w="3369"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Rôles</w:t>
            </w:r>
          </w:p>
        </w:tc>
      </w:tr>
      <w:tr w:rsidR="005A28EA" w:rsidRPr="00C0062E" w:rsidTr="005A28EA">
        <w:tc>
          <w:tcPr>
            <w:tcW w:w="9180" w:type="dxa"/>
            <w:gridSpan w:val="2"/>
            <w:shd w:val="pct10" w:color="auto" w:fill="auto"/>
          </w:tcPr>
          <w:p w:rsidR="005A28EA" w:rsidRPr="00460E3D" w:rsidRDefault="005A28EA" w:rsidP="005A28EA">
            <w:pPr>
              <w:jc w:val="center"/>
              <w:rPr>
                <w:rFonts w:ascii="Times New Roman" w:hAnsi="Times New Roman"/>
                <w:b/>
                <w:sz w:val="22"/>
              </w:rPr>
            </w:pPr>
            <w:r w:rsidRPr="00C0062E">
              <w:rPr>
                <w:b/>
                <w:sz w:val="22"/>
              </w:rPr>
              <w:t>Activité d’émission et de gestion</w:t>
            </w: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bl>
    <w:p w:rsidR="005A28EA" w:rsidRPr="00460E3D" w:rsidRDefault="005A28EA" w:rsidP="005A28EA">
      <w:pPr>
        <w:jc w:val="left"/>
        <w:rPr>
          <w:rFonts w:eastAsia="Calibri"/>
          <w:sz w:val="22"/>
          <w:szCs w:val="22"/>
          <w:lang w:eastAsia="en-US"/>
        </w:rPr>
      </w:pPr>
    </w:p>
    <w:p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rsidTr="005A28EA">
        <w:tc>
          <w:tcPr>
            <w:tcW w:w="9212" w:type="dxa"/>
          </w:tcPr>
          <w:p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rsidR="005A28EA" w:rsidRPr="00460E3D" w:rsidRDefault="005A28EA" w:rsidP="005A28EA">
            <w:pPr>
              <w:jc w:val="left"/>
              <w:rPr>
                <w:rFonts w:ascii="Times New Roman" w:hAnsi="Times New Roman"/>
                <w:i/>
                <w:sz w:val="22"/>
              </w:rPr>
            </w:pPr>
          </w:p>
          <w:p w:rsidR="005A28EA" w:rsidRPr="00460E3D" w:rsidRDefault="005A28EA" w:rsidP="005A28EA">
            <w:pPr>
              <w:jc w:val="left"/>
              <w:rPr>
                <w:rFonts w:ascii="Times New Roman" w:hAnsi="Times New Roman"/>
                <w:i/>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tc>
      </w:tr>
    </w:tbl>
    <w:p w:rsidR="005A28EA" w:rsidRPr="00460E3D" w:rsidRDefault="005A28EA" w:rsidP="005A28EA">
      <w:pPr>
        <w:jc w:val="left"/>
        <w:rPr>
          <w:rFonts w:eastAsia="Calibri"/>
          <w:sz w:val="22"/>
          <w:szCs w:val="22"/>
          <w:lang w:eastAsia="en-US"/>
        </w:rPr>
      </w:pPr>
    </w:p>
    <w:p w:rsidR="005A28EA" w:rsidRPr="00460E3D" w:rsidRDefault="005A28EA" w:rsidP="005A28EA">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5A28EA" w:rsidRPr="00C0062E" w:rsidTr="005A28EA">
        <w:tc>
          <w:tcPr>
            <w:tcW w:w="9212" w:type="dxa"/>
            <w:shd w:val="clear" w:color="auto" w:fill="8DB3E2" w:themeFill="text2" w:themeFillTint="66"/>
          </w:tcPr>
          <w:p w:rsidR="005A28EA" w:rsidRPr="00460E3D" w:rsidRDefault="005A28EA" w:rsidP="005A28EA">
            <w:pPr>
              <w:ind w:left="360"/>
              <w:jc w:val="left"/>
              <w:rPr>
                <w:rFonts w:ascii="Times New Roman" w:hAnsi="Times New Roman"/>
                <w:b/>
                <w:sz w:val="22"/>
              </w:rPr>
            </w:pPr>
            <w:r w:rsidRPr="00C0062E">
              <w:rPr>
                <w:b/>
                <w:sz w:val="22"/>
              </w:rPr>
              <w:t>2.3. Grille d’analyse des risques et principaux incidents de fraude</w:t>
            </w:r>
          </w:p>
        </w:tc>
      </w:tr>
    </w:tbl>
    <w:p w:rsidR="005A28EA" w:rsidRPr="00460E3D" w:rsidRDefault="005A28EA" w:rsidP="005A28EA">
      <w:pPr>
        <w:ind w:left="720"/>
        <w:jc w:val="left"/>
        <w:rPr>
          <w:rFonts w:eastAsia="Calibri"/>
          <w:b/>
          <w:sz w:val="22"/>
          <w:szCs w:val="22"/>
          <w:lang w:eastAsia="en-US"/>
        </w:rPr>
      </w:pPr>
    </w:p>
    <w:p w:rsidR="00AC07EF" w:rsidRPr="00460E3D" w:rsidRDefault="00AC07EF" w:rsidP="00AC07EF">
      <w:pPr>
        <w:numPr>
          <w:ilvl w:val="0"/>
          <w:numId w:val="87"/>
        </w:numPr>
        <w:spacing w:after="200" w:line="276" w:lineRule="auto"/>
        <w:jc w:val="left"/>
        <w:rPr>
          <w:rFonts w:eastAsia="Calibri"/>
          <w:b/>
          <w:sz w:val="22"/>
          <w:szCs w:val="22"/>
          <w:lang w:eastAsia="en-US"/>
        </w:rPr>
      </w:pPr>
      <w:r w:rsidRPr="00460E3D">
        <w:rPr>
          <w:rFonts w:eastAsia="Calibri"/>
          <w:b/>
          <w:sz w:val="22"/>
          <w:szCs w:val="22"/>
          <w:lang w:eastAsia="en-US"/>
        </w:rPr>
        <w:t>Rappel de la typologie de fraude applicable</w:t>
      </w:r>
    </w:p>
    <w:p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2633"/>
        <w:gridCol w:w="6429"/>
      </w:tblGrid>
      <w:tr w:rsidR="005A28EA" w:rsidRPr="00C0062E" w:rsidTr="005A28EA">
        <w:tc>
          <w:tcPr>
            <w:tcW w:w="2660" w:type="dxa"/>
            <w:shd w:val="clear" w:color="auto" w:fill="B6DDE8" w:themeFill="accent5" w:themeFillTint="66"/>
          </w:tcPr>
          <w:p w:rsidR="005A28EA" w:rsidRPr="00460E3D" w:rsidRDefault="005A28EA" w:rsidP="005A28EA">
            <w:pPr>
              <w:jc w:val="center"/>
              <w:rPr>
                <w:rFonts w:ascii="Times New Roman" w:hAnsi="Times New Roman"/>
                <w:b/>
                <w:sz w:val="22"/>
              </w:rPr>
            </w:pPr>
            <w:r w:rsidRPr="00C0062E">
              <w:rPr>
                <w:b/>
                <w:sz w:val="22"/>
              </w:rPr>
              <w:t>Typologie de fraude</w:t>
            </w:r>
          </w:p>
        </w:tc>
        <w:tc>
          <w:tcPr>
            <w:tcW w:w="6552" w:type="dxa"/>
            <w:shd w:val="clear" w:color="auto" w:fill="B6DDE8" w:themeFill="accent5" w:themeFillTint="66"/>
          </w:tcPr>
          <w:p w:rsidR="005A28EA" w:rsidRPr="00460E3D" w:rsidRDefault="005A28EA" w:rsidP="005A28EA">
            <w:pPr>
              <w:jc w:val="center"/>
              <w:rPr>
                <w:rFonts w:ascii="Times New Roman" w:hAnsi="Times New Roman"/>
                <w:b/>
                <w:sz w:val="22"/>
              </w:rPr>
            </w:pPr>
            <w:r w:rsidRPr="00C0062E">
              <w:rPr>
                <w:b/>
                <w:sz w:val="22"/>
              </w:rPr>
              <w:t>Description</w:t>
            </w:r>
          </w:p>
        </w:tc>
      </w:tr>
      <w:tr w:rsidR="005A28EA" w:rsidRPr="00C0062E" w:rsidTr="005A28EA">
        <w:tc>
          <w:tcPr>
            <w:tcW w:w="2660" w:type="dxa"/>
          </w:tcPr>
          <w:p w:rsidR="005A28EA" w:rsidRPr="00460E3D" w:rsidRDefault="005A28EA" w:rsidP="005A28EA">
            <w:pPr>
              <w:jc w:val="left"/>
              <w:rPr>
                <w:rFonts w:ascii="Times New Roman" w:hAnsi="Times New Roman"/>
                <w:sz w:val="22"/>
              </w:rPr>
            </w:pPr>
            <w:r w:rsidRPr="00C0062E">
              <w:rPr>
                <w:sz w:val="22"/>
              </w:rPr>
              <w:t>Faux ordre de virement</w:t>
            </w:r>
          </w:p>
        </w:tc>
        <w:tc>
          <w:tcPr>
            <w:tcW w:w="6552" w:type="dxa"/>
          </w:tcPr>
          <w:p w:rsidR="000D6C84" w:rsidRPr="00460E3D" w:rsidRDefault="000D6C84" w:rsidP="00460E3D">
            <w:pPr>
              <w:rPr>
                <w:rFonts w:ascii="Times New Roman" w:hAnsi="Times New Roman"/>
                <w:sz w:val="22"/>
              </w:rPr>
            </w:pPr>
            <w:r w:rsidRPr="00EB6D95">
              <w:rPr>
                <w:sz w:val="22"/>
              </w:rPr>
              <w:t xml:space="preserve">Le fraudeur </w:t>
            </w:r>
            <w:r>
              <w:rPr>
                <w:sz w:val="22"/>
              </w:rPr>
              <w:t>contrefait un ordre de virement</w:t>
            </w:r>
            <w:r w:rsidRPr="00EB6D95">
              <w:rPr>
                <w:sz w:val="22"/>
              </w:rPr>
              <w:t xml:space="preserve"> ou usurpe les identifiants de la banque en ligne du donneur d’ordre légitime afin d’initier un ordre de paiement. Dans ce cas de figure, les identifiants peuvent notamment être obtenus via des procédés de piratage informatique (</w:t>
            </w:r>
            <w:r w:rsidRPr="00D24C66">
              <w:rPr>
                <w:i/>
                <w:sz w:val="22"/>
              </w:rPr>
              <w:t>phishing</w:t>
            </w:r>
            <w:r w:rsidRPr="00EB6D95">
              <w:rPr>
                <w:sz w:val="22"/>
              </w:rPr>
              <w:t xml:space="preserve">, </w:t>
            </w:r>
            <w:r w:rsidRPr="00D24C66">
              <w:rPr>
                <w:i/>
                <w:sz w:val="22"/>
              </w:rPr>
              <w:t>malware</w:t>
            </w:r>
            <w:r w:rsidRPr="00EB6D95">
              <w:rPr>
                <w:sz w:val="22"/>
              </w:rPr>
              <w:t>, etc.) ou sous la contrainte.</w:t>
            </w:r>
          </w:p>
        </w:tc>
      </w:tr>
      <w:tr w:rsidR="005A28EA" w:rsidRPr="00C0062E" w:rsidTr="005A28EA">
        <w:tc>
          <w:tcPr>
            <w:tcW w:w="2660" w:type="dxa"/>
          </w:tcPr>
          <w:p w:rsidR="005A28EA" w:rsidRPr="00460E3D" w:rsidRDefault="005A28EA" w:rsidP="005A28EA">
            <w:pPr>
              <w:jc w:val="left"/>
              <w:rPr>
                <w:rFonts w:ascii="Times New Roman" w:hAnsi="Times New Roman"/>
                <w:sz w:val="22"/>
              </w:rPr>
            </w:pPr>
            <w:r w:rsidRPr="00C0062E">
              <w:rPr>
                <w:sz w:val="22"/>
              </w:rPr>
              <w:t>Falsification de l’ordre de virement</w:t>
            </w:r>
          </w:p>
        </w:tc>
        <w:tc>
          <w:tcPr>
            <w:tcW w:w="6552" w:type="dxa"/>
          </w:tcPr>
          <w:p w:rsidR="005A28EA" w:rsidRPr="00460E3D" w:rsidRDefault="000D6C84" w:rsidP="00460E3D">
            <w:pPr>
              <w:rPr>
                <w:rFonts w:ascii="Times New Roman" w:hAnsi="Times New Roman"/>
                <w:sz w:val="22"/>
              </w:rPr>
            </w:pPr>
            <w:r w:rsidRPr="00EB6D95">
              <w:rPr>
                <w:sz w:val="22"/>
              </w:rPr>
              <w:t>Le fraudeur intercepte et modifie un ordre de virement ou un fichier de remise de virement légitime.</w:t>
            </w:r>
          </w:p>
        </w:tc>
      </w:tr>
      <w:tr w:rsidR="005A28EA" w:rsidRPr="00C0062E" w:rsidTr="005A28EA">
        <w:tc>
          <w:tcPr>
            <w:tcW w:w="2660" w:type="dxa"/>
          </w:tcPr>
          <w:p w:rsidR="005A28EA" w:rsidRPr="00460E3D" w:rsidRDefault="005A28EA" w:rsidP="005A28EA">
            <w:pPr>
              <w:jc w:val="left"/>
              <w:rPr>
                <w:rFonts w:ascii="Times New Roman" w:hAnsi="Times New Roman"/>
                <w:sz w:val="22"/>
              </w:rPr>
            </w:pPr>
            <w:r w:rsidRPr="00C0062E">
              <w:rPr>
                <w:sz w:val="22"/>
              </w:rPr>
              <w:t>Détournement</w:t>
            </w:r>
          </w:p>
        </w:tc>
        <w:tc>
          <w:tcPr>
            <w:tcW w:w="6552" w:type="dxa"/>
          </w:tcPr>
          <w:p w:rsidR="005A28EA" w:rsidRPr="00460E3D" w:rsidRDefault="000D6C84" w:rsidP="000D6C84">
            <w:pPr>
              <w:rPr>
                <w:rFonts w:ascii="Times New Roman" w:hAnsi="Times New Roman"/>
                <w:sz w:val="22"/>
              </w:rPr>
            </w:pPr>
            <w:r w:rsidRPr="00EB6D95">
              <w:rPr>
                <w:sz w:val="22"/>
              </w:rPr>
              <w:t xml:space="preserve">Le fraudeur amène, par la tromperie (notamment de type ingénierie sociale, c’est-à-dire en usurpant l’identité d’un interlocuteur du payeur : responsable hiérarchique, fournisseur, technicien bancaire, etc.), le titulaire légitime du compte à émettre régulièrement un virement à destination d’un numéro de compte qui n’est pas celui du </w:t>
            </w:r>
            <w:r w:rsidRPr="00EB6D95">
              <w:rPr>
                <w:sz w:val="22"/>
              </w:rPr>
              <w:lastRenderedPageBreak/>
              <w:t>bénéficiaire légitime du paiement ou qui ne correspond à aucune réalité économique. Par exemple, sont considérées comme répondant à cette définition les cas de « fraude au Président » ou de fraude au changement de coordonnées bancaires.</w:t>
            </w:r>
            <w:r>
              <w:rPr>
                <w:sz w:val="22"/>
              </w:rPr>
              <w:t xml:space="preserve"> </w:t>
            </w:r>
          </w:p>
        </w:tc>
      </w:tr>
    </w:tbl>
    <w:p w:rsidR="007531F6" w:rsidRPr="00460E3D" w:rsidRDefault="007531F6" w:rsidP="005A28EA">
      <w:pPr>
        <w:jc w:val="left"/>
        <w:rPr>
          <w:rFonts w:eastAsia="Calibri"/>
          <w:b/>
          <w:sz w:val="22"/>
          <w:szCs w:val="22"/>
          <w:lang w:eastAsia="en-US"/>
        </w:rPr>
      </w:pPr>
    </w:p>
    <w:p w:rsidR="005A28EA" w:rsidRPr="00460E3D" w:rsidRDefault="005A28EA" w:rsidP="005A28EA">
      <w:pPr>
        <w:numPr>
          <w:ilvl w:val="0"/>
          <w:numId w:val="87"/>
        </w:numPr>
        <w:spacing w:after="200" w:line="276" w:lineRule="auto"/>
        <w:jc w:val="left"/>
        <w:rPr>
          <w:rFonts w:eastAsia="Calibri"/>
          <w:b/>
          <w:sz w:val="22"/>
          <w:szCs w:val="22"/>
          <w:lang w:eastAsia="en-US"/>
        </w:rPr>
      </w:pPr>
      <w:r w:rsidRPr="00460E3D">
        <w:rPr>
          <w:rFonts w:eastAsia="Calibri"/>
          <w:b/>
          <w:sz w:val="22"/>
          <w:szCs w:val="22"/>
          <w:lang w:eastAsia="en-US"/>
        </w:rPr>
        <w:t>Cotation globale du risque de fraude sur le virement</w:t>
      </w:r>
    </w:p>
    <w:p w:rsidR="005A28EA" w:rsidRPr="00460E3D" w:rsidRDefault="005A28EA" w:rsidP="005A28EA">
      <w:pPr>
        <w:rPr>
          <w:rFonts w:eastAsia="Calibri"/>
          <w:i/>
          <w:sz w:val="22"/>
          <w:szCs w:val="22"/>
          <w:lang w:eastAsia="en-US"/>
        </w:rPr>
      </w:pPr>
      <w:r w:rsidRPr="00460E3D">
        <w:rPr>
          <w:rFonts w:eastAsia="Calibri"/>
          <w:i/>
          <w:sz w:val="22"/>
          <w:szCs w:val="22"/>
          <w:lang w:eastAsia="en-US"/>
        </w:rPr>
        <w:t>La matrice de cotation utilisée par l’établissement pour évaluer le risque de fraude est à communiquer dans la partie IV de la présente annexe.</w:t>
      </w:r>
    </w:p>
    <w:p w:rsidR="005A28EA" w:rsidRPr="00460E3D" w:rsidRDefault="005A28EA" w:rsidP="005A28EA">
      <w:pPr>
        <w:ind w:left="720"/>
        <w:jc w:val="left"/>
        <w:rPr>
          <w:rFonts w:eastAsia="Calibri"/>
          <w:b/>
          <w:sz w:val="22"/>
          <w:szCs w:val="22"/>
          <w:lang w:eastAsia="en-US"/>
        </w:rPr>
      </w:pPr>
    </w:p>
    <w:tbl>
      <w:tblPr>
        <w:tblStyle w:val="Grilledutableau11"/>
        <w:tblW w:w="0" w:type="auto"/>
        <w:tblInd w:w="-34" w:type="dxa"/>
        <w:tblLook w:val="04A0" w:firstRow="1" w:lastRow="0" w:firstColumn="1" w:lastColumn="0" w:noHBand="0" w:noVBand="1"/>
      </w:tblPr>
      <w:tblGrid>
        <w:gridCol w:w="2952"/>
        <w:gridCol w:w="6144"/>
      </w:tblGrid>
      <w:tr w:rsidR="005A28EA" w:rsidRPr="00C0062E" w:rsidTr="005A28EA">
        <w:tc>
          <w:tcPr>
            <w:tcW w:w="2977" w:type="dxa"/>
            <w:shd w:val="clear" w:color="auto" w:fill="F2DBDB" w:themeFill="accent2" w:themeFillTint="33"/>
          </w:tcPr>
          <w:p w:rsidR="005A28EA" w:rsidRPr="00460E3D" w:rsidRDefault="005A28EA" w:rsidP="005A28EA">
            <w:pPr>
              <w:jc w:val="left"/>
              <w:rPr>
                <w:rFonts w:ascii="Times New Roman" w:hAnsi="Times New Roman"/>
                <w:szCs w:val="24"/>
                <w:u w:val="single"/>
              </w:rPr>
            </w:pPr>
            <w:r w:rsidRPr="00C0062E">
              <w:rPr>
                <w:szCs w:val="24"/>
                <w:u w:val="single"/>
              </w:rPr>
              <w:t>Risque brut</w:t>
            </w:r>
          </w:p>
          <w:p w:rsidR="005A28EA" w:rsidRPr="00460E3D" w:rsidRDefault="005A28EA" w:rsidP="005A28EA">
            <w:pPr>
              <w:jc w:val="left"/>
              <w:rPr>
                <w:rFonts w:ascii="Times New Roman" w:hAnsi="Times New Roman"/>
                <w:i/>
                <w:szCs w:val="24"/>
              </w:rPr>
            </w:pPr>
            <w:r w:rsidRPr="00C0062E">
              <w:rPr>
                <w:i/>
                <w:szCs w:val="24"/>
              </w:rPr>
              <w:t>(Risque inhérent avant les mesures de couverture)</w:t>
            </w:r>
          </w:p>
        </w:tc>
        <w:tc>
          <w:tcPr>
            <w:tcW w:w="6237" w:type="dxa"/>
          </w:tcPr>
          <w:p w:rsidR="005A28EA" w:rsidRPr="00460E3D" w:rsidRDefault="005A28EA" w:rsidP="005A28EA">
            <w:pPr>
              <w:jc w:val="left"/>
              <w:rPr>
                <w:rFonts w:ascii="Times New Roman" w:hAnsi="Times New Roman"/>
                <w:szCs w:val="24"/>
              </w:rPr>
            </w:pPr>
          </w:p>
        </w:tc>
      </w:tr>
      <w:tr w:rsidR="005A28EA" w:rsidRPr="00C0062E" w:rsidTr="005A28EA">
        <w:tc>
          <w:tcPr>
            <w:tcW w:w="2977" w:type="dxa"/>
            <w:shd w:val="clear" w:color="auto" w:fill="F2DBDB" w:themeFill="accent2" w:themeFillTint="33"/>
          </w:tcPr>
          <w:p w:rsidR="005A28EA" w:rsidRPr="00460E3D" w:rsidRDefault="005A28EA" w:rsidP="005A28EA">
            <w:pPr>
              <w:jc w:val="left"/>
              <w:rPr>
                <w:rFonts w:ascii="Times New Roman" w:hAnsi="Times New Roman"/>
                <w:szCs w:val="24"/>
                <w:u w:val="single"/>
              </w:rPr>
            </w:pPr>
            <w:r w:rsidRPr="00C0062E">
              <w:rPr>
                <w:szCs w:val="24"/>
                <w:u w:val="single"/>
              </w:rPr>
              <w:t>Risque résiduel</w:t>
            </w:r>
          </w:p>
          <w:p w:rsidR="005A28EA" w:rsidRPr="00460E3D" w:rsidRDefault="005A28EA" w:rsidP="005A28EA">
            <w:pPr>
              <w:jc w:val="left"/>
              <w:rPr>
                <w:rFonts w:ascii="Times New Roman" w:hAnsi="Times New Roman"/>
                <w:i/>
                <w:szCs w:val="24"/>
              </w:rPr>
            </w:pPr>
            <w:r w:rsidRPr="00C0062E">
              <w:rPr>
                <w:i/>
                <w:szCs w:val="24"/>
              </w:rPr>
              <w:t>(Risque subsistant après les mesures de couverture)</w:t>
            </w:r>
          </w:p>
        </w:tc>
        <w:tc>
          <w:tcPr>
            <w:tcW w:w="6237" w:type="dxa"/>
          </w:tcPr>
          <w:p w:rsidR="005A28EA" w:rsidRPr="00460E3D" w:rsidRDefault="005A28EA" w:rsidP="005A28EA">
            <w:pPr>
              <w:jc w:val="left"/>
              <w:rPr>
                <w:rFonts w:ascii="Times New Roman" w:hAnsi="Times New Roman"/>
                <w:szCs w:val="24"/>
              </w:rPr>
            </w:pPr>
          </w:p>
        </w:tc>
      </w:tr>
    </w:tbl>
    <w:p w:rsidR="005A28EA" w:rsidRPr="00460E3D" w:rsidRDefault="005A28EA" w:rsidP="005A28EA">
      <w:pPr>
        <w:ind w:left="360"/>
        <w:jc w:val="left"/>
        <w:rPr>
          <w:rFonts w:eastAsia="Calibri"/>
          <w:szCs w:val="24"/>
          <w:lang w:eastAsia="en-US"/>
        </w:rPr>
      </w:pPr>
    </w:p>
    <w:p w:rsidR="005A28EA" w:rsidRPr="00460E3D" w:rsidRDefault="005A28EA" w:rsidP="005A28EA">
      <w:pPr>
        <w:numPr>
          <w:ilvl w:val="0"/>
          <w:numId w:val="87"/>
        </w:numPr>
        <w:spacing w:after="200" w:line="276" w:lineRule="auto"/>
        <w:jc w:val="left"/>
        <w:rPr>
          <w:rFonts w:eastAsia="Calibri"/>
          <w:b/>
          <w:sz w:val="22"/>
          <w:szCs w:val="22"/>
          <w:lang w:eastAsia="en-US"/>
        </w:rPr>
      </w:pPr>
      <w:r w:rsidRPr="00460E3D">
        <w:rPr>
          <w:rFonts w:eastAsia="Calibri"/>
          <w:b/>
          <w:sz w:val="22"/>
          <w:szCs w:val="22"/>
          <w:lang w:eastAsia="en-US"/>
        </w:rPr>
        <w:t>Mesures de couverture du risque de fraude</w:t>
      </w:r>
    </w:p>
    <w:p w:rsidR="005A28EA" w:rsidRPr="00460E3D" w:rsidRDefault="005A28EA" w:rsidP="005A28EA">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2077"/>
        <w:gridCol w:w="1687"/>
        <w:gridCol w:w="5298"/>
      </w:tblGrid>
      <w:tr w:rsidR="005A28EA" w:rsidRPr="00C0062E" w:rsidTr="00890013">
        <w:tc>
          <w:tcPr>
            <w:tcW w:w="2077" w:type="dxa"/>
            <w:shd w:val="clear" w:color="auto" w:fill="D6E3BC" w:themeFill="accent3" w:themeFillTint="66"/>
            <w:vAlign w:val="center"/>
          </w:tcPr>
          <w:p w:rsidR="005A28EA" w:rsidRPr="00460E3D" w:rsidRDefault="005A28EA">
            <w:pPr>
              <w:jc w:val="center"/>
              <w:rPr>
                <w:rFonts w:ascii="Times New Roman" w:hAnsi="Times New Roman"/>
                <w:b/>
                <w:sz w:val="22"/>
              </w:rPr>
            </w:pPr>
            <w:r w:rsidRPr="00C0062E">
              <w:rPr>
                <w:b/>
                <w:sz w:val="22"/>
              </w:rPr>
              <w:t>Typologie de fraude</w:t>
            </w:r>
          </w:p>
        </w:tc>
        <w:tc>
          <w:tcPr>
            <w:tcW w:w="1687" w:type="dxa"/>
            <w:shd w:val="clear" w:color="auto" w:fill="D6E3BC" w:themeFill="accent3" w:themeFillTint="66"/>
            <w:vAlign w:val="center"/>
          </w:tcPr>
          <w:p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5298" w:type="dxa"/>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rsidTr="00890013">
        <w:tc>
          <w:tcPr>
            <w:tcW w:w="2077" w:type="dxa"/>
          </w:tcPr>
          <w:p w:rsidR="005A28EA" w:rsidRPr="00460E3D" w:rsidRDefault="005A28EA" w:rsidP="005A28EA">
            <w:pPr>
              <w:jc w:val="left"/>
              <w:rPr>
                <w:rFonts w:ascii="Times New Roman" w:hAnsi="Times New Roman"/>
                <w:sz w:val="22"/>
              </w:rPr>
            </w:pPr>
            <w:r w:rsidRPr="00C0062E">
              <w:rPr>
                <w:sz w:val="22"/>
              </w:rPr>
              <w:t>Faux ordre de virement</w:t>
            </w:r>
          </w:p>
        </w:tc>
        <w:tc>
          <w:tcPr>
            <w:tcW w:w="1687" w:type="dxa"/>
          </w:tcPr>
          <w:p w:rsidR="005A28EA" w:rsidRPr="00460E3D" w:rsidRDefault="005A28EA" w:rsidP="005A28EA">
            <w:pPr>
              <w:jc w:val="left"/>
              <w:rPr>
                <w:rFonts w:ascii="Times New Roman" w:hAnsi="Times New Roman"/>
                <w:b/>
                <w:sz w:val="22"/>
              </w:rPr>
            </w:pPr>
          </w:p>
        </w:tc>
        <w:tc>
          <w:tcPr>
            <w:tcW w:w="5298" w:type="dxa"/>
          </w:tcPr>
          <w:p w:rsidR="005A28EA" w:rsidRPr="00460E3D" w:rsidRDefault="005A28EA" w:rsidP="005A28EA">
            <w:pPr>
              <w:jc w:val="left"/>
              <w:rPr>
                <w:rFonts w:ascii="Times New Roman" w:hAnsi="Times New Roman"/>
                <w:b/>
                <w:sz w:val="22"/>
              </w:rPr>
            </w:pPr>
          </w:p>
        </w:tc>
      </w:tr>
      <w:tr w:rsidR="005A28EA" w:rsidRPr="00C0062E" w:rsidTr="00890013">
        <w:tc>
          <w:tcPr>
            <w:tcW w:w="2077" w:type="dxa"/>
          </w:tcPr>
          <w:p w:rsidR="005A28EA" w:rsidRPr="00460E3D" w:rsidRDefault="005A28EA" w:rsidP="005A28EA">
            <w:pPr>
              <w:jc w:val="left"/>
              <w:rPr>
                <w:rFonts w:ascii="Times New Roman" w:hAnsi="Times New Roman"/>
                <w:sz w:val="22"/>
              </w:rPr>
            </w:pPr>
            <w:r w:rsidRPr="00C0062E">
              <w:rPr>
                <w:sz w:val="22"/>
              </w:rPr>
              <w:t>Falsification de l’ordre de virement</w:t>
            </w:r>
          </w:p>
        </w:tc>
        <w:tc>
          <w:tcPr>
            <w:tcW w:w="1687" w:type="dxa"/>
          </w:tcPr>
          <w:p w:rsidR="005A28EA" w:rsidRPr="00460E3D" w:rsidRDefault="005A28EA" w:rsidP="005A28EA">
            <w:pPr>
              <w:jc w:val="left"/>
              <w:rPr>
                <w:rFonts w:ascii="Times New Roman" w:hAnsi="Times New Roman"/>
                <w:b/>
                <w:sz w:val="22"/>
              </w:rPr>
            </w:pPr>
          </w:p>
        </w:tc>
        <w:tc>
          <w:tcPr>
            <w:tcW w:w="5298" w:type="dxa"/>
          </w:tcPr>
          <w:p w:rsidR="005A28EA" w:rsidRPr="00460E3D" w:rsidRDefault="005A28EA" w:rsidP="005A28EA">
            <w:pPr>
              <w:jc w:val="left"/>
              <w:rPr>
                <w:rFonts w:ascii="Times New Roman" w:hAnsi="Times New Roman"/>
                <w:b/>
                <w:sz w:val="22"/>
              </w:rPr>
            </w:pPr>
          </w:p>
        </w:tc>
      </w:tr>
      <w:tr w:rsidR="005A28EA" w:rsidRPr="00C0062E" w:rsidTr="00890013">
        <w:tc>
          <w:tcPr>
            <w:tcW w:w="2077" w:type="dxa"/>
          </w:tcPr>
          <w:p w:rsidR="005A28EA" w:rsidRPr="00460E3D" w:rsidRDefault="005A28EA" w:rsidP="005A28EA">
            <w:pPr>
              <w:jc w:val="left"/>
              <w:rPr>
                <w:rFonts w:ascii="Times New Roman" w:hAnsi="Times New Roman"/>
                <w:sz w:val="22"/>
              </w:rPr>
            </w:pPr>
            <w:r w:rsidRPr="00C0062E">
              <w:rPr>
                <w:sz w:val="22"/>
              </w:rPr>
              <w:t>Détournement</w:t>
            </w:r>
          </w:p>
        </w:tc>
        <w:tc>
          <w:tcPr>
            <w:tcW w:w="1687" w:type="dxa"/>
          </w:tcPr>
          <w:p w:rsidR="005A28EA" w:rsidRPr="00460E3D" w:rsidRDefault="005A28EA" w:rsidP="005A28EA">
            <w:pPr>
              <w:jc w:val="left"/>
              <w:rPr>
                <w:rFonts w:ascii="Times New Roman" w:hAnsi="Times New Roman"/>
                <w:b/>
                <w:sz w:val="22"/>
              </w:rPr>
            </w:pPr>
          </w:p>
        </w:tc>
        <w:tc>
          <w:tcPr>
            <w:tcW w:w="5298" w:type="dxa"/>
          </w:tcPr>
          <w:p w:rsidR="005A28EA" w:rsidRPr="00460E3D" w:rsidRDefault="005A28EA" w:rsidP="005A28EA">
            <w:pPr>
              <w:jc w:val="left"/>
              <w:rPr>
                <w:rFonts w:ascii="Times New Roman" w:hAnsi="Times New Roman"/>
                <w:b/>
                <w:sz w:val="22"/>
              </w:rPr>
            </w:pPr>
          </w:p>
        </w:tc>
      </w:tr>
    </w:tbl>
    <w:p w:rsidR="005A28EA" w:rsidRPr="00460E3D" w:rsidRDefault="005A28EA" w:rsidP="005A28EA">
      <w:pPr>
        <w:ind w:left="720"/>
        <w:jc w:val="left"/>
        <w:rPr>
          <w:rFonts w:eastAsia="Calibri"/>
          <w:b/>
          <w:sz w:val="22"/>
          <w:szCs w:val="22"/>
          <w:lang w:eastAsia="en-US"/>
        </w:rPr>
      </w:pPr>
    </w:p>
    <w:p w:rsidR="005A28EA" w:rsidRPr="00460E3D" w:rsidRDefault="005A28EA" w:rsidP="005A28EA">
      <w:pPr>
        <w:ind w:left="720"/>
        <w:jc w:val="left"/>
        <w:rPr>
          <w:rFonts w:eastAsia="Calibri"/>
          <w:b/>
          <w:sz w:val="22"/>
          <w:szCs w:val="22"/>
          <w:lang w:eastAsia="en-US"/>
        </w:rPr>
      </w:pPr>
    </w:p>
    <w:p w:rsidR="005A28EA" w:rsidRPr="00460E3D" w:rsidRDefault="005A28EA" w:rsidP="005A28EA">
      <w:pPr>
        <w:numPr>
          <w:ilvl w:val="0"/>
          <w:numId w:val="87"/>
        </w:numPr>
        <w:spacing w:after="200" w:line="276" w:lineRule="auto"/>
        <w:jc w:val="left"/>
        <w:rPr>
          <w:rFonts w:eastAsia="Calibri"/>
          <w:b/>
          <w:sz w:val="22"/>
          <w:szCs w:val="22"/>
          <w:lang w:eastAsia="en-US"/>
        </w:rPr>
      </w:pPr>
      <w:r w:rsidRPr="00460E3D">
        <w:rPr>
          <w:rFonts w:eastAsia="Calibri"/>
          <w:b/>
          <w:sz w:val="22"/>
          <w:szCs w:val="22"/>
          <w:lang w:eastAsia="en-US"/>
        </w:rPr>
        <w:t>Évolution de la fraude brute au cours de la période sous revue</w:t>
      </w:r>
    </w:p>
    <w:p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5"/>
      </w:tblGrid>
      <w:tr w:rsidR="005A28EA" w:rsidRPr="00C0062E" w:rsidTr="005A28EA">
        <w:tc>
          <w:tcPr>
            <w:tcW w:w="2376" w:type="dxa"/>
            <w:shd w:val="clear" w:color="auto" w:fill="D6E3BC" w:themeFill="accent3" w:themeFillTint="66"/>
            <w:vAlign w:val="center"/>
          </w:tcPr>
          <w:p w:rsidR="005A28EA" w:rsidRPr="00460E3D" w:rsidRDefault="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4851" w:type="dxa"/>
            <w:shd w:val="clear" w:color="auto" w:fill="D6E3BC" w:themeFill="accent3" w:themeFillTint="66"/>
            <w:vAlign w:val="center"/>
          </w:tcPr>
          <w:p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bl>
    <w:p w:rsidR="005A28EA" w:rsidRPr="00460E3D" w:rsidRDefault="005A28EA" w:rsidP="005A28EA">
      <w:pPr>
        <w:jc w:val="left"/>
        <w:rPr>
          <w:rFonts w:eastAsia="Calibri"/>
          <w:b/>
          <w:sz w:val="22"/>
          <w:szCs w:val="22"/>
          <w:lang w:eastAsia="en-US"/>
        </w:rPr>
      </w:pPr>
    </w:p>
    <w:p w:rsidR="005A28EA" w:rsidRPr="00460E3D" w:rsidRDefault="005A28EA" w:rsidP="005A28EA">
      <w:pPr>
        <w:jc w:val="left"/>
        <w:rPr>
          <w:rFonts w:eastAsia="Calibri"/>
          <w:b/>
          <w:sz w:val="22"/>
          <w:szCs w:val="22"/>
          <w:lang w:eastAsia="en-US"/>
        </w:rPr>
      </w:pPr>
    </w:p>
    <w:p w:rsidR="005A28EA" w:rsidRPr="00460E3D" w:rsidRDefault="005A28EA" w:rsidP="005A28EA">
      <w:pPr>
        <w:numPr>
          <w:ilvl w:val="0"/>
          <w:numId w:val="87"/>
        </w:numPr>
        <w:spacing w:after="200" w:line="276" w:lineRule="auto"/>
        <w:jc w:val="left"/>
        <w:rPr>
          <w:rFonts w:eastAsia="Calibri"/>
          <w:b/>
          <w:sz w:val="22"/>
          <w:szCs w:val="22"/>
          <w:lang w:eastAsia="en-US"/>
        </w:rPr>
      </w:pPr>
      <w:r w:rsidRPr="00460E3D">
        <w:rPr>
          <w:rFonts w:eastAsia="Calibri"/>
          <w:b/>
          <w:sz w:val="22"/>
          <w:szCs w:val="22"/>
          <w:lang w:eastAsia="en-US"/>
        </w:rPr>
        <w:t>Présentation des risques de fraude émergents</w:t>
      </w:r>
    </w:p>
    <w:p w:rsidR="005A28EA" w:rsidRPr="00460E3D" w:rsidRDefault="005A28EA" w:rsidP="005A28EA">
      <w:pPr>
        <w:ind w:left="360"/>
        <w:jc w:val="left"/>
        <w:rPr>
          <w:rFonts w:eastAsia="Calibri"/>
          <w:szCs w:val="24"/>
          <w:lang w:eastAsia="en-US"/>
        </w:rPr>
      </w:pPr>
    </w:p>
    <w:tbl>
      <w:tblPr>
        <w:tblStyle w:val="Grilledutableau2"/>
        <w:tblW w:w="0" w:type="auto"/>
        <w:tblLook w:val="04A0" w:firstRow="1" w:lastRow="0" w:firstColumn="1" w:lastColumn="0" w:noHBand="0" w:noVBand="1"/>
      </w:tblPr>
      <w:tblGrid>
        <w:gridCol w:w="9062"/>
      </w:tblGrid>
      <w:tr w:rsidR="005A28EA" w:rsidRPr="00C0062E" w:rsidTr="005A28EA">
        <w:tc>
          <w:tcPr>
            <w:tcW w:w="9212" w:type="dxa"/>
          </w:tcPr>
          <w:p w:rsidR="005A28EA" w:rsidRPr="00460E3D" w:rsidRDefault="005A28EA" w:rsidP="005A28EA">
            <w:pPr>
              <w:jc w:val="left"/>
              <w:rPr>
                <w:rFonts w:ascii="Times New Roman" w:hAnsi="Times New Roman"/>
                <w:i/>
                <w:sz w:val="22"/>
              </w:rPr>
            </w:pPr>
            <w:r w:rsidRPr="00C0062E">
              <w:rPr>
                <w:i/>
                <w:sz w:val="22"/>
              </w:rPr>
              <w:t>Décrire les nouveaux scénarios de fraude rencontrés</w:t>
            </w:r>
            <w:r w:rsidR="00956C62">
              <w:rPr>
                <w:i/>
                <w:sz w:val="22"/>
              </w:rPr>
              <w:t xml:space="preserve"> au cours de l’exercice sous revue</w:t>
            </w:r>
            <w:r w:rsidRPr="00C0062E">
              <w:rPr>
                <w:i/>
                <w:sz w:val="22"/>
              </w:rPr>
              <w:t>.</w:t>
            </w:r>
          </w:p>
          <w:p w:rsidR="005A28EA" w:rsidRPr="00460E3D" w:rsidRDefault="005A28EA" w:rsidP="005A28EA">
            <w:pPr>
              <w:jc w:val="left"/>
              <w:rPr>
                <w:rFonts w:ascii="Times New Roman" w:hAnsi="Times New Roman"/>
                <w:szCs w:val="24"/>
              </w:rPr>
            </w:pPr>
          </w:p>
          <w:p w:rsidR="005A28EA" w:rsidRPr="00460E3D" w:rsidRDefault="005A28EA" w:rsidP="005A28EA">
            <w:pPr>
              <w:jc w:val="left"/>
              <w:rPr>
                <w:rFonts w:ascii="Times New Roman" w:hAnsi="Times New Roman"/>
                <w:szCs w:val="24"/>
              </w:rPr>
            </w:pPr>
          </w:p>
          <w:p w:rsidR="005A28EA" w:rsidRPr="00460E3D" w:rsidRDefault="005A28EA" w:rsidP="005A28EA">
            <w:pPr>
              <w:jc w:val="left"/>
              <w:rPr>
                <w:rFonts w:ascii="Times New Roman" w:hAnsi="Times New Roman"/>
                <w:szCs w:val="24"/>
              </w:rPr>
            </w:pPr>
          </w:p>
          <w:p w:rsidR="005A28EA" w:rsidRPr="00460E3D" w:rsidRDefault="005A28EA" w:rsidP="005A28EA">
            <w:pPr>
              <w:jc w:val="left"/>
              <w:rPr>
                <w:rFonts w:ascii="Times New Roman" w:hAnsi="Times New Roman"/>
                <w:szCs w:val="24"/>
              </w:rPr>
            </w:pPr>
          </w:p>
          <w:p w:rsidR="005A28EA" w:rsidRPr="00460E3D" w:rsidRDefault="005A28EA" w:rsidP="005A28EA">
            <w:pPr>
              <w:jc w:val="left"/>
              <w:rPr>
                <w:rFonts w:ascii="Times New Roman" w:hAnsi="Times New Roman"/>
                <w:szCs w:val="24"/>
              </w:rPr>
            </w:pPr>
          </w:p>
        </w:tc>
      </w:tr>
    </w:tbl>
    <w:p w:rsidR="005A28EA" w:rsidRPr="00460E3D" w:rsidRDefault="005A28EA" w:rsidP="005A28EA">
      <w:pPr>
        <w:jc w:val="left"/>
        <w:rPr>
          <w:rFonts w:eastAsia="Calibri"/>
          <w:szCs w:val="24"/>
          <w:lang w:eastAsia="en-US"/>
        </w:rPr>
        <w:sectPr w:rsidR="005A28EA" w:rsidRPr="00460E3D" w:rsidSect="005A28EA">
          <w:pgSz w:w="11906" w:h="16838"/>
          <w:pgMar w:top="1417" w:right="1417" w:bottom="1417" w:left="1417" w:header="708" w:footer="708"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rsidTr="005A28EA">
        <w:tc>
          <w:tcPr>
            <w:tcW w:w="14142" w:type="dxa"/>
            <w:shd w:val="clear" w:color="auto" w:fill="FBD4B4" w:themeFill="accent6" w:themeFillTint="66"/>
          </w:tcPr>
          <w:p w:rsidR="005A28EA" w:rsidRPr="00460E3D" w:rsidRDefault="005A28EA" w:rsidP="005A28EA">
            <w:pPr>
              <w:numPr>
                <w:ilvl w:val="0"/>
                <w:numId w:val="72"/>
              </w:numPr>
              <w:jc w:val="left"/>
              <w:rPr>
                <w:rFonts w:ascii="Times New Roman" w:hAnsi="Times New Roman"/>
                <w:b/>
                <w:sz w:val="22"/>
              </w:rPr>
            </w:pPr>
            <w:r w:rsidRPr="00460E3D">
              <w:rPr>
                <w:sz w:val="22"/>
              </w:rPr>
              <w:lastRenderedPageBreak/>
              <w:br w:type="page"/>
            </w:r>
            <w:r w:rsidRPr="00460E3D">
              <w:rPr>
                <w:b/>
                <w:sz w:val="22"/>
              </w:rPr>
              <w:t>Prélèvement</w:t>
            </w:r>
          </w:p>
        </w:tc>
      </w:tr>
    </w:tbl>
    <w:p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rsidTr="005A28EA">
        <w:tc>
          <w:tcPr>
            <w:tcW w:w="14142" w:type="dxa"/>
            <w:shd w:val="clear" w:color="auto" w:fill="8DB3E2" w:themeFill="text2" w:themeFillTint="66"/>
          </w:tcPr>
          <w:p w:rsidR="005A28EA" w:rsidRPr="00460E3D" w:rsidRDefault="005A28EA" w:rsidP="005A28EA">
            <w:pPr>
              <w:ind w:left="360"/>
              <w:jc w:val="left"/>
              <w:rPr>
                <w:rFonts w:ascii="Times New Roman" w:hAnsi="Times New Roman"/>
                <w:b/>
                <w:sz w:val="22"/>
              </w:rPr>
            </w:pPr>
            <w:r w:rsidRPr="00C0062E">
              <w:rPr>
                <w:b/>
                <w:sz w:val="22"/>
              </w:rPr>
              <w:t>3.1. Présentation de l’offre</w:t>
            </w:r>
          </w:p>
        </w:tc>
      </w:tr>
    </w:tbl>
    <w:p w:rsidR="005A28EA" w:rsidRPr="00460E3D" w:rsidRDefault="005A28EA" w:rsidP="005A28EA">
      <w:pPr>
        <w:ind w:left="720"/>
        <w:jc w:val="left"/>
        <w:rPr>
          <w:rFonts w:eastAsia="Calibri"/>
          <w:b/>
          <w:sz w:val="22"/>
          <w:szCs w:val="22"/>
          <w:lang w:eastAsia="en-US"/>
        </w:rPr>
      </w:pPr>
    </w:p>
    <w:p w:rsidR="005A28EA" w:rsidRPr="00460E3D" w:rsidRDefault="005A28EA" w:rsidP="005A28EA">
      <w:pPr>
        <w:numPr>
          <w:ilvl w:val="0"/>
          <w:numId w:val="75"/>
        </w:numPr>
        <w:spacing w:after="200" w:line="276" w:lineRule="auto"/>
        <w:jc w:val="left"/>
        <w:rPr>
          <w:rFonts w:eastAsia="Calibri"/>
          <w:b/>
          <w:sz w:val="22"/>
          <w:szCs w:val="22"/>
          <w:lang w:eastAsia="en-US"/>
        </w:rPr>
      </w:pPr>
      <w:r w:rsidRPr="00460E3D">
        <w:rPr>
          <w:rFonts w:eastAsia="Calibri"/>
          <w:b/>
          <w:sz w:val="22"/>
          <w:szCs w:val="22"/>
          <w:lang w:eastAsia="en-US"/>
        </w:rPr>
        <w:t>Description de l’offre de produits et de services</w:t>
      </w:r>
    </w:p>
    <w:p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79"/>
        <w:gridCol w:w="1507"/>
        <w:gridCol w:w="1731"/>
        <w:gridCol w:w="2941"/>
        <w:gridCol w:w="4048"/>
      </w:tblGrid>
      <w:tr w:rsidR="005A28EA" w:rsidRPr="00C0062E" w:rsidTr="005A28EA">
        <w:tc>
          <w:tcPr>
            <w:tcW w:w="1501"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rsidTr="005A28EA">
        <w:tc>
          <w:tcPr>
            <w:tcW w:w="14142" w:type="dxa"/>
            <w:gridSpan w:val="6"/>
            <w:shd w:val="pct10" w:color="auto" w:fill="auto"/>
          </w:tcPr>
          <w:p w:rsidR="005A28EA" w:rsidRPr="00460E3D" w:rsidRDefault="005A28EA" w:rsidP="005A28EA">
            <w:pPr>
              <w:jc w:val="center"/>
              <w:rPr>
                <w:rFonts w:ascii="Times New Roman" w:hAnsi="Times New Roman"/>
                <w:b/>
                <w:sz w:val="22"/>
              </w:rPr>
            </w:pPr>
            <w:r w:rsidRPr="00C0062E">
              <w:rPr>
                <w:b/>
                <w:sz w:val="22"/>
              </w:rPr>
              <w:t>En tant qu’établissement du débiteur</w:t>
            </w: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Borders>
              <w:bottom w:val="single" w:sz="4" w:space="0" w:color="auto"/>
            </w:tcBorders>
          </w:tcPr>
          <w:p w:rsidR="005A28EA" w:rsidRPr="00460E3D" w:rsidRDefault="005A28EA" w:rsidP="005A28EA">
            <w:pPr>
              <w:jc w:val="left"/>
              <w:rPr>
                <w:rFonts w:ascii="Times New Roman" w:hAnsi="Times New Roman"/>
                <w:sz w:val="22"/>
              </w:rPr>
            </w:pPr>
          </w:p>
        </w:tc>
        <w:tc>
          <w:tcPr>
            <w:tcW w:w="2293" w:type="dxa"/>
            <w:tcBorders>
              <w:bottom w:val="single" w:sz="4" w:space="0" w:color="auto"/>
            </w:tcBorders>
          </w:tcPr>
          <w:p w:rsidR="005A28EA" w:rsidRPr="00460E3D" w:rsidRDefault="005A28EA" w:rsidP="005A28EA">
            <w:pPr>
              <w:jc w:val="left"/>
              <w:rPr>
                <w:rFonts w:ascii="Times New Roman" w:hAnsi="Times New Roman"/>
                <w:sz w:val="22"/>
              </w:rPr>
            </w:pPr>
          </w:p>
        </w:tc>
        <w:tc>
          <w:tcPr>
            <w:tcW w:w="1516" w:type="dxa"/>
            <w:tcBorders>
              <w:bottom w:val="single" w:sz="4" w:space="0" w:color="auto"/>
            </w:tcBorders>
          </w:tcPr>
          <w:p w:rsidR="005A28EA" w:rsidRPr="00460E3D" w:rsidRDefault="005A28EA" w:rsidP="005A28EA">
            <w:pPr>
              <w:jc w:val="left"/>
              <w:rPr>
                <w:rFonts w:ascii="Times New Roman" w:hAnsi="Times New Roman"/>
                <w:sz w:val="22"/>
              </w:rPr>
            </w:pPr>
          </w:p>
        </w:tc>
        <w:tc>
          <w:tcPr>
            <w:tcW w:w="1744" w:type="dxa"/>
            <w:tcBorders>
              <w:bottom w:val="single" w:sz="4" w:space="0" w:color="auto"/>
            </w:tcBorders>
          </w:tcPr>
          <w:p w:rsidR="005A28EA" w:rsidRPr="00460E3D" w:rsidRDefault="005A28EA" w:rsidP="005A28EA">
            <w:pPr>
              <w:jc w:val="left"/>
              <w:rPr>
                <w:rFonts w:ascii="Times New Roman" w:hAnsi="Times New Roman"/>
                <w:sz w:val="22"/>
              </w:rPr>
            </w:pPr>
          </w:p>
        </w:tc>
        <w:tc>
          <w:tcPr>
            <w:tcW w:w="2977" w:type="dxa"/>
            <w:tcBorders>
              <w:bottom w:val="single" w:sz="4" w:space="0" w:color="auto"/>
            </w:tcBorders>
          </w:tcPr>
          <w:p w:rsidR="005A28EA" w:rsidRPr="00460E3D" w:rsidRDefault="005A28EA" w:rsidP="005A28EA">
            <w:pPr>
              <w:jc w:val="left"/>
              <w:rPr>
                <w:rFonts w:ascii="Times New Roman" w:hAnsi="Times New Roman"/>
                <w:sz w:val="22"/>
              </w:rPr>
            </w:pPr>
          </w:p>
        </w:tc>
        <w:tc>
          <w:tcPr>
            <w:tcW w:w="4111" w:type="dxa"/>
            <w:tcBorders>
              <w:bottom w:val="single" w:sz="4" w:space="0" w:color="auto"/>
            </w:tcBorders>
          </w:tcPr>
          <w:p w:rsidR="005A28EA" w:rsidRPr="00460E3D" w:rsidRDefault="005A28EA" w:rsidP="005A28EA">
            <w:pPr>
              <w:jc w:val="left"/>
              <w:rPr>
                <w:rFonts w:ascii="Times New Roman" w:hAnsi="Times New Roman"/>
                <w:sz w:val="22"/>
              </w:rPr>
            </w:pPr>
          </w:p>
        </w:tc>
      </w:tr>
      <w:tr w:rsidR="005A28EA" w:rsidRPr="00C0062E" w:rsidTr="005A28EA">
        <w:tc>
          <w:tcPr>
            <w:tcW w:w="1501" w:type="dxa"/>
            <w:tcBorders>
              <w:bottom w:val="single" w:sz="4" w:space="0" w:color="auto"/>
            </w:tcBorders>
          </w:tcPr>
          <w:p w:rsidR="005A28EA" w:rsidRPr="00460E3D" w:rsidRDefault="005A28EA" w:rsidP="005A28EA">
            <w:pPr>
              <w:jc w:val="left"/>
              <w:rPr>
                <w:rFonts w:ascii="Times New Roman" w:hAnsi="Times New Roman"/>
                <w:sz w:val="22"/>
              </w:rPr>
            </w:pPr>
          </w:p>
        </w:tc>
        <w:tc>
          <w:tcPr>
            <w:tcW w:w="2293" w:type="dxa"/>
            <w:tcBorders>
              <w:bottom w:val="single" w:sz="4" w:space="0" w:color="auto"/>
            </w:tcBorders>
          </w:tcPr>
          <w:p w:rsidR="005A28EA" w:rsidRPr="00460E3D" w:rsidRDefault="005A28EA" w:rsidP="005A28EA">
            <w:pPr>
              <w:jc w:val="left"/>
              <w:rPr>
                <w:rFonts w:ascii="Times New Roman" w:hAnsi="Times New Roman"/>
                <w:sz w:val="22"/>
              </w:rPr>
            </w:pPr>
          </w:p>
        </w:tc>
        <w:tc>
          <w:tcPr>
            <w:tcW w:w="1516" w:type="dxa"/>
            <w:tcBorders>
              <w:bottom w:val="single" w:sz="4" w:space="0" w:color="auto"/>
            </w:tcBorders>
          </w:tcPr>
          <w:p w:rsidR="005A28EA" w:rsidRPr="00460E3D" w:rsidRDefault="005A28EA" w:rsidP="005A28EA">
            <w:pPr>
              <w:jc w:val="left"/>
              <w:rPr>
                <w:rFonts w:ascii="Times New Roman" w:hAnsi="Times New Roman"/>
                <w:sz w:val="22"/>
              </w:rPr>
            </w:pPr>
          </w:p>
        </w:tc>
        <w:tc>
          <w:tcPr>
            <w:tcW w:w="1744" w:type="dxa"/>
            <w:tcBorders>
              <w:bottom w:val="single" w:sz="4" w:space="0" w:color="auto"/>
            </w:tcBorders>
          </w:tcPr>
          <w:p w:rsidR="005A28EA" w:rsidRPr="00460E3D" w:rsidRDefault="005A28EA" w:rsidP="005A28EA">
            <w:pPr>
              <w:jc w:val="left"/>
              <w:rPr>
                <w:rFonts w:ascii="Times New Roman" w:hAnsi="Times New Roman"/>
                <w:sz w:val="22"/>
              </w:rPr>
            </w:pPr>
          </w:p>
        </w:tc>
        <w:tc>
          <w:tcPr>
            <w:tcW w:w="2977" w:type="dxa"/>
            <w:tcBorders>
              <w:bottom w:val="single" w:sz="4" w:space="0" w:color="auto"/>
            </w:tcBorders>
          </w:tcPr>
          <w:p w:rsidR="005A28EA" w:rsidRPr="00460E3D" w:rsidRDefault="005A28EA" w:rsidP="005A28EA">
            <w:pPr>
              <w:jc w:val="left"/>
              <w:rPr>
                <w:rFonts w:ascii="Times New Roman" w:hAnsi="Times New Roman"/>
                <w:sz w:val="22"/>
              </w:rPr>
            </w:pPr>
          </w:p>
        </w:tc>
        <w:tc>
          <w:tcPr>
            <w:tcW w:w="4111" w:type="dxa"/>
            <w:tcBorders>
              <w:bottom w:val="single" w:sz="4" w:space="0" w:color="auto"/>
            </w:tcBorders>
          </w:tcPr>
          <w:p w:rsidR="005A28EA" w:rsidRPr="00460E3D" w:rsidRDefault="005A28EA" w:rsidP="005A28EA">
            <w:pPr>
              <w:jc w:val="left"/>
              <w:rPr>
                <w:rFonts w:ascii="Times New Roman" w:hAnsi="Times New Roman"/>
                <w:sz w:val="22"/>
              </w:rPr>
            </w:pPr>
          </w:p>
        </w:tc>
      </w:tr>
      <w:tr w:rsidR="005A28EA" w:rsidRPr="00C0062E" w:rsidTr="005A28EA">
        <w:tc>
          <w:tcPr>
            <w:tcW w:w="1501" w:type="dxa"/>
            <w:tcBorders>
              <w:bottom w:val="single" w:sz="4" w:space="0" w:color="auto"/>
            </w:tcBorders>
          </w:tcPr>
          <w:p w:rsidR="005A28EA" w:rsidRPr="00460E3D" w:rsidRDefault="005A28EA" w:rsidP="005A28EA">
            <w:pPr>
              <w:jc w:val="left"/>
              <w:rPr>
                <w:rFonts w:ascii="Times New Roman" w:hAnsi="Times New Roman"/>
                <w:sz w:val="22"/>
              </w:rPr>
            </w:pPr>
          </w:p>
        </w:tc>
        <w:tc>
          <w:tcPr>
            <w:tcW w:w="2293" w:type="dxa"/>
            <w:tcBorders>
              <w:bottom w:val="single" w:sz="4" w:space="0" w:color="auto"/>
            </w:tcBorders>
          </w:tcPr>
          <w:p w:rsidR="005A28EA" w:rsidRPr="00460E3D" w:rsidRDefault="005A28EA" w:rsidP="005A28EA">
            <w:pPr>
              <w:jc w:val="left"/>
              <w:rPr>
                <w:rFonts w:ascii="Times New Roman" w:hAnsi="Times New Roman"/>
                <w:sz w:val="22"/>
              </w:rPr>
            </w:pPr>
          </w:p>
        </w:tc>
        <w:tc>
          <w:tcPr>
            <w:tcW w:w="1516" w:type="dxa"/>
            <w:tcBorders>
              <w:bottom w:val="single" w:sz="4" w:space="0" w:color="auto"/>
            </w:tcBorders>
          </w:tcPr>
          <w:p w:rsidR="005A28EA" w:rsidRPr="00460E3D" w:rsidRDefault="005A28EA" w:rsidP="005A28EA">
            <w:pPr>
              <w:jc w:val="left"/>
              <w:rPr>
                <w:rFonts w:ascii="Times New Roman" w:hAnsi="Times New Roman"/>
                <w:sz w:val="22"/>
              </w:rPr>
            </w:pPr>
          </w:p>
        </w:tc>
        <w:tc>
          <w:tcPr>
            <w:tcW w:w="1744" w:type="dxa"/>
            <w:tcBorders>
              <w:bottom w:val="single" w:sz="4" w:space="0" w:color="auto"/>
            </w:tcBorders>
          </w:tcPr>
          <w:p w:rsidR="005A28EA" w:rsidRPr="00460E3D" w:rsidRDefault="005A28EA" w:rsidP="005A28EA">
            <w:pPr>
              <w:jc w:val="left"/>
              <w:rPr>
                <w:rFonts w:ascii="Times New Roman" w:hAnsi="Times New Roman"/>
                <w:sz w:val="22"/>
              </w:rPr>
            </w:pPr>
          </w:p>
        </w:tc>
        <w:tc>
          <w:tcPr>
            <w:tcW w:w="2977" w:type="dxa"/>
            <w:tcBorders>
              <w:bottom w:val="single" w:sz="4" w:space="0" w:color="auto"/>
            </w:tcBorders>
          </w:tcPr>
          <w:p w:rsidR="005A28EA" w:rsidRPr="00460E3D" w:rsidRDefault="005A28EA" w:rsidP="005A28EA">
            <w:pPr>
              <w:jc w:val="left"/>
              <w:rPr>
                <w:rFonts w:ascii="Times New Roman" w:hAnsi="Times New Roman"/>
                <w:sz w:val="22"/>
              </w:rPr>
            </w:pPr>
          </w:p>
        </w:tc>
        <w:tc>
          <w:tcPr>
            <w:tcW w:w="4111" w:type="dxa"/>
            <w:tcBorders>
              <w:bottom w:val="single" w:sz="4" w:space="0" w:color="auto"/>
            </w:tcBorders>
          </w:tcPr>
          <w:p w:rsidR="005A28EA" w:rsidRPr="00460E3D" w:rsidRDefault="005A28EA" w:rsidP="005A28EA">
            <w:pPr>
              <w:jc w:val="left"/>
              <w:rPr>
                <w:rFonts w:ascii="Times New Roman" w:hAnsi="Times New Roman"/>
                <w:sz w:val="22"/>
              </w:rPr>
            </w:pPr>
          </w:p>
        </w:tc>
      </w:tr>
      <w:tr w:rsidR="005A28EA" w:rsidRPr="00C0062E" w:rsidTr="005A28EA">
        <w:tc>
          <w:tcPr>
            <w:tcW w:w="1501" w:type="dxa"/>
            <w:tcBorders>
              <w:bottom w:val="single" w:sz="4" w:space="0" w:color="auto"/>
            </w:tcBorders>
          </w:tcPr>
          <w:p w:rsidR="005A28EA" w:rsidRPr="00460E3D" w:rsidRDefault="005A28EA" w:rsidP="005A28EA">
            <w:pPr>
              <w:jc w:val="left"/>
              <w:rPr>
                <w:rFonts w:ascii="Times New Roman" w:hAnsi="Times New Roman"/>
                <w:sz w:val="22"/>
              </w:rPr>
            </w:pPr>
          </w:p>
        </w:tc>
        <w:tc>
          <w:tcPr>
            <w:tcW w:w="2293" w:type="dxa"/>
            <w:tcBorders>
              <w:bottom w:val="single" w:sz="4" w:space="0" w:color="auto"/>
            </w:tcBorders>
          </w:tcPr>
          <w:p w:rsidR="005A28EA" w:rsidRPr="00460E3D" w:rsidRDefault="005A28EA" w:rsidP="005A28EA">
            <w:pPr>
              <w:jc w:val="left"/>
              <w:rPr>
                <w:rFonts w:ascii="Times New Roman" w:hAnsi="Times New Roman"/>
                <w:sz w:val="22"/>
              </w:rPr>
            </w:pPr>
          </w:p>
        </w:tc>
        <w:tc>
          <w:tcPr>
            <w:tcW w:w="1516" w:type="dxa"/>
            <w:tcBorders>
              <w:bottom w:val="single" w:sz="4" w:space="0" w:color="auto"/>
            </w:tcBorders>
          </w:tcPr>
          <w:p w:rsidR="005A28EA" w:rsidRPr="00460E3D" w:rsidRDefault="005A28EA" w:rsidP="005A28EA">
            <w:pPr>
              <w:jc w:val="left"/>
              <w:rPr>
                <w:rFonts w:ascii="Times New Roman" w:hAnsi="Times New Roman"/>
                <w:sz w:val="22"/>
              </w:rPr>
            </w:pPr>
          </w:p>
        </w:tc>
        <w:tc>
          <w:tcPr>
            <w:tcW w:w="1744" w:type="dxa"/>
            <w:tcBorders>
              <w:bottom w:val="single" w:sz="4" w:space="0" w:color="auto"/>
            </w:tcBorders>
          </w:tcPr>
          <w:p w:rsidR="005A28EA" w:rsidRPr="00460E3D" w:rsidRDefault="005A28EA" w:rsidP="005A28EA">
            <w:pPr>
              <w:jc w:val="left"/>
              <w:rPr>
                <w:rFonts w:ascii="Times New Roman" w:hAnsi="Times New Roman"/>
                <w:sz w:val="22"/>
              </w:rPr>
            </w:pPr>
          </w:p>
        </w:tc>
        <w:tc>
          <w:tcPr>
            <w:tcW w:w="2977" w:type="dxa"/>
            <w:tcBorders>
              <w:bottom w:val="single" w:sz="4" w:space="0" w:color="auto"/>
            </w:tcBorders>
          </w:tcPr>
          <w:p w:rsidR="005A28EA" w:rsidRPr="00460E3D" w:rsidRDefault="005A28EA" w:rsidP="005A28EA">
            <w:pPr>
              <w:jc w:val="left"/>
              <w:rPr>
                <w:rFonts w:ascii="Times New Roman" w:hAnsi="Times New Roman"/>
                <w:sz w:val="22"/>
              </w:rPr>
            </w:pPr>
          </w:p>
        </w:tc>
        <w:tc>
          <w:tcPr>
            <w:tcW w:w="4111" w:type="dxa"/>
            <w:tcBorders>
              <w:bottom w:val="single" w:sz="4" w:space="0" w:color="auto"/>
            </w:tcBorders>
          </w:tcPr>
          <w:p w:rsidR="005A28EA" w:rsidRPr="00460E3D" w:rsidRDefault="005A28EA" w:rsidP="005A28EA">
            <w:pPr>
              <w:jc w:val="left"/>
              <w:rPr>
                <w:rFonts w:ascii="Times New Roman" w:hAnsi="Times New Roman"/>
                <w:sz w:val="22"/>
              </w:rPr>
            </w:pPr>
          </w:p>
        </w:tc>
      </w:tr>
      <w:tr w:rsidR="005A28EA" w:rsidRPr="00C0062E" w:rsidTr="005A28EA">
        <w:tc>
          <w:tcPr>
            <w:tcW w:w="14142" w:type="dxa"/>
            <w:gridSpan w:val="6"/>
            <w:shd w:val="pct10" w:color="auto" w:fill="auto"/>
          </w:tcPr>
          <w:p w:rsidR="005A28EA" w:rsidRPr="00460E3D" w:rsidRDefault="005A28EA" w:rsidP="005A28EA">
            <w:pPr>
              <w:jc w:val="center"/>
              <w:rPr>
                <w:rFonts w:ascii="Times New Roman" w:hAnsi="Times New Roman"/>
                <w:sz w:val="22"/>
              </w:rPr>
            </w:pPr>
            <w:r w:rsidRPr="00C0062E">
              <w:rPr>
                <w:b/>
                <w:sz w:val="22"/>
              </w:rPr>
              <w:t>En tant qu’établissement du créancier</w:t>
            </w: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bl>
    <w:p w:rsidR="005A28EA" w:rsidRPr="00460E3D" w:rsidRDefault="005A28EA" w:rsidP="005A28EA">
      <w:pPr>
        <w:spacing w:after="200" w:line="276" w:lineRule="auto"/>
        <w:jc w:val="left"/>
        <w:rPr>
          <w:rFonts w:eastAsia="Calibri"/>
          <w:b/>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p>
    <w:p w:rsidR="005A28EA" w:rsidRPr="00460E3D" w:rsidRDefault="005A28EA" w:rsidP="005A28EA">
      <w:pPr>
        <w:numPr>
          <w:ilvl w:val="0"/>
          <w:numId w:val="75"/>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p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rsidTr="005A28EA">
        <w:tc>
          <w:tcPr>
            <w:tcW w:w="9212" w:type="dxa"/>
          </w:tcPr>
          <w:p w:rsidR="005A28EA" w:rsidRPr="00460E3D" w:rsidRDefault="005A28EA" w:rsidP="005A28EA">
            <w:pPr>
              <w:jc w:val="left"/>
              <w:rPr>
                <w:rFonts w:ascii="Times New Roman" w:hAnsi="Times New Roman"/>
                <w:sz w:val="22"/>
              </w:rPr>
            </w:pPr>
            <w:r w:rsidRPr="00460E3D">
              <w:rPr>
                <w:i/>
                <w:sz w:val="22"/>
              </w:rPr>
              <w:t xml:space="preserve">Décrire les projets </w:t>
            </w:r>
            <w:r w:rsidR="00C30A7D">
              <w:rPr>
                <w:i/>
                <w:sz w:val="22"/>
              </w:rPr>
              <w:t xml:space="preserve">de commercialisation de nouveaux produits/services ou d’évolution de l’offre existante d’ordre technologique, fonctionnel et sécuritaire </w:t>
            </w:r>
            <w:r w:rsidR="00C30A7D" w:rsidRPr="00460E3D">
              <w:rPr>
                <w:i/>
                <w:sz w:val="22"/>
              </w:rPr>
              <w:t>prévus à court et moyen terme</w:t>
            </w:r>
            <w:r w:rsidR="00C30A7D">
              <w:rPr>
                <w:i/>
                <w:sz w:val="22"/>
              </w:rPr>
              <w:t>.</w:t>
            </w: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tc>
      </w:tr>
    </w:tbl>
    <w:p w:rsidR="005A28EA" w:rsidRPr="00460E3D" w:rsidRDefault="005A28EA"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rsidTr="005A28EA">
        <w:tc>
          <w:tcPr>
            <w:tcW w:w="9212" w:type="dxa"/>
            <w:shd w:val="clear" w:color="auto" w:fill="8DB3E2" w:themeFill="text2" w:themeFillTint="66"/>
          </w:tcPr>
          <w:p w:rsidR="005A28EA" w:rsidRPr="00460E3D" w:rsidRDefault="005A28EA" w:rsidP="005A28EA">
            <w:pPr>
              <w:ind w:left="360"/>
              <w:jc w:val="left"/>
              <w:rPr>
                <w:rFonts w:ascii="Times New Roman" w:hAnsi="Times New Roman"/>
                <w:b/>
                <w:sz w:val="22"/>
              </w:rPr>
            </w:pPr>
            <w:r w:rsidRPr="00C0062E">
              <w:rPr>
                <w:b/>
                <w:sz w:val="22"/>
              </w:rPr>
              <w:t>3.2. Organisation opérationnelle de l’activité prélèvement</w:t>
            </w:r>
          </w:p>
        </w:tc>
      </w:tr>
    </w:tbl>
    <w:p w:rsidR="005A28EA" w:rsidRPr="00460E3D" w:rsidRDefault="005A28EA" w:rsidP="005A28EA">
      <w:pPr>
        <w:jc w:val="left"/>
        <w:rPr>
          <w:rFonts w:eastAsia="Calibri"/>
          <w:sz w:val="22"/>
          <w:szCs w:val="22"/>
          <w:lang w:eastAsia="en-US"/>
        </w:rPr>
      </w:pPr>
    </w:p>
    <w:p w:rsidR="005A28EA"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C30A7D">
        <w:rPr>
          <w:rFonts w:eastAsia="Calibri"/>
          <w:i/>
          <w:sz w:val="22"/>
          <w:szCs w:val="22"/>
          <w:lang w:eastAsia="en-US"/>
        </w:rPr>
        <w:t xml:space="preserve">du moyen/service de paiement depuis son émission/réception jusqu’à sa remise aux systèmes d’échange/imputation en compte </w:t>
      </w:r>
      <w:r w:rsidRPr="00460E3D">
        <w:rPr>
          <w:rFonts w:eastAsia="Calibri"/>
          <w:i/>
          <w:sz w:val="22"/>
          <w:szCs w:val="22"/>
          <w:lang w:eastAsia="en-US"/>
        </w:rPr>
        <w:t>en précisant en particulier les traitements externalisés (y compris auprès d’entités du groupe) et ceux mutualisés avec d’autres établissements.</w:t>
      </w:r>
      <w:r w:rsidR="00C30A7D">
        <w:rPr>
          <w:rFonts w:eastAsia="Calibri"/>
          <w:i/>
          <w:sz w:val="22"/>
          <w:szCs w:val="22"/>
          <w:lang w:eastAsia="en-US"/>
        </w:rPr>
        <w:t xml:space="preserve"> Un schéma organisationnel peut-être inséré si nécessaire.</w:t>
      </w:r>
    </w:p>
    <w:p w:rsidR="00C30A7D" w:rsidRPr="00460E3D" w:rsidRDefault="00C30A7D" w:rsidP="005A28EA">
      <w:pPr>
        <w:rPr>
          <w:rFonts w:eastAsia="Calibri"/>
          <w:i/>
          <w:sz w:val="22"/>
          <w:szCs w:val="22"/>
          <w:lang w:eastAsia="en-US"/>
        </w:rPr>
      </w:pPr>
    </w:p>
    <w:p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5A28EA" w:rsidRPr="00C0062E" w:rsidTr="005A28EA">
        <w:tc>
          <w:tcPr>
            <w:tcW w:w="3369"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Rôles</w:t>
            </w:r>
          </w:p>
        </w:tc>
      </w:tr>
      <w:tr w:rsidR="005A28EA" w:rsidRPr="00C0062E" w:rsidTr="005A28EA">
        <w:tc>
          <w:tcPr>
            <w:tcW w:w="9180" w:type="dxa"/>
            <w:gridSpan w:val="2"/>
            <w:shd w:val="pct10" w:color="auto" w:fill="auto"/>
          </w:tcPr>
          <w:p w:rsidR="005A28EA" w:rsidRPr="00460E3D" w:rsidRDefault="005A28EA" w:rsidP="005A28EA">
            <w:pPr>
              <w:jc w:val="center"/>
              <w:rPr>
                <w:rFonts w:ascii="Times New Roman" w:hAnsi="Times New Roman"/>
                <w:b/>
                <w:sz w:val="22"/>
              </w:rPr>
            </w:pPr>
            <w:r w:rsidRPr="00C0062E">
              <w:rPr>
                <w:b/>
                <w:sz w:val="22"/>
              </w:rPr>
              <w:t>Activité d’émission et de gestion</w:t>
            </w: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bl>
    <w:p w:rsidR="005A28EA" w:rsidRPr="00460E3D" w:rsidRDefault="005A28EA" w:rsidP="005A28EA">
      <w:pPr>
        <w:jc w:val="left"/>
        <w:rPr>
          <w:rFonts w:eastAsia="Calibri"/>
          <w:sz w:val="22"/>
          <w:szCs w:val="22"/>
          <w:lang w:eastAsia="en-US"/>
        </w:rPr>
      </w:pPr>
    </w:p>
    <w:p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rsidTr="005A28EA">
        <w:tc>
          <w:tcPr>
            <w:tcW w:w="9212" w:type="dxa"/>
          </w:tcPr>
          <w:p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rsidR="005A28EA" w:rsidRPr="00460E3D" w:rsidRDefault="005A28EA" w:rsidP="005A28EA">
            <w:pPr>
              <w:jc w:val="left"/>
              <w:rPr>
                <w:rFonts w:ascii="Times New Roman" w:hAnsi="Times New Roman"/>
                <w:i/>
                <w:sz w:val="22"/>
              </w:rPr>
            </w:pPr>
          </w:p>
          <w:p w:rsidR="005A28EA" w:rsidRPr="00460E3D" w:rsidRDefault="005A28EA" w:rsidP="005A28EA">
            <w:pPr>
              <w:jc w:val="left"/>
              <w:rPr>
                <w:rFonts w:ascii="Times New Roman" w:hAnsi="Times New Roman"/>
                <w:i/>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tc>
      </w:tr>
    </w:tbl>
    <w:p w:rsidR="005A28EA" w:rsidRPr="00460E3D" w:rsidRDefault="005A28EA" w:rsidP="005A28EA">
      <w:pPr>
        <w:jc w:val="left"/>
        <w:rPr>
          <w:rFonts w:eastAsia="Calibri"/>
          <w:sz w:val="22"/>
          <w:szCs w:val="22"/>
          <w:lang w:eastAsia="en-US"/>
        </w:rPr>
      </w:pPr>
    </w:p>
    <w:p w:rsidR="005A28EA" w:rsidRPr="00460E3D" w:rsidRDefault="005A28EA" w:rsidP="005A28EA">
      <w:pPr>
        <w:ind w:left="360"/>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rsidTr="005A28EA">
        <w:tc>
          <w:tcPr>
            <w:tcW w:w="9212" w:type="dxa"/>
            <w:shd w:val="clear" w:color="auto" w:fill="8DB3E2" w:themeFill="text2" w:themeFillTint="66"/>
          </w:tcPr>
          <w:p w:rsidR="005A28EA" w:rsidRPr="00460E3D" w:rsidRDefault="005A28EA" w:rsidP="005A28EA">
            <w:pPr>
              <w:ind w:left="360"/>
              <w:jc w:val="left"/>
              <w:rPr>
                <w:rFonts w:ascii="Times New Roman" w:hAnsi="Times New Roman"/>
                <w:b/>
                <w:sz w:val="22"/>
              </w:rPr>
            </w:pPr>
            <w:r w:rsidRPr="00C0062E">
              <w:rPr>
                <w:b/>
                <w:sz w:val="22"/>
              </w:rPr>
              <w:t>3.3. Grille d’analyse des risques et principaux incidents de fraude</w:t>
            </w:r>
          </w:p>
        </w:tc>
      </w:tr>
    </w:tbl>
    <w:p w:rsidR="005A28EA" w:rsidRPr="00460E3D" w:rsidRDefault="005A28EA" w:rsidP="005A28EA">
      <w:pPr>
        <w:ind w:left="720"/>
        <w:jc w:val="left"/>
        <w:rPr>
          <w:rFonts w:eastAsia="Calibri"/>
          <w:b/>
          <w:sz w:val="22"/>
          <w:szCs w:val="22"/>
          <w:lang w:eastAsia="en-US"/>
        </w:rPr>
      </w:pPr>
    </w:p>
    <w:p w:rsidR="00A02492" w:rsidRPr="00460E3D" w:rsidRDefault="00A02492" w:rsidP="00A02492">
      <w:pPr>
        <w:numPr>
          <w:ilvl w:val="0"/>
          <w:numId w:val="89"/>
        </w:numPr>
        <w:spacing w:after="200" w:line="276" w:lineRule="auto"/>
        <w:jc w:val="left"/>
        <w:rPr>
          <w:rFonts w:eastAsia="Calibri"/>
          <w:b/>
          <w:sz w:val="22"/>
          <w:szCs w:val="22"/>
          <w:lang w:eastAsia="en-US"/>
        </w:rPr>
      </w:pPr>
      <w:r w:rsidRPr="00460E3D">
        <w:rPr>
          <w:rFonts w:eastAsia="Calibri"/>
          <w:b/>
          <w:sz w:val="22"/>
          <w:szCs w:val="22"/>
          <w:lang w:eastAsia="en-US"/>
        </w:rPr>
        <w:t>Rappel de la typologie de fraude applicable</w:t>
      </w:r>
    </w:p>
    <w:p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2630"/>
        <w:gridCol w:w="6430"/>
      </w:tblGrid>
      <w:tr w:rsidR="005A28EA" w:rsidRPr="00C0062E" w:rsidTr="00890013">
        <w:tc>
          <w:tcPr>
            <w:tcW w:w="2630" w:type="dxa"/>
            <w:shd w:val="clear" w:color="auto" w:fill="B6DDE8" w:themeFill="accent5" w:themeFillTint="66"/>
          </w:tcPr>
          <w:p w:rsidR="005A28EA" w:rsidRPr="00460E3D" w:rsidRDefault="005A28EA" w:rsidP="005A28EA">
            <w:pPr>
              <w:jc w:val="center"/>
              <w:rPr>
                <w:rFonts w:ascii="Times New Roman" w:hAnsi="Times New Roman"/>
                <w:b/>
                <w:sz w:val="22"/>
              </w:rPr>
            </w:pPr>
            <w:r w:rsidRPr="00C0062E">
              <w:rPr>
                <w:b/>
                <w:sz w:val="22"/>
              </w:rPr>
              <w:t>Typologie de fraude</w:t>
            </w:r>
          </w:p>
        </w:tc>
        <w:tc>
          <w:tcPr>
            <w:tcW w:w="6430" w:type="dxa"/>
            <w:shd w:val="clear" w:color="auto" w:fill="B6DDE8" w:themeFill="accent5" w:themeFillTint="66"/>
          </w:tcPr>
          <w:p w:rsidR="005A28EA" w:rsidRPr="00460E3D" w:rsidRDefault="005A28EA" w:rsidP="005A28EA">
            <w:pPr>
              <w:jc w:val="center"/>
              <w:rPr>
                <w:rFonts w:ascii="Times New Roman" w:hAnsi="Times New Roman"/>
                <w:b/>
                <w:sz w:val="22"/>
              </w:rPr>
            </w:pPr>
            <w:r w:rsidRPr="00C0062E">
              <w:rPr>
                <w:b/>
                <w:sz w:val="22"/>
              </w:rPr>
              <w:t>Description</w:t>
            </w:r>
          </w:p>
        </w:tc>
      </w:tr>
      <w:tr w:rsidR="005A28EA" w:rsidRPr="00C0062E" w:rsidTr="00890013">
        <w:tc>
          <w:tcPr>
            <w:tcW w:w="2630" w:type="dxa"/>
          </w:tcPr>
          <w:p w:rsidR="005A28EA" w:rsidRPr="00460E3D" w:rsidRDefault="005A28EA" w:rsidP="005A28EA">
            <w:pPr>
              <w:jc w:val="left"/>
              <w:rPr>
                <w:rFonts w:ascii="Times New Roman" w:hAnsi="Times New Roman"/>
                <w:sz w:val="22"/>
              </w:rPr>
            </w:pPr>
            <w:r w:rsidRPr="00C0062E">
              <w:rPr>
                <w:sz w:val="22"/>
              </w:rPr>
              <w:t>Faux prélèvement</w:t>
            </w:r>
          </w:p>
        </w:tc>
        <w:tc>
          <w:tcPr>
            <w:tcW w:w="6430" w:type="dxa"/>
          </w:tcPr>
          <w:p w:rsidR="00890013" w:rsidRDefault="00A02492" w:rsidP="005A28EA">
            <w:pPr>
              <w:rPr>
                <w:sz w:val="22"/>
              </w:rPr>
            </w:pPr>
            <w:r w:rsidRPr="00EB6D95">
              <w:rPr>
                <w:sz w:val="22"/>
              </w:rPr>
              <w:t>Le fraudeur créancier émet des prélèvements vers des numéros de compte qu’il a obtenus illégalement et sans aucune autorisation ou réalité économique sous-jacente (« opération de paiement non autorisée » dans la terminologie de l’ABE).</w:t>
            </w:r>
          </w:p>
          <w:p w:rsidR="005A28EA" w:rsidRPr="00460E3D" w:rsidRDefault="005A28EA" w:rsidP="005A28EA">
            <w:pPr>
              <w:rPr>
                <w:rFonts w:ascii="Times New Roman" w:hAnsi="Times New Roman"/>
                <w:sz w:val="22"/>
              </w:rPr>
            </w:pPr>
            <w:r w:rsidRPr="00C0062E">
              <w:rPr>
                <w:sz w:val="22"/>
              </w:rPr>
              <w:t>Exemple 1 : le fraudeur émet massivement des prélèvements vers des RIB/IBAN dont il a obtenu illégalement la liste et sans aucune autorisation ou réalité économique sous-jacente.</w:t>
            </w:r>
          </w:p>
          <w:p w:rsidR="005A28EA" w:rsidRDefault="005A28EA" w:rsidP="00460E3D">
            <w:pPr>
              <w:rPr>
                <w:sz w:val="22"/>
              </w:rPr>
            </w:pPr>
            <w:r w:rsidRPr="00C0062E">
              <w:rPr>
                <w:sz w:val="22"/>
              </w:rPr>
              <w:lastRenderedPageBreak/>
              <w:t>Exemple 2 : le créancier émet des prélèvements non autorisés après avoir obtenu les coordonnées bancaires du débiteur grâce à un produit d’appel servant « d’hameçon » (seulement un débit autorisé).</w:t>
            </w:r>
          </w:p>
          <w:p w:rsidR="00A02492" w:rsidRPr="00460E3D" w:rsidRDefault="00A02492" w:rsidP="00460E3D">
            <w:pPr>
              <w:rPr>
                <w:rFonts w:ascii="Times New Roman" w:hAnsi="Times New Roman"/>
                <w:sz w:val="22"/>
              </w:rPr>
            </w:pPr>
            <w:r>
              <w:rPr>
                <w:sz w:val="22"/>
              </w:rPr>
              <w:t xml:space="preserve">Exemple 3 : </w:t>
            </w:r>
            <w:r w:rsidRPr="00C0062E">
              <w:rPr>
                <w:sz w:val="22"/>
              </w:rPr>
              <w:t>Le créancier émet sciemment des prélèvements déjà émis (qui ont soit déjà été réglé,</w:t>
            </w:r>
            <w:r>
              <w:rPr>
                <w:sz w:val="22"/>
              </w:rPr>
              <w:t xml:space="preserve"> soit </w:t>
            </w:r>
            <w:r w:rsidRPr="00C0062E">
              <w:rPr>
                <w:sz w:val="22"/>
              </w:rPr>
              <w:t>fait l’objet de rejets pour op</w:t>
            </w:r>
            <w:r>
              <w:rPr>
                <w:sz w:val="22"/>
              </w:rPr>
              <w:t>position du débiteur</w:t>
            </w:r>
            <w:r w:rsidRPr="00C0062E">
              <w:rPr>
                <w:sz w:val="22"/>
              </w:rPr>
              <w:t>).</w:t>
            </w:r>
          </w:p>
        </w:tc>
      </w:tr>
      <w:tr w:rsidR="005A28EA" w:rsidRPr="00C0062E" w:rsidTr="00890013">
        <w:tc>
          <w:tcPr>
            <w:tcW w:w="2630" w:type="dxa"/>
          </w:tcPr>
          <w:p w:rsidR="005A28EA" w:rsidRPr="00460E3D" w:rsidRDefault="005A28EA" w:rsidP="005A28EA">
            <w:pPr>
              <w:jc w:val="left"/>
              <w:rPr>
                <w:rFonts w:ascii="Times New Roman" w:hAnsi="Times New Roman"/>
                <w:sz w:val="22"/>
              </w:rPr>
            </w:pPr>
            <w:r w:rsidRPr="00C0062E">
              <w:rPr>
                <w:sz w:val="22"/>
              </w:rPr>
              <w:lastRenderedPageBreak/>
              <w:t>Détournement</w:t>
            </w:r>
          </w:p>
        </w:tc>
        <w:tc>
          <w:tcPr>
            <w:tcW w:w="6430" w:type="dxa"/>
          </w:tcPr>
          <w:p w:rsidR="005A28EA" w:rsidRPr="00460E3D" w:rsidRDefault="00A02492">
            <w:pPr>
              <w:rPr>
                <w:rFonts w:ascii="Times New Roman" w:hAnsi="Times New Roman"/>
                <w:sz w:val="22"/>
              </w:rPr>
            </w:pPr>
            <w:r w:rsidRPr="00EB6D95">
              <w:rPr>
                <w:sz w:val="22"/>
              </w:rPr>
              <w:t>Le fraudeur débiteur usurpe l’identité et l’IBAN d’un tiers pour la signature d’un mandat de prélèvement sur un compte qui n’est pas le sien (« manipulation du payeur par le fraudeur » dans la terminologie de l’ABE).</w:t>
            </w:r>
            <w:r w:rsidR="005A28EA" w:rsidRPr="00C0062E">
              <w:rPr>
                <w:sz w:val="22"/>
              </w:rPr>
              <w:t xml:space="preserve"> </w:t>
            </w:r>
          </w:p>
        </w:tc>
      </w:tr>
    </w:tbl>
    <w:p w:rsidR="005A28EA" w:rsidRPr="00460E3D" w:rsidRDefault="005A28EA" w:rsidP="005A28EA">
      <w:pPr>
        <w:jc w:val="left"/>
        <w:rPr>
          <w:rFonts w:eastAsia="Calibri"/>
          <w:b/>
          <w:sz w:val="22"/>
          <w:szCs w:val="22"/>
          <w:lang w:eastAsia="en-US"/>
        </w:rPr>
      </w:pPr>
    </w:p>
    <w:p w:rsidR="005A28EA" w:rsidRPr="00460E3D" w:rsidRDefault="005A28EA" w:rsidP="005A28EA">
      <w:pPr>
        <w:numPr>
          <w:ilvl w:val="0"/>
          <w:numId w:val="89"/>
        </w:numPr>
        <w:spacing w:after="200" w:line="276" w:lineRule="auto"/>
        <w:jc w:val="left"/>
        <w:rPr>
          <w:rFonts w:eastAsia="Calibri"/>
          <w:b/>
          <w:sz w:val="22"/>
          <w:szCs w:val="22"/>
          <w:lang w:eastAsia="en-US"/>
        </w:rPr>
      </w:pPr>
      <w:r w:rsidRPr="00460E3D">
        <w:rPr>
          <w:rFonts w:eastAsia="Calibri"/>
          <w:b/>
          <w:sz w:val="22"/>
          <w:szCs w:val="22"/>
          <w:lang w:eastAsia="en-US"/>
        </w:rPr>
        <w:t>Cotation globale du risque de fraude sur l</w:t>
      </w:r>
      <w:r w:rsidR="007A2855">
        <w:rPr>
          <w:rFonts w:eastAsia="Calibri"/>
          <w:b/>
          <w:sz w:val="22"/>
          <w:szCs w:val="22"/>
          <w:lang w:eastAsia="en-US"/>
        </w:rPr>
        <w:t>e prélèvement</w:t>
      </w:r>
    </w:p>
    <w:p w:rsidR="005A28EA" w:rsidRPr="00460E3D" w:rsidRDefault="005A28EA" w:rsidP="005A28EA">
      <w:pPr>
        <w:rPr>
          <w:rFonts w:eastAsia="Calibri"/>
          <w:i/>
          <w:sz w:val="22"/>
          <w:szCs w:val="22"/>
          <w:lang w:eastAsia="en-US"/>
        </w:rPr>
      </w:pPr>
      <w:r w:rsidRPr="00460E3D">
        <w:rPr>
          <w:rFonts w:eastAsia="Calibri"/>
          <w:i/>
          <w:sz w:val="22"/>
          <w:szCs w:val="22"/>
          <w:lang w:eastAsia="en-US"/>
        </w:rPr>
        <w:t>La matrice de cotation utilisée par l’établissement pour évaluer le risque de fraude est à communiquer dans la partie IV de la présente annexe.</w:t>
      </w:r>
    </w:p>
    <w:p w:rsidR="005A28EA" w:rsidRPr="00460E3D" w:rsidRDefault="005A28EA" w:rsidP="005A28EA">
      <w:pPr>
        <w:ind w:left="720"/>
        <w:jc w:val="left"/>
        <w:rPr>
          <w:rFonts w:eastAsia="Calibri"/>
          <w:b/>
          <w:sz w:val="22"/>
          <w:szCs w:val="22"/>
          <w:lang w:eastAsia="en-US"/>
        </w:rPr>
      </w:pPr>
    </w:p>
    <w:tbl>
      <w:tblPr>
        <w:tblStyle w:val="Grilledutableau11"/>
        <w:tblW w:w="0" w:type="auto"/>
        <w:tblInd w:w="-34" w:type="dxa"/>
        <w:tblLook w:val="04A0" w:firstRow="1" w:lastRow="0" w:firstColumn="1" w:lastColumn="0" w:noHBand="0" w:noVBand="1"/>
      </w:tblPr>
      <w:tblGrid>
        <w:gridCol w:w="2951"/>
        <w:gridCol w:w="6143"/>
      </w:tblGrid>
      <w:tr w:rsidR="005A28EA" w:rsidRPr="00C0062E" w:rsidTr="005A28EA">
        <w:tc>
          <w:tcPr>
            <w:tcW w:w="2977" w:type="dxa"/>
            <w:shd w:val="clear" w:color="auto" w:fill="F2DBDB" w:themeFill="accent2" w:themeFillTint="33"/>
          </w:tcPr>
          <w:p w:rsidR="005A28EA" w:rsidRPr="00460E3D" w:rsidRDefault="005A28EA" w:rsidP="005A28EA">
            <w:pPr>
              <w:jc w:val="left"/>
              <w:rPr>
                <w:rFonts w:ascii="Times New Roman" w:hAnsi="Times New Roman"/>
                <w:szCs w:val="24"/>
                <w:u w:val="single"/>
              </w:rPr>
            </w:pPr>
            <w:r w:rsidRPr="00C0062E">
              <w:rPr>
                <w:szCs w:val="24"/>
                <w:u w:val="single"/>
              </w:rPr>
              <w:t>Risque brut</w:t>
            </w:r>
          </w:p>
          <w:p w:rsidR="005A28EA" w:rsidRPr="00460E3D" w:rsidRDefault="005A28EA" w:rsidP="005A28EA">
            <w:pPr>
              <w:jc w:val="left"/>
              <w:rPr>
                <w:rFonts w:ascii="Times New Roman" w:hAnsi="Times New Roman"/>
                <w:i/>
                <w:szCs w:val="24"/>
              </w:rPr>
            </w:pPr>
            <w:r w:rsidRPr="00C0062E">
              <w:rPr>
                <w:i/>
                <w:szCs w:val="24"/>
              </w:rPr>
              <w:t>(Risque inhérent avant les mesures de couverture)</w:t>
            </w:r>
          </w:p>
        </w:tc>
        <w:tc>
          <w:tcPr>
            <w:tcW w:w="6237" w:type="dxa"/>
          </w:tcPr>
          <w:p w:rsidR="005A28EA" w:rsidRPr="00460E3D" w:rsidRDefault="005A28EA" w:rsidP="005A28EA">
            <w:pPr>
              <w:jc w:val="left"/>
              <w:rPr>
                <w:rFonts w:ascii="Times New Roman" w:hAnsi="Times New Roman"/>
                <w:szCs w:val="24"/>
              </w:rPr>
            </w:pPr>
          </w:p>
        </w:tc>
      </w:tr>
      <w:tr w:rsidR="005A28EA" w:rsidRPr="00C0062E" w:rsidTr="005A28EA">
        <w:tc>
          <w:tcPr>
            <w:tcW w:w="2977" w:type="dxa"/>
            <w:shd w:val="clear" w:color="auto" w:fill="F2DBDB" w:themeFill="accent2" w:themeFillTint="33"/>
          </w:tcPr>
          <w:p w:rsidR="005A28EA" w:rsidRPr="00460E3D" w:rsidRDefault="005A28EA" w:rsidP="005A28EA">
            <w:pPr>
              <w:jc w:val="left"/>
              <w:rPr>
                <w:rFonts w:ascii="Times New Roman" w:hAnsi="Times New Roman"/>
                <w:szCs w:val="24"/>
                <w:u w:val="single"/>
              </w:rPr>
            </w:pPr>
            <w:r w:rsidRPr="00C0062E">
              <w:rPr>
                <w:szCs w:val="24"/>
                <w:u w:val="single"/>
              </w:rPr>
              <w:t>Risque résiduel</w:t>
            </w:r>
          </w:p>
          <w:p w:rsidR="005A28EA" w:rsidRPr="00460E3D" w:rsidRDefault="005A28EA" w:rsidP="005A28EA">
            <w:pPr>
              <w:jc w:val="left"/>
              <w:rPr>
                <w:rFonts w:ascii="Times New Roman" w:hAnsi="Times New Roman"/>
                <w:i/>
                <w:szCs w:val="24"/>
              </w:rPr>
            </w:pPr>
            <w:r w:rsidRPr="00C0062E">
              <w:rPr>
                <w:i/>
                <w:szCs w:val="24"/>
              </w:rPr>
              <w:t>(Risque subsistant après les mesures de couverture)</w:t>
            </w:r>
          </w:p>
        </w:tc>
        <w:tc>
          <w:tcPr>
            <w:tcW w:w="6237" w:type="dxa"/>
          </w:tcPr>
          <w:p w:rsidR="005A28EA" w:rsidRPr="00460E3D" w:rsidRDefault="005A28EA" w:rsidP="005A28EA">
            <w:pPr>
              <w:jc w:val="left"/>
              <w:rPr>
                <w:rFonts w:ascii="Times New Roman" w:hAnsi="Times New Roman"/>
                <w:szCs w:val="24"/>
              </w:rPr>
            </w:pPr>
          </w:p>
        </w:tc>
      </w:tr>
    </w:tbl>
    <w:p w:rsidR="005A28EA" w:rsidRPr="00460E3D" w:rsidRDefault="005A28EA" w:rsidP="005A28EA">
      <w:pPr>
        <w:ind w:left="360"/>
        <w:jc w:val="left"/>
        <w:rPr>
          <w:rFonts w:eastAsia="Calibri"/>
          <w:szCs w:val="24"/>
          <w:lang w:eastAsia="en-US"/>
        </w:rPr>
      </w:pPr>
    </w:p>
    <w:p w:rsidR="005A28EA" w:rsidRPr="00460E3D" w:rsidRDefault="005A28EA" w:rsidP="005A28EA">
      <w:pPr>
        <w:numPr>
          <w:ilvl w:val="0"/>
          <w:numId w:val="89"/>
        </w:numPr>
        <w:spacing w:after="200" w:line="276" w:lineRule="auto"/>
        <w:jc w:val="left"/>
        <w:rPr>
          <w:rFonts w:eastAsia="Calibri"/>
          <w:b/>
          <w:sz w:val="22"/>
          <w:szCs w:val="22"/>
          <w:lang w:eastAsia="en-US"/>
        </w:rPr>
      </w:pPr>
      <w:r w:rsidRPr="00460E3D">
        <w:rPr>
          <w:rFonts w:eastAsia="Calibri"/>
          <w:b/>
          <w:sz w:val="22"/>
          <w:szCs w:val="22"/>
          <w:lang w:eastAsia="en-US"/>
        </w:rPr>
        <w:t>Mesures de couverture du risque de fraude</w:t>
      </w:r>
    </w:p>
    <w:p w:rsidR="005A28EA" w:rsidRPr="00460E3D" w:rsidRDefault="005A28EA" w:rsidP="005A28EA">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rsidR="005A28EA" w:rsidRPr="00460E3D" w:rsidRDefault="005A28EA" w:rsidP="005A28EA">
      <w:pPr>
        <w:jc w:val="left"/>
        <w:rPr>
          <w:rFonts w:eastAsia="Calibri"/>
          <w:sz w:val="22"/>
          <w:szCs w:val="22"/>
          <w:lang w:eastAsia="en-US"/>
        </w:rPr>
      </w:pPr>
    </w:p>
    <w:p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débiteur</w:t>
      </w:r>
      <w:r w:rsidR="007531F6">
        <w:rPr>
          <w:rFonts w:eastAsia="Calibri"/>
          <w:sz w:val="22"/>
          <w:szCs w:val="22"/>
          <w:lang w:eastAsia="en-US"/>
        </w:rPr>
        <w:t> :</w:t>
      </w:r>
    </w:p>
    <w:p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077"/>
        <w:gridCol w:w="1687"/>
        <w:gridCol w:w="5296"/>
      </w:tblGrid>
      <w:tr w:rsidR="005A28EA" w:rsidRPr="00C0062E" w:rsidTr="00890013">
        <w:tc>
          <w:tcPr>
            <w:tcW w:w="2077" w:type="dxa"/>
            <w:shd w:val="clear" w:color="auto" w:fill="D6E3BC" w:themeFill="accent3" w:themeFillTint="66"/>
            <w:vAlign w:val="center"/>
          </w:tcPr>
          <w:p w:rsidR="005A28EA" w:rsidRPr="00460E3D" w:rsidRDefault="005A28EA">
            <w:pPr>
              <w:jc w:val="center"/>
              <w:rPr>
                <w:rFonts w:ascii="Times New Roman" w:hAnsi="Times New Roman"/>
                <w:b/>
                <w:sz w:val="22"/>
              </w:rPr>
            </w:pPr>
            <w:r w:rsidRPr="00C0062E">
              <w:rPr>
                <w:b/>
                <w:sz w:val="22"/>
              </w:rPr>
              <w:t>Typologie de fraude</w:t>
            </w:r>
          </w:p>
        </w:tc>
        <w:tc>
          <w:tcPr>
            <w:tcW w:w="1687" w:type="dxa"/>
            <w:shd w:val="clear" w:color="auto" w:fill="D6E3BC" w:themeFill="accent3" w:themeFillTint="66"/>
            <w:vAlign w:val="center"/>
          </w:tcPr>
          <w:p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5296" w:type="dxa"/>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rsidTr="00890013">
        <w:tc>
          <w:tcPr>
            <w:tcW w:w="2077" w:type="dxa"/>
          </w:tcPr>
          <w:p w:rsidR="005A28EA" w:rsidRPr="00460E3D" w:rsidRDefault="005A28EA" w:rsidP="005A28EA">
            <w:pPr>
              <w:jc w:val="left"/>
              <w:rPr>
                <w:rFonts w:ascii="Times New Roman" w:hAnsi="Times New Roman"/>
                <w:sz w:val="22"/>
              </w:rPr>
            </w:pPr>
            <w:r w:rsidRPr="00C0062E">
              <w:rPr>
                <w:sz w:val="22"/>
              </w:rPr>
              <w:t>Faux prélèvement</w:t>
            </w:r>
          </w:p>
        </w:tc>
        <w:tc>
          <w:tcPr>
            <w:tcW w:w="1687" w:type="dxa"/>
          </w:tcPr>
          <w:p w:rsidR="005A28EA" w:rsidRPr="00460E3D" w:rsidRDefault="005A28EA" w:rsidP="005A28EA">
            <w:pPr>
              <w:jc w:val="left"/>
              <w:rPr>
                <w:rFonts w:ascii="Times New Roman" w:hAnsi="Times New Roman"/>
                <w:b/>
                <w:sz w:val="22"/>
              </w:rPr>
            </w:pPr>
          </w:p>
        </w:tc>
        <w:tc>
          <w:tcPr>
            <w:tcW w:w="5296" w:type="dxa"/>
          </w:tcPr>
          <w:p w:rsidR="005A28EA" w:rsidRPr="00460E3D" w:rsidRDefault="005A28EA" w:rsidP="005A28EA">
            <w:pPr>
              <w:jc w:val="left"/>
              <w:rPr>
                <w:rFonts w:ascii="Times New Roman" w:hAnsi="Times New Roman"/>
                <w:b/>
                <w:sz w:val="22"/>
              </w:rPr>
            </w:pPr>
          </w:p>
        </w:tc>
      </w:tr>
      <w:tr w:rsidR="005A28EA" w:rsidRPr="00C0062E" w:rsidTr="00890013">
        <w:tc>
          <w:tcPr>
            <w:tcW w:w="2077" w:type="dxa"/>
          </w:tcPr>
          <w:p w:rsidR="005A28EA" w:rsidRPr="00460E3D" w:rsidRDefault="005A28EA" w:rsidP="005A28EA">
            <w:pPr>
              <w:jc w:val="left"/>
              <w:rPr>
                <w:rFonts w:ascii="Times New Roman" w:hAnsi="Times New Roman"/>
                <w:sz w:val="22"/>
              </w:rPr>
            </w:pPr>
            <w:r w:rsidRPr="00C0062E">
              <w:rPr>
                <w:sz w:val="22"/>
              </w:rPr>
              <w:t>Détournement</w:t>
            </w:r>
          </w:p>
        </w:tc>
        <w:tc>
          <w:tcPr>
            <w:tcW w:w="1687" w:type="dxa"/>
          </w:tcPr>
          <w:p w:rsidR="005A28EA" w:rsidRPr="00460E3D" w:rsidRDefault="005A28EA" w:rsidP="005A28EA">
            <w:pPr>
              <w:jc w:val="left"/>
              <w:rPr>
                <w:rFonts w:ascii="Times New Roman" w:hAnsi="Times New Roman"/>
                <w:b/>
                <w:sz w:val="22"/>
              </w:rPr>
            </w:pPr>
          </w:p>
        </w:tc>
        <w:tc>
          <w:tcPr>
            <w:tcW w:w="5296" w:type="dxa"/>
          </w:tcPr>
          <w:p w:rsidR="005A28EA" w:rsidRPr="00460E3D" w:rsidRDefault="005A28EA" w:rsidP="005A28EA">
            <w:pPr>
              <w:jc w:val="left"/>
              <w:rPr>
                <w:rFonts w:ascii="Times New Roman" w:hAnsi="Times New Roman"/>
                <w:b/>
                <w:sz w:val="22"/>
              </w:rPr>
            </w:pPr>
          </w:p>
        </w:tc>
      </w:tr>
    </w:tbl>
    <w:p w:rsidR="005A28EA" w:rsidRPr="00460E3D" w:rsidRDefault="005A28EA" w:rsidP="005A28EA">
      <w:pPr>
        <w:ind w:left="1418"/>
        <w:jc w:val="left"/>
        <w:rPr>
          <w:rFonts w:eastAsia="Calibri"/>
          <w:b/>
          <w:sz w:val="22"/>
          <w:szCs w:val="22"/>
          <w:lang w:eastAsia="en-US"/>
        </w:rPr>
      </w:pPr>
    </w:p>
    <w:p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créancier</w:t>
      </w:r>
      <w:r w:rsidR="007531F6">
        <w:rPr>
          <w:rFonts w:eastAsia="Calibri"/>
          <w:sz w:val="22"/>
          <w:szCs w:val="22"/>
          <w:lang w:eastAsia="en-US"/>
        </w:rPr>
        <w:t> :</w:t>
      </w:r>
    </w:p>
    <w:p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077"/>
        <w:gridCol w:w="1687"/>
        <w:gridCol w:w="5296"/>
      </w:tblGrid>
      <w:tr w:rsidR="005A28EA" w:rsidRPr="00C0062E" w:rsidTr="00890013">
        <w:tc>
          <w:tcPr>
            <w:tcW w:w="2077" w:type="dxa"/>
            <w:shd w:val="clear" w:color="auto" w:fill="D6E3BC" w:themeFill="accent3" w:themeFillTint="66"/>
            <w:vAlign w:val="center"/>
          </w:tcPr>
          <w:p w:rsidR="005A28EA" w:rsidRPr="00460E3D" w:rsidRDefault="005A28EA">
            <w:pPr>
              <w:jc w:val="center"/>
              <w:rPr>
                <w:rFonts w:ascii="Times New Roman" w:hAnsi="Times New Roman"/>
                <w:b/>
                <w:sz w:val="22"/>
              </w:rPr>
            </w:pPr>
            <w:r w:rsidRPr="00C0062E">
              <w:rPr>
                <w:b/>
                <w:sz w:val="22"/>
              </w:rPr>
              <w:t>Typologie de fraude</w:t>
            </w:r>
          </w:p>
        </w:tc>
        <w:tc>
          <w:tcPr>
            <w:tcW w:w="1687" w:type="dxa"/>
            <w:shd w:val="clear" w:color="auto" w:fill="D6E3BC" w:themeFill="accent3" w:themeFillTint="66"/>
            <w:vAlign w:val="center"/>
          </w:tcPr>
          <w:p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5296" w:type="dxa"/>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rsidTr="00890013">
        <w:tc>
          <w:tcPr>
            <w:tcW w:w="2077" w:type="dxa"/>
          </w:tcPr>
          <w:p w:rsidR="005A28EA" w:rsidRPr="00460E3D" w:rsidRDefault="005A28EA" w:rsidP="005A28EA">
            <w:pPr>
              <w:jc w:val="left"/>
              <w:rPr>
                <w:rFonts w:ascii="Times New Roman" w:hAnsi="Times New Roman"/>
                <w:sz w:val="22"/>
              </w:rPr>
            </w:pPr>
            <w:r w:rsidRPr="00C0062E">
              <w:rPr>
                <w:sz w:val="22"/>
              </w:rPr>
              <w:t>Faux prélèvement</w:t>
            </w:r>
          </w:p>
        </w:tc>
        <w:tc>
          <w:tcPr>
            <w:tcW w:w="1687" w:type="dxa"/>
          </w:tcPr>
          <w:p w:rsidR="005A28EA" w:rsidRPr="00460E3D" w:rsidRDefault="005A28EA" w:rsidP="005A28EA">
            <w:pPr>
              <w:jc w:val="left"/>
              <w:rPr>
                <w:rFonts w:ascii="Times New Roman" w:hAnsi="Times New Roman"/>
                <w:b/>
                <w:sz w:val="22"/>
              </w:rPr>
            </w:pPr>
          </w:p>
        </w:tc>
        <w:tc>
          <w:tcPr>
            <w:tcW w:w="5296" w:type="dxa"/>
          </w:tcPr>
          <w:p w:rsidR="005A28EA" w:rsidRPr="00460E3D" w:rsidRDefault="005A28EA" w:rsidP="005A28EA">
            <w:pPr>
              <w:jc w:val="left"/>
              <w:rPr>
                <w:rFonts w:ascii="Times New Roman" w:hAnsi="Times New Roman"/>
                <w:b/>
                <w:sz w:val="22"/>
              </w:rPr>
            </w:pPr>
          </w:p>
        </w:tc>
      </w:tr>
      <w:tr w:rsidR="005A28EA" w:rsidRPr="00C0062E" w:rsidTr="00890013">
        <w:tc>
          <w:tcPr>
            <w:tcW w:w="2077" w:type="dxa"/>
          </w:tcPr>
          <w:p w:rsidR="005A28EA" w:rsidRPr="00460E3D" w:rsidRDefault="005A28EA" w:rsidP="005A28EA">
            <w:pPr>
              <w:jc w:val="left"/>
              <w:rPr>
                <w:rFonts w:ascii="Times New Roman" w:hAnsi="Times New Roman"/>
                <w:sz w:val="22"/>
              </w:rPr>
            </w:pPr>
            <w:r w:rsidRPr="00C0062E">
              <w:rPr>
                <w:sz w:val="22"/>
              </w:rPr>
              <w:t>Détournement</w:t>
            </w:r>
          </w:p>
        </w:tc>
        <w:tc>
          <w:tcPr>
            <w:tcW w:w="1687" w:type="dxa"/>
          </w:tcPr>
          <w:p w:rsidR="005A28EA" w:rsidRPr="00460E3D" w:rsidRDefault="005A28EA" w:rsidP="005A28EA">
            <w:pPr>
              <w:jc w:val="left"/>
              <w:rPr>
                <w:rFonts w:ascii="Times New Roman" w:hAnsi="Times New Roman"/>
                <w:b/>
                <w:sz w:val="22"/>
              </w:rPr>
            </w:pPr>
          </w:p>
        </w:tc>
        <w:tc>
          <w:tcPr>
            <w:tcW w:w="5296" w:type="dxa"/>
          </w:tcPr>
          <w:p w:rsidR="005A28EA" w:rsidRPr="00460E3D" w:rsidRDefault="005A28EA" w:rsidP="005A28EA">
            <w:pPr>
              <w:jc w:val="left"/>
              <w:rPr>
                <w:rFonts w:ascii="Times New Roman" w:hAnsi="Times New Roman"/>
                <w:b/>
                <w:sz w:val="22"/>
              </w:rPr>
            </w:pPr>
          </w:p>
        </w:tc>
      </w:tr>
    </w:tbl>
    <w:p w:rsidR="005A28EA" w:rsidRPr="00460E3D" w:rsidRDefault="005A28EA" w:rsidP="005A28EA">
      <w:pPr>
        <w:ind w:left="720"/>
        <w:jc w:val="left"/>
        <w:rPr>
          <w:rFonts w:eastAsia="Calibri"/>
          <w:b/>
          <w:sz w:val="22"/>
          <w:szCs w:val="22"/>
          <w:lang w:eastAsia="en-US"/>
        </w:rPr>
      </w:pPr>
    </w:p>
    <w:p w:rsidR="005A28EA" w:rsidRPr="00460E3D" w:rsidRDefault="005A28EA" w:rsidP="005A28EA">
      <w:pPr>
        <w:spacing w:after="200" w:line="276" w:lineRule="auto"/>
        <w:jc w:val="left"/>
        <w:rPr>
          <w:rFonts w:eastAsia="Calibri"/>
          <w:b/>
          <w:sz w:val="22"/>
          <w:szCs w:val="22"/>
          <w:lang w:eastAsia="en-US"/>
        </w:rPr>
      </w:pPr>
      <w:r w:rsidRPr="00460E3D">
        <w:rPr>
          <w:rFonts w:eastAsia="Calibri"/>
          <w:b/>
          <w:sz w:val="22"/>
          <w:szCs w:val="22"/>
          <w:lang w:eastAsia="en-US"/>
        </w:rPr>
        <w:br w:type="page"/>
      </w:r>
    </w:p>
    <w:p w:rsidR="005A28EA" w:rsidRPr="00460E3D" w:rsidRDefault="005A28EA" w:rsidP="005A28EA">
      <w:pPr>
        <w:numPr>
          <w:ilvl w:val="0"/>
          <w:numId w:val="89"/>
        </w:numPr>
        <w:spacing w:after="200" w:line="276" w:lineRule="auto"/>
        <w:jc w:val="left"/>
        <w:rPr>
          <w:rFonts w:eastAsia="Calibri"/>
          <w:b/>
          <w:sz w:val="22"/>
          <w:szCs w:val="22"/>
          <w:lang w:eastAsia="en-US"/>
        </w:rPr>
      </w:pPr>
      <w:r w:rsidRPr="00460E3D">
        <w:rPr>
          <w:rFonts w:eastAsia="Calibri"/>
          <w:b/>
          <w:sz w:val="22"/>
          <w:szCs w:val="22"/>
          <w:lang w:eastAsia="en-US"/>
        </w:rPr>
        <w:lastRenderedPageBreak/>
        <w:t>Évolution de la fraude brute au cours de la période sous revue</w:t>
      </w:r>
    </w:p>
    <w:p w:rsidR="005A28EA" w:rsidRPr="00460E3D" w:rsidRDefault="005A28EA" w:rsidP="005A28EA">
      <w:pPr>
        <w:jc w:val="left"/>
        <w:rPr>
          <w:rFonts w:eastAsia="Calibri"/>
          <w:b/>
          <w:sz w:val="22"/>
          <w:szCs w:val="22"/>
          <w:lang w:eastAsia="en-US"/>
        </w:rPr>
      </w:pPr>
    </w:p>
    <w:p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débiteur</w:t>
      </w:r>
      <w:r w:rsidR="007531F6">
        <w:rPr>
          <w:rFonts w:eastAsia="Calibri"/>
          <w:sz w:val="22"/>
          <w:szCs w:val="22"/>
          <w:lang w:eastAsia="en-US"/>
        </w:rPr>
        <w:t> :</w:t>
      </w:r>
    </w:p>
    <w:p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3"/>
      </w:tblGrid>
      <w:tr w:rsidR="005A28EA" w:rsidRPr="00C0062E" w:rsidTr="005A28EA">
        <w:tc>
          <w:tcPr>
            <w:tcW w:w="2376" w:type="dxa"/>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bl>
    <w:p w:rsidR="005A28EA" w:rsidRPr="00460E3D" w:rsidRDefault="005A28EA" w:rsidP="005A28EA">
      <w:pPr>
        <w:ind w:left="720"/>
        <w:jc w:val="left"/>
        <w:rPr>
          <w:rFonts w:eastAsia="Calibri"/>
          <w:b/>
          <w:szCs w:val="24"/>
          <w:lang w:eastAsia="en-US"/>
        </w:rPr>
      </w:pPr>
    </w:p>
    <w:p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créancier</w:t>
      </w:r>
      <w:r w:rsidR="007531F6">
        <w:rPr>
          <w:rFonts w:eastAsia="Calibri"/>
          <w:sz w:val="22"/>
          <w:szCs w:val="22"/>
          <w:lang w:eastAsia="en-US"/>
        </w:rPr>
        <w:t> :</w:t>
      </w:r>
    </w:p>
    <w:p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3"/>
      </w:tblGrid>
      <w:tr w:rsidR="005A28EA" w:rsidRPr="00C0062E" w:rsidTr="005A28EA">
        <w:tc>
          <w:tcPr>
            <w:tcW w:w="2376" w:type="dxa"/>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bl>
    <w:p w:rsidR="005A28EA" w:rsidRPr="00460E3D" w:rsidRDefault="005A28EA" w:rsidP="005A28EA">
      <w:pPr>
        <w:jc w:val="left"/>
        <w:rPr>
          <w:rFonts w:eastAsia="Calibri"/>
          <w:sz w:val="22"/>
          <w:szCs w:val="22"/>
          <w:lang w:eastAsia="en-US"/>
        </w:rPr>
      </w:pPr>
    </w:p>
    <w:p w:rsidR="005A28EA" w:rsidRPr="00460E3D" w:rsidRDefault="005A28EA" w:rsidP="005A28EA">
      <w:pPr>
        <w:numPr>
          <w:ilvl w:val="0"/>
          <w:numId w:val="89"/>
        </w:numPr>
        <w:spacing w:after="200" w:line="276" w:lineRule="auto"/>
        <w:jc w:val="left"/>
        <w:rPr>
          <w:rFonts w:eastAsia="Calibri"/>
          <w:b/>
          <w:sz w:val="22"/>
          <w:szCs w:val="22"/>
          <w:lang w:eastAsia="en-US"/>
        </w:rPr>
      </w:pPr>
      <w:r w:rsidRPr="00460E3D">
        <w:rPr>
          <w:rFonts w:eastAsia="Calibri"/>
          <w:b/>
          <w:sz w:val="22"/>
          <w:szCs w:val="22"/>
          <w:lang w:eastAsia="en-US"/>
        </w:rPr>
        <w:t xml:space="preserve">Présentation des risques de fraude émergents </w:t>
      </w:r>
    </w:p>
    <w:p w:rsidR="005A28EA" w:rsidRPr="00460E3D" w:rsidRDefault="005A28EA" w:rsidP="005A28EA">
      <w:pPr>
        <w:ind w:left="36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rsidTr="005A28EA">
        <w:tc>
          <w:tcPr>
            <w:tcW w:w="9210" w:type="dxa"/>
          </w:tcPr>
          <w:p w:rsidR="005A28EA" w:rsidRPr="00460E3D" w:rsidRDefault="005A28EA" w:rsidP="005A28EA">
            <w:pPr>
              <w:jc w:val="left"/>
              <w:rPr>
                <w:rFonts w:ascii="Times New Roman" w:hAnsi="Times New Roman"/>
                <w:i/>
                <w:sz w:val="22"/>
              </w:rPr>
            </w:pPr>
            <w:r w:rsidRPr="00C0062E">
              <w:rPr>
                <w:i/>
                <w:sz w:val="22"/>
              </w:rPr>
              <w:t>Décrire les nouveaux scénarios de fraude rencontrés</w:t>
            </w:r>
            <w:r w:rsidR="00956C62">
              <w:rPr>
                <w:i/>
                <w:sz w:val="22"/>
              </w:rPr>
              <w:t xml:space="preserve"> au cours de l’exercice sous revue</w:t>
            </w:r>
            <w:r w:rsidRPr="00C0062E">
              <w:rPr>
                <w:i/>
                <w:sz w:val="22"/>
              </w:rPr>
              <w:t>.</w:t>
            </w:r>
          </w:p>
          <w:p w:rsidR="005A28EA" w:rsidRPr="00460E3D" w:rsidRDefault="005A28EA" w:rsidP="005A28EA">
            <w:pPr>
              <w:jc w:val="left"/>
              <w:rPr>
                <w:rFonts w:ascii="Times New Roman" w:hAnsi="Times New Roman"/>
                <w:b/>
                <w:sz w:val="22"/>
              </w:rPr>
            </w:pPr>
          </w:p>
          <w:p w:rsidR="005A28EA" w:rsidRPr="00460E3D" w:rsidRDefault="005A28EA" w:rsidP="005A28EA">
            <w:pPr>
              <w:jc w:val="left"/>
              <w:rPr>
                <w:rFonts w:ascii="Times New Roman" w:hAnsi="Times New Roman"/>
                <w:b/>
                <w:sz w:val="22"/>
              </w:rPr>
            </w:pPr>
          </w:p>
          <w:p w:rsidR="005A28EA" w:rsidRPr="00460E3D" w:rsidRDefault="005A28EA" w:rsidP="005A28EA">
            <w:pPr>
              <w:jc w:val="left"/>
              <w:rPr>
                <w:rFonts w:ascii="Times New Roman" w:hAnsi="Times New Roman"/>
                <w:b/>
                <w:sz w:val="22"/>
              </w:rPr>
            </w:pPr>
          </w:p>
          <w:p w:rsidR="005A28EA" w:rsidRPr="00460E3D" w:rsidRDefault="005A28EA" w:rsidP="005A28EA">
            <w:pPr>
              <w:jc w:val="left"/>
              <w:rPr>
                <w:rFonts w:ascii="Times New Roman" w:hAnsi="Times New Roman"/>
                <w:b/>
                <w:sz w:val="22"/>
              </w:rPr>
            </w:pPr>
          </w:p>
          <w:p w:rsidR="005A28EA" w:rsidRPr="00460E3D" w:rsidRDefault="005A28EA" w:rsidP="005A28EA">
            <w:pPr>
              <w:jc w:val="left"/>
              <w:rPr>
                <w:rFonts w:ascii="Times New Roman" w:hAnsi="Times New Roman"/>
                <w:b/>
                <w:sz w:val="22"/>
              </w:rPr>
            </w:pPr>
          </w:p>
        </w:tc>
      </w:tr>
    </w:tbl>
    <w:p w:rsidR="005A28EA" w:rsidRPr="00460E3D" w:rsidRDefault="005A28EA" w:rsidP="005A28EA">
      <w:pPr>
        <w:jc w:val="left"/>
        <w:rPr>
          <w:rFonts w:eastAsia="Calibri"/>
          <w:b/>
          <w:sz w:val="22"/>
          <w:szCs w:val="22"/>
          <w:lang w:eastAsia="en-US"/>
        </w:rPr>
      </w:pPr>
    </w:p>
    <w:p w:rsidR="005A28EA" w:rsidRPr="00460E3D" w:rsidRDefault="005A28EA" w:rsidP="005A28EA">
      <w:pPr>
        <w:jc w:val="left"/>
        <w:rPr>
          <w:rFonts w:eastAsia="Calibri"/>
          <w:sz w:val="22"/>
          <w:szCs w:val="22"/>
          <w:lang w:eastAsia="en-US"/>
        </w:rPr>
      </w:pPr>
      <w:r w:rsidRPr="00460E3D">
        <w:rPr>
          <w:rFonts w:eastAsia="Calibri"/>
          <w:sz w:val="22"/>
          <w:szCs w:val="22"/>
          <w:lang w:eastAsia="en-US"/>
        </w:rPr>
        <w:br w:type="page"/>
      </w:r>
    </w:p>
    <w:p w:rsidR="005A28EA" w:rsidRPr="00460E3D" w:rsidRDefault="005A28EA" w:rsidP="005A28EA">
      <w:pPr>
        <w:numPr>
          <w:ilvl w:val="0"/>
          <w:numId w:val="72"/>
        </w:numPr>
        <w:spacing w:after="200" w:line="276" w:lineRule="auto"/>
        <w:jc w:val="left"/>
        <w:rPr>
          <w:rFonts w:eastAsia="Calibri"/>
          <w:b/>
          <w:sz w:val="22"/>
          <w:szCs w:val="22"/>
          <w:lang w:eastAsia="en-US"/>
        </w:rPr>
        <w:sectPr w:rsidR="005A28EA" w:rsidRPr="00460E3D" w:rsidSect="005A28EA">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rsidTr="005A28EA">
        <w:tc>
          <w:tcPr>
            <w:tcW w:w="14142" w:type="dxa"/>
            <w:shd w:val="clear" w:color="auto" w:fill="FBD4B4" w:themeFill="accent6" w:themeFillTint="66"/>
          </w:tcPr>
          <w:p w:rsidR="005A28EA" w:rsidRPr="00460E3D" w:rsidRDefault="005A28EA" w:rsidP="005A28EA">
            <w:pPr>
              <w:numPr>
                <w:ilvl w:val="0"/>
                <w:numId w:val="72"/>
              </w:numPr>
              <w:jc w:val="left"/>
              <w:rPr>
                <w:rFonts w:ascii="Times New Roman" w:hAnsi="Times New Roman"/>
                <w:b/>
                <w:sz w:val="22"/>
              </w:rPr>
            </w:pPr>
            <w:r w:rsidRPr="00460E3D">
              <w:rPr>
                <w:b/>
                <w:sz w:val="22"/>
              </w:rPr>
              <w:lastRenderedPageBreak/>
              <w:t>Lettre de change (LCR) et du billet à ordre relevé (BOR)</w:t>
            </w:r>
          </w:p>
        </w:tc>
      </w:tr>
    </w:tbl>
    <w:p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rsidTr="005A28EA">
        <w:tc>
          <w:tcPr>
            <w:tcW w:w="14142" w:type="dxa"/>
            <w:shd w:val="clear" w:color="auto" w:fill="8DB3E2" w:themeFill="text2" w:themeFillTint="66"/>
          </w:tcPr>
          <w:p w:rsidR="005A28EA" w:rsidRPr="00460E3D" w:rsidRDefault="005A28EA" w:rsidP="005A28EA">
            <w:pPr>
              <w:ind w:left="360"/>
              <w:jc w:val="left"/>
              <w:rPr>
                <w:rFonts w:ascii="Times New Roman" w:hAnsi="Times New Roman"/>
                <w:b/>
                <w:sz w:val="22"/>
              </w:rPr>
            </w:pPr>
            <w:r w:rsidRPr="00C0062E">
              <w:rPr>
                <w:b/>
                <w:sz w:val="22"/>
              </w:rPr>
              <w:t>4.1. Présentation de l’offre</w:t>
            </w:r>
          </w:p>
        </w:tc>
      </w:tr>
    </w:tbl>
    <w:p w:rsidR="005A28EA" w:rsidRPr="00460E3D" w:rsidRDefault="005A28EA" w:rsidP="005A28EA">
      <w:pPr>
        <w:jc w:val="left"/>
        <w:rPr>
          <w:rFonts w:eastAsia="Calibri"/>
          <w:sz w:val="22"/>
          <w:szCs w:val="22"/>
          <w:lang w:eastAsia="en-US"/>
        </w:rPr>
      </w:pPr>
    </w:p>
    <w:p w:rsidR="005A28EA" w:rsidRPr="00460E3D" w:rsidRDefault="005A28EA" w:rsidP="005A28EA">
      <w:pPr>
        <w:numPr>
          <w:ilvl w:val="0"/>
          <w:numId w:val="76"/>
        </w:numPr>
        <w:spacing w:after="200" w:line="276" w:lineRule="auto"/>
        <w:jc w:val="left"/>
        <w:rPr>
          <w:rFonts w:eastAsia="Calibri"/>
          <w:b/>
          <w:sz w:val="22"/>
          <w:szCs w:val="22"/>
          <w:lang w:eastAsia="en-US"/>
        </w:rPr>
      </w:pPr>
      <w:r w:rsidRPr="00460E3D">
        <w:rPr>
          <w:rFonts w:eastAsia="Calibri"/>
          <w:b/>
          <w:sz w:val="22"/>
          <w:szCs w:val="22"/>
          <w:lang w:eastAsia="en-US"/>
        </w:rPr>
        <w:t>Description de l’offre de produits et des services</w:t>
      </w:r>
    </w:p>
    <w:p w:rsidR="005A28EA" w:rsidRPr="00460E3D" w:rsidRDefault="005A28EA" w:rsidP="005A28EA">
      <w:pPr>
        <w:ind w:left="720"/>
        <w:jc w:val="left"/>
        <w:rPr>
          <w:rFonts w:eastAsia="Calibri"/>
          <w:b/>
          <w:sz w:val="22"/>
          <w:szCs w:val="22"/>
          <w:lang w:eastAsia="en-US"/>
        </w:rPr>
      </w:pPr>
    </w:p>
    <w:p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79"/>
        <w:gridCol w:w="1507"/>
        <w:gridCol w:w="1731"/>
        <w:gridCol w:w="2941"/>
        <w:gridCol w:w="4048"/>
      </w:tblGrid>
      <w:tr w:rsidR="005A28EA" w:rsidRPr="00C0062E" w:rsidTr="005A28EA">
        <w:tc>
          <w:tcPr>
            <w:tcW w:w="1501"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Borders>
              <w:bottom w:val="single" w:sz="4" w:space="0" w:color="auto"/>
            </w:tcBorders>
          </w:tcPr>
          <w:p w:rsidR="005A28EA" w:rsidRPr="00460E3D" w:rsidRDefault="005A28EA" w:rsidP="005A28EA">
            <w:pPr>
              <w:jc w:val="left"/>
              <w:rPr>
                <w:rFonts w:ascii="Times New Roman" w:hAnsi="Times New Roman"/>
                <w:sz w:val="22"/>
              </w:rPr>
            </w:pPr>
          </w:p>
        </w:tc>
        <w:tc>
          <w:tcPr>
            <w:tcW w:w="2293" w:type="dxa"/>
            <w:tcBorders>
              <w:bottom w:val="single" w:sz="4" w:space="0" w:color="auto"/>
            </w:tcBorders>
          </w:tcPr>
          <w:p w:rsidR="005A28EA" w:rsidRPr="00460E3D" w:rsidRDefault="005A28EA" w:rsidP="005A28EA">
            <w:pPr>
              <w:jc w:val="left"/>
              <w:rPr>
                <w:rFonts w:ascii="Times New Roman" w:hAnsi="Times New Roman"/>
                <w:sz w:val="22"/>
              </w:rPr>
            </w:pPr>
          </w:p>
        </w:tc>
        <w:tc>
          <w:tcPr>
            <w:tcW w:w="1516" w:type="dxa"/>
            <w:tcBorders>
              <w:bottom w:val="single" w:sz="4" w:space="0" w:color="auto"/>
            </w:tcBorders>
          </w:tcPr>
          <w:p w:rsidR="005A28EA" w:rsidRPr="00460E3D" w:rsidRDefault="005A28EA" w:rsidP="005A28EA">
            <w:pPr>
              <w:jc w:val="left"/>
              <w:rPr>
                <w:rFonts w:ascii="Times New Roman" w:hAnsi="Times New Roman"/>
                <w:sz w:val="22"/>
              </w:rPr>
            </w:pPr>
          </w:p>
        </w:tc>
        <w:tc>
          <w:tcPr>
            <w:tcW w:w="1744" w:type="dxa"/>
            <w:tcBorders>
              <w:bottom w:val="single" w:sz="4" w:space="0" w:color="auto"/>
            </w:tcBorders>
          </w:tcPr>
          <w:p w:rsidR="005A28EA" w:rsidRPr="00460E3D" w:rsidRDefault="005A28EA" w:rsidP="005A28EA">
            <w:pPr>
              <w:jc w:val="left"/>
              <w:rPr>
                <w:rFonts w:ascii="Times New Roman" w:hAnsi="Times New Roman"/>
                <w:sz w:val="22"/>
              </w:rPr>
            </w:pPr>
          </w:p>
        </w:tc>
        <w:tc>
          <w:tcPr>
            <w:tcW w:w="2977" w:type="dxa"/>
            <w:tcBorders>
              <w:bottom w:val="single" w:sz="4" w:space="0" w:color="auto"/>
            </w:tcBorders>
          </w:tcPr>
          <w:p w:rsidR="005A28EA" w:rsidRPr="00460E3D" w:rsidRDefault="005A28EA" w:rsidP="005A28EA">
            <w:pPr>
              <w:jc w:val="left"/>
              <w:rPr>
                <w:rFonts w:ascii="Times New Roman" w:hAnsi="Times New Roman"/>
                <w:sz w:val="22"/>
              </w:rPr>
            </w:pPr>
          </w:p>
        </w:tc>
        <w:tc>
          <w:tcPr>
            <w:tcW w:w="4111" w:type="dxa"/>
            <w:tcBorders>
              <w:bottom w:val="single" w:sz="4" w:space="0" w:color="auto"/>
            </w:tcBorders>
          </w:tcPr>
          <w:p w:rsidR="005A28EA" w:rsidRPr="00460E3D" w:rsidRDefault="005A28EA" w:rsidP="005A28EA">
            <w:pPr>
              <w:jc w:val="left"/>
              <w:rPr>
                <w:rFonts w:ascii="Times New Roman" w:hAnsi="Times New Roman"/>
                <w:sz w:val="22"/>
              </w:rPr>
            </w:pPr>
          </w:p>
        </w:tc>
      </w:tr>
      <w:tr w:rsidR="005A28EA" w:rsidRPr="00C0062E" w:rsidTr="005A28EA">
        <w:tc>
          <w:tcPr>
            <w:tcW w:w="1501" w:type="dxa"/>
            <w:tcBorders>
              <w:bottom w:val="single" w:sz="4" w:space="0" w:color="auto"/>
            </w:tcBorders>
          </w:tcPr>
          <w:p w:rsidR="005A28EA" w:rsidRPr="00460E3D" w:rsidRDefault="005A28EA" w:rsidP="005A28EA">
            <w:pPr>
              <w:jc w:val="left"/>
              <w:rPr>
                <w:rFonts w:ascii="Times New Roman" w:hAnsi="Times New Roman"/>
                <w:sz w:val="22"/>
              </w:rPr>
            </w:pPr>
          </w:p>
        </w:tc>
        <w:tc>
          <w:tcPr>
            <w:tcW w:w="2293" w:type="dxa"/>
            <w:tcBorders>
              <w:bottom w:val="single" w:sz="4" w:space="0" w:color="auto"/>
            </w:tcBorders>
          </w:tcPr>
          <w:p w:rsidR="005A28EA" w:rsidRPr="00460E3D" w:rsidRDefault="005A28EA" w:rsidP="005A28EA">
            <w:pPr>
              <w:jc w:val="left"/>
              <w:rPr>
                <w:rFonts w:ascii="Times New Roman" w:hAnsi="Times New Roman"/>
                <w:sz w:val="22"/>
              </w:rPr>
            </w:pPr>
          </w:p>
        </w:tc>
        <w:tc>
          <w:tcPr>
            <w:tcW w:w="1516" w:type="dxa"/>
            <w:tcBorders>
              <w:bottom w:val="single" w:sz="4" w:space="0" w:color="auto"/>
            </w:tcBorders>
          </w:tcPr>
          <w:p w:rsidR="005A28EA" w:rsidRPr="00460E3D" w:rsidRDefault="005A28EA" w:rsidP="005A28EA">
            <w:pPr>
              <w:jc w:val="left"/>
              <w:rPr>
                <w:rFonts w:ascii="Times New Roman" w:hAnsi="Times New Roman"/>
                <w:sz w:val="22"/>
              </w:rPr>
            </w:pPr>
          </w:p>
        </w:tc>
        <w:tc>
          <w:tcPr>
            <w:tcW w:w="1744" w:type="dxa"/>
            <w:tcBorders>
              <w:bottom w:val="single" w:sz="4" w:space="0" w:color="auto"/>
            </w:tcBorders>
          </w:tcPr>
          <w:p w:rsidR="005A28EA" w:rsidRPr="00460E3D" w:rsidRDefault="005A28EA" w:rsidP="005A28EA">
            <w:pPr>
              <w:jc w:val="left"/>
              <w:rPr>
                <w:rFonts w:ascii="Times New Roman" w:hAnsi="Times New Roman"/>
                <w:sz w:val="22"/>
              </w:rPr>
            </w:pPr>
          </w:p>
        </w:tc>
        <w:tc>
          <w:tcPr>
            <w:tcW w:w="2977" w:type="dxa"/>
            <w:tcBorders>
              <w:bottom w:val="single" w:sz="4" w:space="0" w:color="auto"/>
            </w:tcBorders>
          </w:tcPr>
          <w:p w:rsidR="005A28EA" w:rsidRPr="00460E3D" w:rsidRDefault="005A28EA" w:rsidP="005A28EA">
            <w:pPr>
              <w:jc w:val="left"/>
              <w:rPr>
                <w:rFonts w:ascii="Times New Roman" w:hAnsi="Times New Roman"/>
                <w:sz w:val="22"/>
              </w:rPr>
            </w:pPr>
          </w:p>
        </w:tc>
        <w:tc>
          <w:tcPr>
            <w:tcW w:w="4111" w:type="dxa"/>
            <w:tcBorders>
              <w:bottom w:val="single" w:sz="4" w:space="0" w:color="auto"/>
            </w:tcBorders>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983B9E" w:rsidRPr="00C0062E" w:rsidTr="005A28EA">
        <w:tc>
          <w:tcPr>
            <w:tcW w:w="1501" w:type="dxa"/>
          </w:tcPr>
          <w:p w:rsidR="00983B9E" w:rsidRPr="00460E3D" w:rsidRDefault="00983B9E" w:rsidP="005A28EA">
            <w:pPr>
              <w:jc w:val="left"/>
              <w:rPr>
                <w:sz w:val="22"/>
              </w:rPr>
            </w:pPr>
          </w:p>
        </w:tc>
        <w:tc>
          <w:tcPr>
            <w:tcW w:w="2293" w:type="dxa"/>
          </w:tcPr>
          <w:p w:rsidR="00983B9E" w:rsidRPr="00460E3D" w:rsidRDefault="00983B9E" w:rsidP="005A28EA">
            <w:pPr>
              <w:jc w:val="left"/>
              <w:rPr>
                <w:sz w:val="22"/>
              </w:rPr>
            </w:pPr>
          </w:p>
        </w:tc>
        <w:tc>
          <w:tcPr>
            <w:tcW w:w="1516" w:type="dxa"/>
          </w:tcPr>
          <w:p w:rsidR="00983B9E" w:rsidRPr="00460E3D" w:rsidRDefault="00983B9E" w:rsidP="005A28EA">
            <w:pPr>
              <w:jc w:val="left"/>
              <w:rPr>
                <w:sz w:val="22"/>
              </w:rPr>
            </w:pPr>
          </w:p>
        </w:tc>
        <w:tc>
          <w:tcPr>
            <w:tcW w:w="1744" w:type="dxa"/>
          </w:tcPr>
          <w:p w:rsidR="00983B9E" w:rsidRPr="00460E3D" w:rsidRDefault="00983B9E" w:rsidP="005A28EA">
            <w:pPr>
              <w:jc w:val="left"/>
              <w:rPr>
                <w:sz w:val="22"/>
              </w:rPr>
            </w:pPr>
          </w:p>
        </w:tc>
        <w:tc>
          <w:tcPr>
            <w:tcW w:w="2977" w:type="dxa"/>
          </w:tcPr>
          <w:p w:rsidR="00983B9E" w:rsidRPr="00460E3D" w:rsidRDefault="00983B9E" w:rsidP="005A28EA">
            <w:pPr>
              <w:jc w:val="left"/>
              <w:rPr>
                <w:sz w:val="22"/>
              </w:rPr>
            </w:pPr>
          </w:p>
        </w:tc>
        <w:tc>
          <w:tcPr>
            <w:tcW w:w="4111" w:type="dxa"/>
          </w:tcPr>
          <w:p w:rsidR="00983B9E" w:rsidRPr="00460E3D" w:rsidRDefault="00983B9E" w:rsidP="005A28EA">
            <w:pPr>
              <w:jc w:val="left"/>
              <w:rPr>
                <w:sz w:val="22"/>
              </w:rPr>
            </w:pPr>
          </w:p>
        </w:tc>
      </w:tr>
      <w:tr w:rsidR="00983B9E" w:rsidRPr="00C0062E" w:rsidTr="005A28EA">
        <w:tc>
          <w:tcPr>
            <w:tcW w:w="1501" w:type="dxa"/>
          </w:tcPr>
          <w:p w:rsidR="00983B9E" w:rsidRPr="00460E3D" w:rsidRDefault="00983B9E" w:rsidP="005A28EA">
            <w:pPr>
              <w:jc w:val="left"/>
              <w:rPr>
                <w:sz w:val="22"/>
              </w:rPr>
            </w:pPr>
          </w:p>
        </w:tc>
        <w:tc>
          <w:tcPr>
            <w:tcW w:w="2293" w:type="dxa"/>
          </w:tcPr>
          <w:p w:rsidR="00983B9E" w:rsidRPr="00460E3D" w:rsidRDefault="00983B9E" w:rsidP="005A28EA">
            <w:pPr>
              <w:jc w:val="left"/>
              <w:rPr>
                <w:sz w:val="22"/>
              </w:rPr>
            </w:pPr>
          </w:p>
        </w:tc>
        <w:tc>
          <w:tcPr>
            <w:tcW w:w="1516" w:type="dxa"/>
          </w:tcPr>
          <w:p w:rsidR="00983B9E" w:rsidRPr="00460E3D" w:rsidRDefault="00983B9E" w:rsidP="005A28EA">
            <w:pPr>
              <w:jc w:val="left"/>
              <w:rPr>
                <w:sz w:val="22"/>
              </w:rPr>
            </w:pPr>
          </w:p>
        </w:tc>
        <w:tc>
          <w:tcPr>
            <w:tcW w:w="1744" w:type="dxa"/>
          </w:tcPr>
          <w:p w:rsidR="00983B9E" w:rsidRPr="00460E3D" w:rsidRDefault="00983B9E" w:rsidP="005A28EA">
            <w:pPr>
              <w:jc w:val="left"/>
              <w:rPr>
                <w:sz w:val="22"/>
              </w:rPr>
            </w:pPr>
          </w:p>
        </w:tc>
        <w:tc>
          <w:tcPr>
            <w:tcW w:w="2977" w:type="dxa"/>
          </w:tcPr>
          <w:p w:rsidR="00983B9E" w:rsidRPr="00460E3D" w:rsidRDefault="00983B9E" w:rsidP="005A28EA">
            <w:pPr>
              <w:jc w:val="left"/>
              <w:rPr>
                <w:sz w:val="22"/>
              </w:rPr>
            </w:pPr>
          </w:p>
        </w:tc>
        <w:tc>
          <w:tcPr>
            <w:tcW w:w="4111" w:type="dxa"/>
          </w:tcPr>
          <w:p w:rsidR="00983B9E" w:rsidRPr="00460E3D" w:rsidRDefault="00983B9E" w:rsidP="005A28EA">
            <w:pPr>
              <w:jc w:val="left"/>
              <w:rPr>
                <w:sz w:val="22"/>
              </w:rPr>
            </w:pPr>
          </w:p>
        </w:tc>
      </w:tr>
      <w:tr w:rsidR="00983B9E" w:rsidRPr="00C0062E" w:rsidTr="005A28EA">
        <w:tc>
          <w:tcPr>
            <w:tcW w:w="1501" w:type="dxa"/>
          </w:tcPr>
          <w:p w:rsidR="00983B9E" w:rsidRPr="00460E3D" w:rsidRDefault="00983B9E" w:rsidP="005A28EA">
            <w:pPr>
              <w:jc w:val="left"/>
              <w:rPr>
                <w:sz w:val="22"/>
              </w:rPr>
            </w:pPr>
          </w:p>
        </w:tc>
        <w:tc>
          <w:tcPr>
            <w:tcW w:w="2293" w:type="dxa"/>
          </w:tcPr>
          <w:p w:rsidR="00983B9E" w:rsidRPr="00460E3D" w:rsidRDefault="00983B9E" w:rsidP="005A28EA">
            <w:pPr>
              <w:jc w:val="left"/>
              <w:rPr>
                <w:sz w:val="22"/>
              </w:rPr>
            </w:pPr>
          </w:p>
        </w:tc>
        <w:tc>
          <w:tcPr>
            <w:tcW w:w="1516" w:type="dxa"/>
          </w:tcPr>
          <w:p w:rsidR="00983B9E" w:rsidRPr="00460E3D" w:rsidRDefault="00983B9E" w:rsidP="005A28EA">
            <w:pPr>
              <w:jc w:val="left"/>
              <w:rPr>
                <w:sz w:val="22"/>
              </w:rPr>
            </w:pPr>
          </w:p>
        </w:tc>
        <w:tc>
          <w:tcPr>
            <w:tcW w:w="1744" w:type="dxa"/>
          </w:tcPr>
          <w:p w:rsidR="00983B9E" w:rsidRPr="00460E3D" w:rsidRDefault="00983B9E" w:rsidP="005A28EA">
            <w:pPr>
              <w:jc w:val="left"/>
              <w:rPr>
                <w:sz w:val="22"/>
              </w:rPr>
            </w:pPr>
          </w:p>
        </w:tc>
        <w:tc>
          <w:tcPr>
            <w:tcW w:w="2977" w:type="dxa"/>
          </w:tcPr>
          <w:p w:rsidR="00983B9E" w:rsidRPr="00460E3D" w:rsidRDefault="00983B9E" w:rsidP="005A28EA">
            <w:pPr>
              <w:jc w:val="left"/>
              <w:rPr>
                <w:sz w:val="22"/>
              </w:rPr>
            </w:pPr>
          </w:p>
        </w:tc>
        <w:tc>
          <w:tcPr>
            <w:tcW w:w="4111" w:type="dxa"/>
          </w:tcPr>
          <w:p w:rsidR="00983B9E" w:rsidRPr="00460E3D" w:rsidRDefault="00983B9E" w:rsidP="005A28EA">
            <w:pPr>
              <w:jc w:val="left"/>
              <w:rPr>
                <w:sz w:val="22"/>
              </w:rPr>
            </w:pPr>
          </w:p>
        </w:tc>
      </w:tr>
      <w:tr w:rsidR="00983B9E" w:rsidRPr="00C0062E" w:rsidTr="005A28EA">
        <w:tc>
          <w:tcPr>
            <w:tcW w:w="1501" w:type="dxa"/>
          </w:tcPr>
          <w:p w:rsidR="00983B9E" w:rsidRPr="00460E3D" w:rsidRDefault="00983B9E" w:rsidP="005A28EA">
            <w:pPr>
              <w:jc w:val="left"/>
              <w:rPr>
                <w:sz w:val="22"/>
              </w:rPr>
            </w:pPr>
          </w:p>
        </w:tc>
        <w:tc>
          <w:tcPr>
            <w:tcW w:w="2293" w:type="dxa"/>
          </w:tcPr>
          <w:p w:rsidR="00983B9E" w:rsidRPr="00460E3D" w:rsidRDefault="00983B9E" w:rsidP="005A28EA">
            <w:pPr>
              <w:jc w:val="left"/>
              <w:rPr>
                <w:sz w:val="22"/>
              </w:rPr>
            </w:pPr>
          </w:p>
        </w:tc>
        <w:tc>
          <w:tcPr>
            <w:tcW w:w="1516" w:type="dxa"/>
          </w:tcPr>
          <w:p w:rsidR="00983B9E" w:rsidRPr="00460E3D" w:rsidRDefault="00983B9E" w:rsidP="005A28EA">
            <w:pPr>
              <w:jc w:val="left"/>
              <w:rPr>
                <w:sz w:val="22"/>
              </w:rPr>
            </w:pPr>
          </w:p>
        </w:tc>
        <w:tc>
          <w:tcPr>
            <w:tcW w:w="1744" w:type="dxa"/>
          </w:tcPr>
          <w:p w:rsidR="00983B9E" w:rsidRPr="00460E3D" w:rsidRDefault="00983B9E" w:rsidP="005A28EA">
            <w:pPr>
              <w:jc w:val="left"/>
              <w:rPr>
                <w:sz w:val="22"/>
              </w:rPr>
            </w:pPr>
          </w:p>
        </w:tc>
        <w:tc>
          <w:tcPr>
            <w:tcW w:w="2977" w:type="dxa"/>
          </w:tcPr>
          <w:p w:rsidR="00983B9E" w:rsidRPr="00460E3D" w:rsidRDefault="00983B9E" w:rsidP="005A28EA">
            <w:pPr>
              <w:jc w:val="left"/>
              <w:rPr>
                <w:sz w:val="22"/>
              </w:rPr>
            </w:pPr>
          </w:p>
        </w:tc>
        <w:tc>
          <w:tcPr>
            <w:tcW w:w="4111" w:type="dxa"/>
          </w:tcPr>
          <w:p w:rsidR="00983B9E" w:rsidRPr="00460E3D" w:rsidRDefault="00983B9E" w:rsidP="005A28EA">
            <w:pPr>
              <w:jc w:val="left"/>
              <w:rPr>
                <w:sz w:val="22"/>
              </w:rPr>
            </w:pPr>
          </w:p>
        </w:tc>
      </w:tr>
      <w:tr w:rsidR="00983B9E" w:rsidRPr="00C0062E" w:rsidTr="005A28EA">
        <w:tc>
          <w:tcPr>
            <w:tcW w:w="1501" w:type="dxa"/>
          </w:tcPr>
          <w:p w:rsidR="00983B9E" w:rsidRPr="00460E3D" w:rsidRDefault="00983B9E" w:rsidP="005A28EA">
            <w:pPr>
              <w:jc w:val="left"/>
              <w:rPr>
                <w:sz w:val="22"/>
              </w:rPr>
            </w:pPr>
          </w:p>
        </w:tc>
        <w:tc>
          <w:tcPr>
            <w:tcW w:w="2293" w:type="dxa"/>
          </w:tcPr>
          <w:p w:rsidR="00983B9E" w:rsidRPr="00460E3D" w:rsidRDefault="00983B9E" w:rsidP="005A28EA">
            <w:pPr>
              <w:jc w:val="left"/>
              <w:rPr>
                <w:sz w:val="22"/>
              </w:rPr>
            </w:pPr>
          </w:p>
        </w:tc>
        <w:tc>
          <w:tcPr>
            <w:tcW w:w="1516" w:type="dxa"/>
          </w:tcPr>
          <w:p w:rsidR="00983B9E" w:rsidRPr="00460E3D" w:rsidRDefault="00983B9E" w:rsidP="005A28EA">
            <w:pPr>
              <w:jc w:val="left"/>
              <w:rPr>
                <w:sz w:val="22"/>
              </w:rPr>
            </w:pPr>
          </w:p>
        </w:tc>
        <w:tc>
          <w:tcPr>
            <w:tcW w:w="1744" w:type="dxa"/>
          </w:tcPr>
          <w:p w:rsidR="00983B9E" w:rsidRPr="00460E3D" w:rsidRDefault="00983B9E" w:rsidP="005A28EA">
            <w:pPr>
              <w:jc w:val="left"/>
              <w:rPr>
                <w:sz w:val="22"/>
              </w:rPr>
            </w:pPr>
          </w:p>
        </w:tc>
        <w:tc>
          <w:tcPr>
            <w:tcW w:w="2977" w:type="dxa"/>
          </w:tcPr>
          <w:p w:rsidR="00983B9E" w:rsidRPr="00460E3D" w:rsidRDefault="00983B9E" w:rsidP="005A28EA">
            <w:pPr>
              <w:jc w:val="left"/>
              <w:rPr>
                <w:sz w:val="22"/>
              </w:rPr>
            </w:pPr>
          </w:p>
        </w:tc>
        <w:tc>
          <w:tcPr>
            <w:tcW w:w="4111" w:type="dxa"/>
          </w:tcPr>
          <w:p w:rsidR="00983B9E" w:rsidRPr="00460E3D" w:rsidRDefault="00983B9E" w:rsidP="005A28EA">
            <w:pPr>
              <w:jc w:val="left"/>
              <w:rPr>
                <w:sz w:val="22"/>
              </w:rPr>
            </w:pPr>
          </w:p>
        </w:tc>
      </w:tr>
      <w:tr w:rsidR="00983B9E" w:rsidRPr="00C0062E" w:rsidTr="005A28EA">
        <w:tc>
          <w:tcPr>
            <w:tcW w:w="1501" w:type="dxa"/>
          </w:tcPr>
          <w:p w:rsidR="00983B9E" w:rsidRPr="00460E3D" w:rsidRDefault="00983B9E" w:rsidP="005A28EA">
            <w:pPr>
              <w:jc w:val="left"/>
              <w:rPr>
                <w:sz w:val="22"/>
              </w:rPr>
            </w:pPr>
          </w:p>
        </w:tc>
        <w:tc>
          <w:tcPr>
            <w:tcW w:w="2293" w:type="dxa"/>
          </w:tcPr>
          <w:p w:rsidR="00983B9E" w:rsidRPr="00460E3D" w:rsidRDefault="00983B9E" w:rsidP="005A28EA">
            <w:pPr>
              <w:jc w:val="left"/>
              <w:rPr>
                <w:sz w:val="22"/>
              </w:rPr>
            </w:pPr>
          </w:p>
        </w:tc>
        <w:tc>
          <w:tcPr>
            <w:tcW w:w="1516" w:type="dxa"/>
          </w:tcPr>
          <w:p w:rsidR="00983B9E" w:rsidRPr="00460E3D" w:rsidRDefault="00983B9E" w:rsidP="005A28EA">
            <w:pPr>
              <w:jc w:val="left"/>
              <w:rPr>
                <w:sz w:val="22"/>
              </w:rPr>
            </w:pPr>
          </w:p>
        </w:tc>
        <w:tc>
          <w:tcPr>
            <w:tcW w:w="1744" w:type="dxa"/>
          </w:tcPr>
          <w:p w:rsidR="00983B9E" w:rsidRPr="00460E3D" w:rsidRDefault="00983B9E" w:rsidP="005A28EA">
            <w:pPr>
              <w:jc w:val="left"/>
              <w:rPr>
                <w:sz w:val="22"/>
              </w:rPr>
            </w:pPr>
          </w:p>
        </w:tc>
        <w:tc>
          <w:tcPr>
            <w:tcW w:w="2977" w:type="dxa"/>
          </w:tcPr>
          <w:p w:rsidR="00983B9E" w:rsidRPr="00460E3D" w:rsidRDefault="00983B9E" w:rsidP="005A28EA">
            <w:pPr>
              <w:jc w:val="left"/>
              <w:rPr>
                <w:sz w:val="22"/>
              </w:rPr>
            </w:pPr>
          </w:p>
        </w:tc>
        <w:tc>
          <w:tcPr>
            <w:tcW w:w="4111" w:type="dxa"/>
          </w:tcPr>
          <w:p w:rsidR="00983B9E" w:rsidRPr="00460E3D" w:rsidRDefault="00983B9E" w:rsidP="005A28EA">
            <w:pPr>
              <w:jc w:val="left"/>
              <w:rPr>
                <w:sz w:val="22"/>
              </w:rPr>
            </w:pPr>
          </w:p>
        </w:tc>
      </w:tr>
      <w:tr w:rsidR="00983B9E" w:rsidRPr="00C0062E" w:rsidTr="005A28EA">
        <w:tc>
          <w:tcPr>
            <w:tcW w:w="1501" w:type="dxa"/>
          </w:tcPr>
          <w:p w:rsidR="00983B9E" w:rsidRPr="00460E3D" w:rsidRDefault="00983B9E" w:rsidP="005A28EA">
            <w:pPr>
              <w:jc w:val="left"/>
              <w:rPr>
                <w:sz w:val="22"/>
              </w:rPr>
            </w:pPr>
          </w:p>
        </w:tc>
        <w:tc>
          <w:tcPr>
            <w:tcW w:w="2293" w:type="dxa"/>
          </w:tcPr>
          <w:p w:rsidR="00983B9E" w:rsidRPr="00460E3D" w:rsidRDefault="00983B9E" w:rsidP="005A28EA">
            <w:pPr>
              <w:jc w:val="left"/>
              <w:rPr>
                <w:sz w:val="22"/>
              </w:rPr>
            </w:pPr>
          </w:p>
        </w:tc>
        <w:tc>
          <w:tcPr>
            <w:tcW w:w="1516" w:type="dxa"/>
          </w:tcPr>
          <w:p w:rsidR="00983B9E" w:rsidRPr="00460E3D" w:rsidRDefault="00983B9E" w:rsidP="005A28EA">
            <w:pPr>
              <w:jc w:val="left"/>
              <w:rPr>
                <w:sz w:val="22"/>
              </w:rPr>
            </w:pPr>
          </w:p>
        </w:tc>
        <w:tc>
          <w:tcPr>
            <w:tcW w:w="1744" w:type="dxa"/>
          </w:tcPr>
          <w:p w:rsidR="00983B9E" w:rsidRPr="00460E3D" w:rsidRDefault="00983B9E" w:rsidP="005A28EA">
            <w:pPr>
              <w:jc w:val="left"/>
              <w:rPr>
                <w:sz w:val="22"/>
              </w:rPr>
            </w:pPr>
          </w:p>
        </w:tc>
        <w:tc>
          <w:tcPr>
            <w:tcW w:w="2977" w:type="dxa"/>
          </w:tcPr>
          <w:p w:rsidR="00983B9E" w:rsidRPr="00460E3D" w:rsidRDefault="00983B9E" w:rsidP="005A28EA">
            <w:pPr>
              <w:jc w:val="left"/>
              <w:rPr>
                <w:sz w:val="22"/>
              </w:rPr>
            </w:pPr>
          </w:p>
        </w:tc>
        <w:tc>
          <w:tcPr>
            <w:tcW w:w="4111" w:type="dxa"/>
          </w:tcPr>
          <w:p w:rsidR="00983B9E" w:rsidRPr="00460E3D" w:rsidRDefault="00983B9E" w:rsidP="005A28EA">
            <w:pPr>
              <w:jc w:val="left"/>
              <w:rPr>
                <w:sz w:val="22"/>
              </w:rPr>
            </w:pPr>
          </w:p>
        </w:tc>
      </w:tr>
    </w:tbl>
    <w:p w:rsidR="005A28EA" w:rsidRPr="00460E3D" w:rsidRDefault="005A28EA" w:rsidP="005A28EA">
      <w:pPr>
        <w:spacing w:after="200" w:line="276" w:lineRule="auto"/>
        <w:jc w:val="left"/>
        <w:rPr>
          <w:rFonts w:eastAsia="Calibri"/>
          <w:b/>
          <w:sz w:val="22"/>
          <w:szCs w:val="22"/>
          <w:lang w:eastAsia="en-US"/>
        </w:rPr>
      </w:pPr>
      <w:r w:rsidRPr="00460E3D">
        <w:rPr>
          <w:rFonts w:eastAsia="Calibri"/>
          <w:b/>
          <w:sz w:val="22"/>
          <w:szCs w:val="22"/>
          <w:lang w:eastAsia="en-US"/>
        </w:rPr>
        <w:br w:type="page"/>
      </w:r>
    </w:p>
    <w:p w:rsidR="005A28EA" w:rsidRPr="00460E3D" w:rsidRDefault="005A28EA" w:rsidP="005A28EA">
      <w:pPr>
        <w:ind w:left="720"/>
        <w:jc w:val="left"/>
        <w:rPr>
          <w:rFonts w:eastAsia="Calibri"/>
          <w:b/>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p>
    <w:p w:rsidR="005A28EA" w:rsidRPr="00460E3D" w:rsidRDefault="005A28EA" w:rsidP="005A28EA">
      <w:pPr>
        <w:numPr>
          <w:ilvl w:val="0"/>
          <w:numId w:val="76"/>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p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rsidTr="00983B9E">
        <w:tc>
          <w:tcPr>
            <w:tcW w:w="9060" w:type="dxa"/>
          </w:tcPr>
          <w:p w:rsidR="005A28EA" w:rsidRPr="00460E3D" w:rsidRDefault="005A28EA" w:rsidP="005A28EA">
            <w:pPr>
              <w:jc w:val="left"/>
              <w:rPr>
                <w:rFonts w:ascii="Times New Roman" w:hAnsi="Times New Roman"/>
                <w:i/>
                <w:sz w:val="22"/>
              </w:rPr>
            </w:pPr>
            <w:r w:rsidRPr="00460E3D">
              <w:rPr>
                <w:i/>
                <w:sz w:val="22"/>
              </w:rPr>
              <w:t xml:space="preserve">Décrire les projets </w:t>
            </w:r>
            <w:r w:rsidR="00C30A7D">
              <w:rPr>
                <w:i/>
                <w:sz w:val="22"/>
              </w:rPr>
              <w:t xml:space="preserve">de commercialisation de nouveaux produits/services ou d’évolution de l’offre existante d’ordre technologique, fonctionnel et sécuritaire </w:t>
            </w:r>
            <w:r w:rsidR="00C30A7D" w:rsidRPr="00460E3D">
              <w:rPr>
                <w:i/>
                <w:sz w:val="22"/>
              </w:rPr>
              <w:t>prévus à court et moyen terme</w:t>
            </w:r>
            <w:r w:rsidR="00C30A7D">
              <w:rPr>
                <w:i/>
                <w:sz w:val="22"/>
              </w:rPr>
              <w:t>.</w:t>
            </w:r>
          </w:p>
          <w:p w:rsidR="005A28EA" w:rsidRPr="00460E3D" w:rsidRDefault="005A28EA" w:rsidP="005A28EA">
            <w:pPr>
              <w:jc w:val="left"/>
              <w:rPr>
                <w:rFonts w:ascii="Times New Roman" w:hAnsi="Times New Roman"/>
                <w:sz w:val="22"/>
              </w:rPr>
            </w:pPr>
          </w:p>
          <w:p w:rsidR="005A28EA" w:rsidRDefault="005A28EA" w:rsidP="005A28EA">
            <w:pPr>
              <w:jc w:val="left"/>
              <w:rPr>
                <w:rFonts w:ascii="Times New Roman" w:hAnsi="Times New Roman"/>
                <w:sz w:val="22"/>
              </w:rPr>
            </w:pPr>
          </w:p>
          <w:p w:rsidR="00983B9E" w:rsidRDefault="00983B9E" w:rsidP="005A28EA">
            <w:pPr>
              <w:jc w:val="left"/>
              <w:rPr>
                <w:rFonts w:ascii="Times New Roman" w:hAnsi="Times New Roman"/>
                <w:sz w:val="22"/>
              </w:rPr>
            </w:pPr>
          </w:p>
          <w:p w:rsidR="00983B9E" w:rsidRDefault="00983B9E" w:rsidP="005A28EA">
            <w:pPr>
              <w:jc w:val="left"/>
              <w:rPr>
                <w:rFonts w:ascii="Times New Roman" w:hAnsi="Times New Roman"/>
                <w:sz w:val="22"/>
              </w:rPr>
            </w:pPr>
          </w:p>
          <w:p w:rsidR="00983B9E" w:rsidRDefault="00983B9E" w:rsidP="005A28EA">
            <w:pPr>
              <w:jc w:val="left"/>
              <w:rPr>
                <w:rFonts w:ascii="Times New Roman" w:hAnsi="Times New Roman"/>
                <w:sz w:val="22"/>
              </w:rPr>
            </w:pPr>
          </w:p>
          <w:p w:rsidR="00983B9E" w:rsidRPr="00460E3D" w:rsidRDefault="00983B9E"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tc>
      </w:tr>
    </w:tbl>
    <w:p w:rsidR="005A28EA" w:rsidRDefault="005A28EA" w:rsidP="005A28EA">
      <w:pPr>
        <w:jc w:val="left"/>
        <w:rPr>
          <w:rFonts w:eastAsia="Calibri"/>
          <w:sz w:val="22"/>
          <w:szCs w:val="22"/>
          <w:lang w:eastAsia="en-US"/>
        </w:rPr>
      </w:pPr>
    </w:p>
    <w:p w:rsidR="007531F6" w:rsidRPr="00460E3D" w:rsidRDefault="007531F6"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rsidTr="005A28EA">
        <w:tc>
          <w:tcPr>
            <w:tcW w:w="9212" w:type="dxa"/>
            <w:shd w:val="clear" w:color="auto" w:fill="8DB3E2" w:themeFill="text2" w:themeFillTint="66"/>
          </w:tcPr>
          <w:p w:rsidR="005A28EA" w:rsidRPr="00460E3D" w:rsidRDefault="005A28EA" w:rsidP="005A28EA">
            <w:pPr>
              <w:ind w:left="360"/>
              <w:jc w:val="left"/>
              <w:rPr>
                <w:rFonts w:ascii="Times New Roman" w:hAnsi="Times New Roman"/>
                <w:b/>
                <w:sz w:val="22"/>
              </w:rPr>
            </w:pPr>
            <w:r w:rsidRPr="00C0062E">
              <w:rPr>
                <w:b/>
                <w:sz w:val="22"/>
              </w:rPr>
              <w:t>4.2. Organisation opérationnelle de l’activité LCR et BOR</w:t>
            </w:r>
          </w:p>
        </w:tc>
      </w:tr>
    </w:tbl>
    <w:p w:rsidR="005A28EA" w:rsidRPr="00460E3D" w:rsidRDefault="005A28EA" w:rsidP="005A28EA">
      <w:pPr>
        <w:jc w:val="left"/>
        <w:rPr>
          <w:rFonts w:eastAsia="Calibri"/>
          <w:sz w:val="22"/>
          <w:szCs w:val="22"/>
          <w:lang w:eastAsia="en-US"/>
        </w:rPr>
      </w:pPr>
    </w:p>
    <w:p w:rsidR="005A28EA"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C30A7D">
        <w:rPr>
          <w:rFonts w:eastAsia="Calibri"/>
          <w:i/>
          <w:sz w:val="22"/>
          <w:szCs w:val="22"/>
          <w:lang w:eastAsia="en-US"/>
        </w:rPr>
        <w:t xml:space="preserve">du moyen/service de paiement depuis son émission/réception jusqu’à sa remise aux systèmes d’échange/imputation en compte </w:t>
      </w:r>
      <w:r w:rsidRPr="00460E3D">
        <w:rPr>
          <w:rFonts w:eastAsia="Calibri"/>
          <w:i/>
          <w:sz w:val="22"/>
          <w:szCs w:val="22"/>
          <w:lang w:eastAsia="en-US"/>
        </w:rPr>
        <w:t>en précisant en particulier les traitements externalisés (y compris auprès d’entités du groupe) et ceux mutualisés avec d’autres établissements.</w:t>
      </w:r>
      <w:r w:rsidR="00C30A7D">
        <w:rPr>
          <w:rFonts w:eastAsia="Calibri"/>
          <w:i/>
          <w:sz w:val="22"/>
          <w:szCs w:val="22"/>
          <w:lang w:eastAsia="en-US"/>
        </w:rPr>
        <w:t xml:space="preserve"> Un schéma organisationnel peut-être inséré si nécessaire.</w:t>
      </w:r>
    </w:p>
    <w:p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5A28EA" w:rsidRPr="00C0062E" w:rsidTr="005A28EA">
        <w:tc>
          <w:tcPr>
            <w:tcW w:w="3369"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Rôles</w:t>
            </w:r>
          </w:p>
        </w:tc>
      </w:tr>
      <w:tr w:rsidR="005A28EA" w:rsidRPr="00C0062E" w:rsidTr="005A28EA">
        <w:tc>
          <w:tcPr>
            <w:tcW w:w="9180" w:type="dxa"/>
            <w:gridSpan w:val="2"/>
            <w:shd w:val="pct10" w:color="auto" w:fill="auto"/>
          </w:tcPr>
          <w:p w:rsidR="005A28EA" w:rsidRPr="00460E3D" w:rsidRDefault="005A28EA" w:rsidP="005A28EA">
            <w:pPr>
              <w:jc w:val="center"/>
              <w:rPr>
                <w:rFonts w:ascii="Times New Roman" w:hAnsi="Times New Roman"/>
                <w:b/>
                <w:sz w:val="22"/>
              </w:rPr>
            </w:pPr>
            <w:r w:rsidRPr="00C0062E">
              <w:rPr>
                <w:b/>
                <w:sz w:val="22"/>
              </w:rPr>
              <w:t>Activité du tiré</w:t>
            </w: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Borders>
              <w:bottom w:val="single" w:sz="4" w:space="0" w:color="auto"/>
            </w:tcBorders>
          </w:tcPr>
          <w:p w:rsidR="005A28EA" w:rsidRPr="00460E3D" w:rsidRDefault="005A28EA" w:rsidP="005A28EA">
            <w:pPr>
              <w:jc w:val="left"/>
              <w:rPr>
                <w:rFonts w:ascii="Times New Roman" w:hAnsi="Times New Roman"/>
                <w:sz w:val="22"/>
              </w:rPr>
            </w:pPr>
          </w:p>
        </w:tc>
        <w:tc>
          <w:tcPr>
            <w:tcW w:w="5811" w:type="dxa"/>
            <w:tcBorders>
              <w:bottom w:val="single" w:sz="4" w:space="0" w:color="auto"/>
            </w:tcBorders>
          </w:tcPr>
          <w:p w:rsidR="005A28EA" w:rsidRPr="00460E3D" w:rsidRDefault="005A28EA" w:rsidP="005A28EA">
            <w:pPr>
              <w:jc w:val="left"/>
              <w:rPr>
                <w:rFonts w:ascii="Times New Roman" w:hAnsi="Times New Roman"/>
                <w:sz w:val="22"/>
              </w:rPr>
            </w:pPr>
          </w:p>
        </w:tc>
      </w:tr>
      <w:tr w:rsidR="005A28EA" w:rsidRPr="00C0062E" w:rsidTr="005A28EA">
        <w:tc>
          <w:tcPr>
            <w:tcW w:w="9180" w:type="dxa"/>
            <w:gridSpan w:val="2"/>
            <w:shd w:val="pct10" w:color="auto" w:fill="auto"/>
          </w:tcPr>
          <w:p w:rsidR="005A28EA" w:rsidRPr="00460E3D" w:rsidRDefault="005A28EA" w:rsidP="005A28EA">
            <w:pPr>
              <w:jc w:val="center"/>
              <w:rPr>
                <w:rFonts w:ascii="Times New Roman" w:hAnsi="Times New Roman"/>
                <w:b/>
                <w:sz w:val="22"/>
              </w:rPr>
            </w:pPr>
            <w:r w:rsidRPr="00C0062E">
              <w:rPr>
                <w:b/>
                <w:sz w:val="22"/>
              </w:rPr>
              <w:t>Activité du remettant</w:t>
            </w: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bl>
    <w:p w:rsidR="005A28EA" w:rsidRPr="00460E3D" w:rsidRDefault="005A28EA" w:rsidP="005A28EA">
      <w:pPr>
        <w:jc w:val="left"/>
        <w:rPr>
          <w:rFonts w:eastAsia="Calibri"/>
          <w:sz w:val="22"/>
          <w:szCs w:val="22"/>
          <w:lang w:eastAsia="en-US"/>
        </w:rPr>
      </w:pPr>
    </w:p>
    <w:p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rsidTr="005A28EA">
        <w:tc>
          <w:tcPr>
            <w:tcW w:w="9212" w:type="dxa"/>
          </w:tcPr>
          <w:p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rsidR="005A28EA" w:rsidRPr="00460E3D" w:rsidRDefault="005A28EA" w:rsidP="005A28EA">
            <w:pPr>
              <w:rPr>
                <w:rFonts w:ascii="Times New Roman" w:hAnsi="Times New Roman"/>
                <w:i/>
                <w:sz w:val="22"/>
              </w:rPr>
            </w:pPr>
          </w:p>
          <w:p w:rsidR="005A28EA" w:rsidRDefault="005A28EA" w:rsidP="005A28EA">
            <w:pPr>
              <w:rPr>
                <w:rFonts w:ascii="Times New Roman" w:hAnsi="Times New Roman"/>
                <w:sz w:val="22"/>
              </w:rPr>
            </w:pPr>
          </w:p>
          <w:p w:rsidR="00983B9E" w:rsidRDefault="00983B9E" w:rsidP="005A28EA">
            <w:pPr>
              <w:rPr>
                <w:rFonts w:ascii="Times New Roman" w:hAnsi="Times New Roman"/>
                <w:sz w:val="22"/>
              </w:rPr>
            </w:pPr>
          </w:p>
          <w:p w:rsidR="00983B9E" w:rsidRDefault="00983B9E" w:rsidP="005A28EA">
            <w:pPr>
              <w:rPr>
                <w:rFonts w:ascii="Times New Roman" w:hAnsi="Times New Roman"/>
                <w:sz w:val="22"/>
              </w:rPr>
            </w:pPr>
          </w:p>
          <w:p w:rsidR="00983B9E" w:rsidRDefault="00983B9E" w:rsidP="005A28EA">
            <w:pPr>
              <w:rPr>
                <w:rFonts w:ascii="Times New Roman" w:hAnsi="Times New Roman"/>
                <w:sz w:val="22"/>
              </w:rPr>
            </w:pPr>
          </w:p>
          <w:p w:rsidR="00983B9E" w:rsidRDefault="00983B9E" w:rsidP="005A28EA">
            <w:pPr>
              <w:rPr>
                <w:rFonts w:ascii="Times New Roman" w:hAnsi="Times New Roman"/>
                <w:sz w:val="22"/>
              </w:rPr>
            </w:pPr>
          </w:p>
          <w:p w:rsidR="00983B9E" w:rsidRDefault="00983B9E" w:rsidP="005A28EA">
            <w:pPr>
              <w:rPr>
                <w:rFonts w:ascii="Times New Roman" w:hAnsi="Times New Roman"/>
                <w:sz w:val="22"/>
              </w:rPr>
            </w:pPr>
          </w:p>
          <w:p w:rsidR="00983B9E" w:rsidRDefault="00983B9E" w:rsidP="005A28EA">
            <w:pPr>
              <w:rPr>
                <w:rFonts w:ascii="Times New Roman" w:hAnsi="Times New Roman"/>
                <w:sz w:val="22"/>
              </w:rPr>
            </w:pPr>
          </w:p>
          <w:p w:rsidR="00983B9E" w:rsidRDefault="00983B9E" w:rsidP="005A28EA">
            <w:pPr>
              <w:rPr>
                <w:rFonts w:ascii="Times New Roman" w:hAnsi="Times New Roman"/>
                <w:sz w:val="22"/>
              </w:rPr>
            </w:pPr>
          </w:p>
          <w:p w:rsidR="00983B9E" w:rsidRDefault="00983B9E" w:rsidP="005A28EA">
            <w:pPr>
              <w:rPr>
                <w:rFonts w:ascii="Times New Roman" w:hAnsi="Times New Roman"/>
                <w:sz w:val="22"/>
              </w:rPr>
            </w:pPr>
          </w:p>
          <w:p w:rsidR="00983B9E" w:rsidRDefault="00983B9E" w:rsidP="005A28EA">
            <w:pPr>
              <w:rPr>
                <w:rFonts w:ascii="Times New Roman" w:hAnsi="Times New Roman"/>
                <w:sz w:val="22"/>
              </w:rPr>
            </w:pPr>
          </w:p>
          <w:p w:rsidR="00983B9E" w:rsidRDefault="00983B9E" w:rsidP="005A28EA">
            <w:pPr>
              <w:rPr>
                <w:rFonts w:ascii="Times New Roman" w:hAnsi="Times New Roman"/>
                <w:sz w:val="22"/>
              </w:rPr>
            </w:pPr>
          </w:p>
          <w:p w:rsidR="00983B9E" w:rsidRDefault="00983B9E" w:rsidP="005A28EA">
            <w:pPr>
              <w:rPr>
                <w:rFonts w:ascii="Times New Roman" w:hAnsi="Times New Roman"/>
                <w:sz w:val="22"/>
              </w:rPr>
            </w:pPr>
          </w:p>
          <w:p w:rsidR="00983B9E" w:rsidRDefault="00983B9E" w:rsidP="005A28EA">
            <w:pPr>
              <w:rPr>
                <w:rFonts w:ascii="Times New Roman" w:hAnsi="Times New Roman"/>
                <w:sz w:val="22"/>
              </w:rPr>
            </w:pPr>
          </w:p>
          <w:p w:rsidR="005A28EA" w:rsidRDefault="005A28EA" w:rsidP="005A28EA">
            <w:pPr>
              <w:rPr>
                <w:rFonts w:ascii="Times New Roman" w:hAnsi="Times New Roman"/>
                <w:sz w:val="22"/>
              </w:rPr>
            </w:pPr>
          </w:p>
          <w:p w:rsidR="00983B9E" w:rsidRPr="00460E3D" w:rsidRDefault="00983B9E" w:rsidP="005A28EA">
            <w:pPr>
              <w:rPr>
                <w:rFonts w:ascii="Times New Roman" w:hAnsi="Times New Roman"/>
                <w:sz w:val="22"/>
              </w:rPr>
            </w:pPr>
          </w:p>
        </w:tc>
      </w:tr>
    </w:tbl>
    <w:p w:rsidR="00983B9E" w:rsidRDefault="00983B9E" w:rsidP="005A28EA">
      <w:pPr>
        <w:jc w:val="left"/>
        <w:rPr>
          <w:rFonts w:eastAsia="Calibri"/>
          <w:szCs w:val="24"/>
          <w:lang w:eastAsia="en-US"/>
        </w:rPr>
        <w:sectPr w:rsidR="00983B9E" w:rsidSect="00983B9E">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rsidTr="005A28EA">
        <w:tc>
          <w:tcPr>
            <w:tcW w:w="9212" w:type="dxa"/>
            <w:shd w:val="clear" w:color="auto" w:fill="8DB3E2" w:themeFill="text2" w:themeFillTint="66"/>
          </w:tcPr>
          <w:p w:rsidR="005A28EA" w:rsidRPr="00460E3D" w:rsidRDefault="005A28EA" w:rsidP="005A28EA">
            <w:pPr>
              <w:ind w:left="360"/>
              <w:jc w:val="left"/>
              <w:rPr>
                <w:rFonts w:ascii="Times New Roman" w:hAnsi="Times New Roman"/>
                <w:b/>
                <w:sz w:val="22"/>
              </w:rPr>
            </w:pPr>
            <w:r w:rsidRPr="00C0062E">
              <w:rPr>
                <w:b/>
                <w:sz w:val="22"/>
              </w:rPr>
              <w:lastRenderedPageBreak/>
              <w:t>4.3. Grille d’analyse des risques et principaux incidents de fraude</w:t>
            </w:r>
          </w:p>
        </w:tc>
      </w:tr>
    </w:tbl>
    <w:p w:rsidR="00E067C6" w:rsidRDefault="00E067C6" w:rsidP="00E067C6">
      <w:pPr>
        <w:spacing w:after="200" w:line="276" w:lineRule="auto"/>
        <w:ind w:left="720"/>
        <w:jc w:val="left"/>
        <w:rPr>
          <w:rFonts w:eastAsia="Calibri"/>
          <w:b/>
          <w:sz w:val="22"/>
          <w:szCs w:val="22"/>
          <w:lang w:eastAsia="en-US"/>
        </w:rPr>
      </w:pPr>
    </w:p>
    <w:p w:rsidR="00B04881" w:rsidRPr="00460E3D" w:rsidRDefault="00B04881" w:rsidP="00B04881">
      <w:pPr>
        <w:numPr>
          <w:ilvl w:val="0"/>
          <w:numId w:val="91"/>
        </w:numPr>
        <w:spacing w:after="200" w:line="276" w:lineRule="auto"/>
        <w:jc w:val="left"/>
        <w:rPr>
          <w:rFonts w:eastAsia="Calibri"/>
          <w:b/>
          <w:sz w:val="22"/>
          <w:szCs w:val="22"/>
          <w:lang w:eastAsia="en-US"/>
        </w:rPr>
      </w:pPr>
      <w:r w:rsidRPr="00460E3D">
        <w:rPr>
          <w:rFonts w:eastAsia="Calibri"/>
          <w:b/>
          <w:sz w:val="22"/>
          <w:szCs w:val="22"/>
          <w:lang w:eastAsia="en-US"/>
        </w:rPr>
        <w:t>Rappel de la typologie de fraude applicable</w:t>
      </w:r>
    </w:p>
    <w:p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2633"/>
        <w:gridCol w:w="6427"/>
      </w:tblGrid>
      <w:tr w:rsidR="005A28EA" w:rsidRPr="00C0062E" w:rsidTr="005A28EA">
        <w:tc>
          <w:tcPr>
            <w:tcW w:w="2660" w:type="dxa"/>
            <w:shd w:val="clear" w:color="auto" w:fill="B6DDE8" w:themeFill="accent5" w:themeFillTint="66"/>
          </w:tcPr>
          <w:p w:rsidR="005A28EA" w:rsidRPr="00460E3D" w:rsidRDefault="005A28EA" w:rsidP="005A28EA">
            <w:pPr>
              <w:jc w:val="center"/>
              <w:rPr>
                <w:rFonts w:ascii="Times New Roman" w:hAnsi="Times New Roman"/>
                <w:b/>
                <w:sz w:val="22"/>
              </w:rPr>
            </w:pPr>
            <w:r w:rsidRPr="00C0062E">
              <w:rPr>
                <w:b/>
                <w:sz w:val="22"/>
              </w:rPr>
              <w:t>Typologie de fraude</w:t>
            </w:r>
          </w:p>
        </w:tc>
        <w:tc>
          <w:tcPr>
            <w:tcW w:w="6552" w:type="dxa"/>
            <w:shd w:val="clear" w:color="auto" w:fill="B6DDE8" w:themeFill="accent5" w:themeFillTint="66"/>
          </w:tcPr>
          <w:p w:rsidR="005A28EA" w:rsidRPr="00460E3D" w:rsidRDefault="005A28EA" w:rsidP="005A28EA">
            <w:pPr>
              <w:jc w:val="center"/>
              <w:rPr>
                <w:rFonts w:ascii="Times New Roman" w:hAnsi="Times New Roman"/>
                <w:b/>
                <w:sz w:val="22"/>
              </w:rPr>
            </w:pPr>
            <w:r w:rsidRPr="00C0062E">
              <w:rPr>
                <w:b/>
                <w:sz w:val="22"/>
              </w:rPr>
              <w:t>Description</w:t>
            </w:r>
          </w:p>
        </w:tc>
      </w:tr>
      <w:tr w:rsidR="005A28EA" w:rsidRPr="00C0062E" w:rsidTr="005A28EA">
        <w:tc>
          <w:tcPr>
            <w:tcW w:w="2660" w:type="dxa"/>
          </w:tcPr>
          <w:p w:rsidR="005A28EA" w:rsidRPr="00460E3D" w:rsidRDefault="005A28EA" w:rsidP="00B04881">
            <w:pPr>
              <w:jc w:val="left"/>
              <w:rPr>
                <w:rFonts w:ascii="Times New Roman" w:hAnsi="Times New Roman"/>
                <w:sz w:val="22"/>
              </w:rPr>
            </w:pPr>
            <w:r w:rsidRPr="00C0062E">
              <w:rPr>
                <w:sz w:val="22"/>
              </w:rPr>
              <w:t xml:space="preserve">Vol, perte </w:t>
            </w:r>
          </w:p>
        </w:tc>
        <w:tc>
          <w:tcPr>
            <w:tcW w:w="6552" w:type="dxa"/>
          </w:tcPr>
          <w:p w:rsidR="005A28EA" w:rsidRPr="00460E3D" w:rsidRDefault="00B04881" w:rsidP="00890013">
            <w:pPr>
              <w:rPr>
                <w:rFonts w:ascii="Times New Roman" w:hAnsi="Times New Roman"/>
                <w:sz w:val="22"/>
              </w:rPr>
            </w:pPr>
            <w:r w:rsidRPr="00D24C66">
              <w:rPr>
                <w:rFonts w:cstheme="minorHAnsi"/>
                <w:sz w:val="22"/>
              </w:rPr>
              <w:t>Émission illégitime d’un effet de commerce par un fraudeur en utilisant une formule vierge.</w:t>
            </w:r>
            <w:r>
              <w:rPr>
                <w:rFonts w:cstheme="minorHAnsi"/>
                <w:sz w:val="22"/>
              </w:rPr>
              <w:t xml:space="preserve"> </w:t>
            </w:r>
          </w:p>
        </w:tc>
      </w:tr>
      <w:tr w:rsidR="005A28EA" w:rsidRPr="00C0062E" w:rsidTr="005A28EA">
        <w:tc>
          <w:tcPr>
            <w:tcW w:w="2660" w:type="dxa"/>
          </w:tcPr>
          <w:p w:rsidR="005A28EA" w:rsidRPr="00460E3D" w:rsidRDefault="005A28EA" w:rsidP="005A28EA">
            <w:pPr>
              <w:jc w:val="left"/>
              <w:rPr>
                <w:rFonts w:ascii="Times New Roman" w:hAnsi="Times New Roman"/>
                <w:sz w:val="22"/>
              </w:rPr>
            </w:pPr>
            <w:r w:rsidRPr="00C0062E">
              <w:rPr>
                <w:sz w:val="22"/>
              </w:rPr>
              <w:t>Contrefaçon</w:t>
            </w:r>
          </w:p>
        </w:tc>
        <w:tc>
          <w:tcPr>
            <w:tcW w:w="6552" w:type="dxa"/>
          </w:tcPr>
          <w:p w:rsidR="005A28EA" w:rsidRPr="00460E3D" w:rsidRDefault="00B04881" w:rsidP="00890013">
            <w:pPr>
              <w:rPr>
                <w:rFonts w:ascii="Times New Roman" w:hAnsi="Times New Roman"/>
                <w:sz w:val="22"/>
              </w:rPr>
            </w:pPr>
            <w:r w:rsidRPr="00D24C66">
              <w:rPr>
                <w:rFonts w:cstheme="minorHAnsi"/>
                <w:sz w:val="22"/>
              </w:rPr>
              <w:t>Faux effet de commerce créé de toutes pièces par le fraudeur, émis sur une banque existante ou une fausse banque.</w:t>
            </w:r>
            <w:r>
              <w:rPr>
                <w:rFonts w:cstheme="minorHAnsi"/>
                <w:sz w:val="22"/>
              </w:rPr>
              <w:t xml:space="preserve"> </w:t>
            </w:r>
          </w:p>
        </w:tc>
      </w:tr>
      <w:tr w:rsidR="005A28EA" w:rsidRPr="00C0062E" w:rsidTr="005A28EA">
        <w:tc>
          <w:tcPr>
            <w:tcW w:w="2660" w:type="dxa"/>
          </w:tcPr>
          <w:p w:rsidR="005A28EA" w:rsidRPr="00460E3D" w:rsidRDefault="005A28EA" w:rsidP="005A28EA">
            <w:pPr>
              <w:jc w:val="left"/>
              <w:rPr>
                <w:rFonts w:ascii="Times New Roman" w:hAnsi="Times New Roman"/>
                <w:sz w:val="22"/>
              </w:rPr>
            </w:pPr>
            <w:r w:rsidRPr="00C0062E">
              <w:rPr>
                <w:sz w:val="22"/>
              </w:rPr>
              <w:t>Falsification</w:t>
            </w:r>
          </w:p>
        </w:tc>
        <w:tc>
          <w:tcPr>
            <w:tcW w:w="6552" w:type="dxa"/>
          </w:tcPr>
          <w:p w:rsidR="005A28EA" w:rsidRPr="00460E3D" w:rsidRDefault="00B04881" w:rsidP="00890013">
            <w:pPr>
              <w:rPr>
                <w:rFonts w:ascii="Times New Roman" w:hAnsi="Times New Roman"/>
                <w:sz w:val="22"/>
              </w:rPr>
            </w:pPr>
            <w:r w:rsidRPr="00D24C66">
              <w:rPr>
                <w:rFonts w:cstheme="minorHAnsi"/>
                <w:sz w:val="22"/>
              </w:rPr>
              <w:t>Effet de commerce régulier intercepté par un fraudeur qui l’altère volontairement par grattage, gommage ou effacement.</w:t>
            </w:r>
          </w:p>
        </w:tc>
      </w:tr>
      <w:tr w:rsidR="005A28EA" w:rsidRPr="00C0062E" w:rsidTr="005A28EA">
        <w:tc>
          <w:tcPr>
            <w:tcW w:w="2660" w:type="dxa"/>
          </w:tcPr>
          <w:p w:rsidR="005A28EA" w:rsidRPr="00460E3D" w:rsidRDefault="005A28EA" w:rsidP="005A28EA">
            <w:pPr>
              <w:jc w:val="left"/>
              <w:rPr>
                <w:rFonts w:ascii="Times New Roman" w:hAnsi="Times New Roman"/>
                <w:sz w:val="22"/>
              </w:rPr>
            </w:pPr>
            <w:r w:rsidRPr="00C0062E">
              <w:rPr>
                <w:sz w:val="22"/>
              </w:rPr>
              <w:t>Détournement, rejeu</w:t>
            </w:r>
          </w:p>
        </w:tc>
        <w:tc>
          <w:tcPr>
            <w:tcW w:w="6552" w:type="dxa"/>
          </w:tcPr>
          <w:p w:rsidR="005A28EA" w:rsidRPr="00460E3D" w:rsidRDefault="00B04881" w:rsidP="00890013">
            <w:pPr>
              <w:rPr>
                <w:rFonts w:ascii="Times New Roman" w:hAnsi="Times New Roman"/>
                <w:sz w:val="22"/>
              </w:rPr>
            </w:pPr>
            <w:r w:rsidRPr="00D24C66">
              <w:rPr>
                <w:rFonts w:cstheme="minorHAnsi"/>
                <w:sz w:val="22"/>
              </w:rPr>
              <w:t>Effet de commerce perdu ou volé après compensation dans les systèmes de paiement et présenté à nouveau à l’encaissement.</w:t>
            </w:r>
          </w:p>
        </w:tc>
      </w:tr>
    </w:tbl>
    <w:p w:rsidR="005A28EA" w:rsidRDefault="005A28EA" w:rsidP="005A28EA">
      <w:pPr>
        <w:jc w:val="left"/>
        <w:rPr>
          <w:rFonts w:eastAsia="Calibri"/>
          <w:b/>
          <w:sz w:val="22"/>
          <w:szCs w:val="22"/>
          <w:lang w:eastAsia="en-US"/>
        </w:rPr>
      </w:pPr>
    </w:p>
    <w:p w:rsidR="007531F6" w:rsidRDefault="007531F6" w:rsidP="005A28EA">
      <w:pPr>
        <w:jc w:val="left"/>
        <w:rPr>
          <w:rFonts w:eastAsia="Calibri"/>
          <w:b/>
          <w:sz w:val="22"/>
          <w:szCs w:val="22"/>
          <w:lang w:eastAsia="en-US"/>
        </w:rPr>
      </w:pPr>
    </w:p>
    <w:p w:rsidR="003B0563" w:rsidRPr="00D63D99" w:rsidRDefault="005A28EA" w:rsidP="00D63D99">
      <w:pPr>
        <w:numPr>
          <w:ilvl w:val="0"/>
          <w:numId w:val="91"/>
        </w:numPr>
        <w:spacing w:after="200" w:line="276" w:lineRule="auto"/>
        <w:jc w:val="left"/>
        <w:rPr>
          <w:rFonts w:eastAsia="Calibri"/>
          <w:b/>
          <w:sz w:val="22"/>
          <w:szCs w:val="22"/>
          <w:lang w:eastAsia="en-US"/>
        </w:rPr>
      </w:pPr>
      <w:r w:rsidRPr="003B0563">
        <w:rPr>
          <w:rFonts w:eastAsia="Calibri"/>
          <w:b/>
          <w:sz w:val="22"/>
          <w:szCs w:val="22"/>
          <w:lang w:eastAsia="en-US"/>
        </w:rPr>
        <w:t>Cotation globale du risque de fraude sur le</w:t>
      </w:r>
      <w:r w:rsidR="007A2855" w:rsidRPr="003B0563">
        <w:rPr>
          <w:rFonts w:eastAsia="Calibri"/>
          <w:b/>
          <w:sz w:val="22"/>
          <w:szCs w:val="22"/>
          <w:lang w:eastAsia="en-US"/>
        </w:rPr>
        <w:t>s LCR et BOR</w:t>
      </w:r>
    </w:p>
    <w:p w:rsidR="005A28EA" w:rsidRPr="003B0563" w:rsidRDefault="005A28EA" w:rsidP="00D63D99">
      <w:pPr>
        <w:spacing w:after="200" w:line="276" w:lineRule="auto"/>
        <w:jc w:val="left"/>
        <w:rPr>
          <w:rFonts w:eastAsia="Calibri"/>
          <w:b/>
          <w:sz w:val="22"/>
          <w:szCs w:val="22"/>
          <w:lang w:eastAsia="en-US"/>
        </w:rPr>
      </w:pPr>
      <w:r w:rsidRPr="003B0563">
        <w:rPr>
          <w:rFonts w:eastAsia="Calibri"/>
          <w:i/>
          <w:sz w:val="22"/>
          <w:szCs w:val="22"/>
          <w:lang w:eastAsia="en-US"/>
        </w:rPr>
        <w:t>La matrice de cotation utilisée par l’établissement pour évaluer le risque de fraude est à communiquer dans la partie IV de la présente annexe.</w:t>
      </w:r>
    </w:p>
    <w:tbl>
      <w:tblPr>
        <w:tblStyle w:val="Grilledutableau11"/>
        <w:tblW w:w="0" w:type="auto"/>
        <w:tblInd w:w="-34" w:type="dxa"/>
        <w:tblLook w:val="04A0" w:firstRow="1" w:lastRow="0" w:firstColumn="1" w:lastColumn="0" w:noHBand="0" w:noVBand="1"/>
      </w:tblPr>
      <w:tblGrid>
        <w:gridCol w:w="2951"/>
        <w:gridCol w:w="6143"/>
      </w:tblGrid>
      <w:tr w:rsidR="005A28EA" w:rsidRPr="00C0062E" w:rsidTr="005A28EA">
        <w:tc>
          <w:tcPr>
            <w:tcW w:w="2977" w:type="dxa"/>
            <w:shd w:val="clear" w:color="auto" w:fill="F2DBDB" w:themeFill="accent2" w:themeFillTint="33"/>
          </w:tcPr>
          <w:p w:rsidR="005A28EA" w:rsidRPr="00460E3D" w:rsidRDefault="005A28EA" w:rsidP="005A28EA">
            <w:pPr>
              <w:jc w:val="left"/>
              <w:rPr>
                <w:rFonts w:ascii="Times New Roman" w:hAnsi="Times New Roman"/>
                <w:szCs w:val="24"/>
                <w:u w:val="single"/>
              </w:rPr>
            </w:pPr>
            <w:r w:rsidRPr="00460E3D">
              <w:rPr>
                <w:szCs w:val="24"/>
                <w:u w:val="single"/>
              </w:rPr>
              <w:t>Risque brut</w:t>
            </w:r>
          </w:p>
          <w:p w:rsidR="005A28EA" w:rsidRPr="00460E3D" w:rsidRDefault="005A28EA" w:rsidP="005A28EA">
            <w:pPr>
              <w:jc w:val="left"/>
              <w:rPr>
                <w:rFonts w:ascii="Times New Roman" w:hAnsi="Times New Roman"/>
                <w:i/>
                <w:szCs w:val="24"/>
              </w:rPr>
            </w:pPr>
            <w:r w:rsidRPr="00C0062E">
              <w:rPr>
                <w:i/>
                <w:szCs w:val="24"/>
              </w:rPr>
              <w:t>(Risque inhérent avant les mesures de couverture)</w:t>
            </w:r>
          </w:p>
        </w:tc>
        <w:tc>
          <w:tcPr>
            <w:tcW w:w="6237" w:type="dxa"/>
          </w:tcPr>
          <w:p w:rsidR="005A28EA" w:rsidRPr="00460E3D" w:rsidRDefault="005A28EA" w:rsidP="005A28EA">
            <w:pPr>
              <w:jc w:val="left"/>
              <w:rPr>
                <w:rFonts w:ascii="Times New Roman" w:hAnsi="Times New Roman"/>
                <w:szCs w:val="24"/>
              </w:rPr>
            </w:pPr>
          </w:p>
        </w:tc>
      </w:tr>
      <w:tr w:rsidR="005A28EA" w:rsidRPr="00C0062E" w:rsidTr="005A28EA">
        <w:tc>
          <w:tcPr>
            <w:tcW w:w="2977" w:type="dxa"/>
            <w:shd w:val="clear" w:color="auto" w:fill="F2DBDB" w:themeFill="accent2" w:themeFillTint="33"/>
          </w:tcPr>
          <w:p w:rsidR="005A28EA" w:rsidRPr="00460E3D" w:rsidRDefault="005A28EA" w:rsidP="005A28EA">
            <w:pPr>
              <w:jc w:val="left"/>
              <w:rPr>
                <w:rFonts w:ascii="Times New Roman" w:hAnsi="Times New Roman"/>
                <w:szCs w:val="24"/>
                <w:u w:val="single"/>
              </w:rPr>
            </w:pPr>
            <w:r w:rsidRPr="00C0062E">
              <w:rPr>
                <w:szCs w:val="24"/>
                <w:u w:val="single"/>
              </w:rPr>
              <w:t>Risque résiduel</w:t>
            </w:r>
          </w:p>
          <w:p w:rsidR="005A28EA" w:rsidRPr="00460E3D" w:rsidRDefault="005A28EA" w:rsidP="005A28EA">
            <w:pPr>
              <w:jc w:val="left"/>
              <w:rPr>
                <w:rFonts w:ascii="Times New Roman" w:hAnsi="Times New Roman"/>
                <w:i/>
                <w:szCs w:val="24"/>
              </w:rPr>
            </w:pPr>
            <w:r w:rsidRPr="00C0062E">
              <w:rPr>
                <w:i/>
                <w:szCs w:val="24"/>
              </w:rPr>
              <w:t>(Risque subsistant après les mesures de couverture)</w:t>
            </w:r>
          </w:p>
        </w:tc>
        <w:tc>
          <w:tcPr>
            <w:tcW w:w="6237" w:type="dxa"/>
          </w:tcPr>
          <w:p w:rsidR="005A28EA" w:rsidRPr="00460E3D" w:rsidRDefault="005A28EA" w:rsidP="005A28EA">
            <w:pPr>
              <w:jc w:val="left"/>
              <w:rPr>
                <w:rFonts w:ascii="Times New Roman" w:hAnsi="Times New Roman"/>
                <w:szCs w:val="24"/>
              </w:rPr>
            </w:pPr>
          </w:p>
        </w:tc>
      </w:tr>
    </w:tbl>
    <w:p w:rsidR="005A28EA" w:rsidRPr="00460E3D" w:rsidRDefault="005A28EA" w:rsidP="005A28EA">
      <w:pPr>
        <w:ind w:left="360"/>
        <w:jc w:val="left"/>
        <w:rPr>
          <w:rFonts w:eastAsia="Calibri"/>
          <w:szCs w:val="24"/>
          <w:lang w:eastAsia="en-US"/>
        </w:rPr>
      </w:pPr>
    </w:p>
    <w:p w:rsidR="005A28EA" w:rsidRPr="00460E3D" w:rsidRDefault="005A28EA" w:rsidP="005A28EA">
      <w:pPr>
        <w:numPr>
          <w:ilvl w:val="0"/>
          <w:numId w:val="91"/>
        </w:numPr>
        <w:spacing w:after="200" w:line="276" w:lineRule="auto"/>
        <w:jc w:val="left"/>
        <w:rPr>
          <w:rFonts w:eastAsia="Calibri"/>
          <w:b/>
          <w:sz w:val="22"/>
          <w:szCs w:val="22"/>
          <w:lang w:eastAsia="en-US"/>
        </w:rPr>
      </w:pPr>
      <w:r w:rsidRPr="00460E3D">
        <w:rPr>
          <w:rFonts w:eastAsia="Calibri"/>
          <w:b/>
          <w:sz w:val="22"/>
          <w:szCs w:val="22"/>
          <w:lang w:eastAsia="en-US"/>
        </w:rPr>
        <w:t>Mesures de couverture du risque de fraude</w:t>
      </w:r>
    </w:p>
    <w:p w:rsidR="005A28EA" w:rsidRPr="00460E3D" w:rsidRDefault="005A28EA" w:rsidP="005A28EA">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2079"/>
        <w:gridCol w:w="1686"/>
        <w:gridCol w:w="5295"/>
      </w:tblGrid>
      <w:tr w:rsidR="005A28EA" w:rsidRPr="00C0062E" w:rsidTr="00112009">
        <w:tc>
          <w:tcPr>
            <w:tcW w:w="2079" w:type="dxa"/>
            <w:shd w:val="clear" w:color="auto" w:fill="D6E3BC" w:themeFill="accent3" w:themeFillTint="66"/>
            <w:vAlign w:val="center"/>
          </w:tcPr>
          <w:p w:rsidR="005A28EA" w:rsidRPr="00460E3D" w:rsidRDefault="005A28EA">
            <w:pPr>
              <w:jc w:val="center"/>
              <w:rPr>
                <w:rFonts w:ascii="Times New Roman" w:hAnsi="Times New Roman"/>
                <w:b/>
                <w:sz w:val="22"/>
              </w:rPr>
            </w:pPr>
            <w:r w:rsidRPr="00C0062E">
              <w:rPr>
                <w:b/>
                <w:sz w:val="22"/>
              </w:rPr>
              <w:t>Typologie de fraude</w:t>
            </w:r>
          </w:p>
        </w:tc>
        <w:tc>
          <w:tcPr>
            <w:tcW w:w="1686" w:type="dxa"/>
            <w:shd w:val="clear" w:color="auto" w:fill="D6E3BC" w:themeFill="accent3" w:themeFillTint="66"/>
            <w:vAlign w:val="center"/>
          </w:tcPr>
          <w:p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5295" w:type="dxa"/>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rsidTr="00112009">
        <w:tc>
          <w:tcPr>
            <w:tcW w:w="2079" w:type="dxa"/>
          </w:tcPr>
          <w:p w:rsidR="005A28EA" w:rsidRPr="00460E3D" w:rsidRDefault="005A28EA" w:rsidP="00B04881">
            <w:pPr>
              <w:jc w:val="left"/>
              <w:rPr>
                <w:rFonts w:ascii="Times New Roman" w:hAnsi="Times New Roman"/>
                <w:sz w:val="22"/>
              </w:rPr>
            </w:pPr>
            <w:r w:rsidRPr="00C0062E">
              <w:rPr>
                <w:sz w:val="22"/>
              </w:rPr>
              <w:t xml:space="preserve">Vol, perte </w:t>
            </w:r>
          </w:p>
        </w:tc>
        <w:tc>
          <w:tcPr>
            <w:tcW w:w="1686" w:type="dxa"/>
          </w:tcPr>
          <w:p w:rsidR="005A28EA" w:rsidRPr="00460E3D" w:rsidRDefault="005A28EA" w:rsidP="005A28EA">
            <w:pPr>
              <w:jc w:val="left"/>
              <w:rPr>
                <w:rFonts w:ascii="Times New Roman" w:hAnsi="Times New Roman"/>
                <w:b/>
                <w:sz w:val="22"/>
              </w:rPr>
            </w:pPr>
          </w:p>
        </w:tc>
        <w:tc>
          <w:tcPr>
            <w:tcW w:w="5295" w:type="dxa"/>
          </w:tcPr>
          <w:p w:rsidR="005A28EA" w:rsidRPr="00460E3D" w:rsidRDefault="005A28EA" w:rsidP="005A28EA">
            <w:pPr>
              <w:jc w:val="left"/>
              <w:rPr>
                <w:rFonts w:ascii="Times New Roman" w:hAnsi="Times New Roman"/>
                <w:b/>
                <w:sz w:val="22"/>
              </w:rPr>
            </w:pPr>
          </w:p>
        </w:tc>
      </w:tr>
      <w:tr w:rsidR="005A28EA" w:rsidRPr="00C0062E" w:rsidTr="00112009">
        <w:tc>
          <w:tcPr>
            <w:tcW w:w="2079" w:type="dxa"/>
          </w:tcPr>
          <w:p w:rsidR="005A28EA" w:rsidRPr="00460E3D" w:rsidRDefault="005A28EA" w:rsidP="005A28EA">
            <w:pPr>
              <w:jc w:val="left"/>
              <w:rPr>
                <w:rFonts w:ascii="Times New Roman" w:hAnsi="Times New Roman"/>
                <w:sz w:val="22"/>
              </w:rPr>
            </w:pPr>
            <w:r w:rsidRPr="00C0062E">
              <w:rPr>
                <w:sz w:val="22"/>
              </w:rPr>
              <w:t>Contrefaçon</w:t>
            </w:r>
          </w:p>
        </w:tc>
        <w:tc>
          <w:tcPr>
            <w:tcW w:w="1686" w:type="dxa"/>
          </w:tcPr>
          <w:p w:rsidR="005A28EA" w:rsidRPr="00460E3D" w:rsidRDefault="005A28EA" w:rsidP="005A28EA">
            <w:pPr>
              <w:jc w:val="left"/>
              <w:rPr>
                <w:rFonts w:ascii="Times New Roman" w:hAnsi="Times New Roman"/>
                <w:b/>
                <w:sz w:val="22"/>
              </w:rPr>
            </w:pPr>
          </w:p>
        </w:tc>
        <w:tc>
          <w:tcPr>
            <w:tcW w:w="5295" w:type="dxa"/>
          </w:tcPr>
          <w:p w:rsidR="005A28EA" w:rsidRPr="00460E3D" w:rsidRDefault="005A28EA" w:rsidP="005A28EA">
            <w:pPr>
              <w:jc w:val="left"/>
              <w:rPr>
                <w:rFonts w:ascii="Times New Roman" w:hAnsi="Times New Roman"/>
                <w:b/>
                <w:sz w:val="22"/>
              </w:rPr>
            </w:pPr>
          </w:p>
        </w:tc>
      </w:tr>
      <w:tr w:rsidR="005A28EA" w:rsidRPr="00C0062E" w:rsidTr="00112009">
        <w:tc>
          <w:tcPr>
            <w:tcW w:w="2079" w:type="dxa"/>
          </w:tcPr>
          <w:p w:rsidR="005A28EA" w:rsidRPr="00460E3D" w:rsidRDefault="005A28EA" w:rsidP="005A28EA">
            <w:pPr>
              <w:jc w:val="left"/>
              <w:rPr>
                <w:rFonts w:ascii="Times New Roman" w:hAnsi="Times New Roman"/>
                <w:sz w:val="22"/>
              </w:rPr>
            </w:pPr>
            <w:r w:rsidRPr="00C0062E">
              <w:rPr>
                <w:sz w:val="22"/>
              </w:rPr>
              <w:t>Falsification</w:t>
            </w:r>
          </w:p>
        </w:tc>
        <w:tc>
          <w:tcPr>
            <w:tcW w:w="1686" w:type="dxa"/>
          </w:tcPr>
          <w:p w:rsidR="005A28EA" w:rsidRPr="00460E3D" w:rsidRDefault="005A28EA" w:rsidP="005A28EA">
            <w:pPr>
              <w:jc w:val="left"/>
              <w:rPr>
                <w:rFonts w:ascii="Times New Roman" w:hAnsi="Times New Roman"/>
                <w:b/>
                <w:sz w:val="22"/>
              </w:rPr>
            </w:pPr>
          </w:p>
        </w:tc>
        <w:tc>
          <w:tcPr>
            <w:tcW w:w="5295" w:type="dxa"/>
          </w:tcPr>
          <w:p w:rsidR="005A28EA" w:rsidRPr="00460E3D" w:rsidRDefault="005A28EA" w:rsidP="005A28EA">
            <w:pPr>
              <w:jc w:val="left"/>
              <w:rPr>
                <w:rFonts w:ascii="Times New Roman" w:hAnsi="Times New Roman"/>
                <w:b/>
                <w:sz w:val="22"/>
              </w:rPr>
            </w:pPr>
          </w:p>
        </w:tc>
      </w:tr>
      <w:tr w:rsidR="005A28EA" w:rsidRPr="00C0062E" w:rsidTr="00112009">
        <w:tc>
          <w:tcPr>
            <w:tcW w:w="2079" w:type="dxa"/>
          </w:tcPr>
          <w:p w:rsidR="005A28EA" w:rsidRPr="00460E3D" w:rsidRDefault="005A28EA" w:rsidP="005A28EA">
            <w:pPr>
              <w:jc w:val="left"/>
              <w:rPr>
                <w:rFonts w:ascii="Times New Roman" w:hAnsi="Times New Roman"/>
                <w:sz w:val="22"/>
              </w:rPr>
            </w:pPr>
            <w:r w:rsidRPr="00C0062E">
              <w:rPr>
                <w:sz w:val="22"/>
              </w:rPr>
              <w:t>Détournement, rejeu</w:t>
            </w:r>
          </w:p>
        </w:tc>
        <w:tc>
          <w:tcPr>
            <w:tcW w:w="1686" w:type="dxa"/>
          </w:tcPr>
          <w:p w:rsidR="005A28EA" w:rsidRPr="00460E3D" w:rsidRDefault="005A28EA" w:rsidP="005A28EA">
            <w:pPr>
              <w:jc w:val="left"/>
              <w:rPr>
                <w:rFonts w:ascii="Times New Roman" w:hAnsi="Times New Roman"/>
                <w:b/>
                <w:sz w:val="22"/>
              </w:rPr>
            </w:pPr>
          </w:p>
        </w:tc>
        <w:tc>
          <w:tcPr>
            <w:tcW w:w="5295" w:type="dxa"/>
          </w:tcPr>
          <w:p w:rsidR="005A28EA" w:rsidRPr="00460E3D" w:rsidRDefault="005A28EA" w:rsidP="005A28EA">
            <w:pPr>
              <w:jc w:val="left"/>
              <w:rPr>
                <w:rFonts w:ascii="Times New Roman" w:hAnsi="Times New Roman"/>
                <w:b/>
                <w:sz w:val="22"/>
              </w:rPr>
            </w:pPr>
          </w:p>
        </w:tc>
      </w:tr>
    </w:tbl>
    <w:p w:rsidR="005A28EA" w:rsidRPr="00460E3D" w:rsidRDefault="005A28EA" w:rsidP="005A28EA">
      <w:pPr>
        <w:ind w:left="720"/>
        <w:jc w:val="left"/>
        <w:rPr>
          <w:rFonts w:eastAsia="Calibri"/>
          <w:b/>
          <w:sz w:val="22"/>
          <w:szCs w:val="22"/>
          <w:lang w:eastAsia="en-US"/>
        </w:rPr>
      </w:pPr>
    </w:p>
    <w:p w:rsidR="005A28EA" w:rsidRPr="00460E3D" w:rsidRDefault="005A28EA" w:rsidP="005A28EA">
      <w:pPr>
        <w:numPr>
          <w:ilvl w:val="0"/>
          <w:numId w:val="91"/>
        </w:numPr>
        <w:spacing w:after="200" w:line="276" w:lineRule="auto"/>
        <w:jc w:val="left"/>
        <w:rPr>
          <w:rFonts w:eastAsia="Calibri"/>
          <w:b/>
          <w:sz w:val="22"/>
          <w:szCs w:val="22"/>
          <w:lang w:eastAsia="en-US"/>
        </w:rPr>
      </w:pPr>
      <w:r w:rsidRPr="00460E3D">
        <w:rPr>
          <w:rFonts w:eastAsia="Calibri"/>
          <w:b/>
          <w:sz w:val="22"/>
          <w:szCs w:val="22"/>
          <w:lang w:eastAsia="en-US"/>
        </w:rPr>
        <w:t>Évolution de la fraude brute au cours de la période sous revue</w:t>
      </w:r>
    </w:p>
    <w:p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tiré</w:t>
      </w:r>
      <w:r w:rsidR="007531F6">
        <w:rPr>
          <w:rFonts w:eastAsia="Calibri"/>
          <w:sz w:val="22"/>
          <w:szCs w:val="22"/>
          <w:lang w:eastAsia="en-US"/>
        </w:rPr>
        <w:t> :</w:t>
      </w:r>
    </w:p>
    <w:tbl>
      <w:tblPr>
        <w:tblStyle w:val="Grilledutableau2"/>
        <w:tblW w:w="0" w:type="auto"/>
        <w:tblLook w:val="04A0" w:firstRow="1" w:lastRow="0" w:firstColumn="1" w:lastColumn="0" w:noHBand="0" w:noVBand="1"/>
      </w:tblPr>
      <w:tblGrid>
        <w:gridCol w:w="2342"/>
        <w:gridCol w:w="1965"/>
        <w:gridCol w:w="4753"/>
      </w:tblGrid>
      <w:tr w:rsidR="005A28EA" w:rsidRPr="00C0062E" w:rsidTr="00112009">
        <w:tc>
          <w:tcPr>
            <w:tcW w:w="2342" w:type="dxa"/>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Typologie de fraude</w:t>
            </w:r>
          </w:p>
        </w:tc>
        <w:tc>
          <w:tcPr>
            <w:tcW w:w="1965" w:type="dxa"/>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Canal d’initiation</w:t>
            </w:r>
          </w:p>
        </w:tc>
        <w:tc>
          <w:tcPr>
            <w:tcW w:w="4753" w:type="dxa"/>
            <w:shd w:val="clear" w:color="auto" w:fill="D6E3BC" w:themeFill="accent3" w:themeFillTint="66"/>
            <w:vAlign w:val="center"/>
          </w:tcPr>
          <w:p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rsidTr="00112009">
        <w:tc>
          <w:tcPr>
            <w:tcW w:w="2342" w:type="dxa"/>
          </w:tcPr>
          <w:p w:rsidR="005A28EA" w:rsidRPr="00460E3D" w:rsidRDefault="005A28EA" w:rsidP="005A28EA">
            <w:pPr>
              <w:jc w:val="left"/>
              <w:rPr>
                <w:rFonts w:ascii="Times New Roman" w:hAnsi="Times New Roman"/>
                <w:b/>
                <w:sz w:val="22"/>
              </w:rPr>
            </w:pPr>
          </w:p>
        </w:tc>
        <w:tc>
          <w:tcPr>
            <w:tcW w:w="1965" w:type="dxa"/>
          </w:tcPr>
          <w:p w:rsidR="005A28EA" w:rsidRPr="00460E3D" w:rsidRDefault="005A28EA" w:rsidP="005A28EA">
            <w:pPr>
              <w:jc w:val="left"/>
              <w:rPr>
                <w:rFonts w:ascii="Times New Roman" w:hAnsi="Times New Roman"/>
                <w:b/>
                <w:sz w:val="22"/>
              </w:rPr>
            </w:pPr>
          </w:p>
        </w:tc>
        <w:tc>
          <w:tcPr>
            <w:tcW w:w="4753" w:type="dxa"/>
          </w:tcPr>
          <w:p w:rsidR="005A28EA" w:rsidRPr="00460E3D" w:rsidRDefault="005A28EA" w:rsidP="005A28EA">
            <w:pPr>
              <w:jc w:val="left"/>
              <w:rPr>
                <w:rFonts w:ascii="Times New Roman" w:hAnsi="Times New Roman"/>
                <w:b/>
                <w:sz w:val="22"/>
              </w:rPr>
            </w:pPr>
          </w:p>
        </w:tc>
      </w:tr>
      <w:tr w:rsidR="005A28EA" w:rsidRPr="00C0062E" w:rsidTr="00112009">
        <w:tc>
          <w:tcPr>
            <w:tcW w:w="2342" w:type="dxa"/>
          </w:tcPr>
          <w:p w:rsidR="005A28EA" w:rsidRPr="00460E3D" w:rsidRDefault="005A28EA" w:rsidP="005A28EA">
            <w:pPr>
              <w:jc w:val="left"/>
              <w:rPr>
                <w:rFonts w:ascii="Times New Roman" w:hAnsi="Times New Roman"/>
                <w:b/>
                <w:sz w:val="22"/>
              </w:rPr>
            </w:pPr>
          </w:p>
        </w:tc>
        <w:tc>
          <w:tcPr>
            <w:tcW w:w="1965" w:type="dxa"/>
          </w:tcPr>
          <w:p w:rsidR="005A28EA" w:rsidRPr="00460E3D" w:rsidRDefault="005A28EA" w:rsidP="005A28EA">
            <w:pPr>
              <w:jc w:val="left"/>
              <w:rPr>
                <w:rFonts w:ascii="Times New Roman" w:hAnsi="Times New Roman"/>
                <w:b/>
                <w:sz w:val="22"/>
              </w:rPr>
            </w:pPr>
          </w:p>
        </w:tc>
        <w:tc>
          <w:tcPr>
            <w:tcW w:w="4753" w:type="dxa"/>
          </w:tcPr>
          <w:p w:rsidR="005A28EA" w:rsidRPr="00460E3D" w:rsidRDefault="005A28EA" w:rsidP="005A28EA">
            <w:pPr>
              <w:jc w:val="left"/>
              <w:rPr>
                <w:rFonts w:ascii="Times New Roman" w:hAnsi="Times New Roman"/>
                <w:b/>
                <w:sz w:val="22"/>
              </w:rPr>
            </w:pPr>
          </w:p>
        </w:tc>
      </w:tr>
      <w:tr w:rsidR="005A28EA" w:rsidRPr="00C0062E" w:rsidTr="00112009">
        <w:tc>
          <w:tcPr>
            <w:tcW w:w="2342" w:type="dxa"/>
          </w:tcPr>
          <w:p w:rsidR="005A28EA" w:rsidRPr="00460E3D" w:rsidRDefault="005A28EA" w:rsidP="005A28EA">
            <w:pPr>
              <w:jc w:val="left"/>
              <w:rPr>
                <w:rFonts w:ascii="Times New Roman" w:hAnsi="Times New Roman"/>
                <w:b/>
                <w:sz w:val="22"/>
              </w:rPr>
            </w:pPr>
          </w:p>
        </w:tc>
        <w:tc>
          <w:tcPr>
            <w:tcW w:w="1965" w:type="dxa"/>
          </w:tcPr>
          <w:p w:rsidR="005A28EA" w:rsidRPr="00460E3D" w:rsidRDefault="005A28EA" w:rsidP="005A28EA">
            <w:pPr>
              <w:jc w:val="left"/>
              <w:rPr>
                <w:rFonts w:ascii="Times New Roman" w:hAnsi="Times New Roman"/>
                <w:b/>
                <w:sz w:val="22"/>
              </w:rPr>
            </w:pPr>
          </w:p>
        </w:tc>
        <w:tc>
          <w:tcPr>
            <w:tcW w:w="4753" w:type="dxa"/>
          </w:tcPr>
          <w:p w:rsidR="005A28EA" w:rsidRPr="00460E3D" w:rsidRDefault="005A28EA" w:rsidP="005A28EA">
            <w:pPr>
              <w:jc w:val="left"/>
              <w:rPr>
                <w:rFonts w:ascii="Times New Roman" w:hAnsi="Times New Roman"/>
                <w:b/>
                <w:sz w:val="22"/>
              </w:rPr>
            </w:pPr>
          </w:p>
        </w:tc>
      </w:tr>
      <w:tr w:rsidR="005A28EA" w:rsidRPr="00C0062E" w:rsidTr="00112009">
        <w:tc>
          <w:tcPr>
            <w:tcW w:w="2342" w:type="dxa"/>
          </w:tcPr>
          <w:p w:rsidR="005A28EA" w:rsidRPr="00460E3D" w:rsidRDefault="005A28EA" w:rsidP="005A28EA">
            <w:pPr>
              <w:jc w:val="left"/>
              <w:rPr>
                <w:rFonts w:ascii="Times New Roman" w:hAnsi="Times New Roman"/>
                <w:b/>
                <w:sz w:val="22"/>
              </w:rPr>
            </w:pPr>
          </w:p>
        </w:tc>
        <w:tc>
          <w:tcPr>
            <w:tcW w:w="1965" w:type="dxa"/>
          </w:tcPr>
          <w:p w:rsidR="005A28EA" w:rsidRPr="00460E3D" w:rsidRDefault="005A28EA" w:rsidP="005A28EA">
            <w:pPr>
              <w:jc w:val="left"/>
              <w:rPr>
                <w:rFonts w:ascii="Times New Roman" w:hAnsi="Times New Roman"/>
                <w:b/>
                <w:sz w:val="22"/>
              </w:rPr>
            </w:pPr>
          </w:p>
        </w:tc>
        <w:tc>
          <w:tcPr>
            <w:tcW w:w="4753" w:type="dxa"/>
          </w:tcPr>
          <w:p w:rsidR="005A28EA" w:rsidRPr="00460E3D" w:rsidRDefault="005A28EA" w:rsidP="005A28EA">
            <w:pPr>
              <w:jc w:val="left"/>
              <w:rPr>
                <w:rFonts w:ascii="Times New Roman" w:hAnsi="Times New Roman"/>
                <w:b/>
                <w:sz w:val="22"/>
              </w:rPr>
            </w:pPr>
          </w:p>
        </w:tc>
      </w:tr>
    </w:tbl>
    <w:p w:rsidR="005A28EA" w:rsidRPr="00460E3D" w:rsidRDefault="005A28EA" w:rsidP="005A28EA">
      <w:pPr>
        <w:jc w:val="left"/>
        <w:rPr>
          <w:rFonts w:eastAsia="Calibri"/>
          <w:b/>
          <w:sz w:val="22"/>
          <w:szCs w:val="22"/>
          <w:lang w:eastAsia="en-US"/>
        </w:rPr>
      </w:pPr>
    </w:p>
    <w:p w:rsidR="00320DBE" w:rsidRDefault="00320DBE" w:rsidP="005A28EA">
      <w:pPr>
        <w:jc w:val="left"/>
        <w:rPr>
          <w:rFonts w:eastAsia="Calibri"/>
          <w:sz w:val="22"/>
          <w:szCs w:val="22"/>
          <w:lang w:eastAsia="en-US"/>
        </w:rPr>
      </w:pPr>
    </w:p>
    <w:p w:rsidR="0000299A" w:rsidRPr="00460E3D" w:rsidRDefault="005A28EA" w:rsidP="005A28EA">
      <w:pPr>
        <w:jc w:val="left"/>
        <w:rPr>
          <w:rFonts w:eastAsia="Calibri"/>
          <w:sz w:val="22"/>
          <w:szCs w:val="22"/>
          <w:lang w:eastAsia="en-US"/>
        </w:rPr>
      </w:pPr>
      <w:r w:rsidRPr="00460E3D">
        <w:rPr>
          <w:rFonts w:eastAsia="Calibri"/>
          <w:sz w:val="22"/>
          <w:szCs w:val="22"/>
          <w:lang w:eastAsia="en-US"/>
        </w:rPr>
        <w:t>En tant qu’établissement du remettant</w:t>
      </w:r>
      <w:r w:rsidR="007531F6">
        <w:rPr>
          <w:rFonts w:eastAsia="Calibri"/>
          <w:sz w:val="22"/>
          <w:szCs w:val="22"/>
          <w:lang w:eastAsia="en-US"/>
        </w:rPr>
        <w:t> :</w:t>
      </w:r>
    </w:p>
    <w:tbl>
      <w:tblPr>
        <w:tblStyle w:val="Grilledutableau2"/>
        <w:tblW w:w="0" w:type="auto"/>
        <w:tblLook w:val="04A0" w:firstRow="1" w:lastRow="0" w:firstColumn="1" w:lastColumn="0" w:noHBand="0" w:noVBand="1"/>
      </w:tblPr>
      <w:tblGrid>
        <w:gridCol w:w="2342"/>
        <w:gridCol w:w="1965"/>
        <w:gridCol w:w="4753"/>
      </w:tblGrid>
      <w:tr w:rsidR="005A28EA" w:rsidRPr="00C0062E" w:rsidTr="00983B9E">
        <w:tc>
          <w:tcPr>
            <w:tcW w:w="2342" w:type="dxa"/>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Typologie de fraude</w:t>
            </w:r>
          </w:p>
        </w:tc>
        <w:tc>
          <w:tcPr>
            <w:tcW w:w="1965" w:type="dxa"/>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Canal d’initiation</w:t>
            </w:r>
          </w:p>
        </w:tc>
        <w:tc>
          <w:tcPr>
            <w:tcW w:w="4753" w:type="dxa"/>
            <w:shd w:val="clear" w:color="auto" w:fill="D6E3BC" w:themeFill="accent3" w:themeFillTint="66"/>
            <w:vAlign w:val="center"/>
          </w:tcPr>
          <w:p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rsidTr="00983B9E">
        <w:tc>
          <w:tcPr>
            <w:tcW w:w="2342" w:type="dxa"/>
          </w:tcPr>
          <w:p w:rsidR="005A28EA" w:rsidRPr="00460E3D" w:rsidRDefault="005A28EA" w:rsidP="005A28EA">
            <w:pPr>
              <w:jc w:val="left"/>
              <w:rPr>
                <w:rFonts w:ascii="Times New Roman" w:hAnsi="Times New Roman"/>
                <w:b/>
                <w:sz w:val="22"/>
              </w:rPr>
            </w:pPr>
          </w:p>
        </w:tc>
        <w:tc>
          <w:tcPr>
            <w:tcW w:w="1965" w:type="dxa"/>
          </w:tcPr>
          <w:p w:rsidR="005A28EA" w:rsidRPr="00460E3D" w:rsidRDefault="005A28EA" w:rsidP="005A28EA">
            <w:pPr>
              <w:jc w:val="left"/>
              <w:rPr>
                <w:rFonts w:ascii="Times New Roman" w:hAnsi="Times New Roman"/>
                <w:b/>
                <w:sz w:val="22"/>
              </w:rPr>
            </w:pPr>
          </w:p>
        </w:tc>
        <w:tc>
          <w:tcPr>
            <w:tcW w:w="4753" w:type="dxa"/>
          </w:tcPr>
          <w:p w:rsidR="005A28EA" w:rsidRPr="00460E3D" w:rsidRDefault="005A28EA" w:rsidP="005A28EA">
            <w:pPr>
              <w:jc w:val="left"/>
              <w:rPr>
                <w:rFonts w:ascii="Times New Roman" w:hAnsi="Times New Roman"/>
                <w:b/>
                <w:sz w:val="22"/>
              </w:rPr>
            </w:pPr>
          </w:p>
        </w:tc>
      </w:tr>
      <w:tr w:rsidR="005A28EA" w:rsidRPr="00C0062E" w:rsidTr="00983B9E">
        <w:tc>
          <w:tcPr>
            <w:tcW w:w="2342" w:type="dxa"/>
          </w:tcPr>
          <w:p w:rsidR="005A28EA" w:rsidRPr="00460E3D" w:rsidRDefault="005A28EA" w:rsidP="005A28EA">
            <w:pPr>
              <w:jc w:val="left"/>
              <w:rPr>
                <w:rFonts w:ascii="Times New Roman" w:hAnsi="Times New Roman"/>
                <w:b/>
                <w:sz w:val="22"/>
              </w:rPr>
            </w:pPr>
          </w:p>
        </w:tc>
        <w:tc>
          <w:tcPr>
            <w:tcW w:w="1965" w:type="dxa"/>
          </w:tcPr>
          <w:p w:rsidR="005A28EA" w:rsidRPr="00460E3D" w:rsidRDefault="005A28EA" w:rsidP="005A28EA">
            <w:pPr>
              <w:jc w:val="left"/>
              <w:rPr>
                <w:rFonts w:ascii="Times New Roman" w:hAnsi="Times New Roman"/>
                <w:b/>
                <w:sz w:val="22"/>
              </w:rPr>
            </w:pPr>
          </w:p>
        </w:tc>
        <w:tc>
          <w:tcPr>
            <w:tcW w:w="4753" w:type="dxa"/>
          </w:tcPr>
          <w:p w:rsidR="005A28EA" w:rsidRPr="00460E3D" w:rsidRDefault="005A28EA" w:rsidP="005A28EA">
            <w:pPr>
              <w:jc w:val="left"/>
              <w:rPr>
                <w:rFonts w:ascii="Times New Roman" w:hAnsi="Times New Roman"/>
                <w:b/>
                <w:sz w:val="22"/>
              </w:rPr>
            </w:pPr>
          </w:p>
        </w:tc>
      </w:tr>
      <w:tr w:rsidR="00983B9E" w:rsidRPr="00C0062E" w:rsidTr="00983B9E">
        <w:tc>
          <w:tcPr>
            <w:tcW w:w="2342" w:type="dxa"/>
          </w:tcPr>
          <w:p w:rsidR="00983B9E" w:rsidRPr="00460E3D" w:rsidRDefault="00983B9E" w:rsidP="005A28EA">
            <w:pPr>
              <w:jc w:val="left"/>
              <w:rPr>
                <w:b/>
                <w:sz w:val="22"/>
              </w:rPr>
            </w:pPr>
          </w:p>
        </w:tc>
        <w:tc>
          <w:tcPr>
            <w:tcW w:w="1965" w:type="dxa"/>
          </w:tcPr>
          <w:p w:rsidR="00983B9E" w:rsidRPr="00460E3D" w:rsidRDefault="00983B9E" w:rsidP="005A28EA">
            <w:pPr>
              <w:jc w:val="left"/>
              <w:rPr>
                <w:b/>
                <w:sz w:val="22"/>
              </w:rPr>
            </w:pPr>
          </w:p>
        </w:tc>
        <w:tc>
          <w:tcPr>
            <w:tcW w:w="4753" w:type="dxa"/>
          </w:tcPr>
          <w:p w:rsidR="00983B9E" w:rsidRPr="00460E3D" w:rsidRDefault="00983B9E" w:rsidP="005A28EA">
            <w:pPr>
              <w:jc w:val="left"/>
              <w:rPr>
                <w:b/>
                <w:sz w:val="22"/>
              </w:rPr>
            </w:pPr>
          </w:p>
        </w:tc>
      </w:tr>
      <w:tr w:rsidR="005A28EA" w:rsidRPr="00C0062E" w:rsidTr="00983B9E">
        <w:tc>
          <w:tcPr>
            <w:tcW w:w="2342" w:type="dxa"/>
          </w:tcPr>
          <w:p w:rsidR="005A28EA" w:rsidRPr="00460E3D" w:rsidRDefault="005A28EA" w:rsidP="005A28EA">
            <w:pPr>
              <w:jc w:val="left"/>
              <w:rPr>
                <w:rFonts w:ascii="Times New Roman" w:hAnsi="Times New Roman"/>
                <w:b/>
                <w:sz w:val="22"/>
              </w:rPr>
            </w:pPr>
          </w:p>
        </w:tc>
        <w:tc>
          <w:tcPr>
            <w:tcW w:w="1965" w:type="dxa"/>
          </w:tcPr>
          <w:p w:rsidR="005A28EA" w:rsidRPr="00460E3D" w:rsidRDefault="005A28EA" w:rsidP="005A28EA">
            <w:pPr>
              <w:jc w:val="left"/>
              <w:rPr>
                <w:rFonts w:ascii="Times New Roman" w:hAnsi="Times New Roman"/>
                <w:b/>
                <w:sz w:val="22"/>
              </w:rPr>
            </w:pPr>
          </w:p>
        </w:tc>
        <w:tc>
          <w:tcPr>
            <w:tcW w:w="4753" w:type="dxa"/>
          </w:tcPr>
          <w:p w:rsidR="005A28EA" w:rsidRPr="00460E3D" w:rsidRDefault="005A28EA" w:rsidP="005A28EA">
            <w:pPr>
              <w:jc w:val="left"/>
              <w:rPr>
                <w:rFonts w:ascii="Times New Roman" w:hAnsi="Times New Roman"/>
                <w:b/>
                <w:sz w:val="22"/>
              </w:rPr>
            </w:pPr>
          </w:p>
        </w:tc>
      </w:tr>
      <w:tr w:rsidR="005A28EA" w:rsidRPr="00C0062E" w:rsidTr="00983B9E">
        <w:tc>
          <w:tcPr>
            <w:tcW w:w="2342" w:type="dxa"/>
          </w:tcPr>
          <w:p w:rsidR="005A28EA" w:rsidRPr="00460E3D" w:rsidRDefault="005A28EA" w:rsidP="005A28EA">
            <w:pPr>
              <w:jc w:val="left"/>
              <w:rPr>
                <w:rFonts w:ascii="Times New Roman" w:hAnsi="Times New Roman"/>
                <w:b/>
                <w:sz w:val="22"/>
              </w:rPr>
            </w:pPr>
          </w:p>
        </w:tc>
        <w:tc>
          <w:tcPr>
            <w:tcW w:w="1965" w:type="dxa"/>
          </w:tcPr>
          <w:p w:rsidR="005A28EA" w:rsidRPr="00460E3D" w:rsidRDefault="005A28EA" w:rsidP="005A28EA">
            <w:pPr>
              <w:jc w:val="left"/>
              <w:rPr>
                <w:rFonts w:ascii="Times New Roman" w:hAnsi="Times New Roman"/>
                <w:b/>
                <w:sz w:val="22"/>
              </w:rPr>
            </w:pPr>
          </w:p>
        </w:tc>
        <w:tc>
          <w:tcPr>
            <w:tcW w:w="4753" w:type="dxa"/>
          </w:tcPr>
          <w:p w:rsidR="005A28EA" w:rsidRPr="00460E3D" w:rsidRDefault="005A28EA" w:rsidP="005A28EA">
            <w:pPr>
              <w:jc w:val="left"/>
              <w:rPr>
                <w:rFonts w:ascii="Times New Roman" w:hAnsi="Times New Roman"/>
                <w:b/>
                <w:sz w:val="22"/>
              </w:rPr>
            </w:pPr>
          </w:p>
        </w:tc>
      </w:tr>
    </w:tbl>
    <w:p w:rsidR="005A28EA" w:rsidRDefault="005A28EA" w:rsidP="005A28EA">
      <w:pPr>
        <w:jc w:val="left"/>
        <w:rPr>
          <w:rFonts w:eastAsia="Calibri"/>
          <w:b/>
          <w:sz w:val="22"/>
          <w:szCs w:val="22"/>
          <w:lang w:eastAsia="en-US"/>
        </w:rPr>
      </w:pPr>
    </w:p>
    <w:p w:rsidR="005A28EA" w:rsidRPr="00460E3D" w:rsidRDefault="005A28EA" w:rsidP="005A28EA">
      <w:pPr>
        <w:numPr>
          <w:ilvl w:val="0"/>
          <w:numId w:val="91"/>
        </w:numPr>
        <w:spacing w:after="200" w:line="276" w:lineRule="auto"/>
        <w:jc w:val="left"/>
        <w:rPr>
          <w:rFonts w:eastAsia="Calibri"/>
          <w:b/>
          <w:sz w:val="22"/>
          <w:szCs w:val="22"/>
          <w:lang w:eastAsia="en-US"/>
        </w:rPr>
      </w:pPr>
      <w:r w:rsidRPr="00460E3D">
        <w:rPr>
          <w:rFonts w:eastAsia="Calibri"/>
          <w:b/>
          <w:sz w:val="22"/>
          <w:szCs w:val="22"/>
          <w:lang w:eastAsia="en-US"/>
        </w:rPr>
        <w:t>Présentation des risques émergents</w:t>
      </w:r>
    </w:p>
    <w:tbl>
      <w:tblPr>
        <w:tblStyle w:val="Grilledutableau2"/>
        <w:tblW w:w="0" w:type="auto"/>
        <w:tblLook w:val="04A0" w:firstRow="1" w:lastRow="0" w:firstColumn="1" w:lastColumn="0" w:noHBand="0" w:noVBand="1"/>
      </w:tblPr>
      <w:tblGrid>
        <w:gridCol w:w="9060"/>
      </w:tblGrid>
      <w:tr w:rsidR="005A28EA" w:rsidRPr="00C0062E" w:rsidTr="005A28EA">
        <w:tc>
          <w:tcPr>
            <w:tcW w:w="9210" w:type="dxa"/>
          </w:tcPr>
          <w:p w:rsidR="005A28EA" w:rsidRDefault="005A28EA" w:rsidP="005A28EA">
            <w:pPr>
              <w:jc w:val="left"/>
              <w:rPr>
                <w:i/>
                <w:sz w:val="22"/>
              </w:rPr>
            </w:pPr>
            <w:r w:rsidRPr="00C0062E">
              <w:rPr>
                <w:i/>
                <w:sz w:val="22"/>
              </w:rPr>
              <w:t>Décrire les nouveaux scénarios de fraude rencontrés</w:t>
            </w:r>
            <w:r w:rsidR="00956C62">
              <w:rPr>
                <w:i/>
                <w:sz w:val="22"/>
              </w:rPr>
              <w:t xml:space="preserve"> au cours de l’exercice sous revue</w:t>
            </w:r>
            <w:r w:rsidRPr="00C0062E">
              <w:rPr>
                <w:i/>
                <w:sz w:val="22"/>
              </w:rPr>
              <w:t>.</w:t>
            </w:r>
          </w:p>
          <w:p w:rsidR="003B0563" w:rsidRPr="00460E3D" w:rsidRDefault="003B0563" w:rsidP="005A28EA">
            <w:pPr>
              <w:jc w:val="left"/>
              <w:rPr>
                <w:rFonts w:ascii="Times New Roman" w:hAnsi="Times New Roman"/>
                <w:i/>
                <w:sz w:val="22"/>
              </w:rPr>
            </w:pPr>
          </w:p>
          <w:p w:rsidR="005A28EA" w:rsidRDefault="005A28EA" w:rsidP="005A28EA">
            <w:pPr>
              <w:jc w:val="left"/>
              <w:rPr>
                <w:rFonts w:ascii="Times New Roman" w:hAnsi="Times New Roman"/>
                <w:i/>
                <w:sz w:val="22"/>
              </w:rPr>
            </w:pPr>
          </w:p>
          <w:p w:rsidR="00983B9E" w:rsidRDefault="00983B9E" w:rsidP="005A28EA">
            <w:pPr>
              <w:jc w:val="left"/>
              <w:rPr>
                <w:rFonts w:ascii="Times New Roman" w:hAnsi="Times New Roman"/>
                <w:i/>
                <w:sz w:val="22"/>
              </w:rPr>
            </w:pPr>
          </w:p>
          <w:p w:rsidR="00983B9E" w:rsidRDefault="00983B9E" w:rsidP="005A28EA">
            <w:pPr>
              <w:jc w:val="left"/>
              <w:rPr>
                <w:rFonts w:ascii="Times New Roman" w:hAnsi="Times New Roman"/>
                <w:i/>
                <w:sz w:val="22"/>
              </w:rPr>
            </w:pPr>
          </w:p>
          <w:p w:rsidR="00E067C6" w:rsidRDefault="00E067C6" w:rsidP="005A28EA">
            <w:pPr>
              <w:jc w:val="left"/>
              <w:rPr>
                <w:rFonts w:ascii="Times New Roman" w:hAnsi="Times New Roman"/>
                <w:i/>
                <w:sz w:val="22"/>
              </w:rPr>
            </w:pPr>
          </w:p>
          <w:p w:rsidR="00E067C6" w:rsidRDefault="00E067C6" w:rsidP="005A28EA">
            <w:pPr>
              <w:jc w:val="left"/>
              <w:rPr>
                <w:rFonts w:ascii="Times New Roman" w:hAnsi="Times New Roman"/>
                <w:i/>
                <w:sz w:val="22"/>
              </w:rPr>
            </w:pPr>
          </w:p>
          <w:p w:rsidR="00E067C6" w:rsidRDefault="00E067C6" w:rsidP="005A28EA">
            <w:pPr>
              <w:jc w:val="left"/>
              <w:rPr>
                <w:rFonts w:ascii="Times New Roman" w:hAnsi="Times New Roman"/>
                <w:i/>
                <w:sz w:val="22"/>
              </w:rPr>
            </w:pPr>
          </w:p>
          <w:p w:rsidR="00E067C6" w:rsidRDefault="00E067C6" w:rsidP="005A28EA">
            <w:pPr>
              <w:jc w:val="left"/>
              <w:rPr>
                <w:rFonts w:ascii="Times New Roman" w:hAnsi="Times New Roman"/>
                <w:i/>
                <w:sz w:val="22"/>
              </w:rPr>
            </w:pPr>
          </w:p>
          <w:p w:rsidR="00983B9E" w:rsidRPr="00460E3D" w:rsidRDefault="00983B9E" w:rsidP="005A28EA">
            <w:pPr>
              <w:jc w:val="left"/>
              <w:rPr>
                <w:rFonts w:ascii="Times New Roman" w:hAnsi="Times New Roman"/>
                <w:i/>
                <w:sz w:val="22"/>
              </w:rPr>
            </w:pPr>
          </w:p>
          <w:p w:rsidR="005A28EA" w:rsidRPr="00460E3D" w:rsidRDefault="005A28EA" w:rsidP="005A28EA">
            <w:pPr>
              <w:jc w:val="left"/>
              <w:rPr>
                <w:rFonts w:ascii="Times New Roman" w:hAnsi="Times New Roman"/>
                <w:i/>
                <w:sz w:val="22"/>
              </w:rPr>
            </w:pPr>
          </w:p>
        </w:tc>
      </w:tr>
    </w:tbl>
    <w:p w:rsidR="005A28EA" w:rsidRPr="00460E3D" w:rsidRDefault="005A28EA" w:rsidP="005A28EA">
      <w:pPr>
        <w:jc w:val="left"/>
        <w:rPr>
          <w:rFonts w:eastAsia="Calibri"/>
          <w:b/>
          <w:sz w:val="22"/>
          <w:szCs w:val="22"/>
          <w:lang w:eastAsia="en-US"/>
        </w:rPr>
      </w:pPr>
    </w:p>
    <w:p w:rsidR="00E067C6" w:rsidRDefault="00E067C6" w:rsidP="005A28EA">
      <w:pPr>
        <w:jc w:val="left"/>
        <w:rPr>
          <w:rFonts w:eastAsia="Calibri"/>
          <w:szCs w:val="24"/>
          <w:lang w:eastAsia="en-US"/>
        </w:rPr>
        <w:sectPr w:rsidR="00E067C6" w:rsidSect="00E067C6">
          <w:pgSz w:w="11906" w:h="16838"/>
          <w:pgMar w:top="1418" w:right="1418" w:bottom="1418" w:left="1418" w:header="709" w:footer="709" w:gutter="0"/>
          <w:cols w:space="708"/>
          <w:docGrid w:linePitch="360"/>
        </w:sectPr>
      </w:pPr>
    </w:p>
    <w:p w:rsidR="005A28EA" w:rsidRDefault="005A28EA" w:rsidP="005A28EA">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rsidTr="00983B9E">
        <w:tc>
          <w:tcPr>
            <w:tcW w:w="14002" w:type="dxa"/>
            <w:shd w:val="clear" w:color="auto" w:fill="FBD4B4" w:themeFill="accent6" w:themeFillTint="66"/>
          </w:tcPr>
          <w:p w:rsidR="005A28EA" w:rsidRPr="00460E3D" w:rsidRDefault="005A28EA" w:rsidP="005A28EA">
            <w:pPr>
              <w:numPr>
                <w:ilvl w:val="0"/>
                <w:numId w:val="72"/>
              </w:numPr>
              <w:jc w:val="left"/>
              <w:rPr>
                <w:rFonts w:ascii="Times New Roman" w:hAnsi="Times New Roman"/>
                <w:b/>
                <w:sz w:val="22"/>
              </w:rPr>
            </w:pPr>
            <w:r w:rsidRPr="00460E3D">
              <w:rPr>
                <w:b/>
                <w:sz w:val="22"/>
              </w:rPr>
              <w:t>Chèque</w:t>
            </w:r>
          </w:p>
        </w:tc>
      </w:tr>
    </w:tbl>
    <w:p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rsidTr="005A28EA">
        <w:tc>
          <w:tcPr>
            <w:tcW w:w="14142" w:type="dxa"/>
            <w:shd w:val="clear" w:color="auto" w:fill="8DB3E2" w:themeFill="text2" w:themeFillTint="66"/>
          </w:tcPr>
          <w:p w:rsidR="005A28EA" w:rsidRPr="00460E3D" w:rsidRDefault="005A28EA" w:rsidP="005A28EA">
            <w:pPr>
              <w:ind w:left="360"/>
              <w:jc w:val="left"/>
              <w:rPr>
                <w:rFonts w:ascii="Times New Roman" w:hAnsi="Times New Roman"/>
                <w:b/>
                <w:sz w:val="22"/>
              </w:rPr>
            </w:pPr>
            <w:r w:rsidRPr="00C0062E">
              <w:rPr>
                <w:b/>
                <w:sz w:val="22"/>
              </w:rPr>
              <w:t>5.1. Présentation de l’offre</w:t>
            </w:r>
          </w:p>
        </w:tc>
      </w:tr>
    </w:tbl>
    <w:p w:rsidR="005A28EA" w:rsidRPr="00460E3D" w:rsidRDefault="005A28EA" w:rsidP="005A28EA">
      <w:pPr>
        <w:jc w:val="left"/>
        <w:rPr>
          <w:rFonts w:eastAsia="Calibri"/>
          <w:sz w:val="22"/>
          <w:szCs w:val="22"/>
          <w:lang w:eastAsia="en-US"/>
        </w:rPr>
      </w:pPr>
    </w:p>
    <w:p w:rsidR="005A28EA" w:rsidRPr="00460E3D" w:rsidRDefault="005A28EA" w:rsidP="005A28EA">
      <w:pPr>
        <w:numPr>
          <w:ilvl w:val="0"/>
          <w:numId w:val="77"/>
        </w:numPr>
        <w:spacing w:after="200" w:line="276" w:lineRule="auto"/>
        <w:jc w:val="left"/>
        <w:rPr>
          <w:rFonts w:eastAsia="Calibri"/>
          <w:b/>
          <w:sz w:val="22"/>
          <w:szCs w:val="22"/>
          <w:lang w:eastAsia="en-US"/>
        </w:rPr>
      </w:pPr>
      <w:r w:rsidRPr="00460E3D">
        <w:rPr>
          <w:rFonts w:eastAsia="Calibri"/>
          <w:b/>
          <w:sz w:val="22"/>
          <w:szCs w:val="22"/>
          <w:lang w:eastAsia="en-US"/>
        </w:rPr>
        <w:t>Description de l’offre de produits et de services</w:t>
      </w:r>
    </w:p>
    <w:p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79"/>
        <w:gridCol w:w="1507"/>
        <w:gridCol w:w="1730"/>
        <w:gridCol w:w="2942"/>
        <w:gridCol w:w="4048"/>
      </w:tblGrid>
      <w:tr w:rsidR="005A28EA" w:rsidRPr="00C0062E" w:rsidTr="005A28EA">
        <w:tc>
          <w:tcPr>
            <w:tcW w:w="1501"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rsidR="005A28EA" w:rsidRPr="00460E3D" w:rsidRDefault="005A28EA" w:rsidP="00E11824">
            <w:pPr>
              <w:jc w:val="center"/>
              <w:rPr>
                <w:rFonts w:ascii="Times New Roman" w:hAnsi="Times New Roman"/>
                <w:b/>
                <w:sz w:val="22"/>
              </w:rPr>
            </w:pPr>
            <w:r w:rsidRPr="00C0062E">
              <w:rPr>
                <w:b/>
                <w:sz w:val="22"/>
              </w:rPr>
              <w:t>Cana</w:t>
            </w:r>
            <w:r w:rsidR="006C2F17">
              <w:rPr>
                <w:b/>
                <w:sz w:val="22"/>
              </w:rPr>
              <w:t>l</w:t>
            </w:r>
            <w:r w:rsidRPr="00C0062E">
              <w:rPr>
                <w:b/>
                <w:sz w:val="22"/>
              </w:rPr>
              <w:t xml:space="preserve"> </w:t>
            </w:r>
            <w:r w:rsidR="00E11824">
              <w:rPr>
                <w:b/>
                <w:sz w:val="22"/>
              </w:rPr>
              <w:t>de délivrance / de remise</w:t>
            </w:r>
          </w:p>
        </w:tc>
        <w:tc>
          <w:tcPr>
            <w:tcW w:w="2977"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Borders>
              <w:bottom w:val="single" w:sz="4" w:space="0" w:color="auto"/>
            </w:tcBorders>
          </w:tcPr>
          <w:p w:rsidR="005A28EA" w:rsidRPr="00460E3D" w:rsidRDefault="005A28EA" w:rsidP="005A28EA">
            <w:pPr>
              <w:jc w:val="left"/>
              <w:rPr>
                <w:rFonts w:ascii="Times New Roman" w:hAnsi="Times New Roman"/>
                <w:sz w:val="22"/>
              </w:rPr>
            </w:pPr>
          </w:p>
        </w:tc>
        <w:tc>
          <w:tcPr>
            <w:tcW w:w="2293" w:type="dxa"/>
            <w:tcBorders>
              <w:bottom w:val="single" w:sz="4" w:space="0" w:color="auto"/>
            </w:tcBorders>
          </w:tcPr>
          <w:p w:rsidR="005A28EA" w:rsidRPr="00460E3D" w:rsidRDefault="005A28EA" w:rsidP="005A28EA">
            <w:pPr>
              <w:jc w:val="left"/>
              <w:rPr>
                <w:rFonts w:ascii="Times New Roman" w:hAnsi="Times New Roman"/>
                <w:sz w:val="22"/>
              </w:rPr>
            </w:pPr>
          </w:p>
        </w:tc>
        <w:tc>
          <w:tcPr>
            <w:tcW w:w="1516" w:type="dxa"/>
            <w:tcBorders>
              <w:bottom w:val="single" w:sz="4" w:space="0" w:color="auto"/>
            </w:tcBorders>
          </w:tcPr>
          <w:p w:rsidR="005A28EA" w:rsidRPr="00460E3D" w:rsidRDefault="005A28EA" w:rsidP="005A28EA">
            <w:pPr>
              <w:jc w:val="left"/>
              <w:rPr>
                <w:rFonts w:ascii="Times New Roman" w:hAnsi="Times New Roman"/>
                <w:sz w:val="22"/>
              </w:rPr>
            </w:pPr>
          </w:p>
        </w:tc>
        <w:tc>
          <w:tcPr>
            <w:tcW w:w="1744" w:type="dxa"/>
            <w:tcBorders>
              <w:bottom w:val="single" w:sz="4" w:space="0" w:color="auto"/>
            </w:tcBorders>
          </w:tcPr>
          <w:p w:rsidR="005A28EA" w:rsidRPr="00460E3D" w:rsidRDefault="005A28EA" w:rsidP="005A28EA">
            <w:pPr>
              <w:jc w:val="left"/>
              <w:rPr>
                <w:rFonts w:ascii="Times New Roman" w:hAnsi="Times New Roman"/>
                <w:sz w:val="22"/>
              </w:rPr>
            </w:pPr>
          </w:p>
        </w:tc>
        <w:tc>
          <w:tcPr>
            <w:tcW w:w="2977" w:type="dxa"/>
            <w:tcBorders>
              <w:bottom w:val="single" w:sz="4" w:space="0" w:color="auto"/>
            </w:tcBorders>
          </w:tcPr>
          <w:p w:rsidR="005A28EA" w:rsidRPr="00460E3D" w:rsidRDefault="005A28EA" w:rsidP="005A28EA">
            <w:pPr>
              <w:jc w:val="left"/>
              <w:rPr>
                <w:rFonts w:ascii="Times New Roman" w:hAnsi="Times New Roman"/>
                <w:sz w:val="22"/>
              </w:rPr>
            </w:pPr>
          </w:p>
        </w:tc>
        <w:tc>
          <w:tcPr>
            <w:tcW w:w="4111" w:type="dxa"/>
            <w:tcBorders>
              <w:bottom w:val="single" w:sz="4" w:space="0" w:color="auto"/>
            </w:tcBorders>
          </w:tcPr>
          <w:p w:rsidR="005A28EA" w:rsidRPr="00460E3D" w:rsidRDefault="005A28EA" w:rsidP="005A28EA">
            <w:pPr>
              <w:jc w:val="left"/>
              <w:rPr>
                <w:rFonts w:ascii="Times New Roman" w:hAnsi="Times New Roman"/>
                <w:sz w:val="22"/>
              </w:rPr>
            </w:pPr>
          </w:p>
        </w:tc>
      </w:tr>
      <w:tr w:rsidR="005A28EA" w:rsidRPr="00C0062E" w:rsidTr="005A28EA">
        <w:tc>
          <w:tcPr>
            <w:tcW w:w="1501" w:type="dxa"/>
            <w:tcBorders>
              <w:bottom w:val="single" w:sz="4" w:space="0" w:color="auto"/>
            </w:tcBorders>
          </w:tcPr>
          <w:p w:rsidR="005A28EA" w:rsidRPr="00460E3D" w:rsidRDefault="005A28EA" w:rsidP="005A28EA">
            <w:pPr>
              <w:jc w:val="left"/>
              <w:rPr>
                <w:rFonts w:ascii="Times New Roman" w:hAnsi="Times New Roman"/>
                <w:sz w:val="22"/>
              </w:rPr>
            </w:pPr>
          </w:p>
        </w:tc>
        <w:tc>
          <w:tcPr>
            <w:tcW w:w="2293" w:type="dxa"/>
            <w:tcBorders>
              <w:bottom w:val="single" w:sz="4" w:space="0" w:color="auto"/>
            </w:tcBorders>
          </w:tcPr>
          <w:p w:rsidR="005A28EA" w:rsidRPr="00460E3D" w:rsidRDefault="005A28EA" w:rsidP="005A28EA">
            <w:pPr>
              <w:jc w:val="left"/>
              <w:rPr>
                <w:rFonts w:ascii="Times New Roman" w:hAnsi="Times New Roman"/>
                <w:sz w:val="22"/>
              </w:rPr>
            </w:pPr>
          </w:p>
        </w:tc>
        <w:tc>
          <w:tcPr>
            <w:tcW w:w="1516" w:type="dxa"/>
            <w:tcBorders>
              <w:bottom w:val="single" w:sz="4" w:space="0" w:color="auto"/>
            </w:tcBorders>
          </w:tcPr>
          <w:p w:rsidR="005A28EA" w:rsidRPr="00460E3D" w:rsidRDefault="005A28EA" w:rsidP="005A28EA">
            <w:pPr>
              <w:jc w:val="left"/>
              <w:rPr>
                <w:rFonts w:ascii="Times New Roman" w:hAnsi="Times New Roman"/>
                <w:sz w:val="22"/>
              </w:rPr>
            </w:pPr>
          </w:p>
        </w:tc>
        <w:tc>
          <w:tcPr>
            <w:tcW w:w="1744" w:type="dxa"/>
            <w:tcBorders>
              <w:bottom w:val="single" w:sz="4" w:space="0" w:color="auto"/>
            </w:tcBorders>
          </w:tcPr>
          <w:p w:rsidR="005A28EA" w:rsidRPr="00460E3D" w:rsidRDefault="005A28EA" w:rsidP="005A28EA">
            <w:pPr>
              <w:jc w:val="left"/>
              <w:rPr>
                <w:rFonts w:ascii="Times New Roman" w:hAnsi="Times New Roman"/>
                <w:sz w:val="22"/>
              </w:rPr>
            </w:pPr>
          </w:p>
        </w:tc>
        <w:tc>
          <w:tcPr>
            <w:tcW w:w="2977" w:type="dxa"/>
            <w:tcBorders>
              <w:bottom w:val="single" w:sz="4" w:space="0" w:color="auto"/>
            </w:tcBorders>
          </w:tcPr>
          <w:p w:rsidR="005A28EA" w:rsidRPr="00460E3D" w:rsidRDefault="005A28EA" w:rsidP="005A28EA">
            <w:pPr>
              <w:jc w:val="left"/>
              <w:rPr>
                <w:rFonts w:ascii="Times New Roman" w:hAnsi="Times New Roman"/>
                <w:sz w:val="22"/>
              </w:rPr>
            </w:pPr>
          </w:p>
        </w:tc>
        <w:tc>
          <w:tcPr>
            <w:tcW w:w="4111" w:type="dxa"/>
            <w:tcBorders>
              <w:bottom w:val="single" w:sz="4" w:space="0" w:color="auto"/>
            </w:tcBorders>
          </w:tcPr>
          <w:p w:rsidR="005A28EA" w:rsidRPr="00460E3D" w:rsidRDefault="005A28EA" w:rsidP="005A28EA">
            <w:pPr>
              <w:jc w:val="left"/>
              <w:rPr>
                <w:rFonts w:ascii="Times New Roman" w:hAnsi="Times New Roman"/>
                <w:sz w:val="22"/>
              </w:rPr>
            </w:pPr>
          </w:p>
        </w:tc>
      </w:tr>
      <w:tr w:rsidR="005A28EA" w:rsidRPr="00C0062E" w:rsidTr="005A28EA">
        <w:tc>
          <w:tcPr>
            <w:tcW w:w="1501" w:type="dxa"/>
            <w:tcBorders>
              <w:bottom w:val="single" w:sz="4" w:space="0" w:color="auto"/>
            </w:tcBorders>
          </w:tcPr>
          <w:p w:rsidR="005A28EA" w:rsidRPr="00460E3D" w:rsidRDefault="005A28EA" w:rsidP="005A28EA">
            <w:pPr>
              <w:jc w:val="left"/>
              <w:rPr>
                <w:rFonts w:ascii="Times New Roman" w:hAnsi="Times New Roman"/>
                <w:sz w:val="22"/>
              </w:rPr>
            </w:pPr>
          </w:p>
        </w:tc>
        <w:tc>
          <w:tcPr>
            <w:tcW w:w="2293" w:type="dxa"/>
            <w:tcBorders>
              <w:bottom w:val="single" w:sz="4" w:space="0" w:color="auto"/>
            </w:tcBorders>
          </w:tcPr>
          <w:p w:rsidR="005A28EA" w:rsidRPr="00460E3D" w:rsidRDefault="005A28EA" w:rsidP="005A28EA">
            <w:pPr>
              <w:jc w:val="left"/>
              <w:rPr>
                <w:rFonts w:ascii="Times New Roman" w:hAnsi="Times New Roman"/>
                <w:sz w:val="22"/>
              </w:rPr>
            </w:pPr>
          </w:p>
        </w:tc>
        <w:tc>
          <w:tcPr>
            <w:tcW w:w="1516" w:type="dxa"/>
            <w:tcBorders>
              <w:bottom w:val="single" w:sz="4" w:space="0" w:color="auto"/>
            </w:tcBorders>
          </w:tcPr>
          <w:p w:rsidR="005A28EA" w:rsidRPr="00460E3D" w:rsidRDefault="005A28EA" w:rsidP="005A28EA">
            <w:pPr>
              <w:jc w:val="left"/>
              <w:rPr>
                <w:rFonts w:ascii="Times New Roman" w:hAnsi="Times New Roman"/>
                <w:sz w:val="22"/>
              </w:rPr>
            </w:pPr>
          </w:p>
        </w:tc>
        <w:tc>
          <w:tcPr>
            <w:tcW w:w="1744" w:type="dxa"/>
            <w:tcBorders>
              <w:bottom w:val="single" w:sz="4" w:space="0" w:color="auto"/>
            </w:tcBorders>
          </w:tcPr>
          <w:p w:rsidR="005A28EA" w:rsidRPr="00460E3D" w:rsidRDefault="005A28EA" w:rsidP="005A28EA">
            <w:pPr>
              <w:jc w:val="left"/>
              <w:rPr>
                <w:rFonts w:ascii="Times New Roman" w:hAnsi="Times New Roman"/>
                <w:sz w:val="22"/>
              </w:rPr>
            </w:pPr>
          </w:p>
        </w:tc>
        <w:tc>
          <w:tcPr>
            <w:tcW w:w="2977" w:type="dxa"/>
            <w:tcBorders>
              <w:bottom w:val="single" w:sz="4" w:space="0" w:color="auto"/>
            </w:tcBorders>
          </w:tcPr>
          <w:p w:rsidR="005A28EA" w:rsidRPr="00460E3D" w:rsidRDefault="005A28EA" w:rsidP="005A28EA">
            <w:pPr>
              <w:jc w:val="left"/>
              <w:rPr>
                <w:rFonts w:ascii="Times New Roman" w:hAnsi="Times New Roman"/>
                <w:sz w:val="22"/>
              </w:rPr>
            </w:pPr>
          </w:p>
        </w:tc>
        <w:tc>
          <w:tcPr>
            <w:tcW w:w="4111" w:type="dxa"/>
            <w:tcBorders>
              <w:bottom w:val="single" w:sz="4" w:space="0" w:color="auto"/>
            </w:tcBorders>
          </w:tcPr>
          <w:p w:rsidR="005A28EA" w:rsidRPr="00460E3D" w:rsidRDefault="005A28EA" w:rsidP="005A28EA">
            <w:pPr>
              <w:jc w:val="left"/>
              <w:rPr>
                <w:rFonts w:ascii="Times New Roman" w:hAnsi="Times New Roman"/>
                <w:sz w:val="22"/>
              </w:rPr>
            </w:pPr>
          </w:p>
        </w:tc>
      </w:tr>
      <w:tr w:rsidR="005A28EA" w:rsidRPr="00C0062E" w:rsidTr="005A28EA">
        <w:tc>
          <w:tcPr>
            <w:tcW w:w="1501" w:type="dxa"/>
            <w:tcBorders>
              <w:bottom w:val="single" w:sz="4" w:space="0" w:color="auto"/>
            </w:tcBorders>
          </w:tcPr>
          <w:p w:rsidR="005A28EA" w:rsidRPr="00460E3D" w:rsidRDefault="005A28EA" w:rsidP="005A28EA">
            <w:pPr>
              <w:jc w:val="left"/>
              <w:rPr>
                <w:rFonts w:ascii="Times New Roman" w:hAnsi="Times New Roman"/>
                <w:sz w:val="22"/>
              </w:rPr>
            </w:pPr>
          </w:p>
        </w:tc>
        <w:tc>
          <w:tcPr>
            <w:tcW w:w="2293" w:type="dxa"/>
            <w:tcBorders>
              <w:bottom w:val="single" w:sz="4" w:space="0" w:color="auto"/>
            </w:tcBorders>
          </w:tcPr>
          <w:p w:rsidR="005A28EA" w:rsidRPr="00460E3D" w:rsidRDefault="005A28EA" w:rsidP="005A28EA">
            <w:pPr>
              <w:jc w:val="left"/>
              <w:rPr>
                <w:rFonts w:ascii="Times New Roman" w:hAnsi="Times New Roman"/>
                <w:sz w:val="22"/>
              </w:rPr>
            </w:pPr>
          </w:p>
        </w:tc>
        <w:tc>
          <w:tcPr>
            <w:tcW w:w="1516" w:type="dxa"/>
            <w:tcBorders>
              <w:bottom w:val="single" w:sz="4" w:space="0" w:color="auto"/>
            </w:tcBorders>
          </w:tcPr>
          <w:p w:rsidR="005A28EA" w:rsidRPr="00460E3D" w:rsidRDefault="005A28EA" w:rsidP="005A28EA">
            <w:pPr>
              <w:jc w:val="left"/>
              <w:rPr>
                <w:rFonts w:ascii="Times New Roman" w:hAnsi="Times New Roman"/>
                <w:sz w:val="22"/>
              </w:rPr>
            </w:pPr>
          </w:p>
        </w:tc>
        <w:tc>
          <w:tcPr>
            <w:tcW w:w="1744" w:type="dxa"/>
            <w:tcBorders>
              <w:bottom w:val="single" w:sz="4" w:space="0" w:color="auto"/>
            </w:tcBorders>
          </w:tcPr>
          <w:p w:rsidR="005A28EA" w:rsidRPr="00460E3D" w:rsidRDefault="005A28EA" w:rsidP="005A28EA">
            <w:pPr>
              <w:jc w:val="left"/>
              <w:rPr>
                <w:rFonts w:ascii="Times New Roman" w:hAnsi="Times New Roman"/>
                <w:sz w:val="22"/>
              </w:rPr>
            </w:pPr>
          </w:p>
        </w:tc>
        <w:tc>
          <w:tcPr>
            <w:tcW w:w="2977" w:type="dxa"/>
            <w:tcBorders>
              <w:bottom w:val="single" w:sz="4" w:space="0" w:color="auto"/>
            </w:tcBorders>
          </w:tcPr>
          <w:p w:rsidR="005A28EA" w:rsidRPr="00460E3D" w:rsidRDefault="005A28EA" w:rsidP="005A28EA">
            <w:pPr>
              <w:jc w:val="left"/>
              <w:rPr>
                <w:rFonts w:ascii="Times New Roman" w:hAnsi="Times New Roman"/>
                <w:sz w:val="22"/>
              </w:rPr>
            </w:pPr>
          </w:p>
        </w:tc>
        <w:tc>
          <w:tcPr>
            <w:tcW w:w="4111" w:type="dxa"/>
            <w:tcBorders>
              <w:bottom w:val="single" w:sz="4" w:space="0" w:color="auto"/>
            </w:tcBorders>
          </w:tcPr>
          <w:p w:rsidR="005A28EA" w:rsidRPr="00460E3D" w:rsidRDefault="005A28EA" w:rsidP="005A28EA">
            <w:pPr>
              <w:jc w:val="left"/>
              <w:rPr>
                <w:rFonts w:ascii="Times New Roman" w:hAnsi="Times New Roman"/>
                <w:sz w:val="22"/>
              </w:rPr>
            </w:pPr>
          </w:p>
        </w:tc>
      </w:tr>
      <w:tr w:rsidR="005A28EA" w:rsidRPr="00C0062E" w:rsidTr="005A28EA">
        <w:tc>
          <w:tcPr>
            <w:tcW w:w="1501" w:type="dxa"/>
            <w:tcBorders>
              <w:bottom w:val="single" w:sz="4" w:space="0" w:color="auto"/>
            </w:tcBorders>
          </w:tcPr>
          <w:p w:rsidR="005A28EA" w:rsidRPr="00460E3D" w:rsidRDefault="005A28EA" w:rsidP="005A28EA">
            <w:pPr>
              <w:jc w:val="left"/>
              <w:rPr>
                <w:rFonts w:ascii="Times New Roman" w:hAnsi="Times New Roman"/>
                <w:sz w:val="22"/>
              </w:rPr>
            </w:pPr>
          </w:p>
        </w:tc>
        <w:tc>
          <w:tcPr>
            <w:tcW w:w="2293" w:type="dxa"/>
            <w:tcBorders>
              <w:bottom w:val="single" w:sz="4" w:space="0" w:color="auto"/>
            </w:tcBorders>
          </w:tcPr>
          <w:p w:rsidR="005A28EA" w:rsidRPr="00460E3D" w:rsidRDefault="005A28EA" w:rsidP="005A28EA">
            <w:pPr>
              <w:jc w:val="left"/>
              <w:rPr>
                <w:rFonts w:ascii="Times New Roman" w:hAnsi="Times New Roman"/>
                <w:sz w:val="22"/>
              </w:rPr>
            </w:pPr>
          </w:p>
        </w:tc>
        <w:tc>
          <w:tcPr>
            <w:tcW w:w="1516" w:type="dxa"/>
            <w:tcBorders>
              <w:bottom w:val="single" w:sz="4" w:space="0" w:color="auto"/>
            </w:tcBorders>
          </w:tcPr>
          <w:p w:rsidR="005A28EA" w:rsidRPr="00460E3D" w:rsidRDefault="005A28EA" w:rsidP="005A28EA">
            <w:pPr>
              <w:jc w:val="left"/>
              <w:rPr>
                <w:rFonts w:ascii="Times New Roman" w:hAnsi="Times New Roman"/>
                <w:sz w:val="22"/>
              </w:rPr>
            </w:pPr>
          </w:p>
        </w:tc>
        <w:tc>
          <w:tcPr>
            <w:tcW w:w="1744" w:type="dxa"/>
            <w:tcBorders>
              <w:bottom w:val="single" w:sz="4" w:space="0" w:color="auto"/>
            </w:tcBorders>
          </w:tcPr>
          <w:p w:rsidR="005A28EA" w:rsidRPr="00460E3D" w:rsidRDefault="005A28EA" w:rsidP="005A28EA">
            <w:pPr>
              <w:jc w:val="left"/>
              <w:rPr>
                <w:rFonts w:ascii="Times New Roman" w:hAnsi="Times New Roman"/>
                <w:sz w:val="22"/>
              </w:rPr>
            </w:pPr>
          </w:p>
        </w:tc>
        <w:tc>
          <w:tcPr>
            <w:tcW w:w="2977" w:type="dxa"/>
            <w:tcBorders>
              <w:bottom w:val="single" w:sz="4" w:space="0" w:color="auto"/>
            </w:tcBorders>
          </w:tcPr>
          <w:p w:rsidR="005A28EA" w:rsidRPr="00460E3D" w:rsidRDefault="005A28EA" w:rsidP="005A28EA">
            <w:pPr>
              <w:jc w:val="left"/>
              <w:rPr>
                <w:rFonts w:ascii="Times New Roman" w:hAnsi="Times New Roman"/>
                <w:sz w:val="22"/>
              </w:rPr>
            </w:pPr>
          </w:p>
        </w:tc>
        <w:tc>
          <w:tcPr>
            <w:tcW w:w="4111" w:type="dxa"/>
            <w:tcBorders>
              <w:bottom w:val="single" w:sz="4" w:space="0" w:color="auto"/>
            </w:tcBorders>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bl>
    <w:p w:rsidR="005A28EA" w:rsidRPr="00460E3D" w:rsidRDefault="005A28EA" w:rsidP="005A28EA">
      <w:pPr>
        <w:spacing w:after="200" w:line="276" w:lineRule="auto"/>
        <w:jc w:val="left"/>
        <w:rPr>
          <w:rFonts w:eastAsia="Calibri"/>
          <w:b/>
          <w:sz w:val="22"/>
          <w:szCs w:val="22"/>
          <w:lang w:eastAsia="en-US"/>
        </w:rPr>
      </w:pPr>
      <w:r w:rsidRPr="00460E3D">
        <w:rPr>
          <w:rFonts w:eastAsia="Calibri"/>
          <w:b/>
          <w:sz w:val="22"/>
          <w:szCs w:val="22"/>
          <w:lang w:eastAsia="en-US"/>
        </w:rPr>
        <w:br w:type="page"/>
      </w:r>
    </w:p>
    <w:p w:rsidR="005A28EA" w:rsidRPr="00460E3D" w:rsidRDefault="005A28EA" w:rsidP="005A28EA">
      <w:pPr>
        <w:ind w:left="720"/>
        <w:jc w:val="left"/>
        <w:rPr>
          <w:rFonts w:eastAsia="Calibri"/>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p>
    <w:p w:rsidR="005A28EA" w:rsidRPr="00460E3D" w:rsidRDefault="005A28EA" w:rsidP="005A28EA">
      <w:pPr>
        <w:numPr>
          <w:ilvl w:val="0"/>
          <w:numId w:val="77"/>
        </w:numPr>
        <w:spacing w:after="200" w:line="276" w:lineRule="auto"/>
        <w:jc w:val="left"/>
        <w:rPr>
          <w:rFonts w:eastAsia="Calibri"/>
          <w:b/>
          <w:sz w:val="22"/>
          <w:szCs w:val="22"/>
          <w:lang w:eastAsia="en-US"/>
        </w:rPr>
      </w:pPr>
      <w:r w:rsidRPr="00460E3D">
        <w:rPr>
          <w:rFonts w:eastAsia="Calibri"/>
          <w:b/>
          <w:sz w:val="22"/>
          <w:szCs w:val="22"/>
          <w:lang w:eastAsia="en-US"/>
        </w:rPr>
        <w:lastRenderedPageBreak/>
        <w:t xml:space="preserve">Projets envisagés de l’offre de produits et des services </w:t>
      </w:r>
    </w:p>
    <w:p w:rsidR="005A28EA" w:rsidRPr="00460E3D" w:rsidRDefault="005A28EA" w:rsidP="005A28EA">
      <w:pPr>
        <w:ind w:left="720"/>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rsidTr="005A28EA">
        <w:tc>
          <w:tcPr>
            <w:tcW w:w="9212" w:type="dxa"/>
          </w:tcPr>
          <w:p w:rsidR="005A28EA" w:rsidRPr="00460E3D" w:rsidRDefault="005A28EA" w:rsidP="005A28EA">
            <w:pPr>
              <w:jc w:val="left"/>
              <w:rPr>
                <w:rFonts w:ascii="Times New Roman" w:hAnsi="Times New Roman"/>
                <w:sz w:val="22"/>
              </w:rPr>
            </w:pPr>
            <w:r w:rsidRPr="00460E3D">
              <w:rPr>
                <w:i/>
                <w:sz w:val="22"/>
              </w:rPr>
              <w:t xml:space="preserve">Décrire les projets </w:t>
            </w:r>
            <w:r w:rsidR="00C30A7D">
              <w:rPr>
                <w:i/>
                <w:sz w:val="22"/>
              </w:rPr>
              <w:t xml:space="preserve">de commercialisation de nouveaux produits/services ou d’évolution de l’offre existante d’ordre technologique, fonctionnel et sécuritaire </w:t>
            </w:r>
            <w:r w:rsidR="00C30A7D" w:rsidRPr="00460E3D">
              <w:rPr>
                <w:i/>
                <w:sz w:val="22"/>
              </w:rPr>
              <w:t>prévus à court et moyen terme</w:t>
            </w:r>
            <w:r w:rsidR="00C30A7D">
              <w:rPr>
                <w:i/>
                <w:sz w:val="22"/>
              </w:rPr>
              <w:t>.</w:t>
            </w: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tc>
      </w:tr>
    </w:tbl>
    <w:p w:rsidR="005A28EA" w:rsidRPr="00460E3D" w:rsidRDefault="005A28EA" w:rsidP="005A28EA">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rsidTr="005A28EA">
        <w:tc>
          <w:tcPr>
            <w:tcW w:w="9212" w:type="dxa"/>
            <w:shd w:val="clear" w:color="auto" w:fill="8DB3E2" w:themeFill="text2" w:themeFillTint="66"/>
          </w:tcPr>
          <w:p w:rsidR="005A28EA" w:rsidRPr="00460E3D" w:rsidRDefault="005A28EA" w:rsidP="005A28EA">
            <w:pPr>
              <w:ind w:left="360"/>
              <w:jc w:val="left"/>
              <w:rPr>
                <w:rFonts w:ascii="Times New Roman" w:hAnsi="Times New Roman"/>
                <w:b/>
                <w:sz w:val="22"/>
              </w:rPr>
            </w:pPr>
            <w:r w:rsidRPr="00C0062E">
              <w:rPr>
                <w:b/>
                <w:sz w:val="22"/>
              </w:rPr>
              <w:t>5.2. Organisation opérationnelle de l’activité chèque</w:t>
            </w:r>
          </w:p>
        </w:tc>
      </w:tr>
    </w:tbl>
    <w:p w:rsidR="005A28EA" w:rsidRPr="00460E3D" w:rsidRDefault="005A28EA" w:rsidP="005A28EA">
      <w:pPr>
        <w:jc w:val="left"/>
        <w:rPr>
          <w:rFonts w:eastAsia="Calibri"/>
          <w:szCs w:val="24"/>
          <w:lang w:eastAsia="en-US"/>
        </w:rPr>
      </w:pPr>
    </w:p>
    <w:p w:rsidR="005A28EA"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C30A7D">
        <w:rPr>
          <w:rFonts w:eastAsia="Calibri"/>
          <w:i/>
          <w:sz w:val="22"/>
          <w:szCs w:val="22"/>
          <w:lang w:eastAsia="en-US"/>
        </w:rPr>
        <w:t xml:space="preserve">du moyen/service de paiement depuis son émission/réception jusqu’à sa remise aux systèmes d’échange/imputation en compte </w:t>
      </w:r>
      <w:r w:rsidRPr="00460E3D">
        <w:rPr>
          <w:rFonts w:eastAsia="Calibri"/>
          <w:i/>
          <w:sz w:val="22"/>
          <w:szCs w:val="22"/>
          <w:lang w:eastAsia="en-US"/>
        </w:rPr>
        <w:t xml:space="preserve">en précisant en particulier les traitements externalisés (y compris auprès d’entités du groupe) et ceux mutualisés avec d’autres établissements. </w:t>
      </w:r>
      <w:r w:rsidR="00C30A7D">
        <w:rPr>
          <w:rFonts w:eastAsia="Calibri"/>
          <w:i/>
          <w:sz w:val="22"/>
          <w:szCs w:val="22"/>
          <w:lang w:eastAsia="en-US"/>
        </w:rPr>
        <w:t>Un schéma organisationnel peut-être inséré si nécessaire.</w:t>
      </w:r>
    </w:p>
    <w:p w:rsidR="005A28EA" w:rsidRPr="00460E3D" w:rsidRDefault="005A28EA" w:rsidP="005A28EA">
      <w:pPr>
        <w:jc w:val="left"/>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5A28EA" w:rsidRPr="00C0062E" w:rsidTr="005A28EA">
        <w:tc>
          <w:tcPr>
            <w:tcW w:w="3369"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Rôles</w:t>
            </w:r>
          </w:p>
        </w:tc>
      </w:tr>
      <w:tr w:rsidR="005A28EA" w:rsidRPr="00C0062E" w:rsidTr="005A28EA">
        <w:tc>
          <w:tcPr>
            <w:tcW w:w="9180" w:type="dxa"/>
            <w:gridSpan w:val="2"/>
            <w:shd w:val="pct10" w:color="auto" w:fill="auto"/>
          </w:tcPr>
          <w:p w:rsidR="005A28EA" w:rsidRPr="00460E3D" w:rsidRDefault="005A28EA" w:rsidP="005A28EA">
            <w:pPr>
              <w:jc w:val="center"/>
              <w:rPr>
                <w:rFonts w:ascii="Times New Roman" w:hAnsi="Times New Roman"/>
                <w:b/>
                <w:sz w:val="22"/>
              </w:rPr>
            </w:pPr>
            <w:r w:rsidRPr="00C0062E">
              <w:rPr>
                <w:b/>
                <w:sz w:val="22"/>
              </w:rPr>
              <w:t>Activité d’émission</w:t>
            </w: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Borders>
              <w:bottom w:val="single" w:sz="4" w:space="0" w:color="auto"/>
            </w:tcBorders>
          </w:tcPr>
          <w:p w:rsidR="005A28EA" w:rsidRPr="00460E3D" w:rsidRDefault="005A28EA" w:rsidP="005A28EA">
            <w:pPr>
              <w:jc w:val="left"/>
              <w:rPr>
                <w:rFonts w:ascii="Times New Roman" w:hAnsi="Times New Roman"/>
                <w:sz w:val="22"/>
              </w:rPr>
            </w:pPr>
          </w:p>
        </w:tc>
        <w:tc>
          <w:tcPr>
            <w:tcW w:w="5811" w:type="dxa"/>
            <w:tcBorders>
              <w:bottom w:val="single" w:sz="4" w:space="0" w:color="auto"/>
            </w:tcBorders>
          </w:tcPr>
          <w:p w:rsidR="005A28EA" w:rsidRPr="00460E3D" w:rsidRDefault="005A28EA" w:rsidP="005A28EA">
            <w:pPr>
              <w:jc w:val="left"/>
              <w:rPr>
                <w:rFonts w:ascii="Times New Roman" w:hAnsi="Times New Roman"/>
                <w:sz w:val="22"/>
              </w:rPr>
            </w:pPr>
          </w:p>
        </w:tc>
      </w:tr>
      <w:tr w:rsidR="005A28EA" w:rsidRPr="00C0062E" w:rsidTr="005A28EA">
        <w:tc>
          <w:tcPr>
            <w:tcW w:w="9180" w:type="dxa"/>
            <w:gridSpan w:val="2"/>
            <w:shd w:val="pct10" w:color="auto" w:fill="auto"/>
          </w:tcPr>
          <w:p w:rsidR="005A28EA" w:rsidRPr="00460E3D" w:rsidRDefault="005A28EA" w:rsidP="005A28EA">
            <w:pPr>
              <w:jc w:val="center"/>
              <w:rPr>
                <w:rFonts w:ascii="Times New Roman" w:hAnsi="Times New Roman"/>
                <w:b/>
                <w:sz w:val="22"/>
              </w:rPr>
            </w:pPr>
            <w:r w:rsidRPr="00C0062E">
              <w:rPr>
                <w:b/>
                <w:sz w:val="22"/>
              </w:rPr>
              <w:t>Activité du remettant</w:t>
            </w: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bl>
    <w:p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rsidTr="005A28EA">
        <w:tc>
          <w:tcPr>
            <w:tcW w:w="9212" w:type="dxa"/>
          </w:tcPr>
          <w:p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rsidR="005A28EA" w:rsidRPr="00460E3D" w:rsidRDefault="005A28EA" w:rsidP="005A28EA">
            <w:pPr>
              <w:rPr>
                <w:rFonts w:ascii="Times New Roman" w:hAnsi="Times New Roman"/>
                <w:i/>
                <w:sz w:val="22"/>
              </w:rPr>
            </w:pPr>
          </w:p>
          <w:p w:rsidR="005A28EA" w:rsidRPr="00460E3D" w:rsidRDefault="005A28EA" w:rsidP="005A28EA">
            <w:pPr>
              <w:rPr>
                <w:rFonts w:ascii="Times New Roman" w:hAnsi="Times New Roman"/>
                <w:sz w:val="22"/>
              </w:rPr>
            </w:pPr>
          </w:p>
          <w:p w:rsidR="005A28EA" w:rsidRPr="00460E3D" w:rsidRDefault="005A28EA" w:rsidP="005A28EA">
            <w:pPr>
              <w:rPr>
                <w:rFonts w:ascii="Times New Roman" w:hAnsi="Times New Roman"/>
                <w:sz w:val="22"/>
              </w:rPr>
            </w:pPr>
          </w:p>
        </w:tc>
      </w:tr>
    </w:tbl>
    <w:p w:rsidR="005A28EA" w:rsidRDefault="005A28EA" w:rsidP="005A28EA">
      <w:pPr>
        <w:jc w:val="left"/>
        <w:rPr>
          <w:rFonts w:eastAsia="Calibri"/>
          <w:sz w:val="22"/>
          <w:szCs w:val="22"/>
          <w:lang w:eastAsia="en-US"/>
        </w:rPr>
      </w:pPr>
    </w:p>
    <w:p w:rsidR="007D55EF" w:rsidRDefault="007D55EF" w:rsidP="007D55EF">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7D55EF" w:rsidRPr="00C0062E" w:rsidTr="00D605A5">
        <w:tc>
          <w:tcPr>
            <w:tcW w:w="9212" w:type="dxa"/>
            <w:shd w:val="clear" w:color="auto" w:fill="8DB3E2" w:themeFill="text2" w:themeFillTint="66"/>
          </w:tcPr>
          <w:p w:rsidR="007D55EF" w:rsidRPr="00460E3D" w:rsidRDefault="007D55EF" w:rsidP="00D605A5">
            <w:pPr>
              <w:ind w:left="360"/>
              <w:jc w:val="left"/>
              <w:rPr>
                <w:rFonts w:ascii="Times New Roman" w:hAnsi="Times New Roman"/>
                <w:b/>
                <w:sz w:val="22"/>
              </w:rPr>
            </w:pPr>
            <w:r>
              <w:rPr>
                <w:b/>
                <w:sz w:val="22"/>
              </w:rPr>
              <w:t>5.3.</w:t>
            </w:r>
            <w:r w:rsidRPr="00C0062E">
              <w:rPr>
                <w:b/>
                <w:sz w:val="22"/>
              </w:rPr>
              <w:t xml:space="preserve"> Grille d’analyse des risques et principaux incidents de fraude</w:t>
            </w:r>
          </w:p>
        </w:tc>
      </w:tr>
    </w:tbl>
    <w:p w:rsidR="007D55EF" w:rsidRDefault="007D55EF" w:rsidP="007D55EF">
      <w:pPr>
        <w:spacing w:after="200" w:line="276" w:lineRule="auto"/>
        <w:ind w:left="720"/>
        <w:jc w:val="left"/>
        <w:rPr>
          <w:rFonts w:eastAsia="Calibri"/>
          <w:b/>
          <w:sz w:val="22"/>
          <w:szCs w:val="22"/>
          <w:lang w:eastAsia="en-US"/>
        </w:rPr>
      </w:pPr>
    </w:p>
    <w:p w:rsidR="007D55EF" w:rsidRPr="00E857C6" w:rsidRDefault="007D55EF" w:rsidP="007D55EF">
      <w:pPr>
        <w:pStyle w:val="Paragraphedeliste"/>
        <w:numPr>
          <w:ilvl w:val="1"/>
          <w:numId w:val="79"/>
        </w:numPr>
        <w:spacing w:after="200" w:line="276" w:lineRule="auto"/>
        <w:jc w:val="left"/>
        <w:rPr>
          <w:rFonts w:eastAsia="Calibri"/>
          <w:b/>
          <w:szCs w:val="22"/>
          <w:lang w:eastAsia="en-US"/>
        </w:rPr>
      </w:pPr>
      <w:r w:rsidRPr="00E857C6">
        <w:rPr>
          <w:rFonts w:eastAsia="Calibri"/>
          <w:b/>
          <w:szCs w:val="22"/>
          <w:lang w:eastAsia="en-US"/>
        </w:rPr>
        <w:t>Rappel de la typologie de fraude applicable</w:t>
      </w:r>
    </w:p>
    <w:tbl>
      <w:tblPr>
        <w:tblStyle w:val="Grilledutableau2"/>
        <w:tblW w:w="0" w:type="auto"/>
        <w:tblLook w:val="04A0" w:firstRow="1" w:lastRow="0" w:firstColumn="1" w:lastColumn="0" w:noHBand="0" w:noVBand="1"/>
      </w:tblPr>
      <w:tblGrid>
        <w:gridCol w:w="2632"/>
        <w:gridCol w:w="6428"/>
      </w:tblGrid>
      <w:tr w:rsidR="007D55EF" w:rsidRPr="00C0062E" w:rsidTr="00D605A5">
        <w:tc>
          <w:tcPr>
            <w:tcW w:w="2660" w:type="dxa"/>
            <w:shd w:val="clear" w:color="auto" w:fill="B6DDE8" w:themeFill="accent5" w:themeFillTint="66"/>
          </w:tcPr>
          <w:p w:rsidR="007D55EF" w:rsidRPr="00460E3D" w:rsidRDefault="007D55EF" w:rsidP="00D605A5">
            <w:pPr>
              <w:jc w:val="center"/>
              <w:rPr>
                <w:rFonts w:ascii="Times New Roman" w:hAnsi="Times New Roman"/>
                <w:b/>
                <w:sz w:val="22"/>
              </w:rPr>
            </w:pPr>
            <w:r w:rsidRPr="00C0062E">
              <w:rPr>
                <w:b/>
                <w:sz w:val="22"/>
              </w:rPr>
              <w:t>Typologie de fraude</w:t>
            </w:r>
          </w:p>
        </w:tc>
        <w:tc>
          <w:tcPr>
            <w:tcW w:w="6552" w:type="dxa"/>
            <w:shd w:val="clear" w:color="auto" w:fill="B6DDE8" w:themeFill="accent5" w:themeFillTint="66"/>
          </w:tcPr>
          <w:p w:rsidR="007D55EF" w:rsidRPr="00460E3D" w:rsidRDefault="007D55EF" w:rsidP="00D605A5">
            <w:pPr>
              <w:jc w:val="center"/>
              <w:rPr>
                <w:rFonts w:ascii="Times New Roman" w:hAnsi="Times New Roman"/>
                <w:b/>
                <w:sz w:val="22"/>
              </w:rPr>
            </w:pPr>
            <w:r w:rsidRPr="00C0062E">
              <w:rPr>
                <w:b/>
                <w:sz w:val="22"/>
              </w:rPr>
              <w:t>Description</w:t>
            </w:r>
          </w:p>
        </w:tc>
      </w:tr>
      <w:tr w:rsidR="007D55EF" w:rsidRPr="00C0062E" w:rsidTr="00D605A5">
        <w:tc>
          <w:tcPr>
            <w:tcW w:w="2660" w:type="dxa"/>
          </w:tcPr>
          <w:p w:rsidR="007D55EF" w:rsidRPr="00460E3D" w:rsidRDefault="007D55EF" w:rsidP="00B04881">
            <w:pPr>
              <w:jc w:val="left"/>
              <w:rPr>
                <w:rFonts w:ascii="Times New Roman" w:hAnsi="Times New Roman"/>
                <w:sz w:val="22"/>
              </w:rPr>
            </w:pPr>
            <w:r w:rsidRPr="00C0062E">
              <w:rPr>
                <w:sz w:val="22"/>
              </w:rPr>
              <w:t xml:space="preserve">Vol, perte </w:t>
            </w:r>
          </w:p>
        </w:tc>
        <w:tc>
          <w:tcPr>
            <w:tcW w:w="6552" w:type="dxa"/>
          </w:tcPr>
          <w:p w:rsidR="00B04881" w:rsidRPr="00241A7C" w:rsidRDefault="00B04881" w:rsidP="00B04881">
            <w:pPr>
              <w:suppressAutoHyphens/>
              <w:autoSpaceDE w:val="0"/>
              <w:autoSpaceDN w:val="0"/>
              <w:adjustRightInd w:val="0"/>
              <w:ind w:right="57"/>
              <w:textAlignment w:val="center"/>
              <w:rPr>
                <w:rFonts w:cstheme="minorHAnsi"/>
                <w:sz w:val="22"/>
              </w:rPr>
            </w:pPr>
            <w:r>
              <w:rPr>
                <w:rFonts w:cstheme="minorHAnsi"/>
                <w:sz w:val="22"/>
              </w:rPr>
              <w:t xml:space="preserve">- </w:t>
            </w:r>
            <w:r w:rsidRPr="009616A9">
              <w:rPr>
                <w:rFonts w:cstheme="minorHAnsi"/>
                <w:sz w:val="22"/>
              </w:rPr>
              <w:t>Utilisation par le fraudeur d’un chèque perdu ou volé à son titulaire légitime revêtu d’une fausse signature qui n’est ni celle du titulaire du compte, ni celle de son mandataire.</w:t>
            </w:r>
          </w:p>
          <w:p w:rsidR="007D55EF" w:rsidRPr="00460E3D" w:rsidRDefault="00B04881" w:rsidP="00890013">
            <w:pPr>
              <w:rPr>
                <w:rFonts w:ascii="Times New Roman" w:hAnsi="Times New Roman"/>
                <w:sz w:val="22"/>
              </w:rPr>
            </w:pPr>
            <w:r w:rsidRPr="009616A9">
              <w:rPr>
                <w:rFonts w:cstheme="minorHAnsi"/>
                <w:sz w:val="22"/>
              </w:rPr>
              <w:t>- Émission illégitime d’un chèque par un fraudeur utilisant une formule vierge.</w:t>
            </w:r>
          </w:p>
        </w:tc>
      </w:tr>
      <w:tr w:rsidR="007D55EF" w:rsidRPr="00C0062E" w:rsidTr="00D605A5">
        <w:tc>
          <w:tcPr>
            <w:tcW w:w="2660" w:type="dxa"/>
          </w:tcPr>
          <w:p w:rsidR="007D55EF" w:rsidRPr="00460E3D" w:rsidRDefault="007D55EF" w:rsidP="00D605A5">
            <w:pPr>
              <w:jc w:val="left"/>
              <w:rPr>
                <w:rFonts w:ascii="Times New Roman" w:hAnsi="Times New Roman"/>
                <w:sz w:val="22"/>
              </w:rPr>
            </w:pPr>
            <w:r w:rsidRPr="00C0062E">
              <w:rPr>
                <w:sz w:val="22"/>
              </w:rPr>
              <w:t>Contrefaçon</w:t>
            </w:r>
          </w:p>
        </w:tc>
        <w:tc>
          <w:tcPr>
            <w:tcW w:w="6552" w:type="dxa"/>
          </w:tcPr>
          <w:p w:rsidR="007D55EF" w:rsidRPr="00460E3D" w:rsidRDefault="00B04881" w:rsidP="00890013">
            <w:pPr>
              <w:rPr>
                <w:rFonts w:ascii="Times New Roman" w:hAnsi="Times New Roman"/>
                <w:sz w:val="22"/>
              </w:rPr>
            </w:pPr>
            <w:r w:rsidRPr="009616A9">
              <w:rPr>
                <w:rFonts w:cstheme="minorHAnsi"/>
                <w:sz w:val="22"/>
              </w:rPr>
              <w:t>Faux chèque créé de toutes pièces par le fraudeur, émis sur une banque existante ou une fausse banque.</w:t>
            </w:r>
          </w:p>
        </w:tc>
      </w:tr>
      <w:tr w:rsidR="007D55EF" w:rsidRPr="00C0062E" w:rsidTr="00D605A5">
        <w:tc>
          <w:tcPr>
            <w:tcW w:w="2660" w:type="dxa"/>
          </w:tcPr>
          <w:p w:rsidR="007D55EF" w:rsidRPr="00460E3D" w:rsidRDefault="007D55EF" w:rsidP="00D605A5">
            <w:pPr>
              <w:jc w:val="left"/>
              <w:rPr>
                <w:rFonts w:ascii="Times New Roman" w:hAnsi="Times New Roman"/>
                <w:sz w:val="22"/>
              </w:rPr>
            </w:pPr>
            <w:r w:rsidRPr="00C0062E">
              <w:rPr>
                <w:sz w:val="22"/>
              </w:rPr>
              <w:t>Falsification</w:t>
            </w:r>
          </w:p>
        </w:tc>
        <w:tc>
          <w:tcPr>
            <w:tcW w:w="6552" w:type="dxa"/>
          </w:tcPr>
          <w:p w:rsidR="007D55EF" w:rsidRPr="00460E3D" w:rsidRDefault="00B04881" w:rsidP="00890013">
            <w:pPr>
              <w:rPr>
                <w:rFonts w:ascii="Times New Roman" w:hAnsi="Times New Roman"/>
                <w:sz w:val="22"/>
              </w:rPr>
            </w:pPr>
            <w:r w:rsidRPr="009616A9">
              <w:rPr>
                <w:rFonts w:cstheme="minorHAnsi"/>
                <w:sz w:val="22"/>
              </w:rPr>
              <w:t>Chèque régulier intercepté par un fraudeur qui le modifie volontairement par des procédés mécaniques et/ou chimiques (par ex. grattage, gommage ou effacement) dans son montant ou dans son ordre.</w:t>
            </w:r>
          </w:p>
        </w:tc>
      </w:tr>
      <w:tr w:rsidR="007D55EF" w:rsidRPr="00C0062E" w:rsidTr="00D605A5">
        <w:tc>
          <w:tcPr>
            <w:tcW w:w="2660" w:type="dxa"/>
          </w:tcPr>
          <w:p w:rsidR="007D55EF" w:rsidRPr="00460E3D" w:rsidRDefault="007D55EF" w:rsidP="00D605A5">
            <w:pPr>
              <w:jc w:val="left"/>
              <w:rPr>
                <w:rFonts w:ascii="Times New Roman" w:hAnsi="Times New Roman"/>
                <w:sz w:val="22"/>
              </w:rPr>
            </w:pPr>
            <w:r w:rsidRPr="00C0062E">
              <w:rPr>
                <w:sz w:val="22"/>
              </w:rPr>
              <w:t>Détournement, rejeu</w:t>
            </w:r>
          </w:p>
        </w:tc>
        <w:tc>
          <w:tcPr>
            <w:tcW w:w="6552" w:type="dxa"/>
          </w:tcPr>
          <w:p w:rsidR="00F979C4" w:rsidRPr="00241A7C" w:rsidRDefault="00F979C4" w:rsidP="00F979C4">
            <w:pPr>
              <w:suppressAutoHyphens/>
              <w:autoSpaceDE w:val="0"/>
              <w:autoSpaceDN w:val="0"/>
              <w:adjustRightInd w:val="0"/>
              <w:ind w:right="57"/>
              <w:textAlignment w:val="center"/>
              <w:rPr>
                <w:rFonts w:cstheme="minorHAnsi"/>
                <w:sz w:val="22"/>
              </w:rPr>
            </w:pPr>
            <w:r>
              <w:rPr>
                <w:rFonts w:cstheme="minorHAnsi"/>
                <w:sz w:val="22"/>
              </w:rPr>
              <w:t xml:space="preserve">- </w:t>
            </w:r>
            <w:r w:rsidRPr="009616A9">
              <w:rPr>
                <w:rFonts w:cstheme="minorHAnsi"/>
                <w:sz w:val="22"/>
              </w:rPr>
              <w:t xml:space="preserve">Chèque régulièrement émis, perdu ou volé, intercepté dans le circuit d’acheminement vers le bénéficiaire et encaissé sur un compte </w:t>
            </w:r>
            <w:r w:rsidRPr="009616A9">
              <w:rPr>
                <w:rFonts w:cstheme="minorHAnsi"/>
                <w:sz w:val="22"/>
              </w:rPr>
              <w:lastRenderedPageBreak/>
              <w:t xml:space="preserve">différent de celui du bénéficiaire légitime. La formule est correcte, le nom du bénéficiaire est inchangé et la ligne magnétique située en bas du chèque est valide, tout comme la signature du client. </w:t>
            </w:r>
          </w:p>
          <w:p w:rsidR="00F979C4" w:rsidRPr="009616A9" w:rsidRDefault="00F979C4" w:rsidP="00F979C4">
            <w:pPr>
              <w:suppressAutoHyphens/>
              <w:autoSpaceDE w:val="0"/>
              <w:autoSpaceDN w:val="0"/>
              <w:adjustRightInd w:val="0"/>
              <w:ind w:right="57"/>
              <w:textAlignment w:val="center"/>
              <w:rPr>
                <w:rFonts w:cstheme="minorHAnsi"/>
                <w:sz w:val="22"/>
              </w:rPr>
            </w:pPr>
            <w:r>
              <w:rPr>
                <w:rFonts w:cstheme="minorHAnsi"/>
                <w:sz w:val="22"/>
              </w:rPr>
              <w:t xml:space="preserve">- </w:t>
            </w:r>
            <w:r w:rsidRPr="009616A9">
              <w:rPr>
                <w:rFonts w:cstheme="minorHAnsi"/>
                <w:sz w:val="22"/>
              </w:rPr>
              <w:t>Chèque perdu ou volé après compensation dans les systèmes de paiement et présenté à nouveau à l’encaissement.</w:t>
            </w:r>
          </w:p>
          <w:p w:rsidR="007D55EF" w:rsidRPr="00460E3D" w:rsidRDefault="00F979C4" w:rsidP="00890013">
            <w:pPr>
              <w:rPr>
                <w:rFonts w:ascii="Times New Roman" w:hAnsi="Times New Roman"/>
                <w:sz w:val="22"/>
              </w:rPr>
            </w:pPr>
            <w:r>
              <w:rPr>
                <w:rFonts w:cstheme="minorHAnsi"/>
                <w:sz w:val="22"/>
              </w:rPr>
              <w:t xml:space="preserve">- </w:t>
            </w:r>
            <w:r w:rsidRPr="009616A9">
              <w:rPr>
                <w:rFonts w:cstheme="minorHAnsi"/>
                <w:sz w:val="22"/>
              </w:rPr>
              <w:t>Chèque émis par le titulaire légitime sous la contrainte ou la manipulation.</w:t>
            </w:r>
          </w:p>
        </w:tc>
      </w:tr>
    </w:tbl>
    <w:p w:rsidR="00E23663" w:rsidRDefault="00E23663" w:rsidP="007D55EF">
      <w:pPr>
        <w:jc w:val="left"/>
        <w:rPr>
          <w:rFonts w:eastAsia="Calibri"/>
          <w:b/>
          <w:sz w:val="22"/>
          <w:szCs w:val="22"/>
          <w:lang w:eastAsia="en-US"/>
        </w:rPr>
      </w:pPr>
    </w:p>
    <w:p w:rsidR="007D55EF" w:rsidRDefault="007D55EF" w:rsidP="007D55EF">
      <w:pPr>
        <w:jc w:val="left"/>
        <w:rPr>
          <w:rFonts w:eastAsia="Calibri"/>
          <w:b/>
          <w:sz w:val="22"/>
          <w:szCs w:val="22"/>
          <w:lang w:eastAsia="en-US"/>
        </w:rPr>
      </w:pPr>
    </w:p>
    <w:p w:rsidR="007D55EF" w:rsidRPr="00E857C6" w:rsidRDefault="007D55EF" w:rsidP="007D55EF">
      <w:pPr>
        <w:pStyle w:val="Paragraphedeliste"/>
        <w:numPr>
          <w:ilvl w:val="1"/>
          <w:numId w:val="79"/>
        </w:numPr>
        <w:spacing w:after="200" w:line="276" w:lineRule="auto"/>
        <w:jc w:val="left"/>
        <w:rPr>
          <w:rFonts w:eastAsia="Calibri"/>
          <w:b/>
          <w:szCs w:val="22"/>
          <w:lang w:eastAsia="en-US"/>
        </w:rPr>
      </w:pPr>
      <w:r w:rsidRPr="00E857C6">
        <w:rPr>
          <w:rFonts w:eastAsia="Calibri"/>
          <w:b/>
          <w:szCs w:val="22"/>
          <w:lang w:eastAsia="en-US"/>
        </w:rPr>
        <w:t>Cotation globale du risque de fraude sur le</w:t>
      </w:r>
      <w:r w:rsidRPr="007904B3">
        <w:rPr>
          <w:rFonts w:eastAsia="Calibri"/>
          <w:b/>
          <w:szCs w:val="22"/>
          <w:lang w:eastAsia="en-US"/>
        </w:rPr>
        <w:t>s chèques</w:t>
      </w:r>
    </w:p>
    <w:p w:rsidR="007D55EF" w:rsidRPr="003B0563" w:rsidRDefault="007D55EF" w:rsidP="007D55EF">
      <w:pPr>
        <w:spacing w:after="200" w:line="276" w:lineRule="auto"/>
        <w:jc w:val="left"/>
        <w:rPr>
          <w:rFonts w:eastAsia="Calibri"/>
          <w:b/>
          <w:sz w:val="22"/>
          <w:szCs w:val="22"/>
          <w:lang w:eastAsia="en-US"/>
        </w:rPr>
      </w:pPr>
      <w:r>
        <w:rPr>
          <w:rFonts w:eastAsia="Calibri"/>
          <w:i/>
          <w:sz w:val="22"/>
          <w:szCs w:val="22"/>
          <w:lang w:eastAsia="en-US"/>
        </w:rPr>
        <w:t>En référence à l</w:t>
      </w:r>
      <w:r w:rsidRPr="003B0563">
        <w:rPr>
          <w:rFonts w:eastAsia="Calibri"/>
          <w:i/>
          <w:sz w:val="22"/>
          <w:szCs w:val="22"/>
          <w:lang w:eastAsia="en-US"/>
        </w:rPr>
        <w:t xml:space="preserve">a matrice de cotation utilisée par l’établissement pour évaluer le risque de fraude </w:t>
      </w:r>
      <w:r>
        <w:rPr>
          <w:rFonts w:eastAsia="Calibri"/>
          <w:i/>
          <w:sz w:val="22"/>
          <w:szCs w:val="22"/>
          <w:lang w:eastAsia="en-US"/>
        </w:rPr>
        <w:t xml:space="preserve">qui </w:t>
      </w:r>
      <w:r w:rsidRPr="003B0563">
        <w:rPr>
          <w:rFonts w:eastAsia="Calibri"/>
          <w:i/>
          <w:sz w:val="22"/>
          <w:szCs w:val="22"/>
          <w:lang w:eastAsia="en-US"/>
        </w:rPr>
        <w:t>est à communiquer dans la partie V de la présente annexe.</w:t>
      </w:r>
    </w:p>
    <w:tbl>
      <w:tblPr>
        <w:tblStyle w:val="Grilledutableau11"/>
        <w:tblW w:w="0" w:type="auto"/>
        <w:tblInd w:w="-34" w:type="dxa"/>
        <w:tblLook w:val="04A0" w:firstRow="1" w:lastRow="0" w:firstColumn="1" w:lastColumn="0" w:noHBand="0" w:noVBand="1"/>
      </w:tblPr>
      <w:tblGrid>
        <w:gridCol w:w="2951"/>
        <w:gridCol w:w="6143"/>
      </w:tblGrid>
      <w:tr w:rsidR="007D55EF" w:rsidRPr="00C0062E" w:rsidTr="00D605A5">
        <w:tc>
          <w:tcPr>
            <w:tcW w:w="2977" w:type="dxa"/>
            <w:shd w:val="clear" w:color="auto" w:fill="F2DBDB" w:themeFill="accent2" w:themeFillTint="33"/>
          </w:tcPr>
          <w:p w:rsidR="007D55EF" w:rsidRPr="00460E3D" w:rsidRDefault="007D55EF" w:rsidP="00D605A5">
            <w:pPr>
              <w:jc w:val="left"/>
              <w:rPr>
                <w:rFonts w:ascii="Times New Roman" w:hAnsi="Times New Roman"/>
                <w:szCs w:val="24"/>
                <w:u w:val="single"/>
              </w:rPr>
            </w:pPr>
            <w:r w:rsidRPr="00460E3D">
              <w:rPr>
                <w:szCs w:val="24"/>
                <w:u w:val="single"/>
              </w:rPr>
              <w:t>Risque brut</w:t>
            </w:r>
          </w:p>
          <w:p w:rsidR="007D55EF" w:rsidRPr="00460E3D" w:rsidRDefault="007D55EF" w:rsidP="00D605A5">
            <w:pPr>
              <w:jc w:val="left"/>
              <w:rPr>
                <w:rFonts w:ascii="Times New Roman" w:hAnsi="Times New Roman"/>
                <w:i/>
                <w:szCs w:val="24"/>
              </w:rPr>
            </w:pPr>
            <w:r w:rsidRPr="00C0062E">
              <w:rPr>
                <w:i/>
                <w:szCs w:val="24"/>
              </w:rPr>
              <w:t>(Risque inhérent avant les mesures de couverture)</w:t>
            </w:r>
          </w:p>
        </w:tc>
        <w:tc>
          <w:tcPr>
            <w:tcW w:w="6237" w:type="dxa"/>
          </w:tcPr>
          <w:p w:rsidR="007D55EF" w:rsidRPr="00460E3D" w:rsidRDefault="007D55EF" w:rsidP="00D605A5">
            <w:pPr>
              <w:jc w:val="left"/>
              <w:rPr>
                <w:rFonts w:ascii="Times New Roman" w:hAnsi="Times New Roman"/>
                <w:szCs w:val="24"/>
              </w:rPr>
            </w:pPr>
          </w:p>
        </w:tc>
      </w:tr>
      <w:tr w:rsidR="007D55EF" w:rsidRPr="00C0062E" w:rsidTr="00D605A5">
        <w:tc>
          <w:tcPr>
            <w:tcW w:w="2977" w:type="dxa"/>
            <w:shd w:val="clear" w:color="auto" w:fill="F2DBDB" w:themeFill="accent2" w:themeFillTint="33"/>
          </w:tcPr>
          <w:p w:rsidR="007D55EF" w:rsidRPr="00460E3D" w:rsidRDefault="007D55EF" w:rsidP="00D605A5">
            <w:pPr>
              <w:jc w:val="left"/>
              <w:rPr>
                <w:rFonts w:ascii="Times New Roman" w:hAnsi="Times New Roman"/>
                <w:szCs w:val="24"/>
                <w:u w:val="single"/>
              </w:rPr>
            </w:pPr>
            <w:r w:rsidRPr="00C0062E">
              <w:rPr>
                <w:szCs w:val="24"/>
                <w:u w:val="single"/>
              </w:rPr>
              <w:t>Risque résiduel</w:t>
            </w:r>
          </w:p>
          <w:p w:rsidR="007D55EF" w:rsidRPr="00460E3D" w:rsidRDefault="007D55EF" w:rsidP="00D605A5">
            <w:pPr>
              <w:jc w:val="left"/>
              <w:rPr>
                <w:rFonts w:ascii="Times New Roman" w:hAnsi="Times New Roman"/>
                <w:i/>
                <w:szCs w:val="24"/>
              </w:rPr>
            </w:pPr>
            <w:r w:rsidRPr="00C0062E">
              <w:rPr>
                <w:i/>
                <w:szCs w:val="24"/>
              </w:rPr>
              <w:t>(Risque subsistant après les mesures de couverture)</w:t>
            </w:r>
          </w:p>
        </w:tc>
        <w:tc>
          <w:tcPr>
            <w:tcW w:w="6237" w:type="dxa"/>
          </w:tcPr>
          <w:p w:rsidR="007D55EF" w:rsidRPr="00460E3D" w:rsidRDefault="007D55EF" w:rsidP="00D605A5">
            <w:pPr>
              <w:jc w:val="left"/>
              <w:rPr>
                <w:rFonts w:ascii="Times New Roman" w:hAnsi="Times New Roman"/>
                <w:szCs w:val="24"/>
              </w:rPr>
            </w:pPr>
          </w:p>
        </w:tc>
      </w:tr>
    </w:tbl>
    <w:p w:rsidR="007D55EF" w:rsidRDefault="007D55EF" w:rsidP="007D55EF">
      <w:pPr>
        <w:ind w:left="360"/>
        <w:jc w:val="left"/>
        <w:rPr>
          <w:rFonts w:eastAsia="Calibri"/>
          <w:szCs w:val="24"/>
          <w:lang w:eastAsia="en-US"/>
        </w:rPr>
      </w:pPr>
    </w:p>
    <w:p w:rsidR="00E23663" w:rsidRPr="00460E3D" w:rsidRDefault="00E23663" w:rsidP="007D55EF">
      <w:pPr>
        <w:ind w:left="360"/>
        <w:jc w:val="left"/>
        <w:rPr>
          <w:rFonts w:eastAsia="Calibri"/>
          <w:szCs w:val="24"/>
          <w:lang w:eastAsia="en-US"/>
        </w:rPr>
      </w:pPr>
    </w:p>
    <w:p w:rsidR="007D55EF" w:rsidRPr="00E857C6" w:rsidRDefault="007D55EF" w:rsidP="007D55EF">
      <w:pPr>
        <w:pStyle w:val="Paragraphedeliste"/>
        <w:numPr>
          <w:ilvl w:val="1"/>
          <w:numId w:val="79"/>
        </w:numPr>
        <w:spacing w:after="200" w:line="276" w:lineRule="auto"/>
        <w:jc w:val="left"/>
        <w:rPr>
          <w:rFonts w:eastAsia="Calibri"/>
          <w:b/>
          <w:szCs w:val="22"/>
          <w:lang w:eastAsia="en-US"/>
        </w:rPr>
      </w:pPr>
      <w:r w:rsidRPr="00E857C6">
        <w:rPr>
          <w:rFonts w:eastAsia="Calibri"/>
          <w:b/>
          <w:szCs w:val="22"/>
          <w:lang w:eastAsia="en-US"/>
        </w:rPr>
        <w:t>Mesures de couverture du risque de fraude</w:t>
      </w:r>
    </w:p>
    <w:p w:rsidR="007D55EF" w:rsidRDefault="007D55EF" w:rsidP="007D55EF">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rsidR="007D55EF" w:rsidRPr="00460E3D" w:rsidRDefault="007D55EF" w:rsidP="007D55EF">
      <w:pPr>
        <w:rPr>
          <w:rFonts w:eastAsia="Calibri"/>
          <w:i/>
          <w:sz w:val="22"/>
          <w:szCs w:val="22"/>
          <w:lang w:eastAsia="en-US"/>
        </w:rPr>
      </w:pPr>
    </w:p>
    <w:p w:rsidR="007D55EF" w:rsidRPr="00E857C6" w:rsidRDefault="007D55EF" w:rsidP="007D55EF">
      <w:pPr>
        <w:rPr>
          <w:rFonts w:eastAsia="Calibri"/>
          <w:sz w:val="22"/>
          <w:szCs w:val="22"/>
          <w:lang w:eastAsia="en-US"/>
        </w:rPr>
      </w:pPr>
      <w:r w:rsidRPr="00E857C6">
        <w:rPr>
          <w:rFonts w:eastAsia="Calibri"/>
          <w:sz w:val="22"/>
          <w:szCs w:val="22"/>
          <w:lang w:eastAsia="en-US"/>
        </w:rPr>
        <w:t>En tant qu’établissement du tiré</w:t>
      </w:r>
      <w:r>
        <w:rPr>
          <w:rFonts w:eastAsia="Calibri"/>
          <w:sz w:val="22"/>
          <w:szCs w:val="22"/>
          <w:lang w:eastAsia="en-US"/>
        </w:rPr>
        <w:t> :</w:t>
      </w:r>
    </w:p>
    <w:tbl>
      <w:tblPr>
        <w:tblStyle w:val="Grilledutableau2"/>
        <w:tblW w:w="0" w:type="auto"/>
        <w:tblLook w:val="04A0" w:firstRow="1" w:lastRow="0" w:firstColumn="1" w:lastColumn="0" w:noHBand="0" w:noVBand="1"/>
      </w:tblPr>
      <w:tblGrid>
        <w:gridCol w:w="2079"/>
        <w:gridCol w:w="1686"/>
        <w:gridCol w:w="5295"/>
      </w:tblGrid>
      <w:tr w:rsidR="007D55EF" w:rsidRPr="00C0062E" w:rsidTr="00D605A5">
        <w:tc>
          <w:tcPr>
            <w:tcW w:w="2079" w:type="dxa"/>
            <w:shd w:val="clear" w:color="auto" w:fill="D6E3BC" w:themeFill="accent3" w:themeFillTint="66"/>
            <w:vAlign w:val="center"/>
          </w:tcPr>
          <w:p w:rsidR="007D55EF" w:rsidRPr="00460E3D" w:rsidRDefault="007D55EF" w:rsidP="00D605A5">
            <w:pPr>
              <w:jc w:val="center"/>
              <w:rPr>
                <w:rFonts w:ascii="Times New Roman" w:hAnsi="Times New Roman"/>
                <w:b/>
                <w:sz w:val="22"/>
              </w:rPr>
            </w:pPr>
            <w:r w:rsidRPr="00C0062E">
              <w:rPr>
                <w:b/>
                <w:sz w:val="22"/>
              </w:rPr>
              <w:t>Typologie de fraude</w:t>
            </w:r>
          </w:p>
        </w:tc>
        <w:tc>
          <w:tcPr>
            <w:tcW w:w="1686" w:type="dxa"/>
            <w:shd w:val="clear" w:color="auto" w:fill="D6E3BC" w:themeFill="accent3" w:themeFillTint="66"/>
            <w:vAlign w:val="center"/>
          </w:tcPr>
          <w:p w:rsidR="007D55EF" w:rsidRPr="00460E3D" w:rsidRDefault="007D55EF" w:rsidP="00E11824">
            <w:pPr>
              <w:jc w:val="center"/>
              <w:rPr>
                <w:rFonts w:ascii="Times New Roman" w:hAnsi="Times New Roman"/>
                <w:b/>
                <w:sz w:val="22"/>
              </w:rPr>
            </w:pPr>
            <w:r w:rsidRPr="00C0062E">
              <w:rPr>
                <w:b/>
                <w:sz w:val="22"/>
              </w:rPr>
              <w:t>Cana</w:t>
            </w:r>
            <w:r>
              <w:rPr>
                <w:b/>
                <w:sz w:val="22"/>
              </w:rPr>
              <w:t>l</w:t>
            </w:r>
            <w:r w:rsidRPr="00C0062E">
              <w:rPr>
                <w:b/>
                <w:sz w:val="22"/>
              </w:rPr>
              <w:t xml:space="preserve"> </w:t>
            </w:r>
            <w:r w:rsidR="00E11824">
              <w:rPr>
                <w:b/>
                <w:sz w:val="22"/>
              </w:rPr>
              <w:t>de délivrance des formules</w:t>
            </w:r>
          </w:p>
        </w:tc>
        <w:tc>
          <w:tcPr>
            <w:tcW w:w="5295" w:type="dxa"/>
            <w:shd w:val="clear" w:color="auto" w:fill="D6E3BC" w:themeFill="accent3" w:themeFillTint="66"/>
            <w:vAlign w:val="center"/>
          </w:tcPr>
          <w:p w:rsidR="007D55EF" w:rsidRPr="00460E3D" w:rsidRDefault="007D55EF" w:rsidP="00D605A5">
            <w:pPr>
              <w:jc w:val="center"/>
              <w:rPr>
                <w:rFonts w:ascii="Times New Roman" w:hAnsi="Times New Roman"/>
                <w:b/>
                <w:sz w:val="22"/>
              </w:rPr>
            </w:pPr>
            <w:r w:rsidRPr="00C0062E">
              <w:rPr>
                <w:b/>
                <w:sz w:val="22"/>
              </w:rPr>
              <w:t>Mesures de couverture</w:t>
            </w:r>
          </w:p>
        </w:tc>
      </w:tr>
      <w:tr w:rsidR="007D55EF" w:rsidRPr="00C0062E" w:rsidTr="00D605A5">
        <w:tc>
          <w:tcPr>
            <w:tcW w:w="2079" w:type="dxa"/>
          </w:tcPr>
          <w:p w:rsidR="007D55EF" w:rsidRPr="00460E3D" w:rsidRDefault="007D55EF" w:rsidP="00623C7E">
            <w:pPr>
              <w:jc w:val="left"/>
              <w:rPr>
                <w:rFonts w:ascii="Times New Roman" w:hAnsi="Times New Roman"/>
                <w:sz w:val="22"/>
              </w:rPr>
            </w:pPr>
            <w:r w:rsidRPr="00C0062E">
              <w:rPr>
                <w:sz w:val="22"/>
              </w:rPr>
              <w:t xml:space="preserve">Vol, perte </w:t>
            </w:r>
          </w:p>
        </w:tc>
        <w:tc>
          <w:tcPr>
            <w:tcW w:w="1686" w:type="dxa"/>
          </w:tcPr>
          <w:p w:rsidR="007D55EF" w:rsidRPr="00460E3D" w:rsidRDefault="007D55EF" w:rsidP="00D605A5">
            <w:pPr>
              <w:jc w:val="left"/>
              <w:rPr>
                <w:rFonts w:ascii="Times New Roman" w:hAnsi="Times New Roman"/>
                <w:b/>
                <w:sz w:val="22"/>
              </w:rPr>
            </w:pPr>
          </w:p>
        </w:tc>
        <w:tc>
          <w:tcPr>
            <w:tcW w:w="5295" w:type="dxa"/>
          </w:tcPr>
          <w:p w:rsidR="007D55EF" w:rsidRPr="00460E3D" w:rsidRDefault="007D55EF" w:rsidP="00D605A5">
            <w:pPr>
              <w:jc w:val="left"/>
              <w:rPr>
                <w:rFonts w:ascii="Times New Roman" w:hAnsi="Times New Roman"/>
                <w:b/>
                <w:sz w:val="22"/>
              </w:rPr>
            </w:pPr>
          </w:p>
        </w:tc>
      </w:tr>
      <w:tr w:rsidR="007D55EF" w:rsidRPr="00C0062E" w:rsidTr="00D605A5">
        <w:tc>
          <w:tcPr>
            <w:tcW w:w="2079" w:type="dxa"/>
          </w:tcPr>
          <w:p w:rsidR="007D55EF" w:rsidRPr="00460E3D" w:rsidRDefault="007D55EF" w:rsidP="00D605A5">
            <w:pPr>
              <w:jc w:val="left"/>
              <w:rPr>
                <w:rFonts w:ascii="Times New Roman" w:hAnsi="Times New Roman"/>
                <w:sz w:val="22"/>
              </w:rPr>
            </w:pPr>
            <w:r w:rsidRPr="00C0062E">
              <w:rPr>
                <w:sz w:val="22"/>
              </w:rPr>
              <w:t>Contrefaçon</w:t>
            </w:r>
          </w:p>
        </w:tc>
        <w:tc>
          <w:tcPr>
            <w:tcW w:w="1686" w:type="dxa"/>
          </w:tcPr>
          <w:p w:rsidR="007D55EF" w:rsidRPr="00460E3D" w:rsidRDefault="007D55EF" w:rsidP="00D605A5">
            <w:pPr>
              <w:jc w:val="left"/>
              <w:rPr>
                <w:rFonts w:ascii="Times New Roman" w:hAnsi="Times New Roman"/>
                <w:b/>
                <w:sz w:val="22"/>
              </w:rPr>
            </w:pPr>
          </w:p>
        </w:tc>
        <w:tc>
          <w:tcPr>
            <w:tcW w:w="5295" w:type="dxa"/>
          </w:tcPr>
          <w:p w:rsidR="007D55EF" w:rsidRPr="00460E3D" w:rsidRDefault="007D55EF" w:rsidP="00D605A5">
            <w:pPr>
              <w:jc w:val="left"/>
              <w:rPr>
                <w:rFonts w:ascii="Times New Roman" w:hAnsi="Times New Roman"/>
                <w:b/>
                <w:sz w:val="22"/>
              </w:rPr>
            </w:pPr>
          </w:p>
        </w:tc>
      </w:tr>
      <w:tr w:rsidR="007D55EF" w:rsidRPr="00C0062E" w:rsidTr="00D605A5">
        <w:tc>
          <w:tcPr>
            <w:tcW w:w="2079" w:type="dxa"/>
          </w:tcPr>
          <w:p w:rsidR="007D55EF" w:rsidRPr="00460E3D" w:rsidRDefault="007D55EF" w:rsidP="00D605A5">
            <w:pPr>
              <w:jc w:val="left"/>
              <w:rPr>
                <w:rFonts w:ascii="Times New Roman" w:hAnsi="Times New Roman"/>
                <w:sz w:val="22"/>
              </w:rPr>
            </w:pPr>
            <w:r w:rsidRPr="00C0062E">
              <w:rPr>
                <w:sz w:val="22"/>
              </w:rPr>
              <w:t>Falsification</w:t>
            </w:r>
          </w:p>
        </w:tc>
        <w:tc>
          <w:tcPr>
            <w:tcW w:w="1686" w:type="dxa"/>
          </w:tcPr>
          <w:p w:rsidR="007D55EF" w:rsidRPr="00460E3D" w:rsidRDefault="007D55EF" w:rsidP="00D605A5">
            <w:pPr>
              <w:jc w:val="left"/>
              <w:rPr>
                <w:rFonts w:ascii="Times New Roman" w:hAnsi="Times New Roman"/>
                <w:b/>
                <w:sz w:val="22"/>
              </w:rPr>
            </w:pPr>
          </w:p>
        </w:tc>
        <w:tc>
          <w:tcPr>
            <w:tcW w:w="5295" w:type="dxa"/>
          </w:tcPr>
          <w:p w:rsidR="007D55EF" w:rsidRPr="00460E3D" w:rsidRDefault="007D55EF" w:rsidP="00D605A5">
            <w:pPr>
              <w:jc w:val="left"/>
              <w:rPr>
                <w:rFonts w:ascii="Times New Roman" w:hAnsi="Times New Roman"/>
                <w:b/>
                <w:sz w:val="22"/>
              </w:rPr>
            </w:pPr>
          </w:p>
        </w:tc>
      </w:tr>
      <w:tr w:rsidR="007D55EF" w:rsidRPr="00C0062E" w:rsidTr="00D605A5">
        <w:tc>
          <w:tcPr>
            <w:tcW w:w="2079" w:type="dxa"/>
          </w:tcPr>
          <w:p w:rsidR="007D55EF" w:rsidRPr="00460E3D" w:rsidRDefault="007D55EF" w:rsidP="00D605A5">
            <w:pPr>
              <w:jc w:val="left"/>
              <w:rPr>
                <w:rFonts w:ascii="Times New Roman" w:hAnsi="Times New Roman"/>
                <w:sz w:val="22"/>
              </w:rPr>
            </w:pPr>
            <w:r w:rsidRPr="00C0062E">
              <w:rPr>
                <w:sz w:val="22"/>
              </w:rPr>
              <w:t>Détournement, rejeu</w:t>
            </w:r>
          </w:p>
        </w:tc>
        <w:tc>
          <w:tcPr>
            <w:tcW w:w="1686" w:type="dxa"/>
          </w:tcPr>
          <w:p w:rsidR="007D55EF" w:rsidRPr="00460E3D" w:rsidRDefault="007D55EF" w:rsidP="00D605A5">
            <w:pPr>
              <w:jc w:val="left"/>
              <w:rPr>
                <w:rFonts w:ascii="Times New Roman" w:hAnsi="Times New Roman"/>
                <w:b/>
                <w:sz w:val="22"/>
              </w:rPr>
            </w:pPr>
          </w:p>
        </w:tc>
        <w:tc>
          <w:tcPr>
            <w:tcW w:w="5295" w:type="dxa"/>
          </w:tcPr>
          <w:p w:rsidR="007D55EF" w:rsidRPr="00460E3D" w:rsidRDefault="007D55EF" w:rsidP="00D605A5">
            <w:pPr>
              <w:jc w:val="left"/>
              <w:rPr>
                <w:rFonts w:ascii="Times New Roman" w:hAnsi="Times New Roman"/>
                <w:b/>
                <w:sz w:val="22"/>
              </w:rPr>
            </w:pPr>
          </w:p>
        </w:tc>
      </w:tr>
    </w:tbl>
    <w:p w:rsidR="007D55EF" w:rsidRDefault="007D55EF" w:rsidP="007D55EF">
      <w:pPr>
        <w:ind w:left="720"/>
        <w:jc w:val="left"/>
        <w:rPr>
          <w:rFonts w:eastAsia="Calibri"/>
          <w:b/>
          <w:sz w:val="22"/>
          <w:szCs w:val="22"/>
          <w:lang w:eastAsia="en-US"/>
        </w:rPr>
      </w:pPr>
    </w:p>
    <w:p w:rsidR="007D55EF" w:rsidRDefault="007D55EF" w:rsidP="007D55EF">
      <w:pPr>
        <w:ind w:left="720"/>
        <w:jc w:val="left"/>
        <w:rPr>
          <w:rFonts w:eastAsia="Calibri"/>
          <w:b/>
          <w:sz w:val="22"/>
          <w:szCs w:val="22"/>
          <w:lang w:eastAsia="en-US"/>
        </w:rPr>
      </w:pPr>
    </w:p>
    <w:p w:rsidR="007D55EF" w:rsidRPr="00234BC7" w:rsidRDefault="007D55EF" w:rsidP="007D55EF">
      <w:pPr>
        <w:jc w:val="left"/>
        <w:rPr>
          <w:rFonts w:eastAsia="Calibri"/>
          <w:sz w:val="22"/>
          <w:szCs w:val="22"/>
          <w:lang w:eastAsia="en-US"/>
        </w:rPr>
      </w:pPr>
      <w:r w:rsidRPr="00234BC7">
        <w:rPr>
          <w:rFonts w:eastAsia="Calibri"/>
          <w:sz w:val="22"/>
          <w:szCs w:val="22"/>
          <w:lang w:eastAsia="en-US"/>
        </w:rPr>
        <w:t>En tant qu’établissement du remettant</w:t>
      </w:r>
      <w:r>
        <w:rPr>
          <w:rFonts w:eastAsia="Calibri"/>
          <w:sz w:val="22"/>
          <w:szCs w:val="22"/>
          <w:lang w:eastAsia="en-US"/>
        </w:rPr>
        <w:t xml:space="preserve"> (y compris la lutte contre les remises frauduleuses réalisées par l’intermédiaire du client remettant) :</w:t>
      </w:r>
    </w:p>
    <w:tbl>
      <w:tblPr>
        <w:tblStyle w:val="Grilledutableau2"/>
        <w:tblW w:w="0" w:type="auto"/>
        <w:tblLook w:val="04A0" w:firstRow="1" w:lastRow="0" w:firstColumn="1" w:lastColumn="0" w:noHBand="0" w:noVBand="1"/>
      </w:tblPr>
      <w:tblGrid>
        <w:gridCol w:w="2079"/>
        <w:gridCol w:w="1686"/>
        <w:gridCol w:w="5295"/>
      </w:tblGrid>
      <w:tr w:rsidR="007D55EF" w:rsidRPr="00C0062E" w:rsidTr="00D605A5">
        <w:tc>
          <w:tcPr>
            <w:tcW w:w="2079" w:type="dxa"/>
            <w:shd w:val="clear" w:color="auto" w:fill="D6E3BC" w:themeFill="accent3" w:themeFillTint="66"/>
            <w:vAlign w:val="center"/>
          </w:tcPr>
          <w:p w:rsidR="007D55EF" w:rsidRPr="00460E3D" w:rsidRDefault="007D55EF" w:rsidP="00D605A5">
            <w:pPr>
              <w:jc w:val="center"/>
              <w:rPr>
                <w:rFonts w:ascii="Times New Roman" w:hAnsi="Times New Roman"/>
                <w:b/>
                <w:sz w:val="22"/>
              </w:rPr>
            </w:pPr>
            <w:r w:rsidRPr="00C0062E">
              <w:rPr>
                <w:b/>
                <w:sz w:val="22"/>
              </w:rPr>
              <w:t>Typologie de fraude</w:t>
            </w:r>
          </w:p>
        </w:tc>
        <w:tc>
          <w:tcPr>
            <w:tcW w:w="1686" w:type="dxa"/>
            <w:shd w:val="clear" w:color="auto" w:fill="D6E3BC" w:themeFill="accent3" w:themeFillTint="66"/>
            <w:vAlign w:val="center"/>
          </w:tcPr>
          <w:p w:rsidR="007D55EF" w:rsidRPr="00460E3D" w:rsidRDefault="007D55EF" w:rsidP="00E11824">
            <w:pPr>
              <w:jc w:val="center"/>
              <w:rPr>
                <w:rFonts w:ascii="Times New Roman" w:hAnsi="Times New Roman"/>
                <w:b/>
                <w:sz w:val="22"/>
              </w:rPr>
            </w:pPr>
            <w:r w:rsidRPr="00C0062E">
              <w:rPr>
                <w:b/>
                <w:sz w:val="22"/>
              </w:rPr>
              <w:t>Cana</w:t>
            </w:r>
            <w:r>
              <w:rPr>
                <w:b/>
                <w:sz w:val="22"/>
              </w:rPr>
              <w:t>l</w:t>
            </w:r>
            <w:r w:rsidRPr="00C0062E">
              <w:rPr>
                <w:b/>
                <w:sz w:val="22"/>
              </w:rPr>
              <w:t xml:space="preserve"> d</w:t>
            </w:r>
            <w:r w:rsidR="00E11824">
              <w:rPr>
                <w:b/>
                <w:sz w:val="22"/>
              </w:rPr>
              <w:t>e remise</w:t>
            </w:r>
          </w:p>
        </w:tc>
        <w:tc>
          <w:tcPr>
            <w:tcW w:w="5295" w:type="dxa"/>
            <w:shd w:val="clear" w:color="auto" w:fill="D6E3BC" w:themeFill="accent3" w:themeFillTint="66"/>
            <w:vAlign w:val="center"/>
          </w:tcPr>
          <w:p w:rsidR="007D55EF" w:rsidRPr="00460E3D" w:rsidRDefault="007D55EF" w:rsidP="00D605A5">
            <w:pPr>
              <w:jc w:val="center"/>
              <w:rPr>
                <w:rFonts w:ascii="Times New Roman" w:hAnsi="Times New Roman"/>
                <w:b/>
                <w:sz w:val="22"/>
              </w:rPr>
            </w:pPr>
            <w:r w:rsidRPr="00C0062E">
              <w:rPr>
                <w:b/>
                <w:sz w:val="22"/>
              </w:rPr>
              <w:t>Mesures de couverture</w:t>
            </w:r>
          </w:p>
        </w:tc>
      </w:tr>
      <w:tr w:rsidR="007D55EF" w:rsidRPr="00C0062E" w:rsidTr="00D605A5">
        <w:tc>
          <w:tcPr>
            <w:tcW w:w="2079" w:type="dxa"/>
          </w:tcPr>
          <w:p w:rsidR="007D55EF" w:rsidRPr="00460E3D" w:rsidRDefault="007D55EF" w:rsidP="00623C7E">
            <w:pPr>
              <w:jc w:val="left"/>
              <w:rPr>
                <w:rFonts w:ascii="Times New Roman" w:hAnsi="Times New Roman"/>
                <w:sz w:val="22"/>
              </w:rPr>
            </w:pPr>
            <w:r w:rsidRPr="00C0062E">
              <w:rPr>
                <w:sz w:val="22"/>
              </w:rPr>
              <w:t xml:space="preserve">Vol, perte </w:t>
            </w:r>
          </w:p>
        </w:tc>
        <w:tc>
          <w:tcPr>
            <w:tcW w:w="1686" w:type="dxa"/>
          </w:tcPr>
          <w:p w:rsidR="007D55EF" w:rsidRPr="00460E3D" w:rsidRDefault="007D55EF" w:rsidP="00D605A5">
            <w:pPr>
              <w:jc w:val="left"/>
              <w:rPr>
                <w:rFonts w:ascii="Times New Roman" w:hAnsi="Times New Roman"/>
                <w:b/>
                <w:sz w:val="22"/>
              </w:rPr>
            </w:pPr>
          </w:p>
        </w:tc>
        <w:tc>
          <w:tcPr>
            <w:tcW w:w="5295" w:type="dxa"/>
          </w:tcPr>
          <w:p w:rsidR="007D55EF" w:rsidRPr="00460E3D" w:rsidRDefault="007D55EF" w:rsidP="00D605A5">
            <w:pPr>
              <w:jc w:val="left"/>
              <w:rPr>
                <w:rFonts w:ascii="Times New Roman" w:hAnsi="Times New Roman"/>
                <w:b/>
                <w:sz w:val="22"/>
              </w:rPr>
            </w:pPr>
          </w:p>
        </w:tc>
      </w:tr>
      <w:tr w:rsidR="007D55EF" w:rsidRPr="00C0062E" w:rsidTr="00D605A5">
        <w:tc>
          <w:tcPr>
            <w:tcW w:w="2079" w:type="dxa"/>
          </w:tcPr>
          <w:p w:rsidR="007D55EF" w:rsidRPr="00460E3D" w:rsidRDefault="007D55EF" w:rsidP="00D605A5">
            <w:pPr>
              <w:jc w:val="left"/>
              <w:rPr>
                <w:rFonts w:ascii="Times New Roman" w:hAnsi="Times New Roman"/>
                <w:sz w:val="22"/>
              </w:rPr>
            </w:pPr>
            <w:r w:rsidRPr="00C0062E">
              <w:rPr>
                <w:sz w:val="22"/>
              </w:rPr>
              <w:t>Contrefaçon</w:t>
            </w:r>
          </w:p>
        </w:tc>
        <w:tc>
          <w:tcPr>
            <w:tcW w:w="1686" w:type="dxa"/>
          </w:tcPr>
          <w:p w:rsidR="007D55EF" w:rsidRPr="00460E3D" w:rsidRDefault="007D55EF" w:rsidP="00D605A5">
            <w:pPr>
              <w:jc w:val="left"/>
              <w:rPr>
                <w:rFonts w:ascii="Times New Roman" w:hAnsi="Times New Roman"/>
                <w:b/>
                <w:sz w:val="22"/>
              </w:rPr>
            </w:pPr>
          </w:p>
        </w:tc>
        <w:tc>
          <w:tcPr>
            <w:tcW w:w="5295" w:type="dxa"/>
          </w:tcPr>
          <w:p w:rsidR="007D55EF" w:rsidRPr="00460E3D" w:rsidRDefault="007D55EF" w:rsidP="00D605A5">
            <w:pPr>
              <w:jc w:val="left"/>
              <w:rPr>
                <w:rFonts w:ascii="Times New Roman" w:hAnsi="Times New Roman"/>
                <w:b/>
                <w:sz w:val="22"/>
              </w:rPr>
            </w:pPr>
          </w:p>
        </w:tc>
      </w:tr>
      <w:tr w:rsidR="007D55EF" w:rsidRPr="00C0062E" w:rsidTr="00D605A5">
        <w:tc>
          <w:tcPr>
            <w:tcW w:w="2079" w:type="dxa"/>
          </w:tcPr>
          <w:p w:rsidR="007D55EF" w:rsidRPr="00460E3D" w:rsidRDefault="007D55EF" w:rsidP="00D605A5">
            <w:pPr>
              <w:jc w:val="left"/>
              <w:rPr>
                <w:rFonts w:ascii="Times New Roman" w:hAnsi="Times New Roman"/>
                <w:sz w:val="22"/>
              </w:rPr>
            </w:pPr>
            <w:r w:rsidRPr="00C0062E">
              <w:rPr>
                <w:sz w:val="22"/>
              </w:rPr>
              <w:t>Falsification</w:t>
            </w:r>
          </w:p>
        </w:tc>
        <w:tc>
          <w:tcPr>
            <w:tcW w:w="1686" w:type="dxa"/>
          </w:tcPr>
          <w:p w:rsidR="007D55EF" w:rsidRPr="00460E3D" w:rsidRDefault="007D55EF" w:rsidP="00D605A5">
            <w:pPr>
              <w:jc w:val="left"/>
              <w:rPr>
                <w:rFonts w:ascii="Times New Roman" w:hAnsi="Times New Roman"/>
                <w:b/>
                <w:sz w:val="22"/>
              </w:rPr>
            </w:pPr>
          </w:p>
        </w:tc>
        <w:tc>
          <w:tcPr>
            <w:tcW w:w="5295" w:type="dxa"/>
          </w:tcPr>
          <w:p w:rsidR="007D55EF" w:rsidRPr="00460E3D" w:rsidRDefault="007D55EF" w:rsidP="00D605A5">
            <w:pPr>
              <w:jc w:val="left"/>
              <w:rPr>
                <w:rFonts w:ascii="Times New Roman" w:hAnsi="Times New Roman"/>
                <w:b/>
                <w:sz w:val="22"/>
              </w:rPr>
            </w:pPr>
          </w:p>
        </w:tc>
      </w:tr>
      <w:tr w:rsidR="007D55EF" w:rsidRPr="00C0062E" w:rsidTr="00D605A5">
        <w:tc>
          <w:tcPr>
            <w:tcW w:w="2079" w:type="dxa"/>
          </w:tcPr>
          <w:p w:rsidR="007D55EF" w:rsidRPr="00460E3D" w:rsidRDefault="007D55EF" w:rsidP="00D605A5">
            <w:pPr>
              <w:jc w:val="left"/>
              <w:rPr>
                <w:rFonts w:ascii="Times New Roman" w:hAnsi="Times New Roman"/>
                <w:sz w:val="22"/>
              </w:rPr>
            </w:pPr>
            <w:r w:rsidRPr="00C0062E">
              <w:rPr>
                <w:sz w:val="22"/>
              </w:rPr>
              <w:t>Détournement, rejeu</w:t>
            </w:r>
          </w:p>
        </w:tc>
        <w:tc>
          <w:tcPr>
            <w:tcW w:w="1686" w:type="dxa"/>
          </w:tcPr>
          <w:p w:rsidR="007D55EF" w:rsidRPr="00460E3D" w:rsidRDefault="007D55EF" w:rsidP="00D605A5">
            <w:pPr>
              <w:jc w:val="left"/>
              <w:rPr>
                <w:rFonts w:ascii="Times New Roman" w:hAnsi="Times New Roman"/>
                <w:b/>
                <w:sz w:val="22"/>
              </w:rPr>
            </w:pPr>
          </w:p>
        </w:tc>
        <w:tc>
          <w:tcPr>
            <w:tcW w:w="5295" w:type="dxa"/>
          </w:tcPr>
          <w:p w:rsidR="007D55EF" w:rsidRPr="00460E3D" w:rsidRDefault="007D55EF" w:rsidP="00D605A5">
            <w:pPr>
              <w:jc w:val="left"/>
              <w:rPr>
                <w:rFonts w:ascii="Times New Roman" w:hAnsi="Times New Roman"/>
                <w:b/>
                <w:sz w:val="22"/>
              </w:rPr>
            </w:pPr>
          </w:p>
        </w:tc>
      </w:tr>
    </w:tbl>
    <w:p w:rsidR="007D55EF" w:rsidRDefault="007D55EF" w:rsidP="007D55EF">
      <w:pPr>
        <w:jc w:val="left"/>
        <w:rPr>
          <w:rFonts w:eastAsia="Calibri"/>
          <w:b/>
          <w:sz w:val="22"/>
          <w:szCs w:val="22"/>
          <w:lang w:eastAsia="en-US"/>
        </w:rPr>
      </w:pPr>
    </w:p>
    <w:p w:rsidR="00E23663" w:rsidRDefault="00E23663" w:rsidP="007D55EF">
      <w:pPr>
        <w:jc w:val="left"/>
        <w:rPr>
          <w:rFonts w:eastAsia="Calibri"/>
          <w:b/>
          <w:sz w:val="22"/>
          <w:szCs w:val="22"/>
          <w:lang w:eastAsia="en-US"/>
        </w:rPr>
      </w:pPr>
    </w:p>
    <w:p w:rsidR="00E23663" w:rsidRDefault="00E23663" w:rsidP="007D55EF">
      <w:pPr>
        <w:jc w:val="left"/>
        <w:rPr>
          <w:rFonts w:eastAsia="Calibri"/>
          <w:b/>
          <w:sz w:val="22"/>
          <w:szCs w:val="22"/>
          <w:lang w:eastAsia="en-US"/>
        </w:rPr>
      </w:pPr>
    </w:p>
    <w:p w:rsidR="00E23663" w:rsidRDefault="00E23663" w:rsidP="007D55EF">
      <w:pPr>
        <w:jc w:val="left"/>
        <w:rPr>
          <w:rFonts w:eastAsia="Calibri"/>
          <w:b/>
          <w:sz w:val="22"/>
          <w:szCs w:val="22"/>
          <w:lang w:eastAsia="en-US"/>
        </w:rPr>
      </w:pPr>
    </w:p>
    <w:p w:rsidR="00E23663" w:rsidRDefault="00E23663" w:rsidP="007D55EF">
      <w:pPr>
        <w:jc w:val="left"/>
        <w:rPr>
          <w:rFonts w:eastAsia="Calibri"/>
          <w:b/>
          <w:sz w:val="22"/>
          <w:szCs w:val="22"/>
          <w:lang w:eastAsia="en-US"/>
        </w:rPr>
      </w:pPr>
    </w:p>
    <w:p w:rsidR="00E23663" w:rsidRDefault="00E23663" w:rsidP="007D55EF">
      <w:pPr>
        <w:jc w:val="left"/>
        <w:rPr>
          <w:rFonts w:eastAsia="Calibri"/>
          <w:b/>
          <w:sz w:val="22"/>
          <w:szCs w:val="22"/>
          <w:lang w:eastAsia="en-US"/>
        </w:rPr>
      </w:pPr>
    </w:p>
    <w:p w:rsidR="007D55EF" w:rsidRPr="000C38F7" w:rsidRDefault="007D55EF" w:rsidP="007D55EF">
      <w:pPr>
        <w:pStyle w:val="Paragraphedeliste"/>
        <w:numPr>
          <w:ilvl w:val="1"/>
          <w:numId w:val="79"/>
        </w:numPr>
        <w:spacing w:after="200" w:line="276" w:lineRule="auto"/>
        <w:jc w:val="left"/>
        <w:rPr>
          <w:rFonts w:eastAsia="Calibri"/>
          <w:b/>
          <w:szCs w:val="22"/>
          <w:lang w:eastAsia="en-US"/>
        </w:rPr>
      </w:pPr>
      <w:r w:rsidRPr="000C38F7">
        <w:rPr>
          <w:rFonts w:eastAsia="Calibri"/>
          <w:b/>
          <w:szCs w:val="22"/>
          <w:lang w:eastAsia="en-US"/>
        </w:rPr>
        <w:lastRenderedPageBreak/>
        <w:t>Évolution de la fraude brute au cours de la période sous revue</w:t>
      </w:r>
    </w:p>
    <w:p w:rsidR="007D55EF" w:rsidRDefault="007D55EF" w:rsidP="007D55EF">
      <w:pPr>
        <w:jc w:val="left"/>
        <w:rPr>
          <w:rFonts w:eastAsia="Calibri"/>
          <w:sz w:val="22"/>
          <w:szCs w:val="22"/>
          <w:lang w:eastAsia="en-US"/>
        </w:rPr>
      </w:pPr>
      <w:r w:rsidRPr="00460E3D">
        <w:rPr>
          <w:rFonts w:eastAsia="Calibri"/>
          <w:sz w:val="22"/>
          <w:szCs w:val="22"/>
          <w:lang w:eastAsia="en-US"/>
        </w:rPr>
        <w:t>En tant qu’établissement du tiré</w:t>
      </w:r>
      <w:r>
        <w:rPr>
          <w:rFonts w:eastAsia="Calibri"/>
          <w:sz w:val="22"/>
          <w:szCs w:val="22"/>
          <w:lang w:eastAsia="en-US"/>
        </w:rPr>
        <w:t> :</w:t>
      </w:r>
    </w:p>
    <w:tbl>
      <w:tblPr>
        <w:tblStyle w:val="Grilledutableau2"/>
        <w:tblW w:w="0" w:type="auto"/>
        <w:tblLook w:val="04A0" w:firstRow="1" w:lastRow="0" w:firstColumn="1" w:lastColumn="0" w:noHBand="0" w:noVBand="1"/>
      </w:tblPr>
      <w:tblGrid>
        <w:gridCol w:w="2342"/>
        <w:gridCol w:w="1965"/>
        <w:gridCol w:w="4753"/>
      </w:tblGrid>
      <w:tr w:rsidR="007D55EF" w:rsidRPr="00C0062E" w:rsidTr="00D605A5">
        <w:tc>
          <w:tcPr>
            <w:tcW w:w="2342" w:type="dxa"/>
            <w:shd w:val="clear" w:color="auto" w:fill="D6E3BC" w:themeFill="accent3" w:themeFillTint="66"/>
            <w:vAlign w:val="center"/>
          </w:tcPr>
          <w:p w:rsidR="007D55EF" w:rsidRPr="00460E3D" w:rsidRDefault="007D55EF" w:rsidP="00D605A5">
            <w:pPr>
              <w:jc w:val="center"/>
              <w:rPr>
                <w:rFonts w:ascii="Times New Roman" w:hAnsi="Times New Roman"/>
                <w:b/>
                <w:sz w:val="22"/>
              </w:rPr>
            </w:pPr>
            <w:r w:rsidRPr="00C0062E">
              <w:rPr>
                <w:b/>
                <w:sz w:val="22"/>
              </w:rPr>
              <w:t>Typologie de fraude</w:t>
            </w:r>
          </w:p>
        </w:tc>
        <w:tc>
          <w:tcPr>
            <w:tcW w:w="1965" w:type="dxa"/>
            <w:shd w:val="clear" w:color="auto" w:fill="D6E3BC" w:themeFill="accent3" w:themeFillTint="66"/>
            <w:vAlign w:val="center"/>
          </w:tcPr>
          <w:p w:rsidR="007D55EF" w:rsidRPr="00460E3D" w:rsidRDefault="007D55EF" w:rsidP="00E11824">
            <w:pPr>
              <w:jc w:val="center"/>
              <w:rPr>
                <w:rFonts w:ascii="Times New Roman" w:hAnsi="Times New Roman"/>
                <w:b/>
                <w:sz w:val="22"/>
              </w:rPr>
            </w:pPr>
            <w:r w:rsidRPr="00C0062E">
              <w:rPr>
                <w:b/>
                <w:sz w:val="22"/>
              </w:rPr>
              <w:t xml:space="preserve">Canal </w:t>
            </w:r>
            <w:r w:rsidR="00E11824">
              <w:rPr>
                <w:b/>
                <w:sz w:val="22"/>
              </w:rPr>
              <w:t>de délivrance des formules</w:t>
            </w:r>
          </w:p>
        </w:tc>
        <w:tc>
          <w:tcPr>
            <w:tcW w:w="4753" w:type="dxa"/>
            <w:shd w:val="clear" w:color="auto" w:fill="D6E3BC" w:themeFill="accent3" w:themeFillTint="66"/>
            <w:vAlign w:val="center"/>
          </w:tcPr>
          <w:p w:rsidR="007D55EF" w:rsidRPr="00460E3D" w:rsidRDefault="007D55EF" w:rsidP="00D605A5">
            <w:pPr>
              <w:jc w:val="center"/>
              <w:rPr>
                <w:rFonts w:ascii="Times New Roman" w:hAnsi="Times New Roman"/>
                <w:b/>
                <w:sz w:val="21"/>
                <w:szCs w:val="21"/>
              </w:rPr>
            </w:pPr>
            <w:r w:rsidRPr="00C0062E">
              <w:rPr>
                <w:b/>
                <w:sz w:val="21"/>
                <w:szCs w:val="21"/>
              </w:rPr>
              <w:t xml:space="preserve">Description des principaux cas de fraude rencontrés </w:t>
            </w:r>
          </w:p>
          <w:p w:rsidR="007D55EF" w:rsidRPr="00460E3D" w:rsidRDefault="007D55EF" w:rsidP="00D605A5">
            <w:pPr>
              <w:jc w:val="center"/>
              <w:rPr>
                <w:rFonts w:ascii="Times New Roman" w:hAnsi="Times New Roman"/>
                <w:b/>
                <w:sz w:val="21"/>
                <w:szCs w:val="21"/>
              </w:rPr>
            </w:pPr>
            <w:r w:rsidRPr="00C0062E">
              <w:rPr>
                <w:b/>
                <w:sz w:val="21"/>
                <w:szCs w:val="21"/>
              </w:rPr>
              <w:t>(eu égard à leur montant et/ou fréquence)</w:t>
            </w:r>
          </w:p>
        </w:tc>
      </w:tr>
      <w:tr w:rsidR="007D55EF" w:rsidRPr="00C0062E" w:rsidTr="00D605A5">
        <w:tc>
          <w:tcPr>
            <w:tcW w:w="2342" w:type="dxa"/>
          </w:tcPr>
          <w:p w:rsidR="007D55EF" w:rsidRPr="00460E3D" w:rsidRDefault="007D55EF" w:rsidP="00D605A5">
            <w:pPr>
              <w:jc w:val="left"/>
              <w:rPr>
                <w:rFonts w:ascii="Times New Roman" w:hAnsi="Times New Roman"/>
                <w:b/>
                <w:sz w:val="22"/>
              </w:rPr>
            </w:pPr>
          </w:p>
        </w:tc>
        <w:tc>
          <w:tcPr>
            <w:tcW w:w="1965" w:type="dxa"/>
          </w:tcPr>
          <w:p w:rsidR="007D55EF" w:rsidRPr="00460E3D" w:rsidRDefault="007D55EF" w:rsidP="00D605A5">
            <w:pPr>
              <w:jc w:val="left"/>
              <w:rPr>
                <w:rFonts w:ascii="Times New Roman" w:hAnsi="Times New Roman"/>
                <w:b/>
                <w:sz w:val="22"/>
              </w:rPr>
            </w:pPr>
          </w:p>
        </w:tc>
        <w:tc>
          <w:tcPr>
            <w:tcW w:w="4753" w:type="dxa"/>
          </w:tcPr>
          <w:p w:rsidR="007D55EF" w:rsidRPr="00460E3D" w:rsidRDefault="007D55EF" w:rsidP="00D605A5">
            <w:pPr>
              <w:jc w:val="left"/>
              <w:rPr>
                <w:rFonts w:ascii="Times New Roman" w:hAnsi="Times New Roman"/>
                <w:b/>
                <w:sz w:val="22"/>
              </w:rPr>
            </w:pPr>
          </w:p>
        </w:tc>
      </w:tr>
      <w:tr w:rsidR="007D55EF" w:rsidRPr="00C0062E" w:rsidTr="00D605A5">
        <w:tc>
          <w:tcPr>
            <w:tcW w:w="2342" w:type="dxa"/>
          </w:tcPr>
          <w:p w:rsidR="007D55EF" w:rsidRPr="00460E3D" w:rsidRDefault="007D55EF" w:rsidP="00D605A5">
            <w:pPr>
              <w:jc w:val="left"/>
              <w:rPr>
                <w:rFonts w:ascii="Times New Roman" w:hAnsi="Times New Roman"/>
                <w:b/>
                <w:sz w:val="22"/>
              </w:rPr>
            </w:pPr>
          </w:p>
        </w:tc>
        <w:tc>
          <w:tcPr>
            <w:tcW w:w="1965" w:type="dxa"/>
          </w:tcPr>
          <w:p w:rsidR="007D55EF" w:rsidRPr="00460E3D" w:rsidRDefault="007D55EF" w:rsidP="00D605A5">
            <w:pPr>
              <w:jc w:val="left"/>
              <w:rPr>
                <w:rFonts w:ascii="Times New Roman" w:hAnsi="Times New Roman"/>
                <w:b/>
                <w:sz w:val="22"/>
              </w:rPr>
            </w:pPr>
          </w:p>
        </w:tc>
        <w:tc>
          <w:tcPr>
            <w:tcW w:w="4753" w:type="dxa"/>
          </w:tcPr>
          <w:p w:rsidR="007D55EF" w:rsidRPr="00460E3D" w:rsidRDefault="007D55EF" w:rsidP="00D605A5">
            <w:pPr>
              <w:jc w:val="left"/>
              <w:rPr>
                <w:rFonts w:ascii="Times New Roman" w:hAnsi="Times New Roman"/>
                <w:b/>
                <w:sz w:val="22"/>
              </w:rPr>
            </w:pPr>
          </w:p>
        </w:tc>
      </w:tr>
      <w:tr w:rsidR="007D55EF" w:rsidRPr="00C0062E" w:rsidTr="00D605A5">
        <w:tc>
          <w:tcPr>
            <w:tcW w:w="2342" w:type="dxa"/>
          </w:tcPr>
          <w:p w:rsidR="007D55EF" w:rsidRPr="00460E3D" w:rsidRDefault="007D55EF" w:rsidP="00D605A5">
            <w:pPr>
              <w:jc w:val="left"/>
              <w:rPr>
                <w:rFonts w:ascii="Times New Roman" w:hAnsi="Times New Roman"/>
                <w:b/>
                <w:sz w:val="22"/>
              </w:rPr>
            </w:pPr>
          </w:p>
        </w:tc>
        <w:tc>
          <w:tcPr>
            <w:tcW w:w="1965" w:type="dxa"/>
          </w:tcPr>
          <w:p w:rsidR="007D55EF" w:rsidRPr="00460E3D" w:rsidRDefault="007D55EF" w:rsidP="00D605A5">
            <w:pPr>
              <w:jc w:val="left"/>
              <w:rPr>
                <w:rFonts w:ascii="Times New Roman" w:hAnsi="Times New Roman"/>
                <w:b/>
                <w:sz w:val="22"/>
              </w:rPr>
            </w:pPr>
          </w:p>
        </w:tc>
        <w:tc>
          <w:tcPr>
            <w:tcW w:w="4753" w:type="dxa"/>
          </w:tcPr>
          <w:p w:rsidR="007D55EF" w:rsidRPr="00460E3D" w:rsidRDefault="007D55EF" w:rsidP="00D605A5">
            <w:pPr>
              <w:jc w:val="left"/>
              <w:rPr>
                <w:rFonts w:ascii="Times New Roman" w:hAnsi="Times New Roman"/>
                <w:b/>
                <w:sz w:val="22"/>
              </w:rPr>
            </w:pPr>
          </w:p>
        </w:tc>
      </w:tr>
      <w:tr w:rsidR="007D55EF" w:rsidRPr="00C0062E" w:rsidTr="00D605A5">
        <w:tc>
          <w:tcPr>
            <w:tcW w:w="2342" w:type="dxa"/>
          </w:tcPr>
          <w:p w:rsidR="007D55EF" w:rsidRPr="00460E3D" w:rsidRDefault="007D55EF" w:rsidP="00D605A5">
            <w:pPr>
              <w:jc w:val="left"/>
              <w:rPr>
                <w:rFonts w:ascii="Times New Roman" w:hAnsi="Times New Roman"/>
                <w:b/>
                <w:sz w:val="22"/>
              </w:rPr>
            </w:pPr>
          </w:p>
        </w:tc>
        <w:tc>
          <w:tcPr>
            <w:tcW w:w="1965" w:type="dxa"/>
          </w:tcPr>
          <w:p w:rsidR="007D55EF" w:rsidRPr="00460E3D" w:rsidRDefault="007D55EF" w:rsidP="00D605A5">
            <w:pPr>
              <w:jc w:val="left"/>
              <w:rPr>
                <w:rFonts w:ascii="Times New Roman" w:hAnsi="Times New Roman"/>
                <w:b/>
                <w:sz w:val="22"/>
              </w:rPr>
            </w:pPr>
          </w:p>
        </w:tc>
        <w:tc>
          <w:tcPr>
            <w:tcW w:w="4753" w:type="dxa"/>
          </w:tcPr>
          <w:p w:rsidR="007D55EF" w:rsidRPr="00460E3D" w:rsidRDefault="007D55EF" w:rsidP="00D605A5">
            <w:pPr>
              <w:jc w:val="left"/>
              <w:rPr>
                <w:rFonts w:ascii="Times New Roman" w:hAnsi="Times New Roman"/>
                <w:b/>
                <w:sz w:val="22"/>
              </w:rPr>
            </w:pPr>
          </w:p>
        </w:tc>
      </w:tr>
    </w:tbl>
    <w:p w:rsidR="007D55EF" w:rsidRDefault="007D55EF" w:rsidP="007D55EF">
      <w:pPr>
        <w:jc w:val="left"/>
        <w:rPr>
          <w:rFonts w:eastAsia="Calibri"/>
          <w:sz w:val="22"/>
          <w:szCs w:val="22"/>
          <w:lang w:eastAsia="en-US"/>
        </w:rPr>
      </w:pPr>
    </w:p>
    <w:p w:rsidR="007D55EF" w:rsidRDefault="007D55EF" w:rsidP="007D55EF">
      <w:pPr>
        <w:jc w:val="left"/>
        <w:rPr>
          <w:rFonts w:eastAsia="Calibri"/>
          <w:sz w:val="22"/>
          <w:szCs w:val="22"/>
          <w:lang w:eastAsia="en-US"/>
        </w:rPr>
      </w:pPr>
    </w:p>
    <w:p w:rsidR="007D55EF" w:rsidRPr="00460E3D" w:rsidRDefault="007D55EF" w:rsidP="007D55EF">
      <w:pPr>
        <w:jc w:val="left"/>
        <w:rPr>
          <w:rFonts w:eastAsia="Calibri"/>
          <w:sz w:val="22"/>
          <w:szCs w:val="22"/>
          <w:lang w:eastAsia="en-US"/>
        </w:rPr>
      </w:pPr>
      <w:r w:rsidRPr="00460E3D">
        <w:rPr>
          <w:rFonts w:eastAsia="Calibri"/>
          <w:sz w:val="22"/>
          <w:szCs w:val="22"/>
          <w:lang w:eastAsia="en-US"/>
        </w:rPr>
        <w:t>En tant qu’établissement du remettant</w:t>
      </w:r>
      <w:r>
        <w:rPr>
          <w:rFonts w:eastAsia="Calibri"/>
          <w:sz w:val="22"/>
          <w:szCs w:val="22"/>
          <w:lang w:eastAsia="en-US"/>
        </w:rPr>
        <w:t> :</w:t>
      </w:r>
    </w:p>
    <w:tbl>
      <w:tblPr>
        <w:tblStyle w:val="Grilledutableau2"/>
        <w:tblW w:w="0" w:type="auto"/>
        <w:tblLook w:val="04A0" w:firstRow="1" w:lastRow="0" w:firstColumn="1" w:lastColumn="0" w:noHBand="0" w:noVBand="1"/>
      </w:tblPr>
      <w:tblGrid>
        <w:gridCol w:w="2342"/>
        <w:gridCol w:w="1965"/>
        <w:gridCol w:w="4753"/>
      </w:tblGrid>
      <w:tr w:rsidR="007D55EF" w:rsidRPr="00C0062E" w:rsidTr="00D605A5">
        <w:tc>
          <w:tcPr>
            <w:tcW w:w="2342" w:type="dxa"/>
            <w:shd w:val="clear" w:color="auto" w:fill="D6E3BC" w:themeFill="accent3" w:themeFillTint="66"/>
            <w:vAlign w:val="center"/>
          </w:tcPr>
          <w:p w:rsidR="007D55EF" w:rsidRPr="00460E3D" w:rsidRDefault="007D55EF" w:rsidP="00D605A5">
            <w:pPr>
              <w:jc w:val="center"/>
              <w:rPr>
                <w:rFonts w:ascii="Times New Roman" w:hAnsi="Times New Roman"/>
                <w:b/>
                <w:sz w:val="22"/>
              </w:rPr>
            </w:pPr>
            <w:r w:rsidRPr="00C0062E">
              <w:rPr>
                <w:b/>
                <w:sz w:val="22"/>
              </w:rPr>
              <w:t>Typologie de fraude</w:t>
            </w:r>
          </w:p>
        </w:tc>
        <w:tc>
          <w:tcPr>
            <w:tcW w:w="1965" w:type="dxa"/>
            <w:shd w:val="clear" w:color="auto" w:fill="D6E3BC" w:themeFill="accent3" w:themeFillTint="66"/>
            <w:vAlign w:val="center"/>
          </w:tcPr>
          <w:p w:rsidR="007D55EF" w:rsidRPr="00460E3D" w:rsidRDefault="007D55EF" w:rsidP="00D605A5">
            <w:pPr>
              <w:jc w:val="center"/>
              <w:rPr>
                <w:rFonts w:ascii="Times New Roman" w:hAnsi="Times New Roman"/>
                <w:b/>
                <w:sz w:val="22"/>
              </w:rPr>
            </w:pPr>
            <w:r w:rsidRPr="00C0062E">
              <w:rPr>
                <w:b/>
                <w:sz w:val="22"/>
              </w:rPr>
              <w:t>Canal d</w:t>
            </w:r>
            <w:r>
              <w:rPr>
                <w:b/>
                <w:sz w:val="22"/>
              </w:rPr>
              <w:t>e remise</w:t>
            </w:r>
          </w:p>
        </w:tc>
        <w:tc>
          <w:tcPr>
            <w:tcW w:w="4753" w:type="dxa"/>
            <w:shd w:val="clear" w:color="auto" w:fill="D6E3BC" w:themeFill="accent3" w:themeFillTint="66"/>
            <w:vAlign w:val="center"/>
          </w:tcPr>
          <w:p w:rsidR="007D55EF" w:rsidRPr="00460E3D" w:rsidRDefault="007D55EF" w:rsidP="00D605A5">
            <w:pPr>
              <w:jc w:val="center"/>
              <w:rPr>
                <w:rFonts w:ascii="Times New Roman" w:hAnsi="Times New Roman"/>
                <w:b/>
                <w:sz w:val="21"/>
                <w:szCs w:val="21"/>
              </w:rPr>
            </w:pPr>
            <w:r w:rsidRPr="00C0062E">
              <w:rPr>
                <w:b/>
                <w:sz w:val="21"/>
                <w:szCs w:val="21"/>
              </w:rPr>
              <w:t xml:space="preserve">Description des principaux cas de fraude rencontrés </w:t>
            </w:r>
          </w:p>
          <w:p w:rsidR="007D55EF" w:rsidRPr="00460E3D" w:rsidRDefault="007D55EF" w:rsidP="00D605A5">
            <w:pPr>
              <w:jc w:val="center"/>
              <w:rPr>
                <w:rFonts w:ascii="Times New Roman" w:hAnsi="Times New Roman"/>
                <w:b/>
                <w:sz w:val="21"/>
                <w:szCs w:val="21"/>
              </w:rPr>
            </w:pPr>
            <w:r w:rsidRPr="00C0062E">
              <w:rPr>
                <w:b/>
                <w:sz w:val="21"/>
                <w:szCs w:val="21"/>
              </w:rPr>
              <w:t>(eu égard à leur montant et/ou fréquence)</w:t>
            </w:r>
          </w:p>
        </w:tc>
      </w:tr>
      <w:tr w:rsidR="007D55EF" w:rsidRPr="00C0062E" w:rsidTr="00D605A5">
        <w:tc>
          <w:tcPr>
            <w:tcW w:w="2342" w:type="dxa"/>
          </w:tcPr>
          <w:p w:rsidR="007D55EF" w:rsidRPr="00460E3D" w:rsidRDefault="007D55EF" w:rsidP="00D605A5">
            <w:pPr>
              <w:jc w:val="left"/>
              <w:rPr>
                <w:rFonts w:ascii="Times New Roman" w:hAnsi="Times New Roman"/>
                <w:b/>
                <w:sz w:val="22"/>
              </w:rPr>
            </w:pPr>
          </w:p>
        </w:tc>
        <w:tc>
          <w:tcPr>
            <w:tcW w:w="1965" w:type="dxa"/>
          </w:tcPr>
          <w:p w:rsidR="007D55EF" w:rsidRPr="00460E3D" w:rsidRDefault="007D55EF" w:rsidP="00D605A5">
            <w:pPr>
              <w:jc w:val="left"/>
              <w:rPr>
                <w:rFonts w:ascii="Times New Roman" w:hAnsi="Times New Roman"/>
                <w:b/>
                <w:sz w:val="22"/>
              </w:rPr>
            </w:pPr>
          </w:p>
        </w:tc>
        <w:tc>
          <w:tcPr>
            <w:tcW w:w="4753" w:type="dxa"/>
          </w:tcPr>
          <w:p w:rsidR="007D55EF" w:rsidRPr="00460E3D" w:rsidRDefault="007D55EF" w:rsidP="00D605A5">
            <w:pPr>
              <w:jc w:val="left"/>
              <w:rPr>
                <w:rFonts w:ascii="Times New Roman" w:hAnsi="Times New Roman"/>
                <w:b/>
                <w:sz w:val="22"/>
              </w:rPr>
            </w:pPr>
          </w:p>
        </w:tc>
      </w:tr>
      <w:tr w:rsidR="007D55EF" w:rsidRPr="00C0062E" w:rsidTr="00D605A5">
        <w:tc>
          <w:tcPr>
            <w:tcW w:w="2342" w:type="dxa"/>
          </w:tcPr>
          <w:p w:rsidR="007D55EF" w:rsidRPr="00460E3D" w:rsidRDefault="007D55EF" w:rsidP="00D605A5">
            <w:pPr>
              <w:jc w:val="left"/>
              <w:rPr>
                <w:rFonts w:ascii="Times New Roman" w:hAnsi="Times New Roman"/>
                <w:b/>
                <w:sz w:val="22"/>
              </w:rPr>
            </w:pPr>
          </w:p>
        </w:tc>
        <w:tc>
          <w:tcPr>
            <w:tcW w:w="1965" w:type="dxa"/>
          </w:tcPr>
          <w:p w:rsidR="007D55EF" w:rsidRPr="00460E3D" w:rsidRDefault="007D55EF" w:rsidP="00D605A5">
            <w:pPr>
              <w:jc w:val="left"/>
              <w:rPr>
                <w:rFonts w:ascii="Times New Roman" w:hAnsi="Times New Roman"/>
                <w:b/>
                <w:sz w:val="22"/>
              </w:rPr>
            </w:pPr>
          </w:p>
        </w:tc>
        <w:tc>
          <w:tcPr>
            <w:tcW w:w="4753" w:type="dxa"/>
          </w:tcPr>
          <w:p w:rsidR="007D55EF" w:rsidRPr="00460E3D" w:rsidRDefault="007D55EF" w:rsidP="00D605A5">
            <w:pPr>
              <w:jc w:val="left"/>
              <w:rPr>
                <w:rFonts w:ascii="Times New Roman" w:hAnsi="Times New Roman"/>
                <w:b/>
                <w:sz w:val="22"/>
              </w:rPr>
            </w:pPr>
          </w:p>
        </w:tc>
      </w:tr>
      <w:tr w:rsidR="007D55EF" w:rsidRPr="00C0062E" w:rsidTr="00D605A5">
        <w:tc>
          <w:tcPr>
            <w:tcW w:w="2342" w:type="dxa"/>
          </w:tcPr>
          <w:p w:rsidR="007D55EF" w:rsidRPr="00460E3D" w:rsidRDefault="007D55EF" w:rsidP="00D605A5">
            <w:pPr>
              <w:jc w:val="left"/>
              <w:rPr>
                <w:b/>
                <w:sz w:val="22"/>
              </w:rPr>
            </w:pPr>
          </w:p>
        </w:tc>
        <w:tc>
          <w:tcPr>
            <w:tcW w:w="1965" w:type="dxa"/>
          </w:tcPr>
          <w:p w:rsidR="007D55EF" w:rsidRPr="00460E3D" w:rsidRDefault="007D55EF" w:rsidP="00D605A5">
            <w:pPr>
              <w:jc w:val="left"/>
              <w:rPr>
                <w:b/>
                <w:sz w:val="22"/>
              </w:rPr>
            </w:pPr>
          </w:p>
        </w:tc>
        <w:tc>
          <w:tcPr>
            <w:tcW w:w="4753" w:type="dxa"/>
          </w:tcPr>
          <w:p w:rsidR="007D55EF" w:rsidRPr="00460E3D" w:rsidRDefault="007D55EF" w:rsidP="00D605A5">
            <w:pPr>
              <w:jc w:val="left"/>
              <w:rPr>
                <w:b/>
                <w:sz w:val="22"/>
              </w:rPr>
            </w:pPr>
          </w:p>
        </w:tc>
      </w:tr>
      <w:tr w:rsidR="007D55EF" w:rsidRPr="00C0062E" w:rsidTr="00D605A5">
        <w:tc>
          <w:tcPr>
            <w:tcW w:w="2342" w:type="dxa"/>
          </w:tcPr>
          <w:p w:rsidR="007D55EF" w:rsidRPr="00460E3D" w:rsidRDefault="007D55EF" w:rsidP="00D605A5">
            <w:pPr>
              <w:jc w:val="left"/>
              <w:rPr>
                <w:rFonts w:ascii="Times New Roman" w:hAnsi="Times New Roman"/>
                <w:b/>
                <w:sz w:val="22"/>
              </w:rPr>
            </w:pPr>
          </w:p>
        </w:tc>
        <w:tc>
          <w:tcPr>
            <w:tcW w:w="1965" w:type="dxa"/>
          </w:tcPr>
          <w:p w:rsidR="007D55EF" w:rsidRPr="00460E3D" w:rsidRDefault="007D55EF" w:rsidP="00D605A5">
            <w:pPr>
              <w:jc w:val="left"/>
              <w:rPr>
                <w:rFonts w:ascii="Times New Roman" w:hAnsi="Times New Roman"/>
                <w:b/>
                <w:sz w:val="22"/>
              </w:rPr>
            </w:pPr>
          </w:p>
        </w:tc>
        <w:tc>
          <w:tcPr>
            <w:tcW w:w="4753" w:type="dxa"/>
          </w:tcPr>
          <w:p w:rsidR="007D55EF" w:rsidRPr="00460E3D" w:rsidRDefault="007D55EF" w:rsidP="00D605A5">
            <w:pPr>
              <w:jc w:val="left"/>
              <w:rPr>
                <w:rFonts w:ascii="Times New Roman" w:hAnsi="Times New Roman"/>
                <w:b/>
                <w:sz w:val="22"/>
              </w:rPr>
            </w:pPr>
          </w:p>
        </w:tc>
      </w:tr>
      <w:tr w:rsidR="007D55EF" w:rsidRPr="00C0062E" w:rsidTr="00D605A5">
        <w:tc>
          <w:tcPr>
            <w:tcW w:w="2342" w:type="dxa"/>
          </w:tcPr>
          <w:p w:rsidR="007D55EF" w:rsidRPr="00460E3D" w:rsidRDefault="007D55EF" w:rsidP="00D605A5">
            <w:pPr>
              <w:jc w:val="left"/>
              <w:rPr>
                <w:rFonts w:ascii="Times New Roman" w:hAnsi="Times New Roman"/>
                <w:b/>
                <w:sz w:val="22"/>
              </w:rPr>
            </w:pPr>
          </w:p>
        </w:tc>
        <w:tc>
          <w:tcPr>
            <w:tcW w:w="1965" w:type="dxa"/>
          </w:tcPr>
          <w:p w:rsidR="007D55EF" w:rsidRPr="00460E3D" w:rsidRDefault="007D55EF" w:rsidP="00D605A5">
            <w:pPr>
              <w:jc w:val="left"/>
              <w:rPr>
                <w:rFonts w:ascii="Times New Roman" w:hAnsi="Times New Roman"/>
                <w:b/>
                <w:sz w:val="22"/>
              </w:rPr>
            </w:pPr>
          </w:p>
        </w:tc>
        <w:tc>
          <w:tcPr>
            <w:tcW w:w="4753" w:type="dxa"/>
          </w:tcPr>
          <w:p w:rsidR="007D55EF" w:rsidRPr="00460E3D" w:rsidRDefault="007D55EF" w:rsidP="00D605A5">
            <w:pPr>
              <w:jc w:val="left"/>
              <w:rPr>
                <w:rFonts w:ascii="Times New Roman" w:hAnsi="Times New Roman"/>
                <w:b/>
                <w:sz w:val="22"/>
              </w:rPr>
            </w:pPr>
          </w:p>
        </w:tc>
      </w:tr>
    </w:tbl>
    <w:p w:rsidR="007D55EF" w:rsidRDefault="007D55EF" w:rsidP="007D55EF">
      <w:pPr>
        <w:jc w:val="left"/>
        <w:rPr>
          <w:rFonts w:eastAsia="Calibri"/>
          <w:b/>
          <w:sz w:val="22"/>
          <w:szCs w:val="22"/>
          <w:lang w:eastAsia="en-US"/>
        </w:rPr>
      </w:pPr>
    </w:p>
    <w:p w:rsidR="007D55EF" w:rsidRPr="00D04F47" w:rsidRDefault="007D55EF" w:rsidP="007D55EF">
      <w:pPr>
        <w:pStyle w:val="Paragraphedeliste"/>
        <w:numPr>
          <w:ilvl w:val="1"/>
          <w:numId w:val="79"/>
        </w:numPr>
        <w:spacing w:after="200" w:line="276" w:lineRule="auto"/>
        <w:jc w:val="left"/>
        <w:rPr>
          <w:rFonts w:eastAsia="Calibri"/>
          <w:b/>
          <w:szCs w:val="22"/>
          <w:lang w:eastAsia="en-US"/>
        </w:rPr>
      </w:pPr>
      <w:r w:rsidRPr="00D04F47">
        <w:rPr>
          <w:rFonts w:eastAsia="Calibri"/>
          <w:b/>
          <w:szCs w:val="22"/>
          <w:lang w:eastAsia="en-US"/>
        </w:rPr>
        <w:t>Présentation des risques émergents</w:t>
      </w:r>
    </w:p>
    <w:tbl>
      <w:tblPr>
        <w:tblStyle w:val="Grilledutableau2"/>
        <w:tblW w:w="0" w:type="auto"/>
        <w:tblLook w:val="04A0" w:firstRow="1" w:lastRow="0" w:firstColumn="1" w:lastColumn="0" w:noHBand="0" w:noVBand="1"/>
      </w:tblPr>
      <w:tblGrid>
        <w:gridCol w:w="9060"/>
      </w:tblGrid>
      <w:tr w:rsidR="007D55EF" w:rsidRPr="00C0062E" w:rsidTr="00D605A5">
        <w:tc>
          <w:tcPr>
            <w:tcW w:w="9210" w:type="dxa"/>
          </w:tcPr>
          <w:p w:rsidR="007D55EF" w:rsidRDefault="007D55EF" w:rsidP="00D605A5">
            <w:pPr>
              <w:jc w:val="left"/>
              <w:rPr>
                <w:i/>
                <w:sz w:val="22"/>
              </w:rPr>
            </w:pPr>
            <w:r w:rsidRPr="00C0062E">
              <w:rPr>
                <w:i/>
                <w:sz w:val="22"/>
              </w:rPr>
              <w:t>Décrire les nouveaux scénarios de fraude rencontrés</w:t>
            </w:r>
            <w:r>
              <w:rPr>
                <w:i/>
                <w:sz w:val="22"/>
              </w:rPr>
              <w:t xml:space="preserve"> au cours de l’exercice sous revue</w:t>
            </w:r>
            <w:r w:rsidRPr="00C0062E">
              <w:rPr>
                <w:i/>
                <w:sz w:val="22"/>
              </w:rPr>
              <w:t>.</w:t>
            </w:r>
          </w:p>
          <w:p w:rsidR="007D55EF" w:rsidRPr="00460E3D" w:rsidRDefault="007D55EF" w:rsidP="00D605A5">
            <w:pPr>
              <w:jc w:val="left"/>
              <w:rPr>
                <w:rFonts w:ascii="Times New Roman" w:hAnsi="Times New Roman"/>
                <w:i/>
                <w:sz w:val="22"/>
              </w:rPr>
            </w:pPr>
          </w:p>
          <w:p w:rsidR="007D55EF" w:rsidRDefault="007D55EF" w:rsidP="00D605A5">
            <w:pPr>
              <w:jc w:val="left"/>
              <w:rPr>
                <w:rFonts w:ascii="Times New Roman" w:hAnsi="Times New Roman"/>
                <w:i/>
                <w:sz w:val="22"/>
              </w:rPr>
            </w:pPr>
          </w:p>
          <w:p w:rsidR="007D55EF" w:rsidRDefault="007D55EF" w:rsidP="00D605A5">
            <w:pPr>
              <w:jc w:val="left"/>
              <w:rPr>
                <w:rFonts w:ascii="Times New Roman" w:hAnsi="Times New Roman"/>
                <w:i/>
                <w:sz w:val="22"/>
              </w:rPr>
            </w:pPr>
          </w:p>
          <w:p w:rsidR="007D55EF" w:rsidRDefault="007D55EF" w:rsidP="00D605A5">
            <w:pPr>
              <w:jc w:val="left"/>
              <w:rPr>
                <w:rFonts w:ascii="Times New Roman" w:hAnsi="Times New Roman"/>
                <w:i/>
                <w:sz w:val="22"/>
              </w:rPr>
            </w:pPr>
          </w:p>
          <w:p w:rsidR="007D55EF" w:rsidRDefault="007D55EF" w:rsidP="00D605A5">
            <w:pPr>
              <w:jc w:val="left"/>
              <w:rPr>
                <w:rFonts w:ascii="Times New Roman" w:hAnsi="Times New Roman"/>
                <w:i/>
                <w:sz w:val="22"/>
              </w:rPr>
            </w:pPr>
          </w:p>
          <w:p w:rsidR="007D55EF" w:rsidRDefault="007D55EF" w:rsidP="00D605A5">
            <w:pPr>
              <w:jc w:val="left"/>
              <w:rPr>
                <w:rFonts w:ascii="Times New Roman" w:hAnsi="Times New Roman"/>
                <w:i/>
                <w:sz w:val="22"/>
              </w:rPr>
            </w:pPr>
          </w:p>
          <w:p w:rsidR="007D55EF" w:rsidRDefault="007D55EF" w:rsidP="00D605A5">
            <w:pPr>
              <w:jc w:val="left"/>
              <w:rPr>
                <w:rFonts w:ascii="Times New Roman" w:hAnsi="Times New Roman"/>
                <w:i/>
                <w:sz w:val="22"/>
              </w:rPr>
            </w:pPr>
          </w:p>
          <w:p w:rsidR="007D55EF" w:rsidRDefault="007D55EF" w:rsidP="00D605A5">
            <w:pPr>
              <w:jc w:val="left"/>
              <w:rPr>
                <w:rFonts w:ascii="Times New Roman" w:hAnsi="Times New Roman"/>
                <w:i/>
                <w:sz w:val="22"/>
              </w:rPr>
            </w:pPr>
          </w:p>
          <w:p w:rsidR="007D55EF" w:rsidRPr="00460E3D" w:rsidRDefault="007D55EF" w:rsidP="00D605A5">
            <w:pPr>
              <w:jc w:val="left"/>
              <w:rPr>
                <w:rFonts w:ascii="Times New Roman" w:hAnsi="Times New Roman"/>
                <w:i/>
                <w:sz w:val="22"/>
              </w:rPr>
            </w:pPr>
          </w:p>
          <w:p w:rsidR="007D55EF" w:rsidRPr="00460E3D" w:rsidRDefault="007D55EF" w:rsidP="00D605A5">
            <w:pPr>
              <w:jc w:val="left"/>
              <w:rPr>
                <w:rFonts w:ascii="Times New Roman" w:hAnsi="Times New Roman"/>
                <w:i/>
                <w:sz w:val="22"/>
              </w:rPr>
            </w:pPr>
          </w:p>
        </w:tc>
      </w:tr>
    </w:tbl>
    <w:p w:rsidR="007D55EF" w:rsidRPr="00460E3D" w:rsidRDefault="007D55EF" w:rsidP="007D55EF">
      <w:pPr>
        <w:jc w:val="left"/>
        <w:rPr>
          <w:rFonts w:eastAsia="Calibri"/>
          <w:sz w:val="22"/>
          <w:szCs w:val="22"/>
          <w:lang w:eastAsia="en-US"/>
        </w:rPr>
      </w:pPr>
    </w:p>
    <w:p w:rsidR="00E11824" w:rsidRDefault="00E11824" w:rsidP="005A28EA">
      <w:pPr>
        <w:jc w:val="left"/>
        <w:rPr>
          <w:rFonts w:eastAsia="Calibri"/>
          <w:sz w:val="22"/>
          <w:szCs w:val="22"/>
          <w:lang w:eastAsia="en-US"/>
        </w:rPr>
        <w:sectPr w:rsidR="00E11824" w:rsidSect="00890013">
          <w:pgSz w:w="11906" w:h="16838"/>
          <w:pgMar w:top="1418" w:right="1418" w:bottom="1418" w:left="1418" w:header="709" w:footer="709" w:gutter="0"/>
          <w:cols w:space="708"/>
          <w:docGrid w:linePitch="360"/>
        </w:sectPr>
      </w:pPr>
    </w:p>
    <w:tbl>
      <w:tblPr>
        <w:tblStyle w:val="Grilledutableau2"/>
        <w:tblW w:w="14034" w:type="dxa"/>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34"/>
      </w:tblGrid>
      <w:tr w:rsidR="005A28EA" w:rsidRPr="00C0062E" w:rsidTr="00890013">
        <w:tc>
          <w:tcPr>
            <w:tcW w:w="14034" w:type="dxa"/>
            <w:shd w:val="clear" w:color="auto" w:fill="FBD4B4" w:themeFill="accent6" w:themeFillTint="66"/>
          </w:tcPr>
          <w:p w:rsidR="005A28EA" w:rsidRPr="00460E3D" w:rsidRDefault="005A28EA" w:rsidP="005A28EA">
            <w:pPr>
              <w:numPr>
                <w:ilvl w:val="0"/>
                <w:numId w:val="72"/>
              </w:numPr>
              <w:jc w:val="left"/>
              <w:rPr>
                <w:rFonts w:ascii="Times New Roman" w:hAnsi="Times New Roman"/>
                <w:b/>
                <w:sz w:val="22"/>
              </w:rPr>
            </w:pPr>
            <w:r w:rsidRPr="00460E3D">
              <w:rPr>
                <w:b/>
                <w:sz w:val="22"/>
              </w:rPr>
              <w:lastRenderedPageBreak/>
              <w:br w:type="page"/>
              <w:t>Monnaie électronique</w:t>
            </w:r>
          </w:p>
        </w:tc>
      </w:tr>
    </w:tbl>
    <w:p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rsidTr="00890013">
        <w:tc>
          <w:tcPr>
            <w:tcW w:w="14002" w:type="dxa"/>
            <w:shd w:val="clear" w:color="auto" w:fill="8DB3E2" w:themeFill="text2" w:themeFillTint="66"/>
          </w:tcPr>
          <w:p w:rsidR="005A28EA" w:rsidRPr="00460E3D" w:rsidRDefault="005A28EA" w:rsidP="005A28EA">
            <w:pPr>
              <w:ind w:left="360"/>
              <w:jc w:val="left"/>
              <w:rPr>
                <w:rFonts w:ascii="Times New Roman" w:hAnsi="Times New Roman"/>
                <w:b/>
                <w:sz w:val="22"/>
              </w:rPr>
            </w:pPr>
            <w:r w:rsidRPr="00C0062E">
              <w:rPr>
                <w:b/>
                <w:sz w:val="22"/>
              </w:rPr>
              <w:t>6.1. Présentation de l’offre</w:t>
            </w:r>
          </w:p>
        </w:tc>
      </w:tr>
    </w:tbl>
    <w:p w:rsidR="005A28EA" w:rsidRPr="00460E3D" w:rsidRDefault="005A28EA" w:rsidP="005A28EA">
      <w:pPr>
        <w:ind w:left="720"/>
        <w:jc w:val="left"/>
        <w:rPr>
          <w:rFonts w:eastAsia="Calibri"/>
          <w:sz w:val="22"/>
          <w:szCs w:val="22"/>
          <w:lang w:eastAsia="en-US"/>
        </w:rPr>
      </w:pPr>
    </w:p>
    <w:p w:rsidR="005A28EA" w:rsidRPr="00460E3D" w:rsidRDefault="005A28EA" w:rsidP="005A28EA">
      <w:pPr>
        <w:numPr>
          <w:ilvl w:val="1"/>
          <w:numId w:val="69"/>
        </w:numPr>
        <w:spacing w:after="200" w:line="276" w:lineRule="auto"/>
        <w:ind w:left="714" w:hanging="357"/>
        <w:jc w:val="left"/>
        <w:rPr>
          <w:rFonts w:eastAsia="Calibri"/>
          <w:b/>
          <w:sz w:val="22"/>
          <w:szCs w:val="22"/>
          <w:lang w:eastAsia="en-US"/>
        </w:rPr>
      </w:pPr>
      <w:r w:rsidRPr="00460E3D">
        <w:rPr>
          <w:rFonts w:eastAsia="Calibri"/>
          <w:b/>
          <w:sz w:val="22"/>
          <w:szCs w:val="22"/>
          <w:lang w:eastAsia="en-US"/>
        </w:rPr>
        <w:t>Description de l’offre de produits et de services</w:t>
      </w:r>
    </w:p>
    <w:p w:rsidR="005A28EA" w:rsidRPr="00460E3D" w:rsidRDefault="005A28EA" w:rsidP="005A28EA">
      <w:pPr>
        <w:ind w:left="714"/>
        <w:jc w:val="left"/>
        <w:rPr>
          <w:rFonts w:eastAsia="Calibri"/>
          <w:sz w:val="22"/>
          <w:szCs w:val="22"/>
          <w:lang w:eastAsia="en-US"/>
        </w:rPr>
      </w:pPr>
    </w:p>
    <w:p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79"/>
        <w:gridCol w:w="1507"/>
        <w:gridCol w:w="1731"/>
        <w:gridCol w:w="2941"/>
        <w:gridCol w:w="4048"/>
      </w:tblGrid>
      <w:tr w:rsidR="005A28EA" w:rsidRPr="00C0062E" w:rsidTr="005A28EA">
        <w:tc>
          <w:tcPr>
            <w:tcW w:w="1501"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rsidR="005A28EA" w:rsidRPr="00460E3D" w:rsidRDefault="005A28EA">
            <w:pPr>
              <w:jc w:val="center"/>
              <w:rPr>
                <w:rFonts w:ascii="Times New Roman" w:hAnsi="Times New Roman"/>
                <w:b/>
                <w:sz w:val="22"/>
              </w:rPr>
            </w:pPr>
            <w:r w:rsidRPr="00C0062E">
              <w:rPr>
                <w:b/>
                <w:sz w:val="22"/>
              </w:rPr>
              <w:t>Cana</w:t>
            </w:r>
            <w:r w:rsidR="006C2F17">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rsidTr="005A28EA">
        <w:tc>
          <w:tcPr>
            <w:tcW w:w="1501" w:type="dxa"/>
          </w:tcPr>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Borders>
              <w:bottom w:val="single" w:sz="4" w:space="0" w:color="auto"/>
            </w:tcBorders>
          </w:tcPr>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tc>
        <w:tc>
          <w:tcPr>
            <w:tcW w:w="2293" w:type="dxa"/>
            <w:tcBorders>
              <w:bottom w:val="single" w:sz="4" w:space="0" w:color="auto"/>
            </w:tcBorders>
          </w:tcPr>
          <w:p w:rsidR="005A28EA" w:rsidRPr="00460E3D" w:rsidRDefault="005A28EA" w:rsidP="005A28EA">
            <w:pPr>
              <w:jc w:val="left"/>
              <w:rPr>
                <w:rFonts w:ascii="Times New Roman" w:hAnsi="Times New Roman"/>
                <w:sz w:val="22"/>
              </w:rPr>
            </w:pPr>
          </w:p>
        </w:tc>
        <w:tc>
          <w:tcPr>
            <w:tcW w:w="1516" w:type="dxa"/>
            <w:tcBorders>
              <w:bottom w:val="single" w:sz="4" w:space="0" w:color="auto"/>
            </w:tcBorders>
          </w:tcPr>
          <w:p w:rsidR="005A28EA" w:rsidRPr="00460E3D" w:rsidRDefault="005A28EA" w:rsidP="005A28EA">
            <w:pPr>
              <w:jc w:val="left"/>
              <w:rPr>
                <w:rFonts w:ascii="Times New Roman" w:hAnsi="Times New Roman"/>
                <w:sz w:val="22"/>
              </w:rPr>
            </w:pPr>
          </w:p>
        </w:tc>
        <w:tc>
          <w:tcPr>
            <w:tcW w:w="1744" w:type="dxa"/>
            <w:tcBorders>
              <w:bottom w:val="single" w:sz="4" w:space="0" w:color="auto"/>
            </w:tcBorders>
          </w:tcPr>
          <w:p w:rsidR="005A28EA" w:rsidRPr="00460E3D" w:rsidRDefault="005A28EA" w:rsidP="005A28EA">
            <w:pPr>
              <w:jc w:val="left"/>
              <w:rPr>
                <w:rFonts w:ascii="Times New Roman" w:hAnsi="Times New Roman"/>
                <w:sz w:val="22"/>
              </w:rPr>
            </w:pPr>
          </w:p>
        </w:tc>
        <w:tc>
          <w:tcPr>
            <w:tcW w:w="2977" w:type="dxa"/>
            <w:tcBorders>
              <w:bottom w:val="single" w:sz="4" w:space="0" w:color="auto"/>
            </w:tcBorders>
          </w:tcPr>
          <w:p w:rsidR="005A28EA" w:rsidRPr="00460E3D" w:rsidRDefault="005A28EA" w:rsidP="005A28EA">
            <w:pPr>
              <w:jc w:val="left"/>
              <w:rPr>
                <w:rFonts w:ascii="Times New Roman" w:hAnsi="Times New Roman"/>
                <w:sz w:val="22"/>
              </w:rPr>
            </w:pPr>
          </w:p>
        </w:tc>
        <w:tc>
          <w:tcPr>
            <w:tcW w:w="4111" w:type="dxa"/>
            <w:tcBorders>
              <w:bottom w:val="single" w:sz="4" w:space="0" w:color="auto"/>
            </w:tcBorders>
          </w:tcPr>
          <w:p w:rsidR="005A28EA" w:rsidRPr="00460E3D" w:rsidRDefault="005A28EA" w:rsidP="005A28EA">
            <w:pPr>
              <w:jc w:val="left"/>
              <w:rPr>
                <w:rFonts w:ascii="Times New Roman" w:hAnsi="Times New Roman"/>
                <w:sz w:val="22"/>
              </w:rPr>
            </w:pPr>
          </w:p>
        </w:tc>
      </w:tr>
      <w:tr w:rsidR="005A28EA" w:rsidRPr="00C0062E" w:rsidTr="005A28EA">
        <w:tc>
          <w:tcPr>
            <w:tcW w:w="1501" w:type="dxa"/>
            <w:tcBorders>
              <w:bottom w:val="single" w:sz="4" w:space="0" w:color="auto"/>
            </w:tcBorders>
          </w:tcPr>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tc>
        <w:tc>
          <w:tcPr>
            <w:tcW w:w="2293" w:type="dxa"/>
            <w:tcBorders>
              <w:bottom w:val="single" w:sz="4" w:space="0" w:color="auto"/>
            </w:tcBorders>
          </w:tcPr>
          <w:p w:rsidR="005A28EA" w:rsidRPr="00460E3D" w:rsidRDefault="005A28EA" w:rsidP="005A28EA">
            <w:pPr>
              <w:jc w:val="left"/>
              <w:rPr>
                <w:rFonts w:ascii="Times New Roman" w:hAnsi="Times New Roman"/>
                <w:sz w:val="22"/>
              </w:rPr>
            </w:pPr>
          </w:p>
        </w:tc>
        <w:tc>
          <w:tcPr>
            <w:tcW w:w="1516" w:type="dxa"/>
            <w:tcBorders>
              <w:bottom w:val="single" w:sz="4" w:space="0" w:color="auto"/>
            </w:tcBorders>
          </w:tcPr>
          <w:p w:rsidR="005A28EA" w:rsidRPr="00460E3D" w:rsidRDefault="005A28EA" w:rsidP="005A28EA">
            <w:pPr>
              <w:jc w:val="left"/>
              <w:rPr>
                <w:rFonts w:ascii="Times New Roman" w:hAnsi="Times New Roman"/>
                <w:sz w:val="22"/>
              </w:rPr>
            </w:pPr>
          </w:p>
        </w:tc>
        <w:tc>
          <w:tcPr>
            <w:tcW w:w="1744" w:type="dxa"/>
            <w:tcBorders>
              <w:bottom w:val="single" w:sz="4" w:space="0" w:color="auto"/>
            </w:tcBorders>
          </w:tcPr>
          <w:p w:rsidR="005A28EA" w:rsidRPr="00460E3D" w:rsidRDefault="005A28EA" w:rsidP="005A28EA">
            <w:pPr>
              <w:jc w:val="left"/>
              <w:rPr>
                <w:rFonts w:ascii="Times New Roman" w:hAnsi="Times New Roman"/>
                <w:sz w:val="22"/>
              </w:rPr>
            </w:pPr>
          </w:p>
        </w:tc>
        <w:tc>
          <w:tcPr>
            <w:tcW w:w="2977" w:type="dxa"/>
            <w:tcBorders>
              <w:bottom w:val="single" w:sz="4" w:space="0" w:color="auto"/>
            </w:tcBorders>
          </w:tcPr>
          <w:p w:rsidR="005A28EA" w:rsidRPr="00460E3D" w:rsidRDefault="005A28EA" w:rsidP="005A28EA">
            <w:pPr>
              <w:jc w:val="left"/>
              <w:rPr>
                <w:rFonts w:ascii="Times New Roman" w:hAnsi="Times New Roman"/>
                <w:sz w:val="22"/>
              </w:rPr>
            </w:pPr>
          </w:p>
        </w:tc>
        <w:tc>
          <w:tcPr>
            <w:tcW w:w="4111" w:type="dxa"/>
            <w:tcBorders>
              <w:bottom w:val="single" w:sz="4" w:space="0" w:color="auto"/>
            </w:tcBorders>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r w:rsidR="005A28EA" w:rsidRPr="00C0062E" w:rsidTr="005A28EA">
        <w:tc>
          <w:tcPr>
            <w:tcW w:w="1501" w:type="dxa"/>
          </w:tcPr>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tc>
        <w:tc>
          <w:tcPr>
            <w:tcW w:w="2293" w:type="dxa"/>
          </w:tcPr>
          <w:p w:rsidR="005A28EA" w:rsidRPr="00460E3D" w:rsidRDefault="005A28EA" w:rsidP="005A28EA">
            <w:pPr>
              <w:jc w:val="left"/>
              <w:rPr>
                <w:rFonts w:ascii="Times New Roman" w:hAnsi="Times New Roman"/>
                <w:sz w:val="22"/>
              </w:rPr>
            </w:pPr>
          </w:p>
        </w:tc>
        <w:tc>
          <w:tcPr>
            <w:tcW w:w="1516" w:type="dxa"/>
          </w:tcPr>
          <w:p w:rsidR="005A28EA" w:rsidRPr="00460E3D" w:rsidRDefault="005A28EA" w:rsidP="005A28EA">
            <w:pPr>
              <w:jc w:val="left"/>
              <w:rPr>
                <w:rFonts w:ascii="Times New Roman" w:hAnsi="Times New Roman"/>
                <w:sz w:val="22"/>
              </w:rPr>
            </w:pPr>
          </w:p>
        </w:tc>
        <w:tc>
          <w:tcPr>
            <w:tcW w:w="1744" w:type="dxa"/>
          </w:tcPr>
          <w:p w:rsidR="005A28EA" w:rsidRPr="00460E3D" w:rsidRDefault="005A28EA" w:rsidP="005A28EA">
            <w:pPr>
              <w:jc w:val="left"/>
              <w:rPr>
                <w:rFonts w:ascii="Times New Roman" w:hAnsi="Times New Roman"/>
                <w:sz w:val="22"/>
              </w:rPr>
            </w:pPr>
          </w:p>
        </w:tc>
        <w:tc>
          <w:tcPr>
            <w:tcW w:w="2977"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tc>
      </w:tr>
    </w:tbl>
    <w:p w:rsidR="005A28EA" w:rsidRPr="00460E3D" w:rsidRDefault="005A28EA" w:rsidP="005A28EA">
      <w:pPr>
        <w:spacing w:after="200" w:line="276" w:lineRule="auto"/>
        <w:jc w:val="left"/>
        <w:rPr>
          <w:rFonts w:eastAsia="Calibri"/>
          <w:sz w:val="22"/>
          <w:szCs w:val="22"/>
          <w:lang w:eastAsia="en-US"/>
        </w:rPr>
        <w:sectPr w:rsidR="005A28EA" w:rsidRPr="00460E3D" w:rsidSect="00E11824">
          <w:pgSz w:w="16838" w:h="11906" w:orient="landscape"/>
          <w:pgMar w:top="1418" w:right="1418" w:bottom="1418" w:left="1418" w:header="709" w:footer="709" w:gutter="0"/>
          <w:cols w:space="708"/>
          <w:docGrid w:linePitch="360"/>
        </w:sectPr>
      </w:pPr>
      <w:r w:rsidRPr="00460E3D">
        <w:rPr>
          <w:rFonts w:eastAsia="Calibri"/>
          <w:b/>
          <w:sz w:val="22"/>
          <w:szCs w:val="22"/>
          <w:lang w:eastAsia="en-US"/>
        </w:rPr>
        <w:br w:type="page"/>
      </w:r>
    </w:p>
    <w:p w:rsidR="005A28EA" w:rsidRPr="00460E3D" w:rsidRDefault="005A28EA" w:rsidP="005A28EA">
      <w:pPr>
        <w:numPr>
          <w:ilvl w:val="1"/>
          <w:numId w:val="69"/>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p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rsidTr="005A28EA">
        <w:tc>
          <w:tcPr>
            <w:tcW w:w="9212" w:type="dxa"/>
          </w:tcPr>
          <w:p w:rsidR="005A28EA" w:rsidRPr="00460E3D" w:rsidRDefault="005A28EA" w:rsidP="005A28EA">
            <w:pPr>
              <w:jc w:val="left"/>
              <w:rPr>
                <w:rFonts w:ascii="Times New Roman" w:hAnsi="Times New Roman"/>
                <w:sz w:val="22"/>
              </w:rPr>
            </w:pPr>
            <w:r w:rsidRPr="00460E3D">
              <w:rPr>
                <w:i/>
                <w:sz w:val="22"/>
              </w:rPr>
              <w:t xml:space="preserve">Décrire les projets </w:t>
            </w:r>
            <w:r w:rsidR="00C30A7D">
              <w:rPr>
                <w:i/>
                <w:sz w:val="22"/>
              </w:rPr>
              <w:t xml:space="preserve">de commercialisation de nouveaux produits/services ou d’évolution de l’offre existante d’ordre technologique, fonctionnel et sécuritaire </w:t>
            </w:r>
            <w:r w:rsidR="00C30A7D" w:rsidRPr="00460E3D">
              <w:rPr>
                <w:i/>
                <w:sz w:val="22"/>
              </w:rPr>
              <w:t>prévus à court et moyen terme</w:t>
            </w:r>
            <w:r w:rsidR="00C30A7D">
              <w:rPr>
                <w:i/>
                <w:sz w:val="22"/>
              </w:rPr>
              <w:t>.</w:t>
            </w: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tc>
      </w:tr>
    </w:tbl>
    <w:p w:rsidR="005A28EA" w:rsidRPr="00460E3D" w:rsidRDefault="005A28EA" w:rsidP="005A28EA">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rsidTr="005A28EA">
        <w:tc>
          <w:tcPr>
            <w:tcW w:w="9212" w:type="dxa"/>
            <w:shd w:val="clear" w:color="auto" w:fill="8DB3E2" w:themeFill="text2" w:themeFillTint="66"/>
          </w:tcPr>
          <w:p w:rsidR="005A28EA" w:rsidRPr="00460E3D" w:rsidRDefault="005A28EA" w:rsidP="005A28EA">
            <w:pPr>
              <w:ind w:left="360"/>
              <w:jc w:val="left"/>
              <w:rPr>
                <w:rFonts w:ascii="Times New Roman" w:hAnsi="Times New Roman"/>
                <w:b/>
                <w:sz w:val="22"/>
              </w:rPr>
            </w:pPr>
            <w:r w:rsidRPr="00C0062E">
              <w:rPr>
                <w:b/>
                <w:sz w:val="22"/>
              </w:rPr>
              <w:t>6.2. Organisation opérationnelle de l’activité monnaie électronique</w:t>
            </w:r>
          </w:p>
        </w:tc>
      </w:tr>
    </w:tbl>
    <w:p w:rsidR="005A28EA" w:rsidRPr="00460E3D" w:rsidRDefault="005A28EA" w:rsidP="005A28EA">
      <w:pPr>
        <w:jc w:val="left"/>
        <w:rPr>
          <w:rFonts w:eastAsia="Calibri"/>
          <w:szCs w:val="24"/>
          <w:lang w:eastAsia="en-US"/>
        </w:rPr>
      </w:pPr>
    </w:p>
    <w:p w:rsidR="005A28EA"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C30A7D">
        <w:rPr>
          <w:rFonts w:eastAsia="Calibri"/>
          <w:i/>
          <w:sz w:val="22"/>
          <w:szCs w:val="22"/>
          <w:lang w:eastAsia="en-US"/>
        </w:rPr>
        <w:t xml:space="preserve">du moyen/service de paiement </w:t>
      </w:r>
      <w:r w:rsidRPr="00460E3D">
        <w:rPr>
          <w:rFonts w:eastAsia="Calibri"/>
          <w:i/>
          <w:sz w:val="22"/>
          <w:szCs w:val="22"/>
          <w:lang w:eastAsia="en-US"/>
        </w:rPr>
        <w:t xml:space="preserve">en précisant en particulier les traitements externalisés (y compris auprès d’entités du groupe) et ceux mutualisés avec d’autres établissements. </w:t>
      </w:r>
      <w:r w:rsidR="00C30A7D">
        <w:rPr>
          <w:rFonts w:eastAsia="Calibri"/>
          <w:i/>
          <w:sz w:val="22"/>
          <w:szCs w:val="22"/>
          <w:lang w:eastAsia="en-US"/>
        </w:rPr>
        <w:t>Un schéma organisationnel peut-être inséré si nécessaire.</w:t>
      </w:r>
    </w:p>
    <w:p w:rsidR="00C30A7D" w:rsidRPr="00460E3D" w:rsidRDefault="00C30A7D" w:rsidP="005A28EA">
      <w:pPr>
        <w:rPr>
          <w:rFonts w:eastAsia="Calibri"/>
          <w:i/>
          <w:sz w:val="22"/>
          <w:szCs w:val="22"/>
          <w:lang w:eastAsia="en-US"/>
        </w:rPr>
      </w:pPr>
    </w:p>
    <w:p w:rsidR="005A28EA" w:rsidRPr="00460E3D" w:rsidRDefault="005A28EA" w:rsidP="005A28EA">
      <w:pPr>
        <w:jc w:val="left"/>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5A28EA" w:rsidRPr="00C0062E" w:rsidTr="005A28EA">
        <w:tc>
          <w:tcPr>
            <w:tcW w:w="3369"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rsidR="005A28EA" w:rsidRPr="00460E3D" w:rsidRDefault="005A28EA" w:rsidP="005A28EA">
            <w:pPr>
              <w:jc w:val="center"/>
              <w:rPr>
                <w:rFonts w:ascii="Times New Roman" w:hAnsi="Times New Roman"/>
                <w:b/>
                <w:sz w:val="22"/>
              </w:rPr>
            </w:pPr>
            <w:r w:rsidRPr="00C0062E">
              <w:rPr>
                <w:b/>
                <w:sz w:val="22"/>
              </w:rPr>
              <w:t>Rôles</w:t>
            </w: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Borders>
              <w:bottom w:val="single" w:sz="4" w:space="0" w:color="auto"/>
            </w:tcBorders>
          </w:tcPr>
          <w:p w:rsidR="005A28EA" w:rsidRPr="00460E3D" w:rsidRDefault="005A28EA" w:rsidP="005A28EA">
            <w:pPr>
              <w:jc w:val="left"/>
              <w:rPr>
                <w:rFonts w:ascii="Times New Roman" w:hAnsi="Times New Roman"/>
                <w:sz w:val="22"/>
              </w:rPr>
            </w:pPr>
          </w:p>
        </w:tc>
        <w:tc>
          <w:tcPr>
            <w:tcW w:w="5811" w:type="dxa"/>
            <w:tcBorders>
              <w:bottom w:val="single" w:sz="4" w:space="0" w:color="auto"/>
            </w:tcBorders>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r w:rsidR="005A28EA" w:rsidRPr="00C0062E" w:rsidTr="005A28EA">
        <w:tc>
          <w:tcPr>
            <w:tcW w:w="3369" w:type="dxa"/>
          </w:tcPr>
          <w:p w:rsidR="005A28EA" w:rsidRPr="00460E3D" w:rsidRDefault="005A28EA" w:rsidP="005A28EA">
            <w:pPr>
              <w:jc w:val="left"/>
              <w:rPr>
                <w:rFonts w:ascii="Times New Roman" w:hAnsi="Times New Roman"/>
                <w:sz w:val="22"/>
              </w:rPr>
            </w:pPr>
          </w:p>
        </w:tc>
        <w:tc>
          <w:tcPr>
            <w:tcW w:w="5811" w:type="dxa"/>
          </w:tcPr>
          <w:p w:rsidR="005A28EA" w:rsidRPr="00460E3D" w:rsidRDefault="005A28EA" w:rsidP="005A28EA">
            <w:pPr>
              <w:jc w:val="left"/>
              <w:rPr>
                <w:rFonts w:ascii="Times New Roman" w:hAnsi="Times New Roman"/>
                <w:sz w:val="22"/>
              </w:rPr>
            </w:pPr>
          </w:p>
        </w:tc>
      </w:tr>
    </w:tbl>
    <w:p w:rsidR="005A28EA" w:rsidRPr="00460E3D" w:rsidRDefault="005A28EA" w:rsidP="005A28EA">
      <w:pPr>
        <w:jc w:val="left"/>
        <w:rPr>
          <w:rFonts w:eastAsia="Calibri"/>
          <w:sz w:val="22"/>
          <w:szCs w:val="22"/>
          <w:lang w:eastAsia="en-US"/>
        </w:rPr>
      </w:pPr>
    </w:p>
    <w:p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rsidTr="005A28EA">
        <w:tc>
          <w:tcPr>
            <w:tcW w:w="9212" w:type="dxa"/>
          </w:tcPr>
          <w:p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rsidR="005A28EA" w:rsidRPr="00460E3D" w:rsidRDefault="005A28EA" w:rsidP="005A28EA">
            <w:pPr>
              <w:rPr>
                <w:rFonts w:ascii="Times New Roman" w:hAnsi="Times New Roman"/>
                <w:i/>
                <w:sz w:val="22"/>
              </w:rPr>
            </w:pPr>
          </w:p>
          <w:p w:rsidR="005A28EA" w:rsidRPr="00460E3D" w:rsidRDefault="005A28EA" w:rsidP="005A28EA">
            <w:pPr>
              <w:rPr>
                <w:rFonts w:ascii="Times New Roman" w:hAnsi="Times New Roman"/>
                <w:i/>
                <w:sz w:val="22"/>
              </w:rPr>
            </w:pPr>
          </w:p>
          <w:p w:rsidR="005A28EA" w:rsidRPr="00460E3D" w:rsidRDefault="005A28EA" w:rsidP="005A28EA">
            <w:pPr>
              <w:rPr>
                <w:rFonts w:ascii="Times New Roman" w:hAnsi="Times New Roman"/>
                <w:i/>
                <w:sz w:val="22"/>
              </w:rPr>
            </w:pPr>
          </w:p>
          <w:p w:rsidR="005A28EA" w:rsidRPr="00460E3D" w:rsidRDefault="005A28EA" w:rsidP="005A28EA">
            <w:pPr>
              <w:rPr>
                <w:rFonts w:ascii="Times New Roman" w:hAnsi="Times New Roman"/>
                <w:sz w:val="22"/>
              </w:rPr>
            </w:pPr>
          </w:p>
          <w:p w:rsidR="005A28EA" w:rsidRPr="00460E3D" w:rsidRDefault="005A28EA" w:rsidP="005A28EA">
            <w:pPr>
              <w:rPr>
                <w:rFonts w:ascii="Times New Roman" w:hAnsi="Times New Roman"/>
                <w:sz w:val="22"/>
              </w:rPr>
            </w:pPr>
          </w:p>
        </w:tc>
      </w:tr>
    </w:tbl>
    <w:p w:rsidR="005A28EA" w:rsidRPr="00460E3D" w:rsidRDefault="005A28EA" w:rsidP="005A28EA">
      <w:pPr>
        <w:jc w:val="left"/>
        <w:rPr>
          <w:rFonts w:eastAsia="Calibri"/>
          <w:szCs w:val="24"/>
          <w:lang w:eastAsia="en-US"/>
        </w:rPr>
      </w:pPr>
    </w:p>
    <w:p w:rsidR="005A28EA" w:rsidRPr="00460E3D" w:rsidRDefault="005A28EA" w:rsidP="005A28EA">
      <w:pPr>
        <w:ind w:left="360"/>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rsidTr="005A28EA">
        <w:tc>
          <w:tcPr>
            <w:tcW w:w="9212" w:type="dxa"/>
            <w:shd w:val="clear" w:color="auto" w:fill="8DB3E2" w:themeFill="text2" w:themeFillTint="66"/>
          </w:tcPr>
          <w:p w:rsidR="005A28EA" w:rsidRPr="00460E3D" w:rsidRDefault="005A28EA" w:rsidP="005A28EA">
            <w:pPr>
              <w:ind w:left="360"/>
              <w:jc w:val="left"/>
              <w:rPr>
                <w:rFonts w:ascii="Times New Roman" w:hAnsi="Times New Roman"/>
                <w:b/>
                <w:sz w:val="22"/>
              </w:rPr>
            </w:pPr>
            <w:r w:rsidRPr="00C0062E">
              <w:rPr>
                <w:b/>
                <w:sz w:val="22"/>
              </w:rPr>
              <w:t xml:space="preserve">6.3. Description des principaux incidents de fraude </w:t>
            </w:r>
          </w:p>
        </w:tc>
      </w:tr>
    </w:tbl>
    <w:p w:rsidR="005A28EA" w:rsidRPr="00460E3D" w:rsidRDefault="005A28EA" w:rsidP="005A28EA">
      <w:pPr>
        <w:jc w:val="left"/>
        <w:rPr>
          <w:rFonts w:eastAsia="Calibri"/>
          <w:szCs w:val="24"/>
          <w:lang w:eastAsia="en-US"/>
        </w:rPr>
      </w:pPr>
    </w:p>
    <w:p w:rsidR="005A28EA" w:rsidRDefault="005A28EA" w:rsidP="005A28EA">
      <w:pPr>
        <w:jc w:val="left"/>
        <w:rPr>
          <w:rFonts w:eastAsia="Calibri"/>
          <w:sz w:val="22"/>
          <w:szCs w:val="22"/>
          <w:lang w:eastAsia="en-US"/>
        </w:rPr>
      </w:pPr>
      <w:r w:rsidRPr="00460E3D">
        <w:rPr>
          <w:rFonts w:eastAsia="Calibri"/>
          <w:sz w:val="22"/>
          <w:szCs w:val="22"/>
          <w:lang w:eastAsia="en-US"/>
        </w:rPr>
        <w:t>Principaux cas de fraude rencontrés</w:t>
      </w:r>
      <w:r w:rsidR="0000299A">
        <w:rPr>
          <w:rFonts w:eastAsia="Calibri"/>
          <w:sz w:val="22"/>
          <w:szCs w:val="22"/>
          <w:lang w:eastAsia="en-US"/>
        </w:rPr>
        <w:t> :</w:t>
      </w:r>
    </w:p>
    <w:p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4"/>
        <w:gridCol w:w="4754"/>
      </w:tblGrid>
      <w:tr w:rsidR="005A28EA" w:rsidRPr="00C0062E" w:rsidTr="005A28EA">
        <w:tc>
          <w:tcPr>
            <w:tcW w:w="2376" w:type="dxa"/>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 xml:space="preserve">Description des principaux cas rencontrés </w:t>
            </w:r>
          </w:p>
          <w:p w:rsidR="005A28EA" w:rsidRPr="00460E3D" w:rsidRDefault="005A28EA" w:rsidP="005A28EA">
            <w:pPr>
              <w:jc w:val="center"/>
              <w:rPr>
                <w:rFonts w:ascii="Times New Roman" w:hAnsi="Times New Roman"/>
                <w:b/>
                <w:sz w:val="22"/>
              </w:rPr>
            </w:pPr>
            <w:r w:rsidRPr="00C0062E">
              <w:rPr>
                <w:b/>
                <w:sz w:val="22"/>
              </w:rPr>
              <w:t>(eu égard à leur montant et/ou fréquence)</w:t>
            </w: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b/>
                <w:sz w:val="22"/>
              </w:rPr>
            </w:pPr>
          </w:p>
        </w:tc>
        <w:tc>
          <w:tcPr>
            <w:tcW w:w="1985" w:type="dxa"/>
          </w:tcPr>
          <w:p w:rsidR="005A28EA" w:rsidRPr="00460E3D" w:rsidRDefault="005A28EA" w:rsidP="005A28EA">
            <w:pPr>
              <w:jc w:val="left"/>
              <w:rPr>
                <w:rFonts w:ascii="Times New Roman" w:hAnsi="Times New Roman"/>
                <w:b/>
                <w:sz w:val="22"/>
              </w:rPr>
            </w:pPr>
          </w:p>
        </w:tc>
        <w:tc>
          <w:tcPr>
            <w:tcW w:w="4851" w:type="dxa"/>
          </w:tcPr>
          <w:p w:rsidR="005A28EA" w:rsidRPr="00460E3D" w:rsidRDefault="005A28EA" w:rsidP="005A28EA">
            <w:pPr>
              <w:jc w:val="left"/>
              <w:rPr>
                <w:rFonts w:ascii="Times New Roman" w:hAnsi="Times New Roman"/>
                <w:b/>
                <w:sz w:val="22"/>
              </w:rPr>
            </w:pPr>
          </w:p>
        </w:tc>
      </w:tr>
    </w:tbl>
    <w:p w:rsidR="005A28EA" w:rsidRPr="00460E3D" w:rsidRDefault="005A28EA" w:rsidP="005A28EA">
      <w:pPr>
        <w:jc w:val="left"/>
        <w:rPr>
          <w:rFonts w:eastAsia="Calibri"/>
          <w:b/>
          <w:sz w:val="22"/>
          <w:szCs w:val="22"/>
          <w:lang w:eastAsia="en-US"/>
        </w:rPr>
      </w:pPr>
    </w:p>
    <w:p w:rsidR="000E29C7" w:rsidRDefault="000E29C7">
      <w:pPr>
        <w:jc w:val="left"/>
        <w:rPr>
          <w:rFonts w:eastAsia="Calibri"/>
          <w:b/>
          <w:szCs w:val="24"/>
          <w:lang w:eastAsia="en-US"/>
        </w:rPr>
      </w:pPr>
      <w:r>
        <w:rPr>
          <w:rFonts w:eastAsia="Calibri"/>
          <w:b/>
          <w:szCs w:val="24"/>
          <w:lang w:eastAsia="en-US"/>
        </w:rPr>
        <w:br w:type="page"/>
      </w:r>
    </w:p>
    <w:p w:rsidR="000E29C7" w:rsidRDefault="000E29C7" w:rsidP="001601B6">
      <w:pPr>
        <w:numPr>
          <w:ilvl w:val="0"/>
          <w:numId w:val="72"/>
        </w:numPr>
        <w:jc w:val="left"/>
        <w:rPr>
          <w:b/>
          <w:sz w:val="22"/>
        </w:rPr>
        <w:sectPr w:rsidR="000E29C7" w:rsidSect="005A28EA">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0E29C7" w:rsidRPr="00C0062E" w:rsidTr="001601B6">
        <w:tc>
          <w:tcPr>
            <w:tcW w:w="14142" w:type="dxa"/>
            <w:shd w:val="clear" w:color="auto" w:fill="FBD4B4" w:themeFill="accent6" w:themeFillTint="66"/>
          </w:tcPr>
          <w:p w:rsidR="000E29C7" w:rsidRPr="00460E3D" w:rsidRDefault="000E29C7" w:rsidP="001C5B1C">
            <w:pPr>
              <w:numPr>
                <w:ilvl w:val="0"/>
                <w:numId w:val="72"/>
              </w:numPr>
              <w:jc w:val="left"/>
              <w:rPr>
                <w:rFonts w:ascii="Times New Roman" w:hAnsi="Times New Roman"/>
                <w:b/>
                <w:sz w:val="22"/>
              </w:rPr>
            </w:pPr>
            <w:r w:rsidRPr="00460E3D">
              <w:rPr>
                <w:b/>
                <w:sz w:val="22"/>
              </w:rPr>
              <w:lastRenderedPageBreak/>
              <w:br w:type="page"/>
            </w:r>
            <w:r>
              <w:rPr>
                <w:b/>
                <w:sz w:val="22"/>
              </w:rPr>
              <w:t>Service</w:t>
            </w:r>
            <w:r w:rsidR="004725B5">
              <w:rPr>
                <w:b/>
                <w:sz w:val="22"/>
              </w:rPr>
              <w:t>s</w:t>
            </w:r>
            <w:r>
              <w:rPr>
                <w:b/>
                <w:sz w:val="22"/>
              </w:rPr>
              <w:t xml:space="preserve"> d’information sur les comptes</w:t>
            </w:r>
            <w:r w:rsidR="004725B5">
              <w:rPr>
                <w:b/>
                <w:sz w:val="22"/>
              </w:rPr>
              <w:t xml:space="preserve"> </w:t>
            </w:r>
            <w:r w:rsidR="001C5B1C">
              <w:rPr>
                <w:b/>
                <w:sz w:val="22"/>
              </w:rPr>
              <w:t>et d’initiation de paiement</w:t>
            </w:r>
          </w:p>
        </w:tc>
      </w:tr>
    </w:tbl>
    <w:p w:rsidR="000E29C7" w:rsidRPr="00460E3D" w:rsidRDefault="000E29C7" w:rsidP="000E29C7">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0E29C7" w:rsidRPr="00C0062E" w:rsidTr="001601B6">
        <w:tc>
          <w:tcPr>
            <w:tcW w:w="14142" w:type="dxa"/>
            <w:shd w:val="clear" w:color="auto" w:fill="8DB3E2" w:themeFill="text2" w:themeFillTint="66"/>
          </w:tcPr>
          <w:p w:rsidR="000E29C7" w:rsidRPr="00460E3D" w:rsidRDefault="00771441" w:rsidP="001C5B1C">
            <w:pPr>
              <w:ind w:left="360"/>
              <w:jc w:val="left"/>
              <w:rPr>
                <w:rFonts w:ascii="Times New Roman" w:hAnsi="Times New Roman"/>
                <w:b/>
                <w:sz w:val="22"/>
              </w:rPr>
            </w:pPr>
            <w:r>
              <w:rPr>
                <w:b/>
                <w:sz w:val="22"/>
              </w:rPr>
              <w:t>7</w:t>
            </w:r>
            <w:r w:rsidR="000E29C7" w:rsidRPr="00C0062E">
              <w:rPr>
                <w:b/>
                <w:sz w:val="22"/>
              </w:rPr>
              <w:t xml:space="preserve">.1. Présentation </w:t>
            </w:r>
            <w:r w:rsidR="001C5B1C">
              <w:rPr>
                <w:b/>
                <w:sz w:val="22"/>
              </w:rPr>
              <w:t>de l’offre</w:t>
            </w:r>
          </w:p>
        </w:tc>
      </w:tr>
    </w:tbl>
    <w:p w:rsidR="000E29C7" w:rsidRPr="00460E3D" w:rsidRDefault="000E29C7" w:rsidP="000E29C7">
      <w:pPr>
        <w:ind w:left="720"/>
        <w:jc w:val="left"/>
        <w:rPr>
          <w:rFonts w:eastAsia="Calibri"/>
          <w:sz w:val="22"/>
          <w:szCs w:val="22"/>
          <w:lang w:eastAsia="en-US"/>
        </w:rPr>
      </w:pPr>
    </w:p>
    <w:p w:rsidR="000E29C7" w:rsidRPr="00DD34F3" w:rsidRDefault="000E29C7" w:rsidP="00DD34F3">
      <w:pPr>
        <w:pStyle w:val="Paragraphedeliste"/>
        <w:numPr>
          <w:ilvl w:val="0"/>
          <w:numId w:val="143"/>
        </w:numPr>
        <w:spacing w:after="200" w:line="276" w:lineRule="auto"/>
        <w:jc w:val="left"/>
        <w:rPr>
          <w:rFonts w:eastAsia="Calibri"/>
          <w:b/>
          <w:szCs w:val="22"/>
          <w:lang w:eastAsia="en-US"/>
        </w:rPr>
      </w:pPr>
      <w:r w:rsidRPr="00DD34F3">
        <w:rPr>
          <w:rFonts w:eastAsia="Calibri"/>
          <w:b/>
          <w:szCs w:val="22"/>
          <w:lang w:eastAsia="en-US"/>
        </w:rPr>
        <w:t>Description de l’offre de service</w:t>
      </w:r>
    </w:p>
    <w:p w:rsidR="000E29C7" w:rsidRPr="00460E3D" w:rsidRDefault="000E29C7" w:rsidP="000E29C7">
      <w:pPr>
        <w:ind w:left="714"/>
        <w:jc w:val="left"/>
        <w:rPr>
          <w:rFonts w:eastAsia="Calibri"/>
          <w:sz w:val="22"/>
          <w:szCs w:val="22"/>
          <w:lang w:eastAsia="en-US"/>
        </w:rPr>
      </w:pPr>
    </w:p>
    <w:p w:rsidR="000E29C7" w:rsidRPr="00460E3D" w:rsidRDefault="000E29C7" w:rsidP="000E29C7">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67"/>
        <w:gridCol w:w="1508"/>
        <w:gridCol w:w="1732"/>
        <w:gridCol w:w="2945"/>
        <w:gridCol w:w="4054"/>
      </w:tblGrid>
      <w:tr w:rsidR="003D4335" w:rsidRPr="00C0062E" w:rsidTr="001601B6">
        <w:tc>
          <w:tcPr>
            <w:tcW w:w="1501" w:type="dxa"/>
            <w:tcBorders>
              <w:bottom w:val="single" w:sz="4" w:space="0" w:color="auto"/>
            </w:tcBorders>
            <w:shd w:val="clear" w:color="auto" w:fill="D6E3BC" w:themeFill="accent3" w:themeFillTint="66"/>
          </w:tcPr>
          <w:p w:rsidR="000E29C7" w:rsidRPr="00460E3D" w:rsidRDefault="000E29C7">
            <w:pPr>
              <w:jc w:val="center"/>
              <w:rPr>
                <w:rFonts w:ascii="Times New Roman" w:hAnsi="Times New Roman"/>
                <w:b/>
                <w:sz w:val="22"/>
              </w:rPr>
            </w:pPr>
            <w:r>
              <w:rPr>
                <w:b/>
                <w:sz w:val="22"/>
              </w:rPr>
              <w:t>S</w:t>
            </w:r>
            <w:r w:rsidRPr="00C0062E">
              <w:rPr>
                <w:b/>
                <w:sz w:val="22"/>
              </w:rPr>
              <w:t>ervice</w:t>
            </w:r>
          </w:p>
        </w:tc>
        <w:tc>
          <w:tcPr>
            <w:tcW w:w="2293" w:type="dxa"/>
            <w:tcBorders>
              <w:bottom w:val="single" w:sz="4" w:space="0" w:color="auto"/>
            </w:tcBorders>
            <w:shd w:val="clear" w:color="auto" w:fill="D6E3BC" w:themeFill="accent3" w:themeFillTint="66"/>
          </w:tcPr>
          <w:p w:rsidR="000E29C7" w:rsidRPr="00460E3D" w:rsidRDefault="004725B5" w:rsidP="006614FF">
            <w:pPr>
              <w:jc w:val="center"/>
              <w:rPr>
                <w:rFonts w:ascii="Times New Roman" w:hAnsi="Times New Roman"/>
                <w:b/>
                <w:sz w:val="22"/>
              </w:rPr>
            </w:pPr>
            <w:r>
              <w:rPr>
                <w:b/>
                <w:sz w:val="22"/>
              </w:rPr>
              <w:t>Périmètre d’activité</w:t>
            </w:r>
          </w:p>
        </w:tc>
        <w:tc>
          <w:tcPr>
            <w:tcW w:w="1516" w:type="dxa"/>
            <w:tcBorders>
              <w:bottom w:val="single" w:sz="4" w:space="0" w:color="auto"/>
            </w:tcBorders>
            <w:shd w:val="clear" w:color="auto" w:fill="D6E3BC" w:themeFill="accent3" w:themeFillTint="66"/>
          </w:tcPr>
          <w:p w:rsidR="000E29C7" w:rsidRPr="00460E3D" w:rsidRDefault="000E29C7" w:rsidP="001601B6">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rsidR="000E29C7" w:rsidRPr="00460E3D" w:rsidRDefault="000E29C7" w:rsidP="001601B6">
            <w:pPr>
              <w:jc w:val="center"/>
              <w:rPr>
                <w:rFonts w:ascii="Times New Roman" w:hAnsi="Times New Roman"/>
                <w:b/>
                <w:sz w:val="22"/>
              </w:rPr>
            </w:pPr>
            <w:r w:rsidRPr="00C0062E">
              <w:rPr>
                <w:b/>
                <w:sz w:val="22"/>
              </w:rPr>
              <w:t>Cana</w:t>
            </w:r>
            <w:r>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rsidR="000E29C7" w:rsidRPr="00460E3D" w:rsidRDefault="000E29C7" w:rsidP="001601B6">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rsidR="000E29C7" w:rsidRPr="00460E3D" w:rsidRDefault="000E29C7" w:rsidP="001601B6">
            <w:pPr>
              <w:jc w:val="center"/>
              <w:rPr>
                <w:rFonts w:ascii="Times New Roman" w:hAnsi="Times New Roman"/>
                <w:b/>
                <w:sz w:val="22"/>
              </w:rPr>
            </w:pPr>
            <w:r w:rsidRPr="00C0062E">
              <w:rPr>
                <w:b/>
                <w:sz w:val="22"/>
              </w:rPr>
              <w:t>Commentaires sur les évolutions d’ordre technologique, fonctionnel et sécuritaire</w:t>
            </w:r>
          </w:p>
        </w:tc>
      </w:tr>
      <w:tr w:rsidR="003D4335" w:rsidRPr="00C0062E" w:rsidTr="001601B6">
        <w:tc>
          <w:tcPr>
            <w:tcW w:w="1501" w:type="dxa"/>
          </w:tcPr>
          <w:p w:rsidR="000E29C7" w:rsidRPr="00460E3D" w:rsidRDefault="000E29C7" w:rsidP="001601B6">
            <w:pPr>
              <w:jc w:val="left"/>
              <w:rPr>
                <w:rFonts w:ascii="Times New Roman" w:hAnsi="Times New Roman"/>
                <w:sz w:val="22"/>
              </w:rPr>
            </w:pPr>
          </w:p>
          <w:p w:rsidR="000E29C7" w:rsidRPr="00460E3D" w:rsidRDefault="000E29C7" w:rsidP="001601B6">
            <w:pPr>
              <w:jc w:val="left"/>
              <w:rPr>
                <w:rFonts w:ascii="Times New Roman" w:hAnsi="Times New Roman"/>
                <w:sz w:val="22"/>
              </w:rPr>
            </w:pPr>
          </w:p>
        </w:tc>
        <w:tc>
          <w:tcPr>
            <w:tcW w:w="2293" w:type="dxa"/>
          </w:tcPr>
          <w:p w:rsidR="000E29C7" w:rsidRPr="00460E3D" w:rsidRDefault="000E29C7" w:rsidP="001601B6">
            <w:pPr>
              <w:jc w:val="left"/>
              <w:rPr>
                <w:rFonts w:ascii="Times New Roman" w:hAnsi="Times New Roman"/>
                <w:sz w:val="22"/>
              </w:rPr>
            </w:pPr>
          </w:p>
        </w:tc>
        <w:tc>
          <w:tcPr>
            <w:tcW w:w="1516" w:type="dxa"/>
          </w:tcPr>
          <w:p w:rsidR="000E29C7" w:rsidRPr="00460E3D" w:rsidRDefault="000E29C7" w:rsidP="001601B6">
            <w:pPr>
              <w:jc w:val="left"/>
              <w:rPr>
                <w:rFonts w:ascii="Times New Roman" w:hAnsi="Times New Roman"/>
                <w:sz w:val="22"/>
              </w:rPr>
            </w:pPr>
          </w:p>
        </w:tc>
        <w:tc>
          <w:tcPr>
            <w:tcW w:w="1744" w:type="dxa"/>
          </w:tcPr>
          <w:p w:rsidR="000E29C7" w:rsidRPr="00460E3D" w:rsidRDefault="000E29C7" w:rsidP="001601B6">
            <w:pPr>
              <w:jc w:val="left"/>
              <w:rPr>
                <w:rFonts w:ascii="Times New Roman" w:hAnsi="Times New Roman"/>
                <w:sz w:val="22"/>
              </w:rPr>
            </w:pPr>
          </w:p>
        </w:tc>
        <w:tc>
          <w:tcPr>
            <w:tcW w:w="2977" w:type="dxa"/>
          </w:tcPr>
          <w:p w:rsidR="000E29C7" w:rsidRPr="00460E3D" w:rsidRDefault="000E29C7" w:rsidP="001601B6">
            <w:pPr>
              <w:jc w:val="left"/>
              <w:rPr>
                <w:rFonts w:ascii="Times New Roman" w:hAnsi="Times New Roman"/>
                <w:sz w:val="22"/>
              </w:rPr>
            </w:pPr>
          </w:p>
        </w:tc>
        <w:tc>
          <w:tcPr>
            <w:tcW w:w="4111" w:type="dxa"/>
          </w:tcPr>
          <w:p w:rsidR="000E29C7" w:rsidRPr="00460E3D" w:rsidRDefault="000E29C7" w:rsidP="001601B6">
            <w:pPr>
              <w:jc w:val="left"/>
              <w:rPr>
                <w:rFonts w:ascii="Times New Roman" w:hAnsi="Times New Roman"/>
                <w:sz w:val="22"/>
              </w:rPr>
            </w:pPr>
          </w:p>
        </w:tc>
      </w:tr>
      <w:tr w:rsidR="003D4335" w:rsidRPr="00C0062E" w:rsidTr="001601B6">
        <w:tc>
          <w:tcPr>
            <w:tcW w:w="1501" w:type="dxa"/>
          </w:tcPr>
          <w:p w:rsidR="000E29C7" w:rsidRPr="00460E3D" w:rsidRDefault="000E29C7" w:rsidP="001601B6">
            <w:pPr>
              <w:jc w:val="left"/>
              <w:rPr>
                <w:rFonts w:ascii="Times New Roman" w:hAnsi="Times New Roman"/>
                <w:sz w:val="22"/>
              </w:rPr>
            </w:pPr>
          </w:p>
          <w:p w:rsidR="000E29C7" w:rsidRPr="00460E3D" w:rsidRDefault="000E29C7" w:rsidP="001601B6">
            <w:pPr>
              <w:jc w:val="left"/>
              <w:rPr>
                <w:rFonts w:ascii="Times New Roman" w:hAnsi="Times New Roman"/>
                <w:sz w:val="22"/>
              </w:rPr>
            </w:pPr>
          </w:p>
        </w:tc>
        <w:tc>
          <w:tcPr>
            <w:tcW w:w="2293" w:type="dxa"/>
          </w:tcPr>
          <w:p w:rsidR="000E29C7" w:rsidRPr="00460E3D" w:rsidRDefault="000E29C7" w:rsidP="001601B6">
            <w:pPr>
              <w:jc w:val="left"/>
              <w:rPr>
                <w:rFonts w:ascii="Times New Roman" w:hAnsi="Times New Roman"/>
                <w:sz w:val="22"/>
              </w:rPr>
            </w:pPr>
          </w:p>
        </w:tc>
        <w:tc>
          <w:tcPr>
            <w:tcW w:w="1516" w:type="dxa"/>
          </w:tcPr>
          <w:p w:rsidR="000E29C7" w:rsidRPr="00460E3D" w:rsidRDefault="000E29C7" w:rsidP="001601B6">
            <w:pPr>
              <w:jc w:val="left"/>
              <w:rPr>
                <w:rFonts w:ascii="Times New Roman" w:hAnsi="Times New Roman"/>
                <w:sz w:val="22"/>
              </w:rPr>
            </w:pPr>
          </w:p>
        </w:tc>
        <w:tc>
          <w:tcPr>
            <w:tcW w:w="1744" w:type="dxa"/>
          </w:tcPr>
          <w:p w:rsidR="000E29C7" w:rsidRPr="00460E3D" w:rsidRDefault="000E29C7" w:rsidP="001601B6">
            <w:pPr>
              <w:jc w:val="left"/>
              <w:rPr>
                <w:rFonts w:ascii="Times New Roman" w:hAnsi="Times New Roman"/>
                <w:sz w:val="22"/>
              </w:rPr>
            </w:pPr>
          </w:p>
        </w:tc>
        <w:tc>
          <w:tcPr>
            <w:tcW w:w="2977" w:type="dxa"/>
          </w:tcPr>
          <w:p w:rsidR="000E29C7" w:rsidRPr="00460E3D" w:rsidRDefault="000E29C7" w:rsidP="001601B6">
            <w:pPr>
              <w:jc w:val="left"/>
              <w:rPr>
                <w:rFonts w:ascii="Times New Roman" w:hAnsi="Times New Roman"/>
                <w:sz w:val="22"/>
              </w:rPr>
            </w:pPr>
          </w:p>
        </w:tc>
        <w:tc>
          <w:tcPr>
            <w:tcW w:w="4111" w:type="dxa"/>
          </w:tcPr>
          <w:p w:rsidR="000E29C7" w:rsidRPr="00460E3D" w:rsidRDefault="000E29C7" w:rsidP="001601B6">
            <w:pPr>
              <w:jc w:val="left"/>
              <w:rPr>
                <w:rFonts w:ascii="Times New Roman" w:hAnsi="Times New Roman"/>
                <w:sz w:val="22"/>
              </w:rPr>
            </w:pPr>
          </w:p>
        </w:tc>
      </w:tr>
      <w:tr w:rsidR="003D4335" w:rsidRPr="00C0062E" w:rsidTr="001601B6">
        <w:tc>
          <w:tcPr>
            <w:tcW w:w="1501" w:type="dxa"/>
            <w:tcBorders>
              <w:bottom w:val="single" w:sz="4" w:space="0" w:color="auto"/>
            </w:tcBorders>
          </w:tcPr>
          <w:p w:rsidR="000E29C7" w:rsidRPr="00460E3D" w:rsidRDefault="000E29C7" w:rsidP="001601B6">
            <w:pPr>
              <w:jc w:val="left"/>
              <w:rPr>
                <w:rFonts w:ascii="Times New Roman" w:hAnsi="Times New Roman"/>
                <w:sz w:val="22"/>
              </w:rPr>
            </w:pPr>
          </w:p>
          <w:p w:rsidR="000E29C7" w:rsidRPr="00460E3D" w:rsidRDefault="000E29C7" w:rsidP="001601B6">
            <w:pPr>
              <w:jc w:val="left"/>
              <w:rPr>
                <w:rFonts w:ascii="Times New Roman" w:hAnsi="Times New Roman"/>
                <w:sz w:val="22"/>
              </w:rPr>
            </w:pPr>
          </w:p>
        </w:tc>
        <w:tc>
          <w:tcPr>
            <w:tcW w:w="2293" w:type="dxa"/>
            <w:tcBorders>
              <w:bottom w:val="single" w:sz="4" w:space="0" w:color="auto"/>
            </w:tcBorders>
          </w:tcPr>
          <w:p w:rsidR="000E29C7" w:rsidRPr="00460E3D" w:rsidRDefault="000E29C7" w:rsidP="001601B6">
            <w:pPr>
              <w:jc w:val="left"/>
              <w:rPr>
                <w:rFonts w:ascii="Times New Roman" w:hAnsi="Times New Roman"/>
                <w:sz w:val="22"/>
              </w:rPr>
            </w:pPr>
          </w:p>
        </w:tc>
        <w:tc>
          <w:tcPr>
            <w:tcW w:w="1516" w:type="dxa"/>
            <w:tcBorders>
              <w:bottom w:val="single" w:sz="4" w:space="0" w:color="auto"/>
            </w:tcBorders>
          </w:tcPr>
          <w:p w:rsidR="000E29C7" w:rsidRPr="00460E3D" w:rsidRDefault="000E29C7" w:rsidP="001601B6">
            <w:pPr>
              <w:jc w:val="left"/>
              <w:rPr>
                <w:rFonts w:ascii="Times New Roman" w:hAnsi="Times New Roman"/>
                <w:sz w:val="22"/>
              </w:rPr>
            </w:pPr>
          </w:p>
        </w:tc>
        <w:tc>
          <w:tcPr>
            <w:tcW w:w="1744" w:type="dxa"/>
            <w:tcBorders>
              <w:bottom w:val="single" w:sz="4" w:space="0" w:color="auto"/>
            </w:tcBorders>
          </w:tcPr>
          <w:p w:rsidR="000E29C7" w:rsidRPr="00460E3D" w:rsidRDefault="000E29C7" w:rsidP="001601B6">
            <w:pPr>
              <w:jc w:val="left"/>
              <w:rPr>
                <w:rFonts w:ascii="Times New Roman" w:hAnsi="Times New Roman"/>
                <w:sz w:val="22"/>
              </w:rPr>
            </w:pPr>
          </w:p>
        </w:tc>
        <w:tc>
          <w:tcPr>
            <w:tcW w:w="2977" w:type="dxa"/>
            <w:tcBorders>
              <w:bottom w:val="single" w:sz="4" w:space="0" w:color="auto"/>
            </w:tcBorders>
          </w:tcPr>
          <w:p w:rsidR="000E29C7" w:rsidRPr="00460E3D" w:rsidRDefault="000E29C7" w:rsidP="001601B6">
            <w:pPr>
              <w:jc w:val="left"/>
              <w:rPr>
                <w:rFonts w:ascii="Times New Roman" w:hAnsi="Times New Roman"/>
                <w:sz w:val="22"/>
              </w:rPr>
            </w:pPr>
          </w:p>
        </w:tc>
        <w:tc>
          <w:tcPr>
            <w:tcW w:w="4111" w:type="dxa"/>
            <w:tcBorders>
              <w:bottom w:val="single" w:sz="4" w:space="0" w:color="auto"/>
            </w:tcBorders>
          </w:tcPr>
          <w:p w:rsidR="000E29C7" w:rsidRPr="00460E3D" w:rsidRDefault="000E29C7" w:rsidP="001601B6">
            <w:pPr>
              <w:jc w:val="left"/>
              <w:rPr>
                <w:rFonts w:ascii="Times New Roman" w:hAnsi="Times New Roman"/>
                <w:sz w:val="22"/>
              </w:rPr>
            </w:pPr>
          </w:p>
        </w:tc>
      </w:tr>
      <w:tr w:rsidR="003D4335" w:rsidRPr="00C0062E" w:rsidTr="001601B6">
        <w:tc>
          <w:tcPr>
            <w:tcW w:w="1501" w:type="dxa"/>
            <w:tcBorders>
              <w:bottom w:val="single" w:sz="4" w:space="0" w:color="auto"/>
            </w:tcBorders>
          </w:tcPr>
          <w:p w:rsidR="000E29C7" w:rsidRPr="00460E3D" w:rsidRDefault="000E29C7" w:rsidP="001601B6">
            <w:pPr>
              <w:jc w:val="left"/>
              <w:rPr>
                <w:rFonts w:ascii="Times New Roman" w:hAnsi="Times New Roman"/>
                <w:sz w:val="22"/>
              </w:rPr>
            </w:pPr>
          </w:p>
          <w:p w:rsidR="000E29C7" w:rsidRPr="00460E3D" w:rsidRDefault="000E29C7" w:rsidP="001601B6">
            <w:pPr>
              <w:jc w:val="left"/>
              <w:rPr>
                <w:rFonts w:ascii="Times New Roman" w:hAnsi="Times New Roman"/>
                <w:sz w:val="22"/>
              </w:rPr>
            </w:pPr>
          </w:p>
        </w:tc>
        <w:tc>
          <w:tcPr>
            <w:tcW w:w="2293" w:type="dxa"/>
            <w:tcBorders>
              <w:bottom w:val="single" w:sz="4" w:space="0" w:color="auto"/>
            </w:tcBorders>
          </w:tcPr>
          <w:p w:rsidR="000E29C7" w:rsidRPr="00460E3D" w:rsidRDefault="000E29C7" w:rsidP="001601B6">
            <w:pPr>
              <w:jc w:val="left"/>
              <w:rPr>
                <w:rFonts w:ascii="Times New Roman" w:hAnsi="Times New Roman"/>
                <w:sz w:val="22"/>
              </w:rPr>
            </w:pPr>
          </w:p>
        </w:tc>
        <w:tc>
          <w:tcPr>
            <w:tcW w:w="1516" w:type="dxa"/>
            <w:tcBorders>
              <w:bottom w:val="single" w:sz="4" w:space="0" w:color="auto"/>
            </w:tcBorders>
          </w:tcPr>
          <w:p w:rsidR="000E29C7" w:rsidRPr="00460E3D" w:rsidRDefault="000E29C7" w:rsidP="001601B6">
            <w:pPr>
              <w:jc w:val="left"/>
              <w:rPr>
                <w:rFonts w:ascii="Times New Roman" w:hAnsi="Times New Roman"/>
                <w:sz w:val="22"/>
              </w:rPr>
            </w:pPr>
          </w:p>
        </w:tc>
        <w:tc>
          <w:tcPr>
            <w:tcW w:w="1744" w:type="dxa"/>
            <w:tcBorders>
              <w:bottom w:val="single" w:sz="4" w:space="0" w:color="auto"/>
            </w:tcBorders>
          </w:tcPr>
          <w:p w:rsidR="000E29C7" w:rsidRPr="00460E3D" w:rsidRDefault="000E29C7" w:rsidP="001601B6">
            <w:pPr>
              <w:jc w:val="left"/>
              <w:rPr>
                <w:rFonts w:ascii="Times New Roman" w:hAnsi="Times New Roman"/>
                <w:sz w:val="22"/>
              </w:rPr>
            </w:pPr>
          </w:p>
        </w:tc>
        <w:tc>
          <w:tcPr>
            <w:tcW w:w="2977" w:type="dxa"/>
            <w:tcBorders>
              <w:bottom w:val="single" w:sz="4" w:space="0" w:color="auto"/>
            </w:tcBorders>
          </w:tcPr>
          <w:p w:rsidR="000E29C7" w:rsidRPr="00460E3D" w:rsidRDefault="000E29C7" w:rsidP="001601B6">
            <w:pPr>
              <w:jc w:val="left"/>
              <w:rPr>
                <w:rFonts w:ascii="Times New Roman" w:hAnsi="Times New Roman"/>
                <w:sz w:val="22"/>
              </w:rPr>
            </w:pPr>
          </w:p>
        </w:tc>
        <w:tc>
          <w:tcPr>
            <w:tcW w:w="4111" w:type="dxa"/>
            <w:tcBorders>
              <w:bottom w:val="single" w:sz="4" w:space="0" w:color="auto"/>
            </w:tcBorders>
          </w:tcPr>
          <w:p w:rsidR="000E29C7" w:rsidRPr="00460E3D" w:rsidRDefault="000E29C7" w:rsidP="001601B6">
            <w:pPr>
              <w:jc w:val="left"/>
              <w:rPr>
                <w:rFonts w:ascii="Times New Roman" w:hAnsi="Times New Roman"/>
                <w:sz w:val="22"/>
              </w:rPr>
            </w:pPr>
          </w:p>
        </w:tc>
      </w:tr>
      <w:tr w:rsidR="003D4335" w:rsidRPr="00C0062E" w:rsidTr="001601B6">
        <w:tc>
          <w:tcPr>
            <w:tcW w:w="1501" w:type="dxa"/>
          </w:tcPr>
          <w:p w:rsidR="000E29C7" w:rsidRPr="00460E3D" w:rsidRDefault="000E29C7" w:rsidP="001601B6">
            <w:pPr>
              <w:jc w:val="left"/>
              <w:rPr>
                <w:rFonts w:ascii="Times New Roman" w:hAnsi="Times New Roman"/>
                <w:sz w:val="22"/>
              </w:rPr>
            </w:pPr>
          </w:p>
          <w:p w:rsidR="000E29C7" w:rsidRPr="00460E3D" w:rsidRDefault="000E29C7" w:rsidP="001601B6">
            <w:pPr>
              <w:jc w:val="left"/>
              <w:rPr>
                <w:rFonts w:ascii="Times New Roman" w:hAnsi="Times New Roman"/>
                <w:sz w:val="22"/>
              </w:rPr>
            </w:pPr>
          </w:p>
        </w:tc>
        <w:tc>
          <w:tcPr>
            <w:tcW w:w="2293" w:type="dxa"/>
          </w:tcPr>
          <w:p w:rsidR="000E29C7" w:rsidRPr="00460E3D" w:rsidRDefault="000E29C7" w:rsidP="001601B6">
            <w:pPr>
              <w:jc w:val="left"/>
              <w:rPr>
                <w:rFonts w:ascii="Times New Roman" w:hAnsi="Times New Roman"/>
                <w:sz w:val="22"/>
              </w:rPr>
            </w:pPr>
          </w:p>
        </w:tc>
        <w:tc>
          <w:tcPr>
            <w:tcW w:w="1516" w:type="dxa"/>
          </w:tcPr>
          <w:p w:rsidR="000E29C7" w:rsidRPr="00460E3D" w:rsidRDefault="000E29C7" w:rsidP="001601B6">
            <w:pPr>
              <w:jc w:val="left"/>
              <w:rPr>
                <w:rFonts w:ascii="Times New Roman" w:hAnsi="Times New Roman"/>
                <w:sz w:val="22"/>
              </w:rPr>
            </w:pPr>
          </w:p>
        </w:tc>
        <w:tc>
          <w:tcPr>
            <w:tcW w:w="1744" w:type="dxa"/>
          </w:tcPr>
          <w:p w:rsidR="000E29C7" w:rsidRPr="00460E3D" w:rsidRDefault="000E29C7" w:rsidP="001601B6">
            <w:pPr>
              <w:jc w:val="left"/>
              <w:rPr>
                <w:rFonts w:ascii="Times New Roman" w:hAnsi="Times New Roman"/>
                <w:sz w:val="22"/>
              </w:rPr>
            </w:pPr>
          </w:p>
        </w:tc>
        <w:tc>
          <w:tcPr>
            <w:tcW w:w="2977" w:type="dxa"/>
          </w:tcPr>
          <w:p w:rsidR="000E29C7" w:rsidRPr="00460E3D" w:rsidRDefault="000E29C7" w:rsidP="001601B6">
            <w:pPr>
              <w:jc w:val="left"/>
              <w:rPr>
                <w:rFonts w:ascii="Times New Roman" w:hAnsi="Times New Roman"/>
                <w:sz w:val="22"/>
              </w:rPr>
            </w:pPr>
          </w:p>
        </w:tc>
        <w:tc>
          <w:tcPr>
            <w:tcW w:w="4111" w:type="dxa"/>
          </w:tcPr>
          <w:p w:rsidR="000E29C7" w:rsidRPr="00460E3D" w:rsidRDefault="000E29C7" w:rsidP="001601B6">
            <w:pPr>
              <w:jc w:val="left"/>
              <w:rPr>
                <w:rFonts w:ascii="Times New Roman" w:hAnsi="Times New Roman"/>
                <w:sz w:val="22"/>
              </w:rPr>
            </w:pPr>
          </w:p>
        </w:tc>
      </w:tr>
      <w:tr w:rsidR="003D4335" w:rsidRPr="00C0062E" w:rsidTr="001601B6">
        <w:tc>
          <w:tcPr>
            <w:tcW w:w="1501" w:type="dxa"/>
          </w:tcPr>
          <w:p w:rsidR="000E29C7" w:rsidRPr="00460E3D" w:rsidRDefault="000E29C7" w:rsidP="001601B6">
            <w:pPr>
              <w:jc w:val="left"/>
              <w:rPr>
                <w:rFonts w:ascii="Times New Roman" w:hAnsi="Times New Roman"/>
                <w:sz w:val="22"/>
              </w:rPr>
            </w:pPr>
          </w:p>
          <w:p w:rsidR="000E29C7" w:rsidRPr="00460E3D" w:rsidRDefault="000E29C7" w:rsidP="001601B6">
            <w:pPr>
              <w:jc w:val="left"/>
              <w:rPr>
                <w:rFonts w:ascii="Times New Roman" w:hAnsi="Times New Roman"/>
                <w:sz w:val="22"/>
              </w:rPr>
            </w:pPr>
          </w:p>
        </w:tc>
        <w:tc>
          <w:tcPr>
            <w:tcW w:w="2293" w:type="dxa"/>
          </w:tcPr>
          <w:p w:rsidR="000E29C7" w:rsidRPr="00460E3D" w:rsidRDefault="000E29C7" w:rsidP="001601B6">
            <w:pPr>
              <w:jc w:val="left"/>
              <w:rPr>
                <w:rFonts w:ascii="Times New Roman" w:hAnsi="Times New Roman"/>
                <w:sz w:val="22"/>
              </w:rPr>
            </w:pPr>
          </w:p>
        </w:tc>
        <w:tc>
          <w:tcPr>
            <w:tcW w:w="1516" w:type="dxa"/>
          </w:tcPr>
          <w:p w:rsidR="000E29C7" w:rsidRPr="00460E3D" w:rsidRDefault="000E29C7" w:rsidP="001601B6">
            <w:pPr>
              <w:jc w:val="left"/>
              <w:rPr>
                <w:rFonts w:ascii="Times New Roman" w:hAnsi="Times New Roman"/>
                <w:sz w:val="22"/>
              </w:rPr>
            </w:pPr>
          </w:p>
        </w:tc>
        <w:tc>
          <w:tcPr>
            <w:tcW w:w="1744" w:type="dxa"/>
          </w:tcPr>
          <w:p w:rsidR="000E29C7" w:rsidRPr="00460E3D" w:rsidRDefault="000E29C7" w:rsidP="001601B6">
            <w:pPr>
              <w:jc w:val="left"/>
              <w:rPr>
                <w:rFonts w:ascii="Times New Roman" w:hAnsi="Times New Roman"/>
                <w:sz w:val="22"/>
              </w:rPr>
            </w:pPr>
          </w:p>
        </w:tc>
        <w:tc>
          <w:tcPr>
            <w:tcW w:w="2977" w:type="dxa"/>
          </w:tcPr>
          <w:p w:rsidR="000E29C7" w:rsidRPr="00460E3D" w:rsidRDefault="000E29C7" w:rsidP="001601B6">
            <w:pPr>
              <w:jc w:val="left"/>
              <w:rPr>
                <w:rFonts w:ascii="Times New Roman" w:hAnsi="Times New Roman"/>
                <w:sz w:val="22"/>
              </w:rPr>
            </w:pPr>
          </w:p>
        </w:tc>
        <w:tc>
          <w:tcPr>
            <w:tcW w:w="4111" w:type="dxa"/>
          </w:tcPr>
          <w:p w:rsidR="000E29C7" w:rsidRPr="00460E3D" w:rsidRDefault="000E29C7" w:rsidP="001601B6">
            <w:pPr>
              <w:jc w:val="left"/>
              <w:rPr>
                <w:rFonts w:ascii="Times New Roman" w:hAnsi="Times New Roman"/>
                <w:sz w:val="22"/>
              </w:rPr>
            </w:pPr>
          </w:p>
        </w:tc>
      </w:tr>
      <w:tr w:rsidR="003D4335" w:rsidRPr="00C0062E" w:rsidTr="001601B6">
        <w:tc>
          <w:tcPr>
            <w:tcW w:w="1501" w:type="dxa"/>
          </w:tcPr>
          <w:p w:rsidR="000E29C7" w:rsidRPr="00460E3D" w:rsidRDefault="000E29C7" w:rsidP="001601B6">
            <w:pPr>
              <w:jc w:val="left"/>
              <w:rPr>
                <w:rFonts w:ascii="Times New Roman" w:hAnsi="Times New Roman"/>
                <w:sz w:val="22"/>
              </w:rPr>
            </w:pPr>
          </w:p>
          <w:p w:rsidR="000E29C7" w:rsidRPr="00460E3D" w:rsidRDefault="000E29C7" w:rsidP="001601B6">
            <w:pPr>
              <w:jc w:val="left"/>
              <w:rPr>
                <w:rFonts w:ascii="Times New Roman" w:hAnsi="Times New Roman"/>
                <w:sz w:val="22"/>
              </w:rPr>
            </w:pPr>
          </w:p>
        </w:tc>
        <w:tc>
          <w:tcPr>
            <w:tcW w:w="2293" w:type="dxa"/>
          </w:tcPr>
          <w:p w:rsidR="000E29C7" w:rsidRPr="00460E3D" w:rsidRDefault="000E29C7" w:rsidP="001601B6">
            <w:pPr>
              <w:jc w:val="left"/>
              <w:rPr>
                <w:rFonts w:ascii="Times New Roman" w:hAnsi="Times New Roman"/>
                <w:sz w:val="22"/>
              </w:rPr>
            </w:pPr>
          </w:p>
        </w:tc>
        <w:tc>
          <w:tcPr>
            <w:tcW w:w="1516" w:type="dxa"/>
          </w:tcPr>
          <w:p w:rsidR="000E29C7" w:rsidRPr="00460E3D" w:rsidRDefault="000E29C7" w:rsidP="001601B6">
            <w:pPr>
              <w:jc w:val="left"/>
              <w:rPr>
                <w:rFonts w:ascii="Times New Roman" w:hAnsi="Times New Roman"/>
                <w:sz w:val="22"/>
              </w:rPr>
            </w:pPr>
          </w:p>
        </w:tc>
        <w:tc>
          <w:tcPr>
            <w:tcW w:w="1744" w:type="dxa"/>
          </w:tcPr>
          <w:p w:rsidR="000E29C7" w:rsidRPr="00460E3D" w:rsidRDefault="000E29C7" w:rsidP="001601B6">
            <w:pPr>
              <w:jc w:val="left"/>
              <w:rPr>
                <w:rFonts w:ascii="Times New Roman" w:hAnsi="Times New Roman"/>
                <w:sz w:val="22"/>
              </w:rPr>
            </w:pPr>
          </w:p>
        </w:tc>
        <w:tc>
          <w:tcPr>
            <w:tcW w:w="2977" w:type="dxa"/>
          </w:tcPr>
          <w:p w:rsidR="000E29C7" w:rsidRPr="00460E3D" w:rsidRDefault="000E29C7" w:rsidP="001601B6">
            <w:pPr>
              <w:jc w:val="left"/>
              <w:rPr>
                <w:rFonts w:ascii="Times New Roman" w:hAnsi="Times New Roman"/>
                <w:sz w:val="22"/>
              </w:rPr>
            </w:pPr>
          </w:p>
        </w:tc>
        <w:tc>
          <w:tcPr>
            <w:tcW w:w="4111" w:type="dxa"/>
          </w:tcPr>
          <w:p w:rsidR="000E29C7" w:rsidRPr="00460E3D" w:rsidRDefault="000E29C7" w:rsidP="001601B6">
            <w:pPr>
              <w:jc w:val="left"/>
              <w:rPr>
                <w:rFonts w:ascii="Times New Roman" w:hAnsi="Times New Roman"/>
                <w:sz w:val="22"/>
              </w:rPr>
            </w:pPr>
          </w:p>
        </w:tc>
      </w:tr>
      <w:tr w:rsidR="003D4335" w:rsidRPr="00C0062E" w:rsidTr="001601B6">
        <w:tc>
          <w:tcPr>
            <w:tcW w:w="1501" w:type="dxa"/>
          </w:tcPr>
          <w:p w:rsidR="000E29C7" w:rsidRPr="00460E3D" w:rsidRDefault="000E29C7" w:rsidP="001601B6">
            <w:pPr>
              <w:jc w:val="left"/>
              <w:rPr>
                <w:rFonts w:ascii="Times New Roman" w:hAnsi="Times New Roman"/>
                <w:sz w:val="22"/>
              </w:rPr>
            </w:pPr>
          </w:p>
          <w:p w:rsidR="000E29C7" w:rsidRPr="00460E3D" w:rsidRDefault="000E29C7" w:rsidP="001601B6">
            <w:pPr>
              <w:jc w:val="left"/>
              <w:rPr>
                <w:rFonts w:ascii="Times New Roman" w:hAnsi="Times New Roman"/>
                <w:sz w:val="22"/>
              </w:rPr>
            </w:pPr>
          </w:p>
        </w:tc>
        <w:tc>
          <w:tcPr>
            <w:tcW w:w="2293" w:type="dxa"/>
          </w:tcPr>
          <w:p w:rsidR="000E29C7" w:rsidRPr="00460E3D" w:rsidRDefault="000E29C7" w:rsidP="001601B6">
            <w:pPr>
              <w:jc w:val="left"/>
              <w:rPr>
                <w:rFonts w:ascii="Times New Roman" w:hAnsi="Times New Roman"/>
                <w:sz w:val="22"/>
              </w:rPr>
            </w:pPr>
          </w:p>
        </w:tc>
        <w:tc>
          <w:tcPr>
            <w:tcW w:w="1516" w:type="dxa"/>
          </w:tcPr>
          <w:p w:rsidR="000E29C7" w:rsidRPr="00460E3D" w:rsidRDefault="000E29C7" w:rsidP="001601B6">
            <w:pPr>
              <w:jc w:val="left"/>
              <w:rPr>
                <w:rFonts w:ascii="Times New Roman" w:hAnsi="Times New Roman"/>
                <w:sz w:val="22"/>
              </w:rPr>
            </w:pPr>
          </w:p>
        </w:tc>
        <w:tc>
          <w:tcPr>
            <w:tcW w:w="1744" w:type="dxa"/>
          </w:tcPr>
          <w:p w:rsidR="000E29C7" w:rsidRPr="00460E3D" w:rsidRDefault="000E29C7" w:rsidP="001601B6">
            <w:pPr>
              <w:jc w:val="left"/>
              <w:rPr>
                <w:rFonts w:ascii="Times New Roman" w:hAnsi="Times New Roman"/>
                <w:sz w:val="22"/>
              </w:rPr>
            </w:pPr>
          </w:p>
        </w:tc>
        <w:tc>
          <w:tcPr>
            <w:tcW w:w="2977" w:type="dxa"/>
          </w:tcPr>
          <w:p w:rsidR="000E29C7" w:rsidRPr="00460E3D" w:rsidRDefault="000E29C7" w:rsidP="001601B6">
            <w:pPr>
              <w:jc w:val="left"/>
              <w:rPr>
                <w:rFonts w:ascii="Times New Roman" w:hAnsi="Times New Roman"/>
                <w:sz w:val="22"/>
              </w:rPr>
            </w:pPr>
          </w:p>
        </w:tc>
        <w:tc>
          <w:tcPr>
            <w:tcW w:w="4111" w:type="dxa"/>
          </w:tcPr>
          <w:p w:rsidR="000E29C7" w:rsidRPr="00460E3D" w:rsidRDefault="000E29C7" w:rsidP="001601B6">
            <w:pPr>
              <w:jc w:val="left"/>
              <w:rPr>
                <w:rFonts w:ascii="Times New Roman" w:hAnsi="Times New Roman"/>
                <w:sz w:val="22"/>
              </w:rPr>
            </w:pPr>
          </w:p>
        </w:tc>
      </w:tr>
    </w:tbl>
    <w:p w:rsidR="000E29C7" w:rsidRDefault="000E29C7">
      <w:pPr>
        <w:jc w:val="left"/>
        <w:rPr>
          <w:rFonts w:eastAsia="Calibri"/>
          <w:b/>
          <w:szCs w:val="24"/>
          <w:lang w:eastAsia="en-US"/>
        </w:rPr>
        <w:sectPr w:rsidR="000E29C7" w:rsidSect="00D63D99">
          <w:pgSz w:w="16838" w:h="11906" w:orient="landscape"/>
          <w:pgMar w:top="1418" w:right="1418" w:bottom="1418" w:left="1418" w:header="709" w:footer="709" w:gutter="0"/>
          <w:cols w:space="708"/>
          <w:docGrid w:linePitch="360"/>
        </w:sectPr>
      </w:pPr>
      <w:r>
        <w:rPr>
          <w:rFonts w:eastAsia="Calibri"/>
          <w:b/>
          <w:szCs w:val="24"/>
          <w:lang w:eastAsia="en-US"/>
        </w:rPr>
        <w:br w:type="page"/>
      </w:r>
    </w:p>
    <w:p w:rsidR="000E29C7" w:rsidRPr="00460E3D" w:rsidRDefault="000E29C7" w:rsidP="00DD34F3">
      <w:pPr>
        <w:pStyle w:val="Paragraphedeliste"/>
        <w:numPr>
          <w:ilvl w:val="0"/>
          <w:numId w:val="143"/>
        </w:numPr>
        <w:spacing w:after="200" w:line="276" w:lineRule="auto"/>
        <w:jc w:val="left"/>
        <w:rPr>
          <w:rFonts w:eastAsia="Calibri"/>
          <w:b/>
          <w:szCs w:val="22"/>
          <w:lang w:eastAsia="en-US"/>
        </w:rPr>
      </w:pPr>
      <w:r w:rsidRPr="00460E3D">
        <w:rPr>
          <w:rFonts w:eastAsia="Calibri"/>
          <w:b/>
          <w:szCs w:val="22"/>
          <w:lang w:eastAsia="en-US"/>
        </w:rPr>
        <w:lastRenderedPageBreak/>
        <w:t xml:space="preserve">Projets envisagés de l’offre de </w:t>
      </w:r>
      <w:r>
        <w:rPr>
          <w:rFonts w:eastAsia="Calibri"/>
          <w:b/>
          <w:szCs w:val="22"/>
          <w:lang w:eastAsia="en-US"/>
        </w:rPr>
        <w:t>service</w:t>
      </w:r>
    </w:p>
    <w:p w:rsidR="000E29C7" w:rsidRPr="00460E3D" w:rsidRDefault="000E29C7" w:rsidP="000E29C7">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0"/>
      </w:tblGrid>
      <w:tr w:rsidR="000E29C7" w:rsidRPr="00C0062E" w:rsidTr="001601B6">
        <w:tc>
          <w:tcPr>
            <w:tcW w:w="9212" w:type="dxa"/>
          </w:tcPr>
          <w:p w:rsidR="000E29C7" w:rsidRPr="00460E3D" w:rsidRDefault="000E29C7" w:rsidP="001601B6">
            <w:pPr>
              <w:jc w:val="left"/>
              <w:rPr>
                <w:rFonts w:ascii="Times New Roman" w:hAnsi="Times New Roman"/>
                <w:sz w:val="22"/>
              </w:rPr>
            </w:pPr>
            <w:r w:rsidRPr="00460E3D">
              <w:rPr>
                <w:i/>
                <w:sz w:val="22"/>
              </w:rPr>
              <w:t xml:space="preserve">Décrire les projets </w:t>
            </w:r>
            <w:r>
              <w:rPr>
                <w:i/>
                <w:sz w:val="22"/>
              </w:rPr>
              <w:t xml:space="preserve">d’évolution de l’offre existante d’ordre technologique, fonctionnel et sécuritaire </w:t>
            </w:r>
            <w:r w:rsidRPr="00460E3D">
              <w:rPr>
                <w:i/>
                <w:sz w:val="22"/>
              </w:rPr>
              <w:t>prévus à court et moyen terme</w:t>
            </w:r>
            <w:r>
              <w:rPr>
                <w:i/>
                <w:sz w:val="22"/>
              </w:rPr>
              <w:t>.</w:t>
            </w:r>
          </w:p>
          <w:p w:rsidR="000E29C7" w:rsidRPr="00460E3D" w:rsidRDefault="000E29C7" w:rsidP="001601B6">
            <w:pPr>
              <w:jc w:val="left"/>
              <w:rPr>
                <w:rFonts w:ascii="Times New Roman" w:hAnsi="Times New Roman"/>
                <w:sz w:val="22"/>
              </w:rPr>
            </w:pPr>
          </w:p>
          <w:p w:rsidR="000E29C7" w:rsidRPr="00460E3D" w:rsidRDefault="000E29C7" w:rsidP="001601B6">
            <w:pPr>
              <w:jc w:val="left"/>
              <w:rPr>
                <w:rFonts w:ascii="Times New Roman" w:hAnsi="Times New Roman"/>
                <w:sz w:val="22"/>
              </w:rPr>
            </w:pPr>
          </w:p>
          <w:p w:rsidR="000E29C7" w:rsidRPr="00460E3D" w:rsidRDefault="000E29C7" w:rsidP="001601B6">
            <w:pPr>
              <w:jc w:val="left"/>
              <w:rPr>
                <w:rFonts w:ascii="Times New Roman" w:hAnsi="Times New Roman"/>
                <w:sz w:val="22"/>
              </w:rPr>
            </w:pPr>
          </w:p>
          <w:p w:rsidR="000E29C7" w:rsidRPr="00460E3D" w:rsidRDefault="000E29C7" w:rsidP="001601B6">
            <w:pPr>
              <w:jc w:val="left"/>
              <w:rPr>
                <w:rFonts w:ascii="Times New Roman" w:hAnsi="Times New Roman"/>
                <w:sz w:val="22"/>
              </w:rPr>
            </w:pPr>
          </w:p>
        </w:tc>
      </w:tr>
    </w:tbl>
    <w:p w:rsidR="000E29C7" w:rsidRPr="00460E3D" w:rsidRDefault="000E29C7" w:rsidP="000E29C7">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0E29C7" w:rsidRPr="00C0062E" w:rsidTr="001601B6">
        <w:tc>
          <w:tcPr>
            <w:tcW w:w="9212" w:type="dxa"/>
            <w:shd w:val="clear" w:color="auto" w:fill="8DB3E2" w:themeFill="text2" w:themeFillTint="66"/>
          </w:tcPr>
          <w:p w:rsidR="000E29C7" w:rsidRPr="00460E3D" w:rsidRDefault="00771441" w:rsidP="001C5B1C">
            <w:pPr>
              <w:ind w:left="360"/>
              <w:jc w:val="left"/>
              <w:rPr>
                <w:rFonts w:ascii="Times New Roman" w:hAnsi="Times New Roman"/>
                <w:b/>
                <w:sz w:val="22"/>
              </w:rPr>
            </w:pPr>
            <w:r>
              <w:rPr>
                <w:b/>
                <w:sz w:val="22"/>
              </w:rPr>
              <w:t>7</w:t>
            </w:r>
            <w:r w:rsidR="000E29C7" w:rsidRPr="00C0062E">
              <w:rPr>
                <w:b/>
                <w:sz w:val="22"/>
              </w:rPr>
              <w:t xml:space="preserve">.2. Organisation opérationnelle </w:t>
            </w:r>
            <w:r w:rsidR="001C5B1C" w:rsidRPr="00C0062E">
              <w:rPr>
                <w:b/>
                <w:sz w:val="22"/>
              </w:rPr>
              <w:t>d</w:t>
            </w:r>
            <w:r w:rsidR="001C5B1C">
              <w:rPr>
                <w:b/>
                <w:sz w:val="22"/>
              </w:rPr>
              <w:t>e l’offre</w:t>
            </w:r>
          </w:p>
        </w:tc>
      </w:tr>
    </w:tbl>
    <w:p w:rsidR="000E29C7" w:rsidRPr="00460E3D" w:rsidRDefault="000E29C7" w:rsidP="000E29C7">
      <w:pPr>
        <w:jc w:val="left"/>
        <w:rPr>
          <w:rFonts w:eastAsia="Calibri"/>
          <w:szCs w:val="24"/>
          <w:lang w:eastAsia="en-US"/>
        </w:rPr>
      </w:pPr>
    </w:p>
    <w:p w:rsidR="000E29C7" w:rsidRDefault="000E29C7" w:rsidP="000E29C7">
      <w:pPr>
        <w:rPr>
          <w:rFonts w:eastAsia="Calibri"/>
          <w:i/>
          <w:sz w:val="22"/>
          <w:szCs w:val="22"/>
          <w:lang w:eastAsia="en-US"/>
        </w:rPr>
      </w:pPr>
      <w:r w:rsidRPr="00460E3D">
        <w:rPr>
          <w:rFonts w:eastAsia="Calibri"/>
          <w:i/>
          <w:sz w:val="22"/>
          <w:szCs w:val="22"/>
          <w:lang w:eastAsia="en-US"/>
        </w:rPr>
        <w:t>Présenter de manière synthétique le processus d</w:t>
      </w:r>
      <w:r w:rsidR="0022034D">
        <w:rPr>
          <w:rFonts w:eastAsia="Calibri"/>
          <w:i/>
          <w:sz w:val="22"/>
          <w:szCs w:val="22"/>
          <w:lang w:eastAsia="en-US"/>
        </w:rPr>
        <w:t xml:space="preserve">’exécution </w:t>
      </w:r>
      <w:r>
        <w:rPr>
          <w:rFonts w:eastAsia="Calibri"/>
          <w:i/>
          <w:sz w:val="22"/>
          <w:szCs w:val="22"/>
          <w:lang w:eastAsia="en-US"/>
        </w:rPr>
        <w:t>du service d’information sur les comptes</w:t>
      </w:r>
      <w:r w:rsidR="004725B5">
        <w:rPr>
          <w:rFonts w:eastAsia="Calibri"/>
          <w:i/>
          <w:sz w:val="22"/>
          <w:szCs w:val="22"/>
          <w:lang w:eastAsia="en-US"/>
        </w:rPr>
        <w:t xml:space="preserve"> et/ou d’initiation de paiement</w:t>
      </w:r>
      <w:r>
        <w:rPr>
          <w:rFonts w:eastAsia="Calibri"/>
          <w:i/>
          <w:sz w:val="22"/>
          <w:szCs w:val="22"/>
          <w:lang w:eastAsia="en-US"/>
        </w:rPr>
        <w:t xml:space="preserve"> </w:t>
      </w:r>
      <w:r w:rsidRPr="00460E3D">
        <w:rPr>
          <w:rFonts w:eastAsia="Calibri"/>
          <w:i/>
          <w:sz w:val="22"/>
          <w:szCs w:val="22"/>
          <w:lang w:eastAsia="en-US"/>
        </w:rPr>
        <w:t xml:space="preserve">en précisant en particulier </w:t>
      </w:r>
      <w:r w:rsidR="0022034D">
        <w:rPr>
          <w:rFonts w:eastAsia="Calibri"/>
          <w:i/>
          <w:sz w:val="22"/>
          <w:szCs w:val="22"/>
          <w:lang w:eastAsia="en-US"/>
        </w:rPr>
        <w:t xml:space="preserve">les modalités d’accès aux informations sur les comptes avec les mesures de sécurité associées ainsi que </w:t>
      </w:r>
      <w:r w:rsidRPr="00460E3D">
        <w:rPr>
          <w:rFonts w:eastAsia="Calibri"/>
          <w:i/>
          <w:sz w:val="22"/>
          <w:szCs w:val="22"/>
          <w:lang w:eastAsia="en-US"/>
        </w:rPr>
        <w:t xml:space="preserve">les traitements externalisés (y compris auprès d’entités du groupe) et ceux mutualisés avec d’autres établissements. </w:t>
      </w:r>
      <w:r>
        <w:rPr>
          <w:rFonts w:eastAsia="Calibri"/>
          <w:i/>
          <w:sz w:val="22"/>
          <w:szCs w:val="22"/>
          <w:lang w:eastAsia="en-US"/>
        </w:rPr>
        <w:t>Un schéma organisationnel peut-être inséré si nécessaire.</w:t>
      </w:r>
    </w:p>
    <w:p w:rsidR="000E29C7" w:rsidRPr="00460E3D" w:rsidRDefault="000E29C7" w:rsidP="000E29C7">
      <w:pPr>
        <w:rPr>
          <w:rFonts w:eastAsia="Calibri"/>
          <w:i/>
          <w:sz w:val="22"/>
          <w:szCs w:val="22"/>
          <w:lang w:eastAsia="en-US"/>
        </w:rPr>
      </w:pPr>
    </w:p>
    <w:p w:rsidR="000E29C7" w:rsidRPr="00460E3D" w:rsidRDefault="000E29C7" w:rsidP="000E29C7">
      <w:pPr>
        <w:jc w:val="left"/>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0E29C7" w:rsidRPr="00C0062E" w:rsidTr="001601B6">
        <w:tc>
          <w:tcPr>
            <w:tcW w:w="3369" w:type="dxa"/>
            <w:tcBorders>
              <w:bottom w:val="single" w:sz="4" w:space="0" w:color="auto"/>
            </w:tcBorders>
            <w:shd w:val="clear" w:color="auto" w:fill="D6E3BC" w:themeFill="accent3" w:themeFillTint="66"/>
          </w:tcPr>
          <w:p w:rsidR="000E29C7" w:rsidRPr="00460E3D" w:rsidRDefault="000E29C7" w:rsidP="001601B6">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rsidR="000E29C7" w:rsidRPr="00460E3D" w:rsidRDefault="000E29C7" w:rsidP="001601B6">
            <w:pPr>
              <w:jc w:val="center"/>
              <w:rPr>
                <w:rFonts w:ascii="Times New Roman" w:hAnsi="Times New Roman"/>
                <w:b/>
                <w:sz w:val="22"/>
              </w:rPr>
            </w:pPr>
            <w:r w:rsidRPr="00C0062E">
              <w:rPr>
                <w:b/>
                <w:sz w:val="22"/>
              </w:rPr>
              <w:t>Rôles</w:t>
            </w:r>
          </w:p>
        </w:tc>
      </w:tr>
      <w:tr w:rsidR="000E29C7" w:rsidRPr="00C0062E" w:rsidTr="001601B6">
        <w:tc>
          <w:tcPr>
            <w:tcW w:w="3369" w:type="dxa"/>
          </w:tcPr>
          <w:p w:rsidR="000E29C7" w:rsidRPr="00460E3D" w:rsidRDefault="000E29C7" w:rsidP="001601B6">
            <w:pPr>
              <w:jc w:val="left"/>
              <w:rPr>
                <w:rFonts w:ascii="Times New Roman" w:hAnsi="Times New Roman"/>
                <w:sz w:val="22"/>
              </w:rPr>
            </w:pPr>
          </w:p>
        </w:tc>
        <w:tc>
          <w:tcPr>
            <w:tcW w:w="5811" w:type="dxa"/>
          </w:tcPr>
          <w:p w:rsidR="000E29C7" w:rsidRPr="00460E3D" w:rsidRDefault="000E29C7" w:rsidP="001601B6">
            <w:pPr>
              <w:jc w:val="left"/>
              <w:rPr>
                <w:rFonts w:ascii="Times New Roman" w:hAnsi="Times New Roman"/>
                <w:sz w:val="22"/>
              </w:rPr>
            </w:pPr>
          </w:p>
        </w:tc>
      </w:tr>
      <w:tr w:rsidR="000E29C7" w:rsidRPr="00C0062E" w:rsidTr="001601B6">
        <w:tc>
          <w:tcPr>
            <w:tcW w:w="3369" w:type="dxa"/>
          </w:tcPr>
          <w:p w:rsidR="000E29C7" w:rsidRPr="00460E3D" w:rsidRDefault="000E29C7" w:rsidP="001601B6">
            <w:pPr>
              <w:jc w:val="left"/>
              <w:rPr>
                <w:rFonts w:ascii="Times New Roman" w:hAnsi="Times New Roman"/>
                <w:sz w:val="22"/>
              </w:rPr>
            </w:pPr>
          </w:p>
        </w:tc>
        <w:tc>
          <w:tcPr>
            <w:tcW w:w="5811" w:type="dxa"/>
          </w:tcPr>
          <w:p w:rsidR="000E29C7" w:rsidRPr="00460E3D" w:rsidRDefault="000E29C7" w:rsidP="001601B6">
            <w:pPr>
              <w:jc w:val="left"/>
              <w:rPr>
                <w:rFonts w:ascii="Times New Roman" w:hAnsi="Times New Roman"/>
                <w:sz w:val="22"/>
              </w:rPr>
            </w:pPr>
          </w:p>
        </w:tc>
      </w:tr>
      <w:tr w:rsidR="000E29C7" w:rsidRPr="00C0062E" w:rsidTr="001601B6">
        <w:tc>
          <w:tcPr>
            <w:tcW w:w="3369" w:type="dxa"/>
            <w:tcBorders>
              <w:bottom w:val="single" w:sz="4" w:space="0" w:color="auto"/>
            </w:tcBorders>
          </w:tcPr>
          <w:p w:rsidR="000E29C7" w:rsidRPr="00460E3D" w:rsidRDefault="000E29C7" w:rsidP="001601B6">
            <w:pPr>
              <w:jc w:val="left"/>
              <w:rPr>
                <w:rFonts w:ascii="Times New Roman" w:hAnsi="Times New Roman"/>
                <w:sz w:val="22"/>
              </w:rPr>
            </w:pPr>
          </w:p>
        </w:tc>
        <w:tc>
          <w:tcPr>
            <w:tcW w:w="5811" w:type="dxa"/>
            <w:tcBorders>
              <w:bottom w:val="single" w:sz="4" w:space="0" w:color="auto"/>
            </w:tcBorders>
          </w:tcPr>
          <w:p w:rsidR="000E29C7" w:rsidRPr="00460E3D" w:rsidRDefault="000E29C7" w:rsidP="001601B6">
            <w:pPr>
              <w:jc w:val="left"/>
              <w:rPr>
                <w:rFonts w:ascii="Times New Roman" w:hAnsi="Times New Roman"/>
                <w:sz w:val="22"/>
              </w:rPr>
            </w:pPr>
          </w:p>
        </w:tc>
      </w:tr>
      <w:tr w:rsidR="000E29C7" w:rsidRPr="00C0062E" w:rsidTr="001601B6">
        <w:tc>
          <w:tcPr>
            <w:tcW w:w="3369" w:type="dxa"/>
          </w:tcPr>
          <w:p w:rsidR="000E29C7" w:rsidRPr="00460E3D" w:rsidRDefault="000E29C7" w:rsidP="001601B6">
            <w:pPr>
              <w:jc w:val="left"/>
              <w:rPr>
                <w:rFonts w:ascii="Times New Roman" w:hAnsi="Times New Roman"/>
                <w:sz w:val="22"/>
              </w:rPr>
            </w:pPr>
          </w:p>
        </w:tc>
        <w:tc>
          <w:tcPr>
            <w:tcW w:w="5811" w:type="dxa"/>
          </w:tcPr>
          <w:p w:rsidR="000E29C7" w:rsidRPr="00460E3D" w:rsidRDefault="000E29C7" w:rsidP="001601B6">
            <w:pPr>
              <w:jc w:val="left"/>
              <w:rPr>
                <w:rFonts w:ascii="Times New Roman" w:hAnsi="Times New Roman"/>
                <w:sz w:val="22"/>
              </w:rPr>
            </w:pPr>
          </w:p>
        </w:tc>
      </w:tr>
      <w:tr w:rsidR="000E29C7" w:rsidRPr="00C0062E" w:rsidTr="001601B6">
        <w:tc>
          <w:tcPr>
            <w:tcW w:w="3369" w:type="dxa"/>
          </w:tcPr>
          <w:p w:rsidR="000E29C7" w:rsidRPr="00460E3D" w:rsidRDefault="000E29C7" w:rsidP="001601B6">
            <w:pPr>
              <w:jc w:val="left"/>
              <w:rPr>
                <w:rFonts w:ascii="Times New Roman" w:hAnsi="Times New Roman"/>
                <w:sz w:val="22"/>
              </w:rPr>
            </w:pPr>
          </w:p>
        </w:tc>
        <w:tc>
          <w:tcPr>
            <w:tcW w:w="5811" w:type="dxa"/>
          </w:tcPr>
          <w:p w:rsidR="000E29C7" w:rsidRPr="00460E3D" w:rsidRDefault="000E29C7" w:rsidP="001601B6">
            <w:pPr>
              <w:jc w:val="left"/>
              <w:rPr>
                <w:rFonts w:ascii="Times New Roman" w:hAnsi="Times New Roman"/>
                <w:sz w:val="22"/>
              </w:rPr>
            </w:pPr>
          </w:p>
        </w:tc>
      </w:tr>
      <w:tr w:rsidR="000E29C7" w:rsidRPr="00C0062E" w:rsidTr="001601B6">
        <w:tc>
          <w:tcPr>
            <w:tcW w:w="3369" w:type="dxa"/>
          </w:tcPr>
          <w:p w:rsidR="000E29C7" w:rsidRPr="00460E3D" w:rsidRDefault="000E29C7" w:rsidP="001601B6">
            <w:pPr>
              <w:jc w:val="left"/>
              <w:rPr>
                <w:rFonts w:ascii="Times New Roman" w:hAnsi="Times New Roman"/>
                <w:sz w:val="22"/>
              </w:rPr>
            </w:pPr>
          </w:p>
        </w:tc>
        <w:tc>
          <w:tcPr>
            <w:tcW w:w="5811" w:type="dxa"/>
          </w:tcPr>
          <w:p w:rsidR="000E29C7" w:rsidRPr="00460E3D" w:rsidRDefault="000E29C7" w:rsidP="001601B6">
            <w:pPr>
              <w:jc w:val="left"/>
              <w:rPr>
                <w:rFonts w:ascii="Times New Roman" w:hAnsi="Times New Roman"/>
                <w:sz w:val="22"/>
              </w:rPr>
            </w:pPr>
          </w:p>
        </w:tc>
      </w:tr>
    </w:tbl>
    <w:p w:rsidR="000E29C7" w:rsidRPr="00460E3D" w:rsidRDefault="000E29C7" w:rsidP="000E29C7">
      <w:pPr>
        <w:jc w:val="left"/>
        <w:rPr>
          <w:rFonts w:eastAsia="Calibri"/>
          <w:sz w:val="22"/>
          <w:szCs w:val="22"/>
          <w:lang w:eastAsia="en-US"/>
        </w:rPr>
      </w:pPr>
    </w:p>
    <w:p w:rsidR="000E29C7" w:rsidRPr="00460E3D" w:rsidRDefault="000E29C7" w:rsidP="000E29C7">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0E29C7" w:rsidRPr="00C0062E" w:rsidTr="001601B6">
        <w:tc>
          <w:tcPr>
            <w:tcW w:w="9212" w:type="dxa"/>
          </w:tcPr>
          <w:p w:rsidR="000E29C7" w:rsidRPr="00460E3D" w:rsidRDefault="000E29C7" w:rsidP="001601B6">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rsidR="000E29C7" w:rsidRPr="00460E3D" w:rsidRDefault="000E29C7" w:rsidP="001601B6">
            <w:pPr>
              <w:rPr>
                <w:rFonts w:ascii="Times New Roman" w:hAnsi="Times New Roman"/>
                <w:i/>
                <w:sz w:val="22"/>
              </w:rPr>
            </w:pPr>
          </w:p>
          <w:p w:rsidR="000E29C7" w:rsidRPr="00460E3D" w:rsidRDefault="000E29C7" w:rsidP="001601B6">
            <w:pPr>
              <w:rPr>
                <w:rFonts w:ascii="Times New Roman" w:hAnsi="Times New Roman"/>
                <w:i/>
                <w:sz w:val="22"/>
              </w:rPr>
            </w:pPr>
          </w:p>
          <w:p w:rsidR="000E29C7" w:rsidRPr="00460E3D" w:rsidRDefault="000E29C7" w:rsidP="001601B6">
            <w:pPr>
              <w:rPr>
                <w:rFonts w:ascii="Times New Roman" w:hAnsi="Times New Roman"/>
                <w:i/>
                <w:sz w:val="22"/>
              </w:rPr>
            </w:pPr>
          </w:p>
          <w:p w:rsidR="000E29C7" w:rsidRPr="00460E3D" w:rsidRDefault="000E29C7" w:rsidP="001601B6">
            <w:pPr>
              <w:rPr>
                <w:rFonts w:ascii="Times New Roman" w:hAnsi="Times New Roman"/>
                <w:sz w:val="22"/>
              </w:rPr>
            </w:pPr>
          </w:p>
          <w:p w:rsidR="000E29C7" w:rsidRPr="00460E3D" w:rsidRDefault="000E29C7" w:rsidP="001601B6">
            <w:pPr>
              <w:rPr>
                <w:rFonts w:ascii="Times New Roman" w:hAnsi="Times New Roman"/>
                <w:sz w:val="22"/>
              </w:rPr>
            </w:pPr>
          </w:p>
        </w:tc>
      </w:tr>
    </w:tbl>
    <w:p w:rsidR="000E29C7" w:rsidRPr="00460E3D" w:rsidRDefault="000E29C7" w:rsidP="000E29C7">
      <w:pPr>
        <w:jc w:val="left"/>
        <w:rPr>
          <w:rFonts w:eastAsia="Calibri"/>
          <w:szCs w:val="24"/>
          <w:lang w:eastAsia="en-US"/>
        </w:rPr>
      </w:pPr>
    </w:p>
    <w:p w:rsidR="000E29C7" w:rsidRPr="00460E3D" w:rsidRDefault="000E29C7" w:rsidP="000E29C7">
      <w:pPr>
        <w:ind w:left="360"/>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0E29C7" w:rsidRPr="00C0062E" w:rsidTr="001601B6">
        <w:tc>
          <w:tcPr>
            <w:tcW w:w="9212" w:type="dxa"/>
            <w:shd w:val="clear" w:color="auto" w:fill="8DB3E2" w:themeFill="text2" w:themeFillTint="66"/>
          </w:tcPr>
          <w:p w:rsidR="000E29C7" w:rsidRPr="00460E3D" w:rsidRDefault="00771441" w:rsidP="006614FF">
            <w:pPr>
              <w:ind w:left="360"/>
              <w:jc w:val="left"/>
              <w:rPr>
                <w:rFonts w:ascii="Times New Roman" w:hAnsi="Times New Roman"/>
                <w:b/>
                <w:sz w:val="22"/>
              </w:rPr>
            </w:pPr>
            <w:r>
              <w:rPr>
                <w:b/>
                <w:sz w:val="22"/>
              </w:rPr>
              <w:t>7</w:t>
            </w:r>
            <w:r w:rsidR="000E29C7" w:rsidRPr="00C0062E">
              <w:rPr>
                <w:b/>
                <w:sz w:val="22"/>
              </w:rPr>
              <w:t xml:space="preserve">.3. </w:t>
            </w:r>
            <w:r w:rsidR="000E29C7">
              <w:rPr>
                <w:b/>
                <w:sz w:val="22"/>
              </w:rPr>
              <w:t xml:space="preserve">Présentation des mesures de protection des données </w:t>
            </w:r>
            <w:r w:rsidR="00D47F13">
              <w:rPr>
                <w:b/>
                <w:sz w:val="22"/>
              </w:rPr>
              <w:t>de paiement sensibles</w:t>
            </w:r>
            <w:r w:rsidR="000E29C7" w:rsidRPr="00C0062E">
              <w:rPr>
                <w:b/>
                <w:sz w:val="22"/>
              </w:rPr>
              <w:t xml:space="preserve"> </w:t>
            </w:r>
          </w:p>
        </w:tc>
      </w:tr>
    </w:tbl>
    <w:p w:rsidR="000E29C7" w:rsidRPr="00460E3D" w:rsidRDefault="000E29C7" w:rsidP="000E29C7">
      <w:pPr>
        <w:jc w:val="left"/>
        <w:rPr>
          <w:rFonts w:eastAsia="Calibri"/>
          <w:szCs w:val="24"/>
          <w:lang w:eastAsia="en-US"/>
        </w:rPr>
      </w:pPr>
    </w:p>
    <w:tbl>
      <w:tblPr>
        <w:tblStyle w:val="Grilledutableau"/>
        <w:tblW w:w="0" w:type="auto"/>
        <w:tblLook w:val="04A0" w:firstRow="1" w:lastRow="0" w:firstColumn="1" w:lastColumn="0" w:noHBand="0" w:noVBand="1"/>
      </w:tblPr>
      <w:tblGrid>
        <w:gridCol w:w="9060"/>
      </w:tblGrid>
      <w:tr w:rsidR="000E29C7" w:rsidTr="000E29C7">
        <w:tc>
          <w:tcPr>
            <w:tcW w:w="9210" w:type="dxa"/>
          </w:tcPr>
          <w:p w:rsidR="000E29C7" w:rsidRPr="00D63D99" w:rsidRDefault="0022034D" w:rsidP="005A28EA">
            <w:pPr>
              <w:jc w:val="left"/>
              <w:rPr>
                <w:rFonts w:asciiTheme="minorHAnsi" w:eastAsia="Calibri" w:hAnsiTheme="minorHAnsi" w:cstheme="minorHAnsi"/>
                <w:i/>
                <w:sz w:val="22"/>
                <w:szCs w:val="22"/>
                <w:lang w:eastAsia="en-US"/>
              </w:rPr>
            </w:pPr>
            <w:r>
              <w:rPr>
                <w:rFonts w:asciiTheme="minorHAnsi" w:eastAsia="Calibri" w:hAnsiTheme="minorHAnsi" w:cstheme="minorHAnsi"/>
                <w:i/>
                <w:sz w:val="22"/>
                <w:szCs w:val="22"/>
                <w:lang w:eastAsia="en-US"/>
              </w:rPr>
              <w:t>Décrire les mesures en place pour préserver la confidentialité et l’intégrité des données de paiement sensibles.</w:t>
            </w:r>
          </w:p>
          <w:p w:rsidR="000E29C7" w:rsidRDefault="000E29C7" w:rsidP="005A28EA">
            <w:pPr>
              <w:jc w:val="left"/>
              <w:rPr>
                <w:rFonts w:eastAsia="Calibri"/>
                <w:b/>
                <w:szCs w:val="24"/>
                <w:lang w:eastAsia="en-US"/>
              </w:rPr>
            </w:pPr>
          </w:p>
          <w:p w:rsidR="000E29C7" w:rsidRDefault="000E29C7" w:rsidP="005A28EA">
            <w:pPr>
              <w:jc w:val="left"/>
              <w:rPr>
                <w:rFonts w:eastAsia="Calibri"/>
                <w:b/>
                <w:szCs w:val="24"/>
                <w:lang w:eastAsia="en-US"/>
              </w:rPr>
            </w:pPr>
          </w:p>
          <w:p w:rsidR="000E29C7" w:rsidRDefault="000E29C7" w:rsidP="005A28EA">
            <w:pPr>
              <w:jc w:val="left"/>
              <w:rPr>
                <w:rFonts w:eastAsia="Calibri"/>
                <w:b/>
                <w:szCs w:val="24"/>
                <w:lang w:eastAsia="en-US"/>
              </w:rPr>
            </w:pPr>
          </w:p>
          <w:p w:rsidR="000E29C7" w:rsidRDefault="000E29C7" w:rsidP="005A28EA">
            <w:pPr>
              <w:jc w:val="left"/>
              <w:rPr>
                <w:rFonts w:eastAsia="Calibri"/>
                <w:b/>
                <w:szCs w:val="24"/>
                <w:lang w:eastAsia="en-US"/>
              </w:rPr>
            </w:pPr>
          </w:p>
          <w:p w:rsidR="000E29C7" w:rsidRDefault="000E29C7" w:rsidP="005A28EA">
            <w:pPr>
              <w:jc w:val="left"/>
              <w:rPr>
                <w:rFonts w:eastAsia="Calibri"/>
                <w:b/>
                <w:szCs w:val="24"/>
                <w:lang w:eastAsia="en-US"/>
              </w:rPr>
            </w:pPr>
          </w:p>
          <w:p w:rsidR="000E29C7" w:rsidRDefault="000E29C7" w:rsidP="005A28EA">
            <w:pPr>
              <w:jc w:val="left"/>
              <w:rPr>
                <w:rFonts w:eastAsia="Calibri"/>
                <w:b/>
                <w:szCs w:val="24"/>
                <w:lang w:eastAsia="en-US"/>
              </w:rPr>
            </w:pPr>
          </w:p>
        </w:tc>
      </w:tr>
    </w:tbl>
    <w:p w:rsidR="005A28EA" w:rsidRDefault="005A28EA" w:rsidP="005A28EA">
      <w:pPr>
        <w:jc w:val="left"/>
        <w:rPr>
          <w:rFonts w:eastAsia="Calibri"/>
          <w:b/>
          <w:szCs w:val="24"/>
          <w:lang w:eastAsia="en-US"/>
        </w:rPr>
      </w:pPr>
    </w:p>
    <w:p w:rsidR="000E29C7" w:rsidRDefault="000E29C7" w:rsidP="005A28EA">
      <w:pPr>
        <w:jc w:val="left"/>
        <w:rPr>
          <w:rFonts w:eastAsia="Calibri"/>
          <w:b/>
          <w:szCs w:val="24"/>
          <w:lang w:eastAsia="en-US"/>
        </w:rPr>
      </w:pPr>
    </w:p>
    <w:p w:rsidR="000E29C7" w:rsidRDefault="000E29C7" w:rsidP="005A28EA">
      <w:pPr>
        <w:jc w:val="left"/>
        <w:rPr>
          <w:rFonts w:eastAsia="Calibri"/>
          <w:b/>
          <w:szCs w:val="24"/>
          <w:lang w:eastAsia="en-US"/>
        </w:rPr>
      </w:pPr>
    </w:p>
    <w:p w:rsidR="000E29C7" w:rsidRDefault="000E29C7" w:rsidP="005A28EA">
      <w:pPr>
        <w:jc w:val="left"/>
        <w:rPr>
          <w:rFonts w:eastAsia="Calibri"/>
          <w:b/>
          <w:szCs w:val="24"/>
          <w:lang w:eastAsia="en-US"/>
        </w:rPr>
      </w:pPr>
    </w:p>
    <w:p w:rsidR="000E29C7" w:rsidRDefault="000E29C7" w:rsidP="005A28EA">
      <w:pPr>
        <w:jc w:val="left"/>
        <w:rPr>
          <w:rFonts w:eastAsia="Calibri"/>
          <w:b/>
          <w:szCs w:val="24"/>
          <w:lang w:eastAsia="en-US"/>
        </w:rPr>
      </w:pPr>
    </w:p>
    <w:p w:rsidR="000E29C7" w:rsidRPr="00460E3D" w:rsidRDefault="000E29C7" w:rsidP="005A28EA">
      <w:pPr>
        <w:jc w:val="left"/>
        <w:rPr>
          <w:rFonts w:eastAsia="Calibri"/>
          <w:b/>
          <w:szCs w:val="24"/>
          <w:lang w:eastAsia="en-US"/>
        </w:rPr>
        <w:sectPr w:rsidR="000E29C7" w:rsidRPr="00460E3D" w:rsidSect="005A28EA">
          <w:pgSz w:w="11906" w:h="16838"/>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567"/>
      </w:tblGrid>
      <w:tr w:rsidR="005A28EA" w:rsidRPr="00C0062E" w:rsidTr="005A28EA">
        <w:tc>
          <w:tcPr>
            <w:tcW w:w="14567" w:type="dxa"/>
            <w:shd w:val="clear" w:color="auto" w:fill="FFFFFF" w:themeFill="background1"/>
          </w:tcPr>
          <w:p w:rsidR="005A28EA" w:rsidRPr="00460E3D" w:rsidRDefault="005A28EA" w:rsidP="005A28EA">
            <w:pPr>
              <w:jc w:val="left"/>
              <w:rPr>
                <w:rFonts w:ascii="Times New Roman" w:hAnsi="Times New Roman"/>
                <w:b/>
                <w:smallCaps/>
                <w:color w:val="1F497D"/>
                <w:sz w:val="28"/>
              </w:rPr>
            </w:pPr>
            <w:r w:rsidRPr="00460E3D">
              <w:rPr>
                <w:b/>
                <w:smallCaps/>
                <w:color w:val="1F497D"/>
                <w:sz w:val="28"/>
              </w:rPr>
              <w:lastRenderedPageBreak/>
              <w:t>II - Présentation des résultats du contrôle périodique sur le périmètre des moyens de paiement scripturaux</w:t>
            </w:r>
            <w:r w:rsidR="001505E4">
              <w:rPr>
                <w:b/>
                <w:smallCaps/>
                <w:color w:val="1F497D"/>
                <w:sz w:val="28"/>
              </w:rPr>
              <w:t xml:space="preserve"> et de l’accès aux comptes</w:t>
            </w:r>
          </w:p>
        </w:tc>
      </w:tr>
    </w:tbl>
    <w:p w:rsidR="005A28EA" w:rsidRPr="00460E3D" w:rsidRDefault="005A28EA" w:rsidP="005A28EA">
      <w:pPr>
        <w:jc w:val="left"/>
        <w:rPr>
          <w:rFonts w:eastAsia="Calibri"/>
          <w:i/>
          <w:sz w:val="22"/>
          <w:szCs w:val="22"/>
          <w:lang w:eastAsia="en-US"/>
        </w:rPr>
      </w:pPr>
    </w:p>
    <w:p w:rsidR="005A28EA" w:rsidRPr="00460E3D" w:rsidRDefault="005A28EA" w:rsidP="005A28EA">
      <w:pPr>
        <w:spacing w:after="200" w:line="276" w:lineRule="auto"/>
        <w:jc w:val="left"/>
        <w:rPr>
          <w:rFonts w:eastAsia="Calibri"/>
          <w:i/>
          <w:sz w:val="22"/>
          <w:szCs w:val="22"/>
          <w:lang w:eastAsia="en-US"/>
        </w:rPr>
      </w:pPr>
      <w:r w:rsidRPr="00460E3D">
        <w:rPr>
          <w:rFonts w:eastAsia="Calibri"/>
          <w:i/>
          <w:sz w:val="22"/>
          <w:szCs w:val="22"/>
          <w:lang w:eastAsia="en-US"/>
        </w:rPr>
        <w:t>Présenter les résultats des missions du contrôle périodique menées au cours de l’année sous revue sur le périmètre des moyens de paiement scripturaux</w:t>
      </w:r>
      <w:r w:rsidR="00C30A7D">
        <w:rPr>
          <w:rFonts w:eastAsia="Calibri"/>
          <w:i/>
          <w:sz w:val="22"/>
          <w:szCs w:val="22"/>
          <w:lang w:eastAsia="en-US"/>
        </w:rPr>
        <w:t xml:space="preserve"> (y compris les missions inter inspections générales conduites auprès des prestataires de service essentielles externalisées</w:t>
      </w:r>
      <w:r w:rsidR="001C5B1C">
        <w:rPr>
          <w:rFonts w:eastAsia="Calibri"/>
          <w:i/>
          <w:sz w:val="22"/>
          <w:szCs w:val="22"/>
          <w:lang w:eastAsia="en-US"/>
        </w:rPr>
        <w:t>)</w:t>
      </w:r>
      <w:r w:rsidRPr="00460E3D">
        <w:rPr>
          <w:rFonts w:eastAsia="Calibri"/>
          <w:i/>
          <w:sz w:val="22"/>
          <w:szCs w:val="22"/>
          <w:lang w:eastAsia="en-US"/>
        </w:rPr>
        <w:t>.</w:t>
      </w:r>
    </w:p>
    <w:tbl>
      <w:tblPr>
        <w:tblStyle w:val="Grilledutableau2"/>
        <w:tblW w:w="14567" w:type="dxa"/>
        <w:tblLook w:val="04A0" w:firstRow="1" w:lastRow="0" w:firstColumn="1" w:lastColumn="0" w:noHBand="0" w:noVBand="1"/>
      </w:tblPr>
      <w:tblGrid>
        <w:gridCol w:w="2376"/>
        <w:gridCol w:w="4111"/>
        <w:gridCol w:w="8080"/>
      </w:tblGrid>
      <w:tr w:rsidR="005A28EA" w:rsidRPr="00C0062E" w:rsidTr="005A28EA">
        <w:tc>
          <w:tcPr>
            <w:tcW w:w="2376" w:type="dxa"/>
            <w:shd w:val="clear" w:color="auto" w:fill="FBD4B4" w:themeFill="accent6" w:themeFillTint="66"/>
            <w:vAlign w:val="center"/>
          </w:tcPr>
          <w:p w:rsidR="005A28EA" w:rsidRPr="00460E3D" w:rsidRDefault="005A28EA" w:rsidP="005A28EA">
            <w:pPr>
              <w:jc w:val="center"/>
              <w:rPr>
                <w:rFonts w:ascii="Times New Roman" w:hAnsi="Times New Roman"/>
                <w:b/>
                <w:sz w:val="22"/>
              </w:rPr>
            </w:pPr>
            <w:r w:rsidRPr="00C0062E">
              <w:rPr>
                <w:b/>
                <w:sz w:val="22"/>
              </w:rPr>
              <w:t>Intitulé de la mission</w:t>
            </w:r>
          </w:p>
        </w:tc>
        <w:tc>
          <w:tcPr>
            <w:tcW w:w="4111" w:type="dxa"/>
            <w:shd w:val="clear" w:color="auto" w:fill="FBD4B4" w:themeFill="accent6" w:themeFillTint="66"/>
            <w:vAlign w:val="center"/>
          </w:tcPr>
          <w:p w:rsidR="005A28EA" w:rsidRPr="00460E3D" w:rsidRDefault="005A28EA" w:rsidP="005A28EA">
            <w:pPr>
              <w:jc w:val="center"/>
              <w:rPr>
                <w:rFonts w:ascii="Times New Roman" w:hAnsi="Times New Roman"/>
                <w:b/>
                <w:sz w:val="22"/>
              </w:rPr>
            </w:pPr>
            <w:r w:rsidRPr="00C0062E">
              <w:rPr>
                <w:b/>
                <w:sz w:val="22"/>
              </w:rPr>
              <w:t>Périmètre et objectifs de la mission</w:t>
            </w:r>
          </w:p>
        </w:tc>
        <w:tc>
          <w:tcPr>
            <w:tcW w:w="8080" w:type="dxa"/>
            <w:shd w:val="clear" w:color="auto" w:fill="FBD4B4" w:themeFill="accent6" w:themeFillTint="66"/>
            <w:vAlign w:val="center"/>
          </w:tcPr>
          <w:p w:rsidR="005A28EA" w:rsidRPr="00460E3D" w:rsidRDefault="005A28EA" w:rsidP="005A28EA">
            <w:pPr>
              <w:jc w:val="center"/>
              <w:rPr>
                <w:rFonts w:ascii="Times New Roman" w:hAnsi="Times New Roman"/>
                <w:b/>
                <w:sz w:val="22"/>
              </w:rPr>
            </w:pPr>
            <w:r w:rsidRPr="00C0062E">
              <w:rPr>
                <w:b/>
                <w:sz w:val="22"/>
              </w:rPr>
              <w:t>Principaux constats et recommandations en termes de sécurité des moyens de paiement scripturaux et échéance de leur mise en œuvre</w:t>
            </w:r>
          </w:p>
        </w:tc>
      </w:tr>
      <w:tr w:rsidR="005A28EA" w:rsidRPr="00C0062E" w:rsidTr="005A28EA">
        <w:tc>
          <w:tcPr>
            <w:tcW w:w="2376" w:type="dxa"/>
          </w:tcPr>
          <w:p w:rsidR="005A28EA" w:rsidRPr="00460E3D" w:rsidRDefault="005A28EA" w:rsidP="005A28EA">
            <w:pPr>
              <w:jc w:val="left"/>
              <w:rPr>
                <w:rFonts w:ascii="Times New Roman" w:hAnsi="Times New Roman"/>
                <w:b/>
                <w:sz w:val="22"/>
              </w:rPr>
            </w:pPr>
          </w:p>
          <w:p w:rsidR="005A28EA" w:rsidRPr="00460E3D" w:rsidRDefault="005A28EA" w:rsidP="005A28EA">
            <w:pPr>
              <w:jc w:val="left"/>
              <w:rPr>
                <w:rFonts w:ascii="Times New Roman" w:hAnsi="Times New Roman"/>
                <w:b/>
                <w:sz w:val="22"/>
              </w:rPr>
            </w:pPr>
          </w:p>
          <w:p w:rsidR="005A28EA" w:rsidRPr="00460E3D" w:rsidRDefault="005A28EA" w:rsidP="005A28EA">
            <w:pPr>
              <w:jc w:val="left"/>
              <w:rPr>
                <w:rFonts w:ascii="Times New Roman" w:hAnsi="Times New Roman"/>
                <w:b/>
                <w:sz w:val="22"/>
              </w:rPr>
            </w:pPr>
          </w:p>
          <w:p w:rsidR="005A28EA" w:rsidRPr="00460E3D" w:rsidRDefault="005A28EA" w:rsidP="005A28EA">
            <w:pPr>
              <w:jc w:val="left"/>
              <w:rPr>
                <w:rFonts w:ascii="Times New Roman" w:hAnsi="Times New Roman"/>
                <w:b/>
                <w:sz w:val="22"/>
              </w:rPr>
            </w:pPr>
          </w:p>
          <w:p w:rsidR="005A28EA" w:rsidRPr="00460E3D" w:rsidRDefault="005A28EA" w:rsidP="005A28EA">
            <w:pPr>
              <w:jc w:val="left"/>
              <w:rPr>
                <w:rFonts w:ascii="Times New Roman" w:hAnsi="Times New Roman"/>
                <w:b/>
                <w:sz w:val="22"/>
              </w:rPr>
            </w:pPr>
          </w:p>
          <w:p w:rsidR="005A28EA" w:rsidRPr="00460E3D" w:rsidRDefault="005A28EA" w:rsidP="005A28EA">
            <w:pPr>
              <w:jc w:val="left"/>
              <w:rPr>
                <w:rFonts w:ascii="Times New Roman" w:hAnsi="Times New Roman"/>
                <w:b/>
                <w:sz w:val="22"/>
              </w:rPr>
            </w:pPr>
          </w:p>
          <w:p w:rsidR="005A28EA" w:rsidRPr="00460E3D" w:rsidRDefault="005A28EA" w:rsidP="005A28EA">
            <w:pPr>
              <w:jc w:val="left"/>
              <w:rPr>
                <w:rFonts w:ascii="Times New Roman" w:hAnsi="Times New Roman"/>
                <w:b/>
                <w:sz w:val="22"/>
              </w:rPr>
            </w:pPr>
          </w:p>
        </w:tc>
        <w:tc>
          <w:tcPr>
            <w:tcW w:w="4111" w:type="dxa"/>
          </w:tcPr>
          <w:p w:rsidR="005A28EA" w:rsidRPr="00460E3D" w:rsidRDefault="005A28EA" w:rsidP="005A28EA">
            <w:pPr>
              <w:jc w:val="left"/>
              <w:rPr>
                <w:rFonts w:ascii="Times New Roman" w:hAnsi="Times New Roman"/>
                <w:b/>
                <w:sz w:val="22"/>
              </w:rPr>
            </w:pPr>
          </w:p>
        </w:tc>
        <w:tc>
          <w:tcPr>
            <w:tcW w:w="8080" w:type="dxa"/>
          </w:tcPr>
          <w:p w:rsidR="005A28EA" w:rsidRPr="00460E3D" w:rsidRDefault="005A28EA" w:rsidP="005A28EA">
            <w:pPr>
              <w:jc w:val="left"/>
              <w:rPr>
                <w:rFonts w:ascii="Times New Roman" w:hAnsi="Times New Roman"/>
                <w:b/>
                <w:sz w:val="22"/>
              </w:rPr>
            </w:pPr>
          </w:p>
        </w:tc>
      </w:tr>
      <w:tr w:rsidR="005A28EA" w:rsidRPr="00C0062E" w:rsidTr="005A28EA">
        <w:tc>
          <w:tcPr>
            <w:tcW w:w="2376" w:type="dxa"/>
          </w:tcPr>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tc>
        <w:tc>
          <w:tcPr>
            <w:tcW w:w="8080" w:type="dxa"/>
          </w:tcPr>
          <w:p w:rsidR="005A28EA" w:rsidRPr="00460E3D" w:rsidRDefault="005A28EA" w:rsidP="005A28EA">
            <w:pPr>
              <w:jc w:val="left"/>
              <w:rPr>
                <w:rFonts w:ascii="Times New Roman" w:hAnsi="Times New Roman"/>
                <w:sz w:val="22"/>
              </w:rPr>
            </w:pPr>
          </w:p>
        </w:tc>
      </w:tr>
      <w:tr w:rsidR="005A28EA" w:rsidRPr="00C0062E" w:rsidTr="005A28EA">
        <w:tc>
          <w:tcPr>
            <w:tcW w:w="2376" w:type="dxa"/>
          </w:tcPr>
          <w:p w:rsidR="005A28EA" w:rsidRPr="00460E3D" w:rsidRDefault="005A28EA" w:rsidP="005A28EA">
            <w:pPr>
              <w:jc w:val="left"/>
              <w:rPr>
                <w:rFonts w:ascii="Times New Roman" w:hAnsi="Times New Roman"/>
                <w:sz w:val="22"/>
              </w:rPr>
            </w:pPr>
          </w:p>
        </w:tc>
        <w:tc>
          <w:tcPr>
            <w:tcW w:w="4111" w:type="dxa"/>
          </w:tcPr>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p w:rsidR="005A28EA" w:rsidRPr="00460E3D" w:rsidRDefault="005A28EA" w:rsidP="005A28EA">
            <w:pPr>
              <w:jc w:val="left"/>
              <w:rPr>
                <w:rFonts w:ascii="Times New Roman" w:hAnsi="Times New Roman"/>
                <w:sz w:val="22"/>
              </w:rPr>
            </w:pPr>
          </w:p>
        </w:tc>
        <w:tc>
          <w:tcPr>
            <w:tcW w:w="8080" w:type="dxa"/>
          </w:tcPr>
          <w:p w:rsidR="005A28EA" w:rsidRPr="00460E3D" w:rsidRDefault="005A28EA" w:rsidP="005A28EA">
            <w:pPr>
              <w:jc w:val="left"/>
              <w:rPr>
                <w:rFonts w:ascii="Times New Roman" w:hAnsi="Times New Roman"/>
                <w:sz w:val="22"/>
              </w:rPr>
            </w:pPr>
          </w:p>
        </w:tc>
      </w:tr>
    </w:tbl>
    <w:p w:rsidR="005A28EA" w:rsidRPr="00460E3D" w:rsidRDefault="005A28EA" w:rsidP="005A28EA">
      <w:pPr>
        <w:spacing w:after="200" w:line="276" w:lineRule="auto"/>
        <w:jc w:val="left"/>
        <w:rPr>
          <w:rFonts w:eastAsia="Calibri"/>
          <w:szCs w:val="24"/>
          <w:lang w:eastAsia="en-US"/>
        </w:rPr>
        <w:sectPr w:rsidR="005A28EA" w:rsidRPr="00460E3D" w:rsidSect="005A28EA">
          <w:footerReference w:type="default" r:id="rId17"/>
          <w:pgSz w:w="16838" w:h="11906" w:orient="landscape"/>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345"/>
        <w:gridCol w:w="1418"/>
        <w:gridCol w:w="1559"/>
        <w:gridCol w:w="5245"/>
      </w:tblGrid>
      <w:tr w:rsidR="005A28EA" w:rsidRPr="00C0062E" w:rsidTr="005A28EA">
        <w:tc>
          <w:tcPr>
            <w:tcW w:w="14567" w:type="dxa"/>
            <w:gridSpan w:val="4"/>
            <w:shd w:val="clear" w:color="auto" w:fill="FFFFFF" w:themeFill="background1"/>
          </w:tcPr>
          <w:p w:rsidR="005A28EA" w:rsidRPr="00460E3D" w:rsidRDefault="005A28EA" w:rsidP="005A28EA">
            <w:pPr>
              <w:jc w:val="left"/>
              <w:rPr>
                <w:rFonts w:ascii="Times New Roman" w:hAnsi="Times New Roman"/>
                <w:b/>
                <w:smallCaps/>
                <w:color w:val="1F497D"/>
                <w:sz w:val="28"/>
              </w:rPr>
            </w:pPr>
            <w:r w:rsidRPr="00460E3D">
              <w:rPr>
                <w:b/>
                <w:smallCaps/>
                <w:color w:val="1F497D"/>
                <w:sz w:val="28"/>
              </w:rPr>
              <w:lastRenderedPageBreak/>
              <w:br w:type="page"/>
              <w:t>III - Évaluation de la conformité aux recommandations d’organismes externes en matière de sécurité des moyens de paiement</w:t>
            </w:r>
            <w:r w:rsidR="001505E4">
              <w:rPr>
                <w:b/>
                <w:smallCaps/>
                <w:color w:val="1F497D"/>
                <w:sz w:val="28"/>
              </w:rPr>
              <w:t xml:space="preserve"> et de sécurité de l’accès aux comptes</w:t>
            </w:r>
          </w:p>
          <w:p w:rsidR="005A28EA" w:rsidRPr="00460E3D" w:rsidRDefault="005A28EA" w:rsidP="005A28EA">
            <w:pPr>
              <w:jc w:val="left"/>
              <w:rPr>
                <w:rFonts w:ascii="Times New Roman" w:hAnsi="Times New Roman"/>
                <w:b/>
                <w:smallCaps/>
                <w:color w:val="1F497D"/>
                <w:sz w:val="28"/>
              </w:rPr>
            </w:pPr>
          </w:p>
        </w:tc>
      </w:tr>
      <w:tr w:rsidR="005A28EA" w:rsidRPr="00C0062E" w:rsidTr="005A2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blHeader/>
        </w:trPr>
        <w:tc>
          <w:tcPr>
            <w:tcW w:w="6345" w:type="dxa"/>
            <w:vMerge w:val="restart"/>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Énoncé de la recommandation</w:t>
            </w:r>
          </w:p>
        </w:tc>
        <w:tc>
          <w:tcPr>
            <w:tcW w:w="1418" w:type="dxa"/>
            <w:vMerge w:val="restart"/>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Organismes émetteurs</w:t>
            </w:r>
          </w:p>
        </w:tc>
        <w:tc>
          <w:tcPr>
            <w:tcW w:w="6804" w:type="dxa"/>
            <w:gridSpan w:val="2"/>
            <w:tcBorders>
              <w:bottom w:val="single" w:sz="4" w:space="0" w:color="auto"/>
            </w:tcBorders>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Réponse de l’établissement</w:t>
            </w:r>
          </w:p>
        </w:tc>
      </w:tr>
      <w:tr w:rsidR="005A28EA" w:rsidRPr="00C0062E" w:rsidTr="005A2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blHeader/>
        </w:trPr>
        <w:tc>
          <w:tcPr>
            <w:tcW w:w="6345" w:type="dxa"/>
            <w:vMerge/>
            <w:tcBorders>
              <w:bottom w:val="single" w:sz="4" w:space="0" w:color="auto"/>
            </w:tcBorders>
            <w:shd w:val="clear" w:color="auto" w:fill="D6E3BC" w:themeFill="accent3" w:themeFillTint="66"/>
            <w:vAlign w:val="center"/>
          </w:tcPr>
          <w:p w:rsidR="005A28EA" w:rsidRPr="00460E3D" w:rsidRDefault="005A28EA" w:rsidP="005A28EA">
            <w:pPr>
              <w:jc w:val="center"/>
              <w:rPr>
                <w:rFonts w:ascii="Times New Roman" w:hAnsi="Times New Roman"/>
                <w:b/>
                <w:sz w:val="22"/>
              </w:rPr>
            </w:pPr>
          </w:p>
        </w:tc>
        <w:tc>
          <w:tcPr>
            <w:tcW w:w="1418" w:type="dxa"/>
            <w:vMerge/>
            <w:tcBorders>
              <w:bottom w:val="single" w:sz="4" w:space="0" w:color="auto"/>
            </w:tcBorders>
            <w:shd w:val="clear" w:color="auto" w:fill="D6E3BC" w:themeFill="accent3" w:themeFillTint="66"/>
            <w:vAlign w:val="center"/>
          </w:tcPr>
          <w:p w:rsidR="005A28EA" w:rsidRPr="00460E3D" w:rsidRDefault="005A28EA" w:rsidP="005A28EA">
            <w:pPr>
              <w:jc w:val="center"/>
              <w:rPr>
                <w:rFonts w:ascii="Times New Roman" w:hAnsi="Times New Roman"/>
                <w:b/>
                <w:sz w:val="22"/>
              </w:rPr>
            </w:pPr>
          </w:p>
        </w:tc>
        <w:tc>
          <w:tcPr>
            <w:tcW w:w="1559" w:type="dxa"/>
            <w:tcBorders>
              <w:bottom w:val="single" w:sz="4" w:space="0" w:color="auto"/>
            </w:tcBorders>
            <w:shd w:val="clear" w:color="auto" w:fill="D6E3BC" w:themeFill="accent3" w:themeFillTint="66"/>
            <w:vAlign w:val="center"/>
          </w:tcPr>
          <w:p w:rsidR="005A28EA" w:rsidRPr="00460E3D" w:rsidRDefault="005A28EA" w:rsidP="005A28EA">
            <w:pPr>
              <w:jc w:val="center"/>
              <w:rPr>
                <w:rFonts w:ascii="Times New Roman" w:hAnsi="Times New Roman"/>
                <w:b/>
                <w:sz w:val="22"/>
              </w:rPr>
            </w:pPr>
            <w:r w:rsidRPr="00C0062E">
              <w:rPr>
                <w:b/>
                <w:sz w:val="22"/>
              </w:rPr>
              <w:t>Évaluation de la conformité</w:t>
            </w:r>
          </w:p>
          <w:p w:rsidR="005A28EA" w:rsidRPr="00460E3D" w:rsidRDefault="005A28EA" w:rsidP="005A28EA">
            <w:pPr>
              <w:jc w:val="center"/>
              <w:rPr>
                <w:rFonts w:ascii="Times New Roman" w:hAnsi="Times New Roman"/>
                <w:b/>
                <w:sz w:val="22"/>
              </w:rPr>
            </w:pPr>
            <w:r w:rsidRPr="00C0062E">
              <w:rPr>
                <w:sz w:val="22"/>
              </w:rPr>
              <w:t>(oui / partielle / non / N.C.)</w:t>
            </w:r>
          </w:p>
        </w:tc>
        <w:tc>
          <w:tcPr>
            <w:tcW w:w="5245" w:type="dxa"/>
            <w:tcBorders>
              <w:bottom w:val="single" w:sz="4" w:space="0" w:color="auto"/>
            </w:tcBorders>
            <w:shd w:val="clear" w:color="auto" w:fill="D6E3BC" w:themeFill="accent3" w:themeFillTint="66"/>
            <w:vAlign w:val="center"/>
          </w:tcPr>
          <w:p w:rsidR="003B0563" w:rsidRDefault="005A28EA" w:rsidP="005A28EA">
            <w:pPr>
              <w:jc w:val="center"/>
              <w:rPr>
                <w:b/>
                <w:sz w:val="22"/>
              </w:rPr>
            </w:pPr>
            <w:r w:rsidRPr="00C0062E">
              <w:rPr>
                <w:b/>
                <w:sz w:val="22"/>
              </w:rPr>
              <w:t>Commentaires sur l’évaluation</w:t>
            </w:r>
            <w:r w:rsidR="003B0563">
              <w:rPr>
                <w:b/>
                <w:sz w:val="22"/>
              </w:rPr>
              <w:t xml:space="preserve"> </w:t>
            </w:r>
          </w:p>
          <w:p w:rsidR="005A28EA" w:rsidRPr="00460E3D" w:rsidRDefault="003B0563" w:rsidP="005A28EA">
            <w:pPr>
              <w:jc w:val="center"/>
              <w:rPr>
                <w:rFonts w:ascii="Times New Roman" w:hAnsi="Times New Roman"/>
                <w:b/>
                <w:sz w:val="22"/>
              </w:rPr>
            </w:pPr>
            <w:r>
              <w:rPr>
                <w:b/>
                <w:sz w:val="22"/>
              </w:rPr>
              <w:t>(en cas de non-conformité ou conformité partielle)</w:t>
            </w:r>
          </w:p>
        </w:tc>
      </w:tr>
      <w:tr w:rsidR="005A28EA" w:rsidRPr="00C0062E" w:rsidTr="005A2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14567" w:type="dxa"/>
            <w:gridSpan w:val="4"/>
            <w:shd w:val="clear" w:color="auto" w:fill="8DB3E2" w:themeFill="text2" w:themeFillTint="66"/>
            <w:vAlign w:val="center"/>
          </w:tcPr>
          <w:p w:rsidR="005A28EA" w:rsidRPr="00460E3D" w:rsidRDefault="00945963" w:rsidP="00440972">
            <w:pPr>
              <w:jc w:val="left"/>
              <w:rPr>
                <w:rFonts w:ascii="Times New Roman" w:hAnsi="Times New Roman"/>
                <w:b/>
                <w:szCs w:val="24"/>
              </w:rPr>
            </w:pPr>
            <w:r>
              <w:rPr>
                <w:b/>
                <w:szCs w:val="24"/>
              </w:rPr>
              <w:t xml:space="preserve">Mesures de prévention </w:t>
            </w:r>
            <w:r w:rsidR="005A28EA" w:rsidRPr="00C0062E">
              <w:rPr>
                <w:b/>
                <w:szCs w:val="24"/>
              </w:rPr>
              <w:t>des risques spécifiques</w:t>
            </w:r>
          </w:p>
        </w:tc>
      </w:tr>
      <w:tr w:rsidR="005A28EA" w:rsidRPr="00C0062E" w:rsidTr="005A2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Pr>
          <w:p w:rsidR="005A28EA" w:rsidRPr="00460E3D" w:rsidRDefault="005A28EA" w:rsidP="005A28EA">
            <w:pPr>
              <w:rPr>
                <w:rFonts w:ascii="Times New Roman" w:hAnsi="Times New Roman"/>
                <w:sz w:val="22"/>
              </w:rPr>
            </w:pPr>
            <w:r w:rsidRPr="00C0062E">
              <w:rPr>
                <w:sz w:val="22"/>
              </w:rPr>
              <w:t>Les dispositifs d'émission immédiate de cartes en agence ou en magasin ("</w:t>
            </w:r>
            <w:r w:rsidRPr="00C0062E">
              <w:rPr>
                <w:i/>
                <w:sz w:val="22"/>
              </w:rPr>
              <w:t>Instant issuing</w:t>
            </w:r>
            <w:r w:rsidRPr="00C0062E">
              <w:rPr>
                <w:sz w:val="22"/>
              </w:rPr>
              <w:t>") font l'objet d'une analyse de risques afin d'ajuster leur niveau de sécurité de façon permanente.</w:t>
            </w:r>
          </w:p>
        </w:tc>
        <w:tc>
          <w:tcPr>
            <w:tcW w:w="1418" w:type="dxa"/>
            <w:vAlign w:val="center"/>
          </w:tcPr>
          <w:p w:rsidR="005A28EA" w:rsidRPr="00460E3D" w:rsidRDefault="005A28EA" w:rsidP="005A28EA">
            <w:pPr>
              <w:jc w:val="center"/>
              <w:rPr>
                <w:rFonts w:ascii="Times New Roman" w:hAnsi="Times New Roman"/>
                <w:sz w:val="22"/>
              </w:rPr>
            </w:pPr>
            <w:r w:rsidRPr="00C0062E">
              <w:rPr>
                <w:sz w:val="22"/>
              </w:rPr>
              <w:t>OSCP</w:t>
            </w:r>
          </w:p>
        </w:tc>
        <w:tc>
          <w:tcPr>
            <w:tcW w:w="1559" w:type="dxa"/>
          </w:tcPr>
          <w:p w:rsidR="005A28EA" w:rsidRPr="00460E3D" w:rsidRDefault="005A28EA" w:rsidP="005A28EA">
            <w:pPr>
              <w:jc w:val="left"/>
              <w:rPr>
                <w:rFonts w:ascii="Times New Roman" w:hAnsi="Times New Roman"/>
                <w:szCs w:val="24"/>
              </w:rPr>
            </w:pPr>
          </w:p>
        </w:tc>
        <w:tc>
          <w:tcPr>
            <w:tcW w:w="5245" w:type="dxa"/>
          </w:tcPr>
          <w:p w:rsidR="005A28EA" w:rsidRPr="00460E3D" w:rsidRDefault="005A28EA" w:rsidP="005A28EA">
            <w:pPr>
              <w:jc w:val="left"/>
              <w:rPr>
                <w:rFonts w:ascii="Times New Roman" w:hAnsi="Times New Roman"/>
                <w:szCs w:val="24"/>
              </w:rPr>
            </w:pPr>
          </w:p>
        </w:tc>
      </w:tr>
      <w:tr w:rsidR="005A28EA" w:rsidRPr="00C0062E" w:rsidTr="005A2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tcPr>
          <w:p w:rsidR="005A28EA" w:rsidRPr="00460E3D" w:rsidRDefault="005A28EA" w:rsidP="00440972">
            <w:pPr>
              <w:rPr>
                <w:rFonts w:ascii="Times New Roman" w:hAnsi="Times New Roman"/>
                <w:sz w:val="22"/>
              </w:rPr>
            </w:pPr>
            <w:r w:rsidRPr="00C0062E">
              <w:rPr>
                <w:sz w:val="22"/>
              </w:rPr>
              <w:t xml:space="preserve">Les mesures de sécurité PCI sont adoptées et mises en place sur l'ensemble </w:t>
            </w:r>
            <w:r w:rsidR="00945963" w:rsidRPr="00C0062E">
              <w:rPr>
                <w:sz w:val="22"/>
              </w:rPr>
              <w:t>d</w:t>
            </w:r>
            <w:r w:rsidR="00945963">
              <w:rPr>
                <w:sz w:val="22"/>
              </w:rPr>
              <w:t>es</w:t>
            </w:r>
            <w:r w:rsidR="00945963" w:rsidRPr="00C0062E">
              <w:rPr>
                <w:sz w:val="22"/>
              </w:rPr>
              <w:t xml:space="preserve"> </w:t>
            </w:r>
            <w:r w:rsidRPr="00C0062E">
              <w:rPr>
                <w:sz w:val="22"/>
              </w:rPr>
              <w:t>processus d'acceptation et d'acquisition des cartes de paiement.</w:t>
            </w:r>
          </w:p>
        </w:tc>
        <w:tc>
          <w:tcPr>
            <w:tcW w:w="1418" w:type="dxa"/>
            <w:tcBorders>
              <w:bottom w:val="single" w:sz="4" w:space="0" w:color="auto"/>
            </w:tcBorders>
            <w:vAlign w:val="center"/>
          </w:tcPr>
          <w:p w:rsidR="005A28EA" w:rsidRPr="00460E3D" w:rsidRDefault="005A28EA" w:rsidP="005A28EA">
            <w:pPr>
              <w:jc w:val="center"/>
              <w:rPr>
                <w:rFonts w:ascii="Times New Roman" w:hAnsi="Times New Roman"/>
                <w:sz w:val="22"/>
              </w:rPr>
            </w:pPr>
            <w:r w:rsidRPr="00C0062E">
              <w:rPr>
                <w:sz w:val="22"/>
              </w:rPr>
              <w:t>OSCP</w:t>
            </w:r>
          </w:p>
        </w:tc>
        <w:tc>
          <w:tcPr>
            <w:tcW w:w="1559" w:type="dxa"/>
            <w:tcBorders>
              <w:bottom w:val="single" w:sz="4" w:space="0" w:color="auto"/>
            </w:tcBorders>
          </w:tcPr>
          <w:p w:rsidR="005A28EA" w:rsidRPr="00460E3D" w:rsidRDefault="005A28EA" w:rsidP="005A28EA">
            <w:pPr>
              <w:jc w:val="left"/>
              <w:rPr>
                <w:rFonts w:ascii="Times New Roman" w:hAnsi="Times New Roman"/>
                <w:szCs w:val="24"/>
              </w:rPr>
            </w:pPr>
          </w:p>
        </w:tc>
        <w:tc>
          <w:tcPr>
            <w:tcW w:w="5245" w:type="dxa"/>
            <w:tcBorders>
              <w:bottom w:val="single" w:sz="4" w:space="0" w:color="auto"/>
            </w:tcBorders>
          </w:tcPr>
          <w:p w:rsidR="005A28EA" w:rsidRPr="00460E3D" w:rsidRDefault="005A28EA" w:rsidP="005A28EA">
            <w:pPr>
              <w:jc w:val="left"/>
              <w:rPr>
                <w:rFonts w:ascii="Times New Roman" w:hAnsi="Times New Roman"/>
                <w:szCs w:val="24"/>
              </w:rPr>
            </w:pPr>
          </w:p>
        </w:tc>
      </w:tr>
      <w:tr w:rsidR="00945963" w:rsidRPr="00C0062E" w:rsidTr="005A2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tcPr>
          <w:p w:rsidR="00945963" w:rsidRPr="00C0062E" w:rsidRDefault="00945963">
            <w:pPr>
              <w:rPr>
                <w:sz w:val="22"/>
              </w:rPr>
            </w:pPr>
            <w:r>
              <w:rPr>
                <w:sz w:val="22"/>
              </w:rPr>
              <w:t xml:space="preserve">Les solutions de type </w:t>
            </w:r>
            <w:r w:rsidRPr="00D63D99">
              <w:rPr>
                <w:i/>
                <w:sz w:val="22"/>
              </w:rPr>
              <w:t>m-POS</w:t>
            </w:r>
            <w:r>
              <w:rPr>
                <w:sz w:val="22"/>
              </w:rPr>
              <w:t xml:space="preserve"> commercialisées par l’établissement doivent respecter les exigences applicables aux terminaux classiques et s’appuyer sur des protocoles de communication entre les différents composants de la solution qui limitent au strict nécessaire la capacité d’accès de l’appareil mobile aux données de transaction.</w:t>
            </w:r>
          </w:p>
        </w:tc>
        <w:tc>
          <w:tcPr>
            <w:tcW w:w="1418" w:type="dxa"/>
            <w:tcBorders>
              <w:bottom w:val="single" w:sz="4" w:space="0" w:color="auto"/>
            </w:tcBorders>
            <w:vAlign w:val="center"/>
          </w:tcPr>
          <w:p w:rsidR="00945963" w:rsidRPr="00C0062E" w:rsidRDefault="00945963" w:rsidP="005A28EA">
            <w:pPr>
              <w:jc w:val="center"/>
              <w:rPr>
                <w:sz w:val="22"/>
              </w:rPr>
            </w:pPr>
            <w:r>
              <w:rPr>
                <w:sz w:val="22"/>
              </w:rPr>
              <w:t>OSMP</w:t>
            </w:r>
          </w:p>
        </w:tc>
        <w:tc>
          <w:tcPr>
            <w:tcW w:w="1559" w:type="dxa"/>
            <w:tcBorders>
              <w:bottom w:val="single" w:sz="4" w:space="0" w:color="auto"/>
            </w:tcBorders>
          </w:tcPr>
          <w:p w:rsidR="00945963" w:rsidRPr="00460E3D" w:rsidRDefault="00945963" w:rsidP="005A28EA">
            <w:pPr>
              <w:jc w:val="left"/>
              <w:rPr>
                <w:szCs w:val="24"/>
              </w:rPr>
            </w:pPr>
          </w:p>
        </w:tc>
        <w:tc>
          <w:tcPr>
            <w:tcW w:w="5245" w:type="dxa"/>
            <w:tcBorders>
              <w:bottom w:val="single" w:sz="4" w:space="0" w:color="auto"/>
            </w:tcBorders>
          </w:tcPr>
          <w:p w:rsidR="00945963" w:rsidRPr="00460E3D" w:rsidRDefault="00945963" w:rsidP="005A28EA">
            <w:pPr>
              <w:jc w:val="left"/>
              <w:rPr>
                <w:szCs w:val="24"/>
              </w:rPr>
            </w:pPr>
          </w:p>
        </w:tc>
      </w:tr>
    </w:tbl>
    <w:p w:rsidR="00476B0A" w:rsidRDefault="00476B0A">
      <w:r>
        <w:br w:type="page"/>
      </w:r>
    </w:p>
    <w:tbl>
      <w:tblPr>
        <w:tblStyle w:val="Grilledutableau2"/>
        <w:tblW w:w="14567" w:type="dxa"/>
        <w:tblLook w:val="04A0" w:firstRow="1" w:lastRow="0" w:firstColumn="1" w:lastColumn="0" w:noHBand="0" w:noVBand="1"/>
      </w:tblPr>
      <w:tblGrid>
        <w:gridCol w:w="6345"/>
        <w:gridCol w:w="1418"/>
        <w:gridCol w:w="1559"/>
        <w:gridCol w:w="5245"/>
      </w:tblGrid>
      <w:tr w:rsidR="005A28EA" w:rsidRPr="00C0062E" w:rsidTr="005A28EA">
        <w:trPr>
          <w:cantSplit/>
        </w:trPr>
        <w:tc>
          <w:tcPr>
            <w:tcW w:w="14567" w:type="dxa"/>
            <w:gridSpan w:val="4"/>
            <w:shd w:val="clear" w:color="auto" w:fill="8DB3E2" w:themeFill="text2" w:themeFillTint="66"/>
            <w:vAlign w:val="center"/>
          </w:tcPr>
          <w:p w:rsidR="005A28EA" w:rsidRPr="00460E3D" w:rsidRDefault="005A28EA" w:rsidP="00577E9A">
            <w:pPr>
              <w:jc w:val="left"/>
              <w:rPr>
                <w:rFonts w:ascii="Times New Roman" w:hAnsi="Times New Roman"/>
                <w:b/>
                <w:szCs w:val="24"/>
              </w:rPr>
            </w:pPr>
            <w:r w:rsidRPr="00C0062E">
              <w:rPr>
                <w:b/>
                <w:szCs w:val="24"/>
              </w:rPr>
              <w:lastRenderedPageBreak/>
              <w:t xml:space="preserve">Authentification forte </w:t>
            </w:r>
            <w:r w:rsidR="00B51467">
              <w:rPr>
                <w:b/>
                <w:szCs w:val="24"/>
              </w:rPr>
              <w:t>et enrôlement du client</w:t>
            </w:r>
          </w:p>
        </w:tc>
      </w:tr>
      <w:tr w:rsidR="005A28EA" w:rsidRPr="00C0062E" w:rsidTr="005A28EA">
        <w:trPr>
          <w:cantSplit/>
        </w:trPr>
        <w:tc>
          <w:tcPr>
            <w:tcW w:w="6345" w:type="dxa"/>
            <w:tcBorders>
              <w:bottom w:val="single" w:sz="4" w:space="0" w:color="auto"/>
            </w:tcBorders>
          </w:tcPr>
          <w:p w:rsidR="005A28EA" w:rsidRPr="00460E3D" w:rsidRDefault="005A28EA" w:rsidP="005A28EA">
            <w:pPr>
              <w:rPr>
                <w:rFonts w:ascii="Times New Roman" w:hAnsi="Times New Roman"/>
                <w:sz w:val="22"/>
              </w:rPr>
            </w:pPr>
            <w:r w:rsidRPr="00C0062E">
              <w:rPr>
                <w:sz w:val="22"/>
              </w:rPr>
              <w:t>Pour les paiements par mobile, le code personnel de paiement est différent du code PIN de la carte SIM, ainsi que du code confidentiel de la carte de paiement de l'utilisateur ; lorsque ce code personnel est modifiable par l'utilisateur, l'émetteur bancaire doit lui recommander d'en utiliser un différent des autres codes en sa possession.</w:t>
            </w:r>
          </w:p>
        </w:tc>
        <w:tc>
          <w:tcPr>
            <w:tcW w:w="1418" w:type="dxa"/>
            <w:tcBorders>
              <w:bottom w:val="single" w:sz="4" w:space="0" w:color="auto"/>
            </w:tcBorders>
            <w:vAlign w:val="center"/>
          </w:tcPr>
          <w:p w:rsidR="005A28EA" w:rsidRPr="00460E3D" w:rsidRDefault="005A28EA" w:rsidP="005A28EA">
            <w:pPr>
              <w:jc w:val="center"/>
              <w:rPr>
                <w:rFonts w:ascii="Times New Roman" w:hAnsi="Times New Roman"/>
                <w:sz w:val="22"/>
              </w:rPr>
            </w:pPr>
            <w:r w:rsidRPr="00C0062E">
              <w:rPr>
                <w:sz w:val="22"/>
              </w:rPr>
              <w:t>OSCP</w:t>
            </w:r>
          </w:p>
        </w:tc>
        <w:tc>
          <w:tcPr>
            <w:tcW w:w="1559" w:type="dxa"/>
            <w:tcBorders>
              <w:bottom w:val="single" w:sz="4" w:space="0" w:color="auto"/>
            </w:tcBorders>
          </w:tcPr>
          <w:p w:rsidR="005A28EA" w:rsidRPr="00460E3D" w:rsidRDefault="005A28EA" w:rsidP="005A28EA">
            <w:pPr>
              <w:jc w:val="left"/>
              <w:rPr>
                <w:rFonts w:ascii="Times New Roman" w:hAnsi="Times New Roman"/>
                <w:szCs w:val="24"/>
              </w:rPr>
            </w:pPr>
          </w:p>
        </w:tc>
        <w:tc>
          <w:tcPr>
            <w:tcW w:w="5245" w:type="dxa"/>
            <w:tcBorders>
              <w:bottom w:val="single" w:sz="4" w:space="0" w:color="auto"/>
            </w:tcBorders>
          </w:tcPr>
          <w:p w:rsidR="005A28EA" w:rsidRPr="00460E3D" w:rsidRDefault="005A28EA" w:rsidP="005A28EA">
            <w:pPr>
              <w:jc w:val="left"/>
              <w:rPr>
                <w:rFonts w:ascii="Times New Roman" w:hAnsi="Times New Roman"/>
                <w:szCs w:val="24"/>
              </w:rPr>
            </w:pPr>
          </w:p>
        </w:tc>
      </w:tr>
      <w:tr w:rsidR="005A28EA" w:rsidRPr="00C0062E" w:rsidTr="005A28EA">
        <w:trPr>
          <w:cantSplit/>
        </w:trPr>
        <w:tc>
          <w:tcPr>
            <w:tcW w:w="6345" w:type="dxa"/>
            <w:tcBorders>
              <w:bottom w:val="single" w:sz="4" w:space="0" w:color="auto"/>
            </w:tcBorders>
          </w:tcPr>
          <w:p w:rsidR="005A28EA" w:rsidRPr="00460E3D" w:rsidRDefault="005A28EA" w:rsidP="00577E9A">
            <w:pPr>
              <w:rPr>
                <w:rFonts w:ascii="Times New Roman" w:hAnsi="Times New Roman"/>
                <w:sz w:val="22"/>
              </w:rPr>
            </w:pPr>
            <w:r w:rsidRPr="00C0062E">
              <w:rPr>
                <w:sz w:val="22"/>
              </w:rPr>
              <w:t>Pour les paiements par téléphone mobile et par carte sans contact, des mesures spécifiques permettent de s'assurer du consentement du porteur. Par exemple, par la mise à disposition de moyens simples pour activer et désactiver ces nouveaux modes d'initiation, ou pour valider toute transaction.</w:t>
            </w:r>
          </w:p>
        </w:tc>
        <w:tc>
          <w:tcPr>
            <w:tcW w:w="1418" w:type="dxa"/>
            <w:tcBorders>
              <w:bottom w:val="single" w:sz="4" w:space="0" w:color="auto"/>
            </w:tcBorders>
            <w:vAlign w:val="center"/>
          </w:tcPr>
          <w:p w:rsidR="005A28EA" w:rsidRPr="00460E3D" w:rsidRDefault="005A28EA" w:rsidP="005A28EA">
            <w:pPr>
              <w:jc w:val="center"/>
              <w:rPr>
                <w:rFonts w:ascii="Times New Roman" w:hAnsi="Times New Roman"/>
                <w:sz w:val="22"/>
              </w:rPr>
            </w:pPr>
            <w:r w:rsidRPr="00C0062E">
              <w:rPr>
                <w:sz w:val="22"/>
              </w:rPr>
              <w:t>OSCP</w:t>
            </w:r>
          </w:p>
        </w:tc>
        <w:tc>
          <w:tcPr>
            <w:tcW w:w="1559" w:type="dxa"/>
            <w:tcBorders>
              <w:bottom w:val="single" w:sz="4" w:space="0" w:color="auto"/>
            </w:tcBorders>
          </w:tcPr>
          <w:p w:rsidR="005A28EA" w:rsidRPr="00460E3D" w:rsidRDefault="005A28EA" w:rsidP="005A28EA">
            <w:pPr>
              <w:jc w:val="left"/>
              <w:rPr>
                <w:rFonts w:ascii="Times New Roman" w:hAnsi="Times New Roman"/>
                <w:szCs w:val="24"/>
              </w:rPr>
            </w:pPr>
          </w:p>
        </w:tc>
        <w:tc>
          <w:tcPr>
            <w:tcW w:w="5245" w:type="dxa"/>
            <w:tcBorders>
              <w:bottom w:val="single" w:sz="4" w:space="0" w:color="auto"/>
            </w:tcBorders>
          </w:tcPr>
          <w:p w:rsidR="005A28EA" w:rsidRPr="00460E3D" w:rsidRDefault="005A28EA" w:rsidP="005A28EA">
            <w:pPr>
              <w:jc w:val="left"/>
              <w:rPr>
                <w:rFonts w:ascii="Times New Roman" w:hAnsi="Times New Roman"/>
                <w:szCs w:val="24"/>
              </w:rPr>
            </w:pPr>
          </w:p>
        </w:tc>
      </w:tr>
      <w:tr w:rsidR="005A28EA" w:rsidRPr="00C0062E" w:rsidTr="005A28EA">
        <w:trPr>
          <w:cantSplit/>
        </w:trPr>
        <w:tc>
          <w:tcPr>
            <w:tcW w:w="14567" w:type="dxa"/>
            <w:gridSpan w:val="4"/>
            <w:shd w:val="clear" w:color="auto" w:fill="8DB3E2" w:themeFill="text2" w:themeFillTint="66"/>
            <w:vAlign w:val="center"/>
          </w:tcPr>
          <w:p w:rsidR="005A28EA" w:rsidRPr="00460E3D" w:rsidRDefault="00440972" w:rsidP="005A28EA">
            <w:pPr>
              <w:jc w:val="left"/>
              <w:rPr>
                <w:rFonts w:ascii="Times New Roman" w:hAnsi="Times New Roman"/>
                <w:b/>
                <w:szCs w:val="24"/>
              </w:rPr>
            </w:pPr>
            <w:r>
              <w:rPr>
                <w:b/>
                <w:szCs w:val="24"/>
              </w:rPr>
              <w:t>Gestion des risques opérationnels et de sécurité</w:t>
            </w:r>
          </w:p>
        </w:tc>
      </w:tr>
      <w:tr w:rsidR="00440972" w:rsidRPr="00C0062E" w:rsidTr="005A28EA">
        <w:trPr>
          <w:cantSplit/>
        </w:trPr>
        <w:tc>
          <w:tcPr>
            <w:tcW w:w="6345" w:type="dxa"/>
          </w:tcPr>
          <w:p w:rsidR="00440972" w:rsidRPr="00460E3D" w:rsidRDefault="00440972" w:rsidP="00910362">
            <w:pPr>
              <w:rPr>
                <w:sz w:val="22"/>
              </w:rPr>
            </w:pPr>
            <w:r>
              <w:rPr>
                <w:sz w:val="22"/>
              </w:rPr>
              <w:t>L’établissement a établi un cadre de gestion des risques opérationnels et de sécurité qui définit les mesures de sécurité visant à atténuer ces risques, documenté et réévalué au moins annuellement par un organe de gouverne de haut niveau.</w:t>
            </w:r>
          </w:p>
        </w:tc>
        <w:tc>
          <w:tcPr>
            <w:tcW w:w="1418" w:type="dxa"/>
            <w:vAlign w:val="center"/>
          </w:tcPr>
          <w:p w:rsidR="00440972" w:rsidRPr="00C0062E" w:rsidRDefault="00440972" w:rsidP="005A28EA">
            <w:pPr>
              <w:spacing w:after="200" w:line="276" w:lineRule="auto"/>
              <w:jc w:val="center"/>
              <w:rPr>
                <w:color w:val="000000"/>
                <w:sz w:val="22"/>
              </w:rPr>
            </w:pPr>
            <w:r>
              <w:rPr>
                <w:color w:val="000000"/>
                <w:sz w:val="22"/>
              </w:rPr>
              <w:t>ABE</w:t>
            </w:r>
          </w:p>
        </w:tc>
        <w:tc>
          <w:tcPr>
            <w:tcW w:w="1559" w:type="dxa"/>
          </w:tcPr>
          <w:p w:rsidR="00440972" w:rsidRPr="00460E3D" w:rsidRDefault="00440972" w:rsidP="005A28EA">
            <w:pPr>
              <w:jc w:val="left"/>
              <w:rPr>
                <w:szCs w:val="24"/>
              </w:rPr>
            </w:pPr>
          </w:p>
        </w:tc>
        <w:tc>
          <w:tcPr>
            <w:tcW w:w="5245" w:type="dxa"/>
          </w:tcPr>
          <w:p w:rsidR="00440972" w:rsidRPr="00460E3D" w:rsidRDefault="00440972" w:rsidP="005A28EA">
            <w:pPr>
              <w:jc w:val="left"/>
              <w:rPr>
                <w:szCs w:val="24"/>
              </w:rPr>
            </w:pPr>
          </w:p>
        </w:tc>
      </w:tr>
      <w:tr w:rsidR="00440972" w:rsidRPr="00C0062E" w:rsidTr="005A28EA">
        <w:trPr>
          <w:cantSplit/>
        </w:trPr>
        <w:tc>
          <w:tcPr>
            <w:tcW w:w="6345" w:type="dxa"/>
          </w:tcPr>
          <w:p w:rsidR="00440972" w:rsidRPr="00460E3D" w:rsidRDefault="00440972" w:rsidP="00C244B3">
            <w:pPr>
              <w:rPr>
                <w:sz w:val="22"/>
              </w:rPr>
            </w:pPr>
            <w:r>
              <w:rPr>
                <w:sz w:val="22"/>
              </w:rPr>
              <w:t xml:space="preserve">En cas d’externalisation, l’établissement veille à ce que le cadre de gestion des risques </w:t>
            </w:r>
            <w:r w:rsidR="00C244B3">
              <w:rPr>
                <w:sz w:val="22"/>
              </w:rPr>
              <w:t>couvre de manière effective les activités sous-traitées</w:t>
            </w:r>
            <w:r>
              <w:rPr>
                <w:sz w:val="22"/>
              </w:rPr>
              <w:t>.</w:t>
            </w:r>
          </w:p>
        </w:tc>
        <w:tc>
          <w:tcPr>
            <w:tcW w:w="1418" w:type="dxa"/>
            <w:vAlign w:val="center"/>
          </w:tcPr>
          <w:p w:rsidR="00440972" w:rsidRPr="00C0062E" w:rsidRDefault="00440972" w:rsidP="005A28EA">
            <w:pPr>
              <w:spacing w:after="200" w:line="276" w:lineRule="auto"/>
              <w:jc w:val="center"/>
              <w:rPr>
                <w:color w:val="000000"/>
                <w:sz w:val="22"/>
              </w:rPr>
            </w:pPr>
            <w:r>
              <w:rPr>
                <w:color w:val="000000"/>
                <w:sz w:val="22"/>
              </w:rPr>
              <w:t>ABE</w:t>
            </w:r>
          </w:p>
        </w:tc>
        <w:tc>
          <w:tcPr>
            <w:tcW w:w="1559" w:type="dxa"/>
          </w:tcPr>
          <w:p w:rsidR="00440972" w:rsidRPr="00460E3D" w:rsidRDefault="00440972" w:rsidP="005A28EA">
            <w:pPr>
              <w:jc w:val="left"/>
              <w:rPr>
                <w:szCs w:val="24"/>
              </w:rPr>
            </w:pPr>
          </w:p>
        </w:tc>
        <w:tc>
          <w:tcPr>
            <w:tcW w:w="5245" w:type="dxa"/>
          </w:tcPr>
          <w:p w:rsidR="00440972" w:rsidRPr="00460E3D" w:rsidRDefault="00440972" w:rsidP="005A28EA">
            <w:pPr>
              <w:jc w:val="left"/>
              <w:rPr>
                <w:szCs w:val="24"/>
              </w:rPr>
            </w:pPr>
          </w:p>
        </w:tc>
      </w:tr>
      <w:tr w:rsidR="005A28EA" w:rsidRPr="00C0062E" w:rsidTr="005A28EA">
        <w:trPr>
          <w:cantSplit/>
        </w:trPr>
        <w:tc>
          <w:tcPr>
            <w:tcW w:w="6345" w:type="dxa"/>
          </w:tcPr>
          <w:p w:rsidR="005A28EA" w:rsidRPr="00460E3D" w:rsidRDefault="00C244B3" w:rsidP="00C244B3">
            <w:pPr>
              <w:rPr>
                <w:rFonts w:ascii="Times New Roman" w:hAnsi="Times New Roman"/>
                <w:sz w:val="22"/>
              </w:rPr>
            </w:pPr>
            <w:r>
              <w:rPr>
                <w:sz w:val="22"/>
              </w:rPr>
              <w:t>D</w:t>
            </w:r>
            <w:r w:rsidR="005A28EA" w:rsidRPr="00460E3D">
              <w:rPr>
                <w:sz w:val="22"/>
              </w:rPr>
              <w:t xml:space="preserve">es mécanismes de suivi des opérations </w:t>
            </w:r>
            <w:r>
              <w:rPr>
                <w:sz w:val="22"/>
              </w:rPr>
              <w:t>sont mis en place</w:t>
            </w:r>
            <w:r w:rsidR="005A28EA" w:rsidRPr="00460E3D">
              <w:rPr>
                <w:sz w:val="22"/>
              </w:rPr>
              <w:t xml:space="preserve"> pour prévenir, détecter et bloquer les opérations de paiement </w:t>
            </w:r>
            <w:r>
              <w:rPr>
                <w:sz w:val="22"/>
              </w:rPr>
              <w:t>suspectes</w:t>
            </w:r>
            <w:r w:rsidRPr="00460E3D">
              <w:rPr>
                <w:sz w:val="22"/>
              </w:rPr>
              <w:t xml:space="preserve"> </w:t>
            </w:r>
            <w:r>
              <w:rPr>
                <w:sz w:val="22"/>
              </w:rPr>
              <w:t xml:space="preserve">en amont de </w:t>
            </w:r>
            <w:r w:rsidRPr="00460E3D">
              <w:rPr>
                <w:sz w:val="22"/>
              </w:rPr>
              <w:t>l</w:t>
            </w:r>
            <w:r>
              <w:rPr>
                <w:sz w:val="22"/>
              </w:rPr>
              <w:t xml:space="preserve">eur </w:t>
            </w:r>
            <w:r w:rsidRPr="00460E3D">
              <w:rPr>
                <w:sz w:val="22"/>
              </w:rPr>
              <w:t>autorisation</w:t>
            </w:r>
            <w:r w:rsidR="005A28EA" w:rsidRPr="00460E3D">
              <w:rPr>
                <w:sz w:val="22"/>
              </w:rPr>
              <w:t>.</w:t>
            </w:r>
          </w:p>
        </w:tc>
        <w:tc>
          <w:tcPr>
            <w:tcW w:w="1418" w:type="dxa"/>
            <w:vAlign w:val="center"/>
          </w:tcPr>
          <w:p w:rsidR="005A28EA" w:rsidRPr="00460E3D" w:rsidRDefault="005A28EA" w:rsidP="005A28EA">
            <w:pPr>
              <w:jc w:val="center"/>
              <w:rPr>
                <w:rFonts w:ascii="Times New Roman" w:hAnsi="Times New Roman"/>
                <w:color w:val="000000"/>
                <w:sz w:val="22"/>
              </w:rPr>
            </w:pPr>
            <w:r w:rsidRPr="00C0062E">
              <w:rPr>
                <w:color w:val="000000"/>
                <w:sz w:val="22"/>
              </w:rPr>
              <w:t>ABE</w:t>
            </w:r>
          </w:p>
        </w:tc>
        <w:tc>
          <w:tcPr>
            <w:tcW w:w="1559" w:type="dxa"/>
          </w:tcPr>
          <w:p w:rsidR="005A28EA" w:rsidRPr="00460E3D" w:rsidRDefault="005A28EA" w:rsidP="005A28EA">
            <w:pPr>
              <w:jc w:val="left"/>
              <w:rPr>
                <w:rFonts w:ascii="Times New Roman" w:hAnsi="Times New Roman"/>
                <w:szCs w:val="24"/>
              </w:rPr>
            </w:pPr>
          </w:p>
        </w:tc>
        <w:tc>
          <w:tcPr>
            <w:tcW w:w="5245" w:type="dxa"/>
          </w:tcPr>
          <w:p w:rsidR="005A28EA" w:rsidRPr="00460E3D" w:rsidRDefault="005A28EA" w:rsidP="005A28EA">
            <w:pPr>
              <w:jc w:val="left"/>
              <w:rPr>
                <w:rFonts w:ascii="Times New Roman" w:hAnsi="Times New Roman"/>
                <w:szCs w:val="24"/>
              </w:rPr>
            </w:pPr>
          </w:p>
        </w:tc>
      </w:tr>
      <w:tr w:rsidR="00440972" w:rsidRPr="00C0062E" w:rsidTr="005A28EA">
        <w:trPr>
          <w:cantSplit/>
        </w:trPr>
        <w:tc>
          <w:tcPr>
            <w:tcW w:w="6345" w:type="dxa"/>
          </w:tcPr>
          <w:p w:rsidR="00440972" w:rsidRPr="00C0062E" w:rsidRDefault="008633E7" w:rsidP="00C244B3">
            <w:pPr>
              <w:rPr>
                <w:sz w:val="22"/>
              </w:rPr>
            </w:pPr>
            <w:r>
              <w:rPr>
                <w:sz w:val="22"/>
              </w:rPr>
              <w:t xml:space="preserve">L’établissement a mis en place un cadre de gestion de continuité d’activité, visant à assurer sa </w:t>
            </w:r>
            <w:r w:rsidRPr="008633E7">
              <w:rPr>
                <w:sz w:val="22"/>
              </w:rPr>
              <w:t xml:space="preserve">capacité </w:t>
            </w:r>
            <w:r>
              <w:rPr>
                <w:sz w:val="22"/>
              </w:rPr>
              <w:t>à</w:t>
            </w:r>
            <w:r w:rsidRPr="008633E7">
              <w:rPr>
                <w:sz w:val="22"/>
              </w:rPr>
              <w:t xml:space="preserve"> fournir des services de paiement sans interruption et </w:t>
            </w:r>
            <w:r>
              <w:rPr>
                <w:sz w:val="22"/>
              </w:rPr>
              <w:t>à</w:t>
            </w:r>
            <w:r w:rsidRPr="008633E7">
              <w:rPr>
                <w:sz w:val="22"/>
              </w:rPr>
              <w:t xml:space="preserve"> limiter les pertes en cas de perturbation grave</w:t>
            </w:r>
            <w:r>
              <w:rPr>
                <w:sz w:val="22"/>
              </w:rPr>
              <w:t>. Ce cadre s’appuie sur la définition de scénarios de crise</w:t>
            </w:r>
            <w:r w:rsidR="00C244B3">
              <w:rPr>
                <w:sz w:val="22"/>
              </w:rPr>
              <w:t xml:space="preserve"> </w:t>
            </w:r>
            <w:r>
              <w:rPr>
                <w:sz w:val="22"/>
              </w:rPr>
              <w:t>et le test régulier</w:t>
            </w:r>
            <w:r w:rsidR="00C244B3">
              <w:rPr>
                <w:sz w:val="22"/>
              </w:rPr>
              <w:t xml:space="preserve"> des plans de réponse.</w:t>
            </w:r>
          </w:p>
        </w:tc>
        <w:tc>
          <w:tcPr>
            <w:tcW w:w="1418" w:type="dxa"/>
            <w:vAlign w:val="center"/>
          </w:tcPr>
          <w:p w:rsidR="00440972" w:rsidRPr="00C0062E" w:rsidRDefault="00C244B3" w:rsidP="005A28EA">
            <w:pPr>
              <w:spacing w:after="200" w:line="276" w:lineRule="auto"/>
              <w:jc w:val="center"/>
              <w:rPr>
                <w:color w:val="000000"/>
                <w:sz w:val="22"/>
              </w:rPr>
            </w:pPr>
            <w:r>
              <w:rPr>
                <w:color w:val="000000"/>
                <w:sz w:val="22"/>
              </w:rPr>
              <w:t>ABE</w:t>
            </w:r>
          </w:p>
        </w:tc>
        <w:tc>
          <w:tcPr>
            <w:tcW w:w="1559" w:type="dxa"/>
          </w:tcPr>
          <w:p w:rsidR="00440972" w:rsidRPr="00460E3D" w:rsidRDefault="00440972" w:rsidP="005A28EA">
            <w:pPr>
              <w:jc w:val="left"/>
              <w:rPr>
                <w:szCs w:val="24"/>
              </w:rPr>
            </w:pPr>
          </w:p>
        </w:tc>
        <w:tc>
          <w:tcPr>
            <w:tcW w:w="5245" w:type="dxa"/>
          </w:tcPr>
          <w:p w:rsidR="00440972" w:rsidRPr="00460E3D" w:rsidRDefault="00440972" w:rsidP="005A28EA">
            <w:pPr>
              <w:jc w:val="left"/>
              <w:rPr>
                <w:szCs w:val="24"/>
              </w:rPr>
            </w:pPr>
          </w:p>
        </w:tc>
      </w:tr>
    </w:tbl>
    <w:p w:rsidR="005A28EA" w:rsidRPr="00460E3D" w:rsidRDefault="005A28EA" w:rsidP="005A28EA">
      <w:pPr>
        <w:spacing w:after="200" w:line="276" w:lineRule="auto"/>
        <w:jc w:val="left"/>
        <w:rPr>
          <w:rFonts w:eastAsia="Calibri"/>
          <w:szCs w:val="24"/>
          <w:lang w:eastAsia="en-US"/>
        </w:rPr>
        <w:sectPr w:rsidR="005A28EA" w:rsidRPr="00460E3D" w:rsidSect="005A28EA">
          <w:pgSz w:w="16838" w:h="11906" w:orient="landscape"/>
          <w:pgMar w:top="1418" w:right="1418" w:bottom="1418" w:left="1418" w:header="709" w:footer="709" w:gutter="0"/>
          <w:cols w:space="708"/>
          <w:docGrid w:linePitch="360"/>
        </w:sectPr>
      </w:pPr>
    </w:p>
    <w:p w:rsidR="00983B9E" w:rsidRDefault="00E067C6">
      <w:pPr>
        <w:jc w:val="left"/>
        <w:rPr>
          <w:rFonts w:ascii="Calibri" w:eastAsia="Calibri" w:hAnsi="Calibri"/>
          <w:b/>
          <w:smallCaps/>
          <w:color w:val="1F497D"/>
          <w:sz w:val="28"/>
          <w:szCs w:val="22"/>
          <w:lang w:eastAsia="en-US"/>
        </w:rPr>
      </w:pPr>
      <w:r w:rsidRPr="00E067C6">
        <w:rPr>
          <w:rFonts w:ascii="Calibri" w:eastAsia="Calibri" w:hAnsi="Calibri"/>
          <w:b/>
          <w:smallCaps/>
          <w:color w:val="1F497D"/>
          <w:sz w:val="28"/>
          <w:szCs w:val="22"/>
          <w:lang w:eastAsia="en-US"/>
        </w:rPr>
        <w:lastRenderedPageBreak/>
        <w:t>IV – Rapport d’audit sur la mise en œuvre des mesures de sécurité inscrites dans les RTS (</w:t>
      </w:r>
      <w:r w:rsidRPr="00E067C6">
        <w:rPr>
          <w:rFonts w:ascii="Calibri" w:eastAsia="Calibri" w:hAnsi="Calibri"/>
          <w:b/>
          <w:i/>
          <w:smallCaps/>
          <w:color w:val="1F497D"/>
          <w:sz w:val="28"/>
          <w:szCs w:val="22"/>
          <w:lang w:eastAsia="en-US"/>
        </w:rPr>
        <w:t>regulatory technical standards</w:t>
      </w:r>
      <w:r w:rsidRPr="00E067C6">
        <w:rPr>
          <w:rFonts w:ascii="Calibri" w:eastAsia="Calibri" w:hAnsi="Calibri"/>
          <w:b/>
          <w:smallCaps/>
          <w:color w:val="1F497D"/>
          <w:sz w:val="28"/>
          <w:szCs w:val="22"/>
          <w:lang w:eastAsia="en-US"/>
        </w:rPr>
        <w:t>)</w:t>
      </w:r>
    </w:p>
    <w:p w:rsidR="00513033" w:rsidRPr="004320BA" w:rsidRDefault="004320BA" w:rsidP="00D3620E">
      <w:pPr>
        <w:rPr>
          <w:rFonts w:eastAsia="Calibri"/>
          <w:i/>
          <w:sz w:val="22"/>
          <w:szCs w:val="22"/>
          <w:lang w:eastAsia="en-US"/>
        </w:rPr>
      </w:pPr>
      <w:r>
        <w:rPr>
          <w:rFonts w:eastAsia="Calibri"/>
          <w:i/>
          <w:sz w:val="22"/>
          <w:szCs w:val="22"/>
          <w:lang w:eastAsia="en-US"/>
        </w:rPr>
        <w:t>Concernant la partie relative aux normes communes e</w:t>
      </w:r>
      <w:r w:rsidR="00513033">
        <w:rPr>
          <w:rFonts w:eastAsia="Calibri"/>
          <w:i/>
          <w:sz w:val="22"/>
          <w:szCs w:val="22"/>
          <w:lang w:eastAsia="en-US"/>
        </w:rPr>
        <w:t>t sécurisées de communication</w:t>
      </w:r>
      <w:r w:rsidR="00D3620E">
        <w:rPr>
          <w:rFonts w:eastAsia="Calibri"/>
          <w:i/>
          <w:sz w:val="22"/>
          <w:szCs w:val="22"/>
          <w:lang w:eastAsia="en-US"/>
        </w:rPr>
        <w:t>, l’établissement renseigne le questionnaire en fonction de la solution d’interface d’accès mise en place</w:t>
      </w:r>
      <w:r w:rsidR="000108D0">
        <w:rPr>
          <w:rFonts w:eastAsia="Calibri"/>
          <w:i/>
          <w:sz w:val="22"/>
          <w:szCs w:val="22"/>
          <w:lang w:eastAsia="en-US"/>
        </w:rPr>
        <w:t xml:space="preserve"> pour les PSP tiers</w:t>
      </w:r>
      <w:r w:rsidR="00D3620E">
        <w:rPr>
          <w:rFonts w:eastAsia="Calibri"/>
          <w:i/>
          <w:sz w:val="22"/>
          <w:szCs w:val="22"/>
          <w:lang w:eastAsia="en-US"/>
        </w:rPr>
        <w:t xml:space="preserve">. </w:t>
      </w:r>
    </w:p>
    <w:p w:rsidR="00E067C6" w:rsidRDefault="00E067C6">
      <w:pPr>
        <w:jc w:val="left"/>
        <w:rPr>
          <w:rFonts w:eastAsia="Calibri"/>
          <w:sz w:val="22"/>
          <w:szCs w:val="22"/>
          <w:lang w:eastAsia="en-US"/>
        </w:rPr>
      </w:pPr>
    </w:p>
    <w:tbl>
      <w:tblPr>
        <w:tblStyle w:val="Grilledutableau"/>
        <w:tblW w:w="14737" w:type="dxa"/>
        <w:tblLook w:val="04A0" w:firstRow="1" w:lastRow="0" w:firstColumn="1" w:lastColumn="0" w:noHBand="0" w:noVBand="1"/>
      </w:tblPr>
      <w:tblGrid>
        <w:gridCol w:w="1595"/>
        <w:gridCol w:w="4979"/>
        <w:gridCol w:w="1465"/>
        <w:gridCol w:w="6698"/>
      </w:tblGrid>
      <w:tr w:rsidR="009C7DED" w:rsidTr="00A36997">
        <w:tc>
          <w:tcPr>
            <w:tcW w:w="1595" w:type="dxa"/>
            <w:vMerge w:val="restart"/>
            <w:shd w:val="clear" w:color="auto" w:fill="D6E3BC" w:themeFill="accent3" w:themeFillTint="66"/>
          </w:tcPr>
          <w:p w:rsidR="009C7DED" w:rsidRPr="00CC1AEF" w:rsidRDefault="009C7DED" w:rsidP="009973F6">
            <w:pPr>
              <w:jc w:val="center"/>
              <w:rPr>
                <w:rFonts w:asciiTheme="minorHAnsi" w:hAnsiTheme="minorHAnsi" w:cstheme="minorHAnsi"/>
                <w:b/>
                <w:sz w:val="22"/>
              </w:rPr>
            </w:pPr>
            <w:r w:rsidRPr="00CC1AEF">
              <w:rPr>
                <w:rFonts w:asciiTheme="minorHAnsi" w:hAnsiTheme="minorHAnsi" w:cstheme="minorHAnsi"/>
                <w:b/>
                <w:sz w:val="22"/>
              </w:rPr>
              <w:t>Réf. Article</w:t>
            </w:r>
            <w:r w:rsidR="00C83C84">
              <w:rPr>
                <w:rFonts w:asciiTheme="minorHAnsi" w:hAnsiTheme="minorHAnsi" w:cstheme="minorHAnsi"/>
                <w:b/>
                <w:sz w:val="22"/>
              </w:rPr>
              <w:t>s</w:t>
            </w:r>
            <w:r w:rsidRPr="00CC1AEF">
              <w:rPr>
                <w:rFonts w:asciiTheme="minorHAnsi" w:hAnsiTheme="minorHAnsi" w:cstheme="minorHAnsi"/>
                <w:b/>
                <w:sz w:val="22"/>
              </w:rPr>
              <w:t xml:space="preserve"> Règlement (UE) 2018/389</w:t>
            </w:r>
          </w:p>
        </w:tc>
        <w:tc>
          <w:tcPr>
            <w:tcW w:w="4979" w:type="dxa"/>
            <w:vMerge w:val="restart"/>
            <w:shd w:val="clear" w:color="auto" w:fill="D6E3BC" w:themeFill="accent3" w:themeFillTint="66"/>
          </w:tcPr>
          <w:p w:rsidR="009C7DED" w:rsidRPr="00CC1AEF" w:rsidRDefault="00633360" w:rsidP="009973F6">
            <w:pPr>
              <w:jc w:val="center"/>
              <w:rPr>
                <w:rFonts w:asciiTheme="minorHAnsi" w:hAnsiTheme="minorHAnsi" w:cstheme="minorHAnsi"/>
                <w:b/>
                <w:sz w:val="22"/>
              </w:rPr>
            </w:pPr>
            <w:r w:rsidRPr="00CC1AEF">
              <w:rPr>
                <w:rFonts w:asciiTheme="minorHAnsi" w:hAnsiTheme="minorHAnsi" w:cstheme="minorHAnsi"/>
                <w:b/>
                <w:sz w:val="22"/>
              </w:rPr>
              <w:t>Questions posées au PSP</w:t>
            </w:r>
          </w:p>
        </w:tc>
        <w:tc>
          <w:tcPr>
            <w:tcW w:w="8163" w:type="dxa"/>
            <w:gridSpan w:val="2"/>
            <w:shd w:val="clear" w:color="auto" w:fill="D6E3BC" w:themeFill="accent3" w:themeFillTint="66"/>
          </w:tcPr>
          <w:p w:rsidR="009C7DED" w:rsidRPr="00CC1AEF" w:rsidRDefault="00934DD8" w:rsidP="009C7DED">
            <w:pPr>
              <w:jc w:val="center"/>
              <w:rPr>
                <w:rFonts w:asciiTheme="minorHAnsi" w:eastAsia="Calibri" w:hAnsiTheme="minorHAnsi" w:cstheme="minorHAnsi"/>
                <w:b/>
                <w:sz w:val="22"/>
                <w:szCs w:val="22"/>
                <w:lang w:eastAsia="en-US"/>
              </w:rPr>
            </w:pPr>
            <w:r w:rsidRPr="00CC1AEF">
              <w:rPr>
                <w:rFonts w:asciiTheme="minorHAnsi" w:hAnsiTheme="minorHAnsi" w:cstheme="minorHAnsi"/>
                <w:b/>
                <w:sz w:val="22"/>
              </w:rPr>
              <w:t xml:space="preserve">Évaluation de la conformité </w:t>
            </w:r>
          </w:p>
        </w:tc>
      </w:tr>
      <w:tr w:rsidR="009C7DED" w:rsidTr="00A36997">
        <w:tc>
          <w:tcPr>
            <w:tcW w:w="1595" w:type="dxa"/>
            <w:vMerge/>
            <w:shd w:val="clear" w:color="auto" w:fill="D6E3BC" w:themeFill="accent3" w:themeFillTint="66"/>
          </w:tcPr>
          <w:p w:rsidR="009C7DED" w:rsidRPr="00CC1AEF" w:rsidRDefault="009C7DED" w:rsidP="009973F6">
            <w:pPr>
              <w:jc w:val="center"/>
              <w:rPr>
                <w:rFonts w:asciiTheme="minorHAnsi" w:hAnsiTheme="minorHAnsi" w:cstheme="minorHAnsi"/>
                <w:b/>
                <w:sz w:val="22"/>
              </w:rPr>
            </w:pPr>
          </w:p>
        </w:tc>
        <w:tc>
          <w:tcPr>
            <w:tcW w:w="4979" w:type="dxa"/>
            <w:vMerge/>
            <w:shd w:val="clear" w:color="auto" w:fill="D6E3BC" w:themeFill="accent3" w:themeFillTint="66"/>
          </w:tcPr>
          <w:p w:rsidR="009C7DED" w:rsidRPr="00CC1AEF" w:rsidRDefault="009C7DED" w:rsidP="009973F6">
            <w:pPr>
              <w:jc w:val="center"/>
              <w:rPr>
                <w:rFonts w:asciiTheme="minorHAnsi" w:hAnsiTheme="minorHAnsi" w:cstheme="minorHAnsi"/>
                <w:b/>
                <w:sz w:val="22"/>
              </w:rPr>
            </w:pPr>
          </w:p>
        </w:tc>
        <w:tc>
          <w:tcPr>
            <w:tcW w:w="1465" w:type="dxa"/>
            <w:shd w:val="clear" w:color="auto" w:fill="D6E3BC" w:themeFill="accent3" w:themeFillTint="66"/>
          </w:tcPr>
          <w:p w:rsidR="009C7DED" w:rsidRPr="00CC1AEF" w:rsidRDefault="009C7DED" w:rsidP="009C7DED">
            <w:pPr>
              <w:jc w:val="center"/>
              <w:rPr>
                <w:rFonts w:asciiTheme="minorHAnsi" w:hAnsiTheme="minorHAnsi" w:cstheme="minorHAnsi"/>
                <w:b/>
                <w:sz w:val="22"/>
              </w:rPr>
            </w:pPr>
            <w:r w:rsidRPr="00CC1AEF">
              <w:rPr>
                <w:rFonts w:asciiTheme="minorHAnsi" w:eastAsia="Calibri" w:hAnsiTheme="minorHAnsi" w:cstheme="minorHAnsi"/>
                <w:b/>
                <w:sz w:val="22"/>
                <w:szCs w:val="22"/>
                <w:lang w:eastAsia="en-US"/>
              </w:rPr>
              <w:t>oui / partielle</w:t>
            </w:r>
            <w:r w:rsidR="00633360" w:rsidRPr="00CC1AEF">
              <w:rPr>
                <w:rFonts w:asciiTheme="minorHAnsi" w:eastAsia="Calibri" w:hAnsiTheme="minorHAnsi" w:cstheme="minorHAnsi"/>
                <w:b/>
                <w:sz w:val="22"/>
                <w:szCs w:val="22"/>
                <w:lang w:eastAsia="en-US"/>
              </w:rPr>
              <w:t>ment</w:t>
            </w:r>
            <w:r w:rsidRPr="00CC1AEF">
              <w:rPr>
                <w:rFonts w:asciiTheme="minorHAnsi" w:eastAsia="Calibri" w:hAnsiTheme="minorHAnsi" w:cstheme="minorHAnsi"/>
                <w:b/>
                <w:sz w:val="22"/>
                <w:szCs w:val="22"/>
                <w:lang w:eastAsia="en-US"/>
              </w:rPr>
              <w:t xml:space="preserve"> / non/NC)</w:t>
            </w:r>
          </w:p>
        </w:tc>
        <w:tc>
          <w:tcPr>
            <w:tcW w:w="6698" w:type="dxa"/>
            <w:shd w:val="clear" w:color="auto" w:fill="D6E3BC" w:themeFill="accent3" w:themeFillTint="66"/>
          </w:tcPr>
          <w:p w:rsidR="009C7DED" w:rsidRPr="00CC1AEF" w:rsidRDefault="00713EF7" w:rsidP="00683723">
            <w:pPr>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 xml:space="preserve">Pour chacune des mesures de sécurité, </w:t>
            </w:r>
            <w:r w:rsidR="006D576A" w:rsidRPr="00CC1AEF">
              <w:rPr>
                <w:rFonts w:asciiTheme="minorHAnsi" w:eastAsia="Calibri" w:hAnsiTheme="minorHAnsi" w:cstheme="minorHAnsi"/>
                <w:b/>
                <w:sz w:val="22"/>
                <w:szCs w:val="22"/>
                <w:lang w:eastAsia="en-US"/>
              </w:rPr>
              <w:t xml:space="preserve">préciser les modalités de mise en œuvre. En cas de non-conformité ou conformité partielle, </w:t>
            </w:r>
            <w:r w:rsidR="00D8780D">
              <w:rPr>
                <w:rFonts w:asciiTheme="minorHAnsi" w:eastAsia="Calibri" w:hAnsiTheme="minorHAnsi" w:cstheme="minorHAnsi"/>
                <w:b/>
                <w:sz w:val="22"/>
                <w:szCs w:val="22"/>
                <w:lang w:eastAsia="en-US"/>
              </w:rPr>
              <w:t>présenter</w:t>
            </w:r>
            <w:r w:rsidR="006D576A" w:rsidRPr="00CC1AEF">
              <w:rPr>
                <w:rFonts w:asciiTheme="minorHAnsi" w:eastAsia="Calibri" w:hAnsiTheme="minorHAnsi" w:cstheme="minorHAnsi"/>
                <w:b/>
                <w:sz w:val="22"/>
                <w:szCs w:val="22"/>
                <w:lang w:eastAsia="en-US"/>
              </w:rPr>
              <w:t xml:space="preserve"> le plan d’action prévu</w:t>
            </w:r>
            <w:r w:rsidR="00943C86">
              <w:rPr>
                <w:rFonts w:asciiTheme="minorHAnsi" w:eastAsia="Calibri" w:hAnsiTheme="minorHAnsi" w:cstheme="minorHAnsi"/>
                <w:b/>
                <w:sz w:val="22"/>
                <w:szCs w:val="22"/>
                <w:lang w:eastAsia="en-US"/>
              </w:rPr>
              <w:t xml:space="preserve"> avec les échéances de mise en </w:t>
            </w:r>
            <w:r w:rsidR="00D8780D">
              <w:rPr>
                <w:rFonts w:asciiTheme="minorHAnsi" w:eastAsia="Calibri" w:hAnsiTheme="minorHAnsi" w:cstheme="minorHAnsi"/>
                <w:b/>
                <w:sz w:val="22"/>
                <w:szCs w:val="22"/>
                <w:lang w:eastAsia="en-US"/>
              </w:rPr>
              <w:t>œuvre</w:t>
            </w:r>
            <w:r w:rsidR="000F1568">
              <w:rPr>
                <w:rFonts w:asciiTheme="minorHAnsi" w:eastAsia="Calibri" w:hAnsiTheme="minorHAnsi" w:cstheme="minorHAnsi"/>
                <w:b/>
                <w:sz w:val="22"/>
                <w:szCs w:val="22"/>
                <w:lang w:eastAsia="en-US"/>
              </w:rPr>
              <w:t>. Si le PSP n’est pas concerné (NC) par la mesure de sécurité, le justifier</w:t>
            </w:r>
          </w:p>
        </w:tc>
      </w:tr>
      <w:tr w:rsidR="00DE44F8" w:rsidRPr="00CC1AEF" w:rsidTr="00A36997">
        <w:tc>
          <w:tcPr>
            <w:tcW w:w="14737" w:type="dxa"/>
            <w:gridSpan w:val="4"/>
            <w:shd w:val="clear" w:color="auto" w:fill="8DB3E2" w:themeFill="text2" w:themeFillTint="66"/>
          </w:tcPr>
          <w:p w:rsidR="00DE44F8" w:rsidRPr="00CC1AEF" w:rsidRDefault="00DE44F8">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Mesures de sécurité pour l’application de la procédure d’authentification forte du client</w:t>
            </w:r>
          </w:p>
        </w:tc>
      </w:tr>
      <w:tr w:rsidR="00DE44F8" w:rsidRPr="00CC1AEF" w:rsidTr="006B6ABB">
        <w:tc>
          <w:tcPr>
            <w:tcW w:w="14737" w:type="dxa"/>
            <w:gridSpan w:val="4"/>
            <w:shd w:val="clear" w:color="auto" w:fill="FBD4B4" w:themeFill="accent6" w:themeFillTint="66"/>
          </w:tcPr>
          <w:p w:rsidR="00DE44F8" w:rsidRPr="00CC1AEF" w:rsidRDefault="00DE44F8">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Code d’authentification</w:t>
            </w:r>
          </w:p>
        </w:tc>
      </w:tr>
      <w:tr w:rsidR="00683E60" w:rsidRPr="00D46CE0" w:rsidTr="00683E60">
        <w:tc>
          <w:tcPr>
            <w:tcW w:w="1595" w:type="dxa"/>
            <w:vMerge w:val="restart"/>
          </w:tcPr>
          <w:p w:rsidR="00683E60" w:rsidRPr="00CC1AEF" w:rsidRDefault="00683E60" w:rsidP="009973F6">
            <w:pPr>
              <w:jc w:val="center"/>
              <w:rPr>
                <w:rFonts w:asciiTheme="minorHAnsi" w:hAnsiTheme="minorHAnsi" w:cstheme="minorHAnsi"/>
                <w:b/>
                <w:sz w:val="22"/>
                <w:szCs w:val="22"/>
              </w:rPr>
            </w:pPr>
            <w:r w:rsidRPr="00CC1AEF">
              <w:rPr>
                <w:rFonts w:asciiTheme="minorHAnsi" w:hAnsiTheme="minorHAnsi" w:cstheme="minorHAnsi"/>
                <w:b/>
                <w:sz w:val="22"/>
                <w:szCs w:val="22"/>
              </w:rPr>
              <w:t>4</w:t>
            </w:r>
          </w:p>
        </w:tc>
        <w:tc>
          <w:tcPr>
            <w:tcW w:w="4979" w:type="dxa"/>
          </w:tcPr>
          <w:p w:rsidR="00683E60" w:rsidRPr="00A46A69" w:rsidRDefault="00683E60" w:rsidP="009C7DED">
            <w:pPr>
              <w:rPr>
                <w:rFonts w:asciiTheme="minorHAnsi" w:hAnsiTheme="minorHAnsi" w:cstheme="minorHAnsi"/>
                <w:sz w:val="16"/>
                <w:szCs w:val="16"/>
              </w:rPr>
            </w:pPr>
            <w:r w:rsidRPr="00CC1AEF">
              <w:rPr>
                <w:rFonts w:asciiTheme="minorHAnsi" w:hAnsiTheme="minorHAnsi" w:cstheme="minorHAnsi"/>
                <w:sz w:val="22"/>
                <w:szCs w:val="22"/>
              </w:rPr>
              <w:t>Lorsque le PSP applique la procédure d'authentification forte du client</w:t>
            </w:r>
            <w:r w:rsidR="00D731E1" w:rsidRPr="00CC1AEF">
              <w:rPr>
                <w:rFonts w:asciiTheme="minorHAnsi" w:hAnsiTheme="minorHAnsi" w:cstheme="minorHAnsi"/>
                <w:sz w:val="22"/>
                <w:szCs w:val="22"/>
              </w:rPr>
              <w:t>,</w:t>
            </w:r>
            <w:r w:rsidRPr="00CC1AEF">
              <w:rPr>
                <w:rFonts w:asciiTheme="minorHAnsi" w:hAnsiTheme="minorHAnsi" w:cstheme="minorHAnsi"/>
                <w:sz w:val="22"/>
                <w:szCs w:val="22"/>
              </w:rPr>
              <w:t xml:space="preserve"> celle-ci est-elle </w:t>
            </w:r>
            <w:r w:rsidR="00D731E1" w:rsidRPr="00CC1AEF">
              <w:rPr>
                <w:rFonts w:asciiTheme="minorHAnsi" w:hAnsiTheme="minorHAnsi" w:cstheme="minorHAnsi"/>
                <w:sz w:val="22"/>
                <w:szCs w:val="22"/>
              </w:rPr>
              <w:t xml:space="preserve">bien </w:t>
            </w:r>
            <w:r w:rsidRPr="00CC1AEF">
              <w:rPr>
                <w:rFonts w:asciiTheme="minorHAnsi" w:hAnsiTheme="minorHAnsi" w:cstheme="minorHAnsi"/>
                <w:sz w:val="22"/>
                <w:szCs w:val="22"/>
              </w:rPr>
              <w:t>fondée sur deux ou plusieurs éléments appartenant aux catégories « connaissance», «possession» et «inhérence», et donne-t-elle lieu à la génération d'un code d'authentification ?</w:t>
            </w:r>
          </w:p>
        </w:tc>
        <w:tc>
          <w:tcPr>
            <w:tcW w:w="1465" w:type="dxa"/>
          </w:tcPr>
          <w:p w:rsidR="00683E60" w:rsidRPr="00D46CE0" w:rsidRDefault="00683E60" w:rsidP="009973F6">
            <w:pPr>
              <w:jc w:val="center"/>
              <w:rPr>
                <w:b/>
                <w:sz w:val="22"/>
                <w:szCs w:val="22"/>
              </w:rPr>
            </w:pPr>
          </w:p>
        </w:tc>
        <w:tc>
          <w:tcPr>
            <w:tcW w:w="6698" w:type="dxa"/>
          </w:tcPr>
          <w:p w:rsidR="00683E60" w:rsidRPr="00D46CE0" w:rsidRDefault="00683E60">
            <w:pPr>
              <w:jc w:val="left"/>
              <w:rPr>
                <w:rFonts w:ascii="Calibri" w:eastAsia="Calibri" w:hAnsi="Calibri"/>
                <w:b/>
                <w:sz w:val="22"/>
                <w:szCs w:val="22"/>
                <w:lang w:eastAsia="en-US"/>
              </w:rPr>
            </w:pPr>
          </w:p>
        </w:tc>
      </w:tr>
      <w:tr w:rsidR="00683E60" w:rsidRPr="00D46CE0" w:rsidTr="00683E60">
        <w:tc>
          <w:tcPr>
            <w:tcW w:w="1595" w:type="dxa"/>
            <w:vMerge/>
          </w:tcPr>
          <w:p w:rsidR="00683E60" w:rsidRPr="00CC1AEF" w:rsidRDefault="00683E60" w:rsidP="009973F6">
            <w:pPr>
              <w:jc w:val="center"/>
              <w:rPr>
                <w:rFonts w:asciiTheme="minorHAnsi" w:hAnsiTheme="minorHAnsi" w:cstheme="minorHAnsi"/>
                <w:b/>
                <w:sz w:val="22"/>
                <w:szCs w:val="22"/>
              </w:rPr>
            </w:pPr>
          </w:p>
        </w:tc>
        <w:tc>
          <w:tcPr>
            <w:tcW w:w="4979" w:type="dxa"/>
          </w:tcPr>
          <w:p w:rsidR="00683E60" w:rsidRPr="00CC1AEF" w:rsidRDefault="00683E60" w:rsidP="00992823">
            <w:pPr>
              <w:rPr>
                <w:rFonts w:asciiTheme="minorHAnsi" w:hAnsiTheme="minorHAnsi" w:cstheme="minorHAnsi"/>
                <w:sz w:val="22"/>
                <w:szCs w:val="22"/>
              </w:rPr>
            </w:pPr>
            <w:r w:rsidRPr="00CC1AEF">
              <w:rPr>
                <w:rFonts w:asciiTheme="minorHAnsi" w:hAnsiTheme="minorHAnsi" w:cstheme="minorHAnsi"/>
                <w:sz w:val="22"/>
                <w:szCs w:val="22"/>
              </w:rPr>
              <w:t>Le code d'authentification est bien accepté qu'une seule fois par le PSP lorsque le payeur utilise ce code </w:t>
            </w:r>
            <w:r w:rsidR="00692F38" w:rsidRPr="00CC1AEF">
              <w:rPr>
                <w:rFonts w:asciiTheme="minorHAnsi" w:hAnsiTheme="minorHAnsi" w:cstheme="minorHAnsi"/>
                <w:sz w:val="22"/>
                <w:szCs w:val="22"/>
              </w:rPr>
              <w:t>dans les situations listées ci-après ?</w:t>
            </w:r>
          </w:p>
          <w:p w:rsidR="00683E60" w:rsidRPr="00CC1AEF" w:rsidRDefault="00683E60" w:rsidP="00D26F95">
            <w:pPr>
              <w:pStyle w:val="Paragraphedeliste"/>
              <w:numPr>
                <w:ilvl w:val="0"/>
                <w:numId w:val="118"/>
              </w:numPr>
              <w:rPr>
                <w:rFonts w:asciiTheme="minorHAnsi" w:hAnsiTheme="minorHAnsi" w:cstheme="minorHAnsi"/>
                <w:szCs w:val="22"/>
              </w:rPr>
            </w:pPr>
            <w:r w:rsidRPr="00CC1AEF">
              <w:rPr>
                <w:rFonts w:asciiTheme="minorHAnsi" w:hAnsiTheme="minorHAnsi" w:cstheme="minorHAnsi"/>
                <w:szCs w:val="22"/>
              </w:rPr>
              <w:t>pour accéder à s</w:t>
            </w:r>
            <w:r w:rsidR="00692F38" w:rsidRPr="00CC1AEF">
              <w:rPr>
                <w:rFonts w:asciiTheme="minorHAnsi" w:hAnsiTheme="minorHAnsi" w:cstheme="minorHAnsi"/>
                <w:szCs w:val="22"/>
              </w:rPr>
              <w:t>on compte de paiement en ligne ;</w:t>
            </w:r>
          </w:p>
          <w:p w:rsidR="00683E60" w:rsidRPr="00CC1AEF" w:rsidRDefault="00683E60" w:rsidP="00D26F95">
            <w:pPr>
              <w:pStyle w:val="Paragraphedeliste"/>
              <w:numPr>
                <w:ilvl w:val="0"/>
                <w:numId w:val="118"/>
              </w:numPr>
              <w:rPr>
                <w:rFonts w:asciiTheme="minorHAnsi" w:hAnsiTheme="minorHAnsi" w:cstheme="minorHAnsi"/>
                <w:szCs w:val="22"/>
              </w:rPr>
            </w:pPr>
            <w:r w:rsidRPr="00CC1AEF">
              <w:rPr>
                <w:rFonts w:asciiTheme="minorHAnsi" w:hAnsiTheme="minorHAnsi" w:cstheme="minorHAnsi"/>
                <w:szCs w:val="22"/>
              </w:rPr>
              <w:t>pour initier une opér</w:t>
            </w:r>
            <w:r w:rsidR="00692F38" w:rsidRPr="00CC1AEF">
              <w:rPr>
                <w:rFonts w:asciiTheme="minorHAnsi" w:hAnsiTheme="minorHAnsi" w:cstheme="minorHAnsi"/>
                <w:szCs w:val="22"/>
              </w:rPr>
              <w:t>ation de paiement électronique ;</w:t>
            </w:r>
          </w:p>
          <w:p w:rsidR="00683E60" w:rsidRPr="00A85C3C" w:rsidRDefault="00683E60" w:rsidP="00A85C3C">
            <w:pPr>
              <w:pStyle w:val="Paragraphedeliste"/>
              <w:numPr>
                <w:ilvl w:val="0"/>
                <w:numId w:val="118"/>
              </w:numPr>
              <w:rPr>
                <w:rFonts w:asciiTheme="minorHAnsi" w:hAnsiTheme="minorHAnsi" w:cstheme="minorHAnsi"/>
                <w:sz w:val="16"/>
                <w:szCs w:val="16"/>
              </w:rPr>
            </w:pPr>
            <w:r w:rsidRPr="00CC1AEF">
              <w:rPr>
                <w:rFonts w:asciiTheme="minorHAnsi" w:hAnsiTheme="minorHAnsi" w:cstheme="minorHAnsi"/>
                <w:szCs w:val="22"/>
              </w:rPr>
              <w:t>pour exécuter une action, grâce à un moyen de communication à distance, susceptible de comporter un risque de fraude en matière de paiement ou de t</w:t>
            </w:r>
            <w:r w:rsidR="00237305">
              <w:rPr>
                <w:rFonts w:asciiTheme="minorHAnsi" w:hAnsiTheme="minorHAnsi" w:cstheme="minorHAnsi"/>
                <w:szCs w:val="22"/>
              </w:rPr>
              <w:t>oute autre utilisation abusive.</w:t>
            </w:r>
          </w:p>
        </w:tc>
        <w:tc>
          <w:tcPr>
            <w:tcW w:w="1465" w:type="dxa"/>
          </w:tcPr>
          <w:p w:rsidR="00683E60" w:rsidRPr="00D46CE0" w:rsidRDefault="00683E60" w:rsidP="009973F6">
            <w:pPr>
              <w:jc w:val="center"/>
              <w:rPr>
                <w:b/>
                <w:sz w:val="22"/>
                <w:szCs w:val="22"/>
              </w:rPr>
            </w:pPr>
          </w:p>
        </w:tc>
        <w:tc>
          <w:tcPr>
            <w:tcW w:w="6698" w:type="dxa"/>
          </w:tcPr>
          <w:p w:rsidR="00683E60" w:rsidRPr="00D46CE0" w:rsidRDefault="00683E60">
            <w:pPr>
              <w:jc w:val="left"/>
              <w:rPr>
                <w:rFonts w:ascii="Calibri" w:eastAsia="Calibri" w:hAnsi="Calibri"/>
                <w:b/>
                <w:sz w:val="22"/>
                <w:szCs w:val="22"/>
                <w:lang w:eastAsia="en-US"/>
              </w:rPr>
            </w:pPr>
          </w:p>
        </w:tc>
      </w:tr>
      <w:tr w:rsidR="00683E60" w:rsidRPr="00CC1AEF" w:rsidTr="00683E60">
        <w:tc>
          <w:tcPr>
            <w:tcW w:w="1595" w:type="dxa"/>
            <w:vMerge/>
          </w:tcPr>
          <w:p w:rsidR="00683E60" w:rsidRPr="00CC1AEF" w:rsidRDefault="00683E60" w:rsidP="009973F6">
            <w:pPr>
              <w:jc w:val="center"/>
              <w:rPr>
                <w:rFonts w:asciiTheme="minorHAnsi" w:hAnsiTheme="minorHAnsi" w:cstheme="minorHAnsi"/>
                <w:b/>
                <w:sz w:val="22"/>
                <w:szCs w:val="22"/>
              </w:rPr>
            </w:pPr>
          </w:p>
        </w:tc>
        <w:tc>
          <w:tcPr>
            <w:tcW w:w="4979" w:type="dxa"/>
          </w:tcPr>
          <w:p w:rsidR="00683E60" w:rsidRPr="00CC1AEF" w:rsidRDefault="00683E60" w:rsidP="00FF7C35">
            <w:pPr>
              <w:rPr>
                <w:rFonts w:asciiTheme="minorHAnsi" w:hAnsiTheme="minorHAnsi" w:cstheme="minorHAnsi"/>
                <w:sz w:val="22"/>
                <w:szCs w:val="22"/>
              </w:rPr>
            </w:pPr>
            <w:r w:rsidRPr="00CC1AEF">
              <w:rPr>
                <w:rFonts w:asciiTheme="minorHAnsi" w:hAnsiTheme="minorHAnsi" w:cstheme="minorHAnsi"/>
                <w:sz w:val="22"/>
                <w:szCs w:val="22"/>
              </w:rPr>
              <w:t xml:space="preserve">Le PSP prévoit-t-il des mesures de sécurité garantissant le respect de chacune des exigences listées ci-après ? </w:t>
            </w:r>
          </w:p>
          <w:p w:rsidR="00683E60" w:rsidRPr="00CC1AEF" w:rsidRDefault="00683E60" w:rsidP="00D26F95">
            <w:pPr>
              <w:pStyle w:val="Paragraphedeliste"/>
              <w:numPr>
                <w:ilvl w:val="0"/>
                <w:numId w:val="119"/>
              </w:numPr>
              <w:rPr>
                <w:rFonts w:asciiTheme="minorHAnsi" w:hAnsiTheme="minorHAnsi" w:cstheme="minorHAnsi"/>
                <w:szCs w:val="22"/>
              </w:rPr>
            </w:pPr>
            <w:r w:rsidRPr="00CC1AEF">
              <w:rPr>
                <w:rFonts w:asciiTheme="minorHAnsi" w:hAnsiTheme="minorHAnsi" w:cstheme="minorHAnsi"/>
                <w:szCs w:val="22"/>
              </w:rPr>
              <w:t>aucune information sur l'un des éléments appartenant aux catégories « connaissance », « possession » et « inhérence » ne peut être déduite de la divulgation du code d'authentification ;</w:t>
            </w:r>
          </w:p>
          <w:p w:rsidR="00683E60" w:rsidRPr="00CC1AEF" w:rsidRDefault="00683E60" w:rsidP="00D26F95">
            <w:pPr>
              <w:pStyle w:val="Paragraphedeliste"/>
              <w:numPr>
                <w:ilvl w:val="0"/>
                <w:numId w:val="119"/>
              </w:numPr>
              <w:rPr>
                <w:rFonts w:asciiTheme="minorHAnsi" w:hAnsiTheme="minorHAnsi" w:cstheme="minorHAnsi"/>
                <w:szCs w:val="22"/>
              </w:rPr>
            </w:pPr>
            <w:r w:rsidRPr="00CC1AEF">
              <w:rPr>
                <w:rFonts w:asciiTheme="minorHAnsi" w:hAnsiTheme="minorHAnsi" w:cstheme="minorHAnsi"/>
                <w:szCs w:val="22"/>
              </w:rPr>
              <w:lastRenderedPageBreak/>
              <w:t>il n’est pas possible de générer un nouveau code d’authentification en se basant sur un autre code d’authentification généré au préalable ;</w:t>
            </w:r>
          </w:p>
          <w:p w:rsidR="00E71DDB" w:rsidRPr="00CC1AEF" w:rsidRDefault="00683E60" w:rsidP="005C7862">
            <w:pPr>
              <w:pStyle w:val="Paragraphedeliste"/>
              <w:numPr>
                <w:ilvl w:val="0"/>
                <w:numId w:val="119"/>
              </w:numPr>
              <w:rPr>
                <w:rFonts w:asciiTheme="minorHAnsi" w:hAnsiTheme="minorHAnsi" w:cstheme="minorHAnsi"/>
                <w:szCs w:val="22"/>
              </w:rPr>
            </w:pPr>
            <w:r w:rsidRPr="00CC1AEF">
              <w:rPr>
                <w:rFonts w:asciiTheme="minorHAnsi" w:hAnsiTheme="minorHAnsi" w:cstheme="minorHAnsi"/>
                <w:szCs w:val="22"/>
              </w:rPr>
              <w:t>le code d’authentification ne peut pas être falsifié.</w:t>
            </w:r>
          </w:p>
          <w:p w:rsidR="00683E60" w:rsidRPr="00295EB6" w:rsidRDefault="00683E60" w:rsidP="00F355FF">
            <w:pPr>
              <w:rPr>
                <w:sz w:val="16"/>
                <w:szCs w:val="16"/>
              </w:rPr>
            </w:pPr>
          </w:p>
        </w:tc>
        <w:tc>
          <w:tcPr>
            <w:tcW w:w="1465" w:type="dxa"/>
          </w:tcPr>
          <w:p w:rsidR="00683E60" w:rsidRPr="00CC1AEF" w:rsidRDefault="00683E60" w:rsidP="009973F6">
            <w:pPr>
              <w:jc w:val="center"/>
              <w:rPr>
                <w:rFonts w:asciiTheme="minorHAnsi" w:hAnsiTheme="minorHAnsi" w:cstheme="minorHAnsi"/>
                <w:b/>
                <w:sz w:val="22"/>
                <w:szCs w:val="22"/>
              </w:rPr>
            </w:pPr>
          </w:p>
        </w:tc>
        <w:tc>
          <w:tcPr>
            <w:tcW w:w="6698" w:type="dxa"/>
          </w:tcPr>
          <w:p w:rsidR="00683E60" w:rsidRPr="00CC1AEF" w:rsidRDefault="00683E60">
            <w:pPr>
              <w:jc w:val="left"/>
              <w:rPr>
                <w:rFonts w:asciiTheme="minorHAnsi" w:eastAsia="Calibri" w:hAnsiTheme="minorHAnsi" w:cstheme="minorHAnsi"/>
                <w:b/>
                <w:sz w:val="22"/>
                <w:szCs w:val="22"/>
                <w:lang w:eastAsia="en-US"/>
              </w:rPr>
            </w:pPr>
          </w:p>
        </w:tc>
      </w:tr>
      <w:tr w:rsidR="00683E60" w:rsidRPr="00CC1AEF" w:rsidTr="00683E60">
        <w:tc>
          <w:tcPr>
            <w:tcW w:w="1595" w:type="dxa"/>
            <w:vMerge/>
          </w:tcPr>
          <w:p w:rsidR="00683E60" w:rsidRPr="00CC1AEF" w:rsidRDefault="00683E60" w:rsidP="009973F6">
            <w:pPr>
              <w:jc w:val="center"/>
              <w:rPr>
                <w:rFonts w:asciiTheme="minorHAnsi" w:hAnsiTheme="minorHAnsi" w:cstheme="minorHAnsi"/>
                <w:b/>
                <w:sz w:val="22"/>
                <w:szCs w:val="22"/>
              </w:rPr>
            </w:pPr>
          </w:p>
        </w:tc>
        <w:tc>
          <w:tcPr>
            <w:tcW w:w="4979" w:type="dxa"/>
          </w:tcPr>
          <w:p w:rsidR="00683E60" w:rsidRPr="00CC1AEF" w:rsidRDefault="00683E60" w:rsidP="00FF7C35">
            <w:pPr>
              <w:rPr>
                <w:rFonts w:asciiTheme="minorHAnsi" w:hAnsiTheme="minorHAnsi" w:cstheme="minorHAnsi"/>
                <w:sz w:val="22"/>
                <w:szCs w:val="22"/>
              </w:rPr>
            </w:pPr>
            <w:r w:rsidRPr="00CC1AEF">
              <w:rPr>
                <w:rFonts w:asciiTheme="minorHAnsi" w:hAnsiTheme="minorHAnsi" w:cstheme="minorHAnsi"/>
                <w:sz w:val="22"/>
                <w:szCs w:val="22"/>
              </w:rPr>
              <w:t>Le PSP veill</w:t>
            </w:r>
            <w:r w:rsidR="006F0521" w:rsidRPr="00CC1AEF">
              <w:rPr>
                <w:rFonts w:asciiTheme="minorHAnsi" w:hAnsiTheme="minorHAnsi" w:cstheme="minorHAnsi"/>
                <w:sz w:val="22"/>
                <w:szCs w:val="22"/>
              </w:rPr>
              <w:t>e-t-il</w:t>
            </w:r>
            <w:r w:rsidRPr="00CC1AEF">
              <w:rPr>
                <w:rFonts w:asciiTheme="minorHAnsi" w:hAnsiTheme="minorHAnsi" w:cstheme="minorHAnsi"/>
                <w:sz w:val="22"/>
                <w:szCs w:val="22"/>
              </w:rPr>
              <w:t xml:space="preserve"> à ce que l'authentification au moyen de la génération d'un code d'authentification intègre chacune des mesures listées ci-après ? </w:t>
            </w:r>
          </w:p>
          <w:p w:rsidR="00683E60" w:rsidRPr="00CC1AEF" w:rsidRDefault="00683E60" w:rsidP="00D731E1">
            <w:pPr>
              <w:pStyle w:val="Paragraphedeliste"/>
              <w:numPr>
                <w:ilvl w:val="0"/>
                <w:numId w:val="118"/>
              </w:numPr>
              <w:rPr>
                <w:rFonts w:asciiTheme="minorHAnsi" w:hAnsiTheme="minorHAnsi" w:cstheme="minorHAnsi"/>
                <w:szCs w:val="22"/>
              </w:rPr>
            </w:pPr>
            <w:r w:rsidRPr="00CC1AEF">
              <w:rPr>
                <w:rFonts w:asciiTheme="minorHAnsi" w:hAnsiTheme="minorHAnsi" w:cstheme="minorHAnsi"/>
                <w:szCs w:val="22"/>
              </w:rPr>
              <w:t>lorsque l'authentification pour accès à distance, paiements électroniques à distance et toute autre action grâce à un moyen de communication à distance susceptible de comporter un risque de fraude en matière de paiement ou de toute autre utilisation abusive n'a pas généré de code d'authentification, il n'est pas possible de déterminer lequel des éléments (connaissance, possession et inhérence) était incorrect ;</w:t>
            </w:r>
          </w:p>
          <w:p w:rsidR="00683E60" w:rsidRPr="00CC1AEF" w:rsidRDefault="00683E60" w:rsidP="00CB654E">
            <w:pPr>
              <w:pStyle w:val="Paragraphedeliste"/>
              <w:numPr>
                <w:ilvl w:val="0"/>
                <w:numId w:val="118"/>
              </w:numPr>
              <w:rPr>
                <w:rFonts w:asciiTheme="minorHAnsi" w:hAnsiTheme="minorHAnsi" w:cstheme="minorHAnsi"/>
                <w:szCs w:val="22"/>
              </w:rPr>
            </w:pPr>
            <w:r w:rsidRPr="00CC1AEF">
              <w:rPr>
                <w:rFonts w:asciiTheme="minorHAnsi" w:hAnsiTheme="minorHAnsi" w:cstheme="minorHAnsi"/>
                <w:szCs w:val="22"/>
              </w:rPr>
              <w:t>le nombre de tentatives d'authentification infructueuses consécutives au bout duquel les actions prévues à l'article 97, paragraphe 1, de la directive (UE) 2015/2366 sont bloquées à titre temporaire ou permanent ne dépasse pas cinq au cours d'une période donnée ;</w:t>
            </w:r>
          </w:p>
          <w:p w:rsidR="00683E60" w:rsidRPr="00CC1AEF" w:rsidRDefault="00683E60" w:rsidP="00CB654E">
            <w:pPr>
              <w:pStyle w:val="Paragraphedeliste"/>
              <w:numPr>
                <w:ilvl w:val="0"/>
                <w:numId w:val="118"/>
              </w:numPr>
              <w:rPr>
                <w:rFonts w:asciiTheme="minorHAnsi" w:hAnsiTheme="minorHAnsi" w:cstheme="minorHAnsi"/>
                <w:szCs w:val="22"/>
              </w:rPr>
            </w:pPr>
            <w:r w:rsidRPr="00CC1AEF">
              <w:rPr>
                <w:rFonts w:asciiTheme="minorHAnsi" w:hAnsiTheme="minorHAnsi" w:cstheme="minorHAnsi"/>
                <w:szCs w:val="22"/>
              </w:rPr>
              <w:t xml:space="preserve">les sessions de communication sont protégées contre l'interception des données d'authentification communiquées durant l'authentification et contre la manipulation par des tiers non autorisés ; </w:t>
            </w:r>
          </w:p>
          <w:p w:rsidR="00683E60" w:rsidRPr="00A85C3C" w:rsidRDefault="00683E60" w:rsidP="00A85C3C">
            <w:pPr>
              <w:pStyle w:val="Paragraphedeliste"/>
              <w:numPr>
                <w:ilvl w:val="0"/>
                <w:numId w:val="118"/>
              </w:numPr>
              <w:rPr>
                <w:rFonts w:asciiTheme="minorHAnsi" w:hAnsiTheme="minorHAnsi" w:cstheme="minorHAnsi"/>
                <w:b/>
                <w:sz w:val="16"/>
                <w:szCs w:val="16"/>
              </w:rPr>
            </w:pPr>
            <w:r w:rsidRPr="00CC1AEF">
              <w:rPr>
                <w:rFonts w:asciiTheme="minorHAnsi" w:hAnsiTheme="minorHAnsi" w:cstheme="minorHAnsi"/>
                <w:szCs w:val="22"/>
              </w:rPr>
              <w:t>le délai maximal d'inactivité du payeur, une fois que celui-ci s'est authentifié pour accéder à son compte de paiement en ligne, ne dépasse pas cinq minutes.</w:t>
            </w:r>
          </w:p>
        </w:tc>
        <w:tc>
          <w:tcPr>
            <w:tcW w:w="1465" w:type="dxa"/>
          </w:tcPr>
          <w:p w:rsidR="00683E60" w:rsidRPr="00CC1AEF" w:rsidRDefault="00683E60" w:rsidP="009973F6">
            <w:pPr>
              <w:jc w:val="center"/>
              <w:rPr>
                <w:rFonts w:asciiTheme="minorHAnsi" w:hAnsiTheme="minorHAnsi" w:cstheme="minorHAnsi"/>
                <w:b/>
                <w:sz w:val="22"/>
                <w:szCs w:val="22"/>
              </w:rPr>
            </w:pPr>
          </w:p>
        </w:tc>
        <w:tc>
          <w:tcPr>
            <w:tcW w:w="6698" w:type="dxa"/>
          </w:tcPr>
          <w:p w:rsidR="00683E60" w:rsidRPr="00CC1AEF" w:rsidRDefault="00683E60">
            <w:pPr>
              <w:jc w:val="left"/>
              <w:rPr>
                <w:rFonts w:asciiTheme="minorHAnsi" w:eastAsia="Calibri" w:hAnsiTheme="minorHAnsi" w:cstheme="minorHAnsi"/>
                <w:b/>
                <w:sz w:val="22"/>
                <w:szCs w:val="22"/>
                <w:lang w:eastAsia="en-US"/>
              </w:rPr>
            </w:pPr>
          </w:p>
        </w:tc>
      </w:tr>
      <w:tr w:rsidR="00683E60" w:rsidRPr="00CC1AEF" w:rsidTr="00683E60">
        <w:tc>
          <w:tcPr>
            <w:tcW w:w="1595" w:type="dxa"/>
            <w:vMerge/>
          </w:tcPr>
          <w:p w:rsidR="00683E60" w:rsidRPr="00CC1AEF" w:rsidRDefault="00683E60" w:rsidP="009973F6">
            <w:pPr>
              <w:jc w:val="center"/>
              <w:rPr>
                <w:rFonts w:asciiTheme="minorHAnsi" w:hAnsiTheme="minorHAnsi" w:cstheme="minorHAnsi"/>
                <w:b/>
                <w:sz w:val="22"/>
                <w:szCs w:val="22"/>
              </w:rPr>
            </w:pPr>
          </w:p>
        </w:tc>
        <w:tc>
          <w:tcPr>
            <w:tcW w:w="4979" w:type="dxa"/>
          </w:tcPr>
          <w:p w:rsidR="00683E60" w:rsidRPr="00CC1AEF" w:rsidRDefault="00683E60" w:rsidP="00C81104">
            <w:pPr>
              <w:rPr>
                <w:rFonts w:asciiTheme="minorHAnsi" w:hAnsiTheme="minorHAnsi" w:cstheme="minorHAnsi"/>
                <w:sz w:val="22"/>
                <w:szCs w:val="22"/>
              </w:rPr>
            </w:pPr>
            <w:r w:rsidRPr="00CC1AEF">
              <w:rPr>
                <w:rFonts w:asciiTheme="minorHAnsi" w:hAnsiTheme="minorHAnsi" w:cstheme="minorHAnsi"/>
                <w:sz w:val="22"/>
                <w:szCs w:val="22"/>
              </w:rPr>
              <w:t xml:space="preserve">En cas de blocage temporaire suite à des tentatives d’authentification infructueuses, la durée de celui-ci et le nombre de nouveaux essais sont-ils fixés sur la base des caractéristiques du service fourni au payeur </w:t>
            </w:r>
            <w:r w:rsidRPr="00CC1AEF">
              <w:rPr>
                <w:rFonts w:asciiTheme="minorHAnsi" w:hAnsiTheme="minorHAnsi" w:cstheme="minorHAnsi"/>
                <w:sz w:val="22"/>
                <w:szCs w:val="22"/>
              </w:rPr>
              <w:lastRenderedPageBreak/>
              <w:t>et de l'ensemble des risques correspondants qui y sont associés, en tenant compte, au minimum, des</w:t>
            </w:r>
            <w:r w:rsidR="00D731E1" w:rsidRPr="00CC1AEF">
              <w:rPr>
                <w:rFonts w:asciiTheme="minorHAnsi" w:hAnsiTheme="minorHAnsi" w:cstheme="minorHAnsi"/>
                <w:sz w:val="22"/>
                <w:szCs w:val="22"/>
              </w:rPr>
              <w:t xml:space="preserve"> facteurs énoncés à l'article 2 §</w:t>
            </w:r>
            <w:r w:rsidRPr="00CC1AEF">
              <w:rPr>
                <w:rFonts w:asciiTheme="minorHAnsi" w:hAnsiTheme="minorHAnsi" w:cstheme="minorHAnsi"/>
                <w:sz w:val="22"/>
                <w:szCs w:val="22"/>
              </w:rPr>
              <w:t xml:space="preserve"> 2</w:t>
            </w:r>
            <w:r w:rsidR="00D731E1" w:rsidRPr="00CC1AEF">
              <w:rPr>
                <w:rFonts w:asciiTheme="minorHAnsi" w:hAnsiTheme="minorHAnsi" w:cstheme="minorHAnsi"/>
                <w:sz w:val="22"/>
                <w:szCs w:val="22"/>
              </w:rPr>
              <w:t xml:space="preserve"> des RTS</w:t>
            </w:r>
            <w:r w:rsidRPr="00CC1AEF">
              <w:rPr>
                <w:rFonts w:asciiTheme="minorHAnsi" w:hAnsiTheme="minorHAnsi" w:cstheme="minorHAnsi"/>
                <w:sz w:val="22"/>
                <w:szCs w:val="22"/>
              </w:rPr>
              <w:t> ?</w:t>
            </w:r>
          </w:p>
          <w:p w:rsidR="00683E60" w:rsidRPr="00CC1AEF" w:rsidRDefault="00683E60" w:rsidP="00C81104">
            <w:pPr>
              <w:rPr>
                <w:rFonts w:asciiTheme="minorHAnsi" w:hAnsiTheme="minorHAnsi" w:cstheme="minorHAnsi"/>
                <w:b/>
                <w:sz w:val="22"/>
                <w:szCs w:val="22"/>
              </w:rPr>
            </w:pPr>
            <w:r w:rsidRPr="00CC1AEF">
              <w:rPr>
                <w:rFonts w:asciiTheme="minorHAnsi" w:hAnsiTheme="minorHAnsi" w:cstheme="minorHAnsi"/>
                <w:sz w:val="22"/>
                <w:szCs w:val="22"/>
              </w:rPr>
              <w:t xml:space="preserve">Le payeur est-il </w:t>
            </w:r>
            <w:r w:rsidR="00237305">
              <w:rPr>
                <w:rFonts w:asciiTheme="minorHAnsi" w:hAnsiTheme="minorHAnsi" w:cstheme="minorHAnsi"/>
                <w:sz w:val="22"/>
                <w:szCs w:val="22"/>
              </w:rPr>
              <w:t xml:space="preserve">bien </w:t>
            </w:r>
            <w:r w:rsidRPr="00CC1AEF">
              <w:rPr>
                <w:rFonts w:asciiTheme="minorHAnsi" w:hAnsiTheme="minorHAnsi" w:cstheme="minorHAnsi"/>
                <w:sz w:val="22"/>
                <w:szCs w:val="22"/>
              </w:rPr>
              <w:t>averti avant que le blocage ne devienne permanent ?</w:t>
            </w:r>
          </w:p>
        </w:tc>
        <w:tc>
          <w:tcPr>
            <w:tcW w:w="1465" w:type="dxa"/>
          </w:tcPr>
          <w:p w:rsidR="00683E60" w:rsidRPr="00CC1AEF" w:rsidRDefault="00683E60" w:rsidP="009973F6">
            <w:pPr>
              <w:jc w:val="center"/>
              <w:rPr>
                <w:rFonts w:asciiTheme="minorHAnsi" w:hAnsiTheme="minorHAnsi" w:cstheme="minorHAnsi"/>
                <w:b/>
                <w:sz w:val="22"/>
                <w:szCs w:val="22"/>
              </w:rPr>
            </w:pPr>
          </w:p>
        </w:tc>
        <w:tc>
          <w:tcPr>
            <w:tcW w:w="6698" w:type="dxa"/>
          </w:tcPr>
          <w:p w:rsidR="00683E60" w:rsidRPr="00CC1AEF" w:rsidRDefault="00683E60">
            <w:pPr>
              <w:jc w:val="left"/>
              <w:rPr>
                <w:rFonts w:asciiTheme="minorHAnsi" w:eastAsia="Calibri" w:hAnsiTheme="minorHAnsi" w:cstheme="minorHAnsi"/>
                <w:b/>
                <w:sz w:val="22"/>
                <w:szCs w:val="22"/>
                <w:lang w:eastAsia="en-US"/>
              </w:rPr>
            </w:pPr>
          </w:p>
        </w:tc>
      </w:tr>
      <w:tr w:rsidR="00683E60" w:rsidRPr="00CC1AEF" w:rsidTr="00683E60">
        <w:tc>
          <w:tcPr>
            <w:tcW w:w="1595" w:type="dxa"/>
            <w:vMerge/>
          </w:tcPr>
          <w:p w:rsidR="00683E60" w:rsidRPr="00CC1AEF" w:rsidRDefault="00683E60" w:rsidP="009973F6">
            <w:pPr>
              <w:jc w:val="center"/>
              <w:rPr>
                <w:rFonts w:asciiTheme="minorHAnsi" w:hAnsiTheme="minorHAnsi" w:cstheme="minorHAnsi"/>
                <w:b/>
                <w:sz w:val="22"/>
                <w:szCs w:val="22"/>
              </w:rPr>
            </w:pPr>
          </w:p>
        </w:tc>
        <w:tc>
          <w:tcPr>
            <w:tcW w:w="4979" w:type="dxa"/>
          </w:tcPr>
          <w:p w:rsidR="00683E60" w:rsidRPr="00CC1AEF" w:rsidRDefault="00683E60" w:rsidP="00C81104">
            <w:pPr>
              <w:rPr>
                <w:rFonts w:asciiTheme="minorHAnsi" w:hAnsiTheme="minorHAnsi" w:cstheme="minorHAnsi"/>
                <w:b/>
                <w:sz w:val="22"/>
                <w:szCs w:val="22"/>
              </w:rPr>
            </w:pPr>
            <w:r w:rsidRPr="00CC1AEF">
              <w:rPr>
                <w:rFonts w:asciiTheme="minorHAnsi" w:hAnsiTheme="minorHAnsi" w:cstheme="minorHAnsi"/>
                <w:sz w:val="22"/>
                <w:szCs w:val="22"/>
              </w:rPr>
              <w:t>En cas de blocage permanent, une procédure sécurisée est-elle mise en place pour permettre au payeur d'utiliser à nouveau les instruments de paiement électronique bloqués ?</w:t>
            </w:r>
          </w:p>
        </w:tc>
        <w:tc>
          <w:tcPr>
            <w:tcW w:w="1465" w:type="dxa"/>
          </w:tcPr>
          <w:p w:rsidR="00683E60" w:rsidRPr="00CC1AEF" w:rsidRDefault="00683E60" w:rsidP="009973F6">
            <w:pPr>
              <w:jc w:val="center"/>
              <w:rPr>
                <w:rFonts w:asciiTheme="minorHAnsi" w:hAnsiTheme="minorHAnsi" w:cstheme="minorHAnsi"/>
                <w:b/>
                <w:sz w:val="22"/>
                <w:szCs w:val="22"/>
              </w:rPr>
            </w:pPr>
          </w:p>
        </w:tc>
        <w:tc>
          <w:tcPr>
            <w:tcW w:w="6698" w:type="dxa"/>
          </w:tcPr>
          <w:p w:rsidR="00683E60" w:rsidRPr="00CC1AEF" w:rsidRDefault="00683E60">
            <w:pPr>
              <w:jc w:val="left"/>
              <w:rPr>
                <w:rFonts w:asciiTheme="minorHAnsi" w:eastAsia="Calibri" w:hAnsiTheme="minorHAnsi" w:cstheme="minorHAnsi"/>
                <w:b/>
                <w:sz w:val="22"/>
                <w:szCs w:val="22"/>
                <w:lang w:eastAsia="en-US"/>
              </w:rPr>
            </w:pPr>
          </w:p>
        </w:tc>
      </w:tr>
      <w:tr w:rsidR="00CB654E" w:rsidRPr="00CC1AEF" w:rsidTr="006B6ABB">
        <w:tc>
          <w:tcPr>
            <w:tcW w:w="14737" w:type="dxa"/>
            <w:gridSpan w:val="4"/>
            <w:shd w:val="clear" w:color="auto" w:fill="FBD4B4" w:themeFill="accent6" w:themeFillTint="66"/>
          </w:tcPr>
          <w:p w:rsidR="00CB654E" w:rsidRPr="00CC1AEF" w:rsidRDefault="00CB654E">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Établissement d’un lien dynamique</w:t>
            </w:r>
          </w:p>
        </w:tc>
      </w:tr>
      <w:tr w:rsidR="009973F6" w:rsidRPr="00CC1AEF" w:rsidTr="00683E60">
        <w:tc>
          <w:tcPr>
            <w:tcW w:w="1595" w:type="dxa"/>
          </w:tcPr>
          <w:p w:rsidR="009973F6" w:rsidRPr="00CC1AEF" w:rsidRDefault="00CB654E" w:rsidP="009973F6">
            <w:pPr>
              <w:jc w:val="center"/>
              <w:rPr>
                <w:rFonts w:asciiTheme="minorHAnsi" w:hAnsiTheme="minorHAnsi" w:cstheme="minorHAnsi"/>
                <w:b/>
                <w:sz w:val="22"/>
                <w:szCs w:val="22"/>
              </w:rPr>
            </w:pPr>
            <w:r w:rsidRPr="00CC1AEF">
              <w:rPr>
                <w:rFonts w:asciiTheme="minorHAnsi" w:hAnsiTheme="minorHAnsi" w:cstheme="minorHAnsi"/>
                <w:b/>
                <w:sz w:val="22"/>
                <w:szCs w:val="22"/>
              </w:rPr>
              <w:t>5</w:t>
            </w:r>
          </w:p>
        </w:tc>
        <w:tc>
          <w:tcPr>
            <w:tcW w:w="4979" w:type="dxa"/>
          </w:tcPr>
          <w:p w:rsidR="009973F6" w:rsidRPr="00CC1AEF" w:rsidRDefault="00CB654E" w:rsidP="00CB654E">
            <w:pPr>
              <w:rPr>
                <w:rFonts w:asciiTheme="minorHAnsi" w:hAnsiTheme="minorHAnsi" w:cstheme="minorHAnsi"/>
                <w:sz w:val="22"/>
                <w:szCs w:val="22"/>
              </w:rPr>
            </w:pPr>
            <w:r w:rsidRPr="00CC1AEF">
              <w:rPr>
                <w:rFonts w:asciiTheme="minorHAnsi" w:hAnsiTheme="minorHAnsi" w:cstheme="minorHAnsi"/>
                <w:sz w:val="22"/>
                <w:szCs w:val="22"/>
              </w:rPr>
              <w:t>Lorsque le PSP applique la procédure d'authentification forte du client (conformément à l'article 97</w:t>
            </w:r>
            <w:r w:rsidR="00237305">
              <w:rPr>
                <w:rFonts w:asciiTheme="minorHAnsi" w:hAnsiTheme="minorHAnsi" w:cstheme="minorHAnsi"/>
                <w:sz w:val="22"/>
                <w:szCs w:val="22"/>
              </w:rPr>
              <w:t xml:space="preserve"> § 2 </w:t>
            </w:r>
            <w:r w:rsidRPr="00CC1AEF">
              <w:rPr>
                <w:rFonts w:asciiTheme="minorHAnsi" w:hAnsiTheme="minorHAnsi" w:cstheme="minorHAnsi"/>
                <w:sz w:val="22"/>
                <w:szCs w:val="22"/>
              </w:rPr>
              <w:t>de la directive (UE) 2015/2366) respecte-t-il les exigences listées ci-après ?</w:t>
            </w:r>
          </w:p>
          <w:p w:rsidR="00CB654E" w:rsidRPr="00CC1AEF" w:rsidRDefault="00CB654E" w:rsidP="00CB654E">
            <w:pPr>
              <w:pStyle w:val="Paragraphedeliste"/>
              <w:numPr>
                <w:ilvl w:val="0"/>
                <w:numId w:val="119"/>
              </w:numPr>
              <w:rPr>
                <w:rFonts w:asciiTheme="minorHAnsi" w:hAnsiTheme="minorHAnsi" w:cstheme="minorHAnsi"/>
                <w:b/>
                <w:szCs w:val="22"/>
              </w:rPr>
            </w:pPr>
            <w:r w:rsidRPr="00CC1AEF">
              <w:rPr>
                <w:rFonts w:asciiTheme="minorHAnsi" w:hAnsiTheme="minorHAnsi" w:cstheme="minorHAnsi"/>
                <w:szCs w:val="22"/>
              </w:rPr>
              <w:t>le payeur est informé du montant de l'opération de paiement et du bénéficiaire ;</w:t>
            </w:r>
          </w:p>
          <w:p w:rsidR="00CB654E" w:rsidRPr="00CC1AEF" w:rsidRDefault="00CB654E" w:rsidP="00CB654E">
            <w:pPr>
              <w:pStyle w:val="Paragraphedeliste"/>
              <w:numPr>
                <w:ilvl w:val="0"/>
                <w:numId w:val="119"/>
              </w:numPr>
              <w:rPr>
                <w:rFonts w:asciiTheme="minorHAnsi" w:hAnsiTheme="minorHAnsi" w:cstheme="minorHAnsi"/>
                <w:b/>
                <w:szCs w:val="22"/>
              </w:rPr>
            </w:pPr>
            <w:r w:rsidRPr="00CC1AEF">
              <w:rPr>
                <w:rFonts w:asciiTheme="minorHAnsi" w:hAnsiTheme="minorHAnsi" w:cstheme="minorHAnsi"/>
                <w:szCs w:val="22"/>
              </w:rPr>
              <w:t>le code d'authentification généré est spécifique au montant de l'opération de paiement et au bénéficiaire approuvé par le payeur lors de l'initiation de l'opération ;</w:t>
            </w:r>
          </w:p>
          <w:p w:rsidR="00CB654E" w:rsidRPr="00CC1AEF" w:rsidRDefault="00CB654E" w:rsidP="00CB654E">
            <w:pPr>
              <w:pStyle w:val="Paragraphedeliste"/>
              <w:numPr>
                <w:ilvl w:val="0"/>
                <w:numId w:val="119"/>
              </w:numPr>
              <w:rPr>
                <w:rFonts w:asciiTheme="minorHAnsi" w:hAnsiTheme="minorHAnsi" w:cstheme="minorHAnsi"/>
                <w:b/>
                <w:szCs w:val="22"/>
              </w:rPr>
            </w:pPr>
            <w:r w:rsidRPr="00CC1AEF">
              <w:rPr>
                <w:rFonts w:asciiTheme="minorHAnsi" w:hAnsiTheme="minorHAnsi" w:cstheme="minorHAnsi"/>
                <w:szCs w:val="22"/>
              </w:rPr>
              <w:t>le code d'authentification accepté par le prestataire de services de paiement correspond au montant spécifique initial de l'opération de paiement et à l'identité du bénéficiaire approuvé par le payeur ;</w:t>
            </w:r>
          </w:p>
          <w:p w:rsidR="00CB654E" w:rsidRPr="00A85C3C" w:rsidRDefault="00CB654E" w:rsidP="00A85C3C">
            <w:pPr>
              <w:pStyle w:val="Paragraphedeliste"/>
              <w:numPr>
                <w:ilvl w:val="0"/>
                <w:numId w:val="119"/>
              </w:numPr>
              <w:rPr>
                <w:rFonts w:asciiTheme="minorHAnsi" w:hAnsiTheme="minorHAnsi" w:cstheme="minorHAnsi"/>
                <w:b/>
                <w:szCs w:val="22"/>
              </w:rPr>
            </w:pPr>
            <w:r w:rsidRPr="00CC1AEF">
              <w:rPr>
                <w:rFonts w:asciiTheme="minorHAnsi" w:hAnsiTheme="minorHAnsi" w:cstheme="minorHAnsi"/>
                <w:szCs w:val="22"/>
              </w:rPr>
              <w:t>toute modification du montant ou du bénéficiaire entraîne l'invalidation du code d'authentification généré.</w:t>
            </w:r>
          </w:p>
        </w:tc>
        <w:tc>
          <w:tcPr>
            <w:tcW w:w="1465" w:type="dxa"/>
          </w:tcPr>
          <w:p w:rsidR="009973F6" w:rsidRPr="00CC1AEF" w:rsidRDefault="009973F6" w:rsidP="009973F6">
            <w:pPr>
              <w:jc w:val="center"/>
              <w:rPr>
                <w:rFonts w:asciiTheme="minorHAnsi" w:hAnsiTheme="minorHAnsi" w:cstheme="minorHAnsi"/>
                <w:b/>
                <w:sz w:val="22"/>
                <w:szCs w:val="22"/>
              </w:rPr>
            </w:pPr>
          </w:p>
        </w:tc>
        <w:tc>
          <w:tcPr>
            <w:tcW w:w="6698" w:type="dxa"/>
          </w:tcPr>
          <w:p w:rsidR="009973F6" w:rsidRPr="00CC1AEF" w:rsidRDefault="009973F6">
            <w:pPr>
              <w:jc w:val="left"/>
              <w:rPr>
                <w:rFonts w:asciiTheme="minorHAnsi" w:eastAsia="Calibri" w:hAnsiTheme="minorHAnsi" w:cstheme="minorHAnsi"/>
                <w:b/>
                <w:sz w:val="22"/>
                <w:szCs w:val="22"/>
                <w:lang w:eastAsia="en-US"/>
              </w:rPr>
            </w:pPr>
          </w:p>
        </w:tc>
      </w:tr>
      <w:tr w:rsidR="009973F6" w:rsidRPr="00CC1AEF" w:rsidTr="00683E60">
        <w:tc>
          <w:tcPr>
            <w:tcW w:w="1595" w:type="dxa"/>
          </w:tcPr>
          <w:p w:rsidR="009973F6" w:rsidRPr="00CC1AEF" w:rsidRDefault="009973F6" w:rsidP="009973F6">
            <w:pPr>
              <w:jc w:val="center"/>
              <w:rPr>
                <w:rFonts w:asciiTheme="minorHAnsi" w:hAnsiTheme="minorHAnsi" w:cstheme="minorHAnsi"/>
                <w:b/>
                <w:sz w:val="22"/>
                <w:szCs w:val="22"/>
              </w:rPr>
            </w:pPr>
          </w:p>
        </w:tc>
        <w:tc>
          <w:tcPr>
            <w:tcW w:w="4979" w:type="dxa"/>
          </w:tcPr>
          <w:p w:rsidR="00D46CE0" w:rsidRPr="00CC1AEF" w:rsidRDefault="00D46CE0" w:rsidP="00D46CE0">
            <w:pPr>
              <w:rPr>
                <w:rFonts w:asciiTheme="minorHAnsi" w:hAnsiTheme="minorHAnsi" w:cstheme="minorHAnsi"/>
                <w:sz w:val="22"/>
                <w:szCs w:val="22"/>
              </w:rPr>
            </w:pPr>
            <w:r w:rsidRPr="00CC1AEF">
              <w:rPr>
                <w:rFonts w:asciiTheme="minorHAnsi" w:hAnsiTheme="minorHAnsi" w:cstheme="minorHAnsi"/>
                <w:sz w:val="22"/>
                <w:szCs w:val="22"/>
              </w:rPr>
              <w:t>Le PSP applique-t-il des mesures de sécurité garantissant la confidentialité, l’authenticité et l'intégrité de chacun des éléments listés ci-après ?</w:t>
            </w:r>
          </w:p>
          <w:p w:rsidR="00D46CE0" w:rsidRPr="00CC1AEF" w:rsidRDefault="00D46CE0" w:rsidP="00D46CE0">
            <w:pPr>
              <w:pStyle w:val="Paragraphedeliste"/>
              <w:numPr>
                <w:ilvl w:val="0"/>
                <w:numId w:val="119"/>
              </w:numPr>
              <w:rPr>
                <w:rFonts w:asciiTheme="minorHAnsi" w:hAnsiTheme="minorHAnsi" w:cstheme="minorHAnsi"/>
                <w:szCs w:val="22"/>
              </w:rPr>
            </w:pPr>
            <w:r w:rsidRPr="00CC1AEF">
              <w:rPr>
                <w:rFonts w:asciiTheme="minorHAnsi" w:hAnsiTheme="minorHAnsi" w:cstheme="minorHAnsi"/>
                <w:szCs w:val="22"/>
              </w:rPr>
              <w:t>le montant de l'opération et le bénéficiaire durant l'ensemble des phases de l'authentification ;</w:t>
            </w:r>
          </w:p>
          <w:p w:rsidR="001345AA" w:rsidRPr="00A85C3C" w:rsidRDefault="006028DC" w:rsidP="00A85C3C">
            <w:pPr>
              <w:pStyle w:val="Paragraphedeliste"/>
              <w:numPr>
                <w:ilvl w:val="0"/>
                <w:numId w:val="119"/>
              </w:numPr>
              <w:rPr>
                <w:rFonts w:asciiTheme="minorHAnsi" w:hAnsiTheme="minorHAnsi" w:cstheme="minorHAnsi"/>
                <w:szCs w:val="22"/>
              </w:rPr>
            </w:pPr>
            <w:r w:rsidRPr="00CC1AEF">
              <w:rPr>
                <w:rFonts w:asciiTheme="minorHAnsi" w:hAnsiTheme="minorHAnsi" w:cstheme="minorHAnsi"/>
                <w:szCs w:val="22"/>
              </w:rPr>
              <w:t>l</w:t>
            </w:r>
            <w:r w:rsidR="00D46CE0" w:rsidRPr="00CC1AEF">
              <w:rPr>
                <w:rFonts w:asciiTheme="minorHAnsi" w:hAnsiTheme="minorHAnsi" w:cstheme="minorHAnsi"/>
                <w:szCs w:val="22"/>
              </w:rPr>
              <w:t xml:space="preserve">es informations qui s'affichent pour le payeur durant l'ensemble des phases de </w:t>
            </w:r>
            <w:r w:rsidR="00D46CE0" w:rsidRPr="00CC1AEF">
              <w:rPr>
                <w:rFonts w:asciiTheme="minorHAnsi" w:hAnsiTheme="minorHAnsi" w:cstheme="minorHAnsi"/>
                <w:szCs w:val="22"/>
              </w:rPr>
              <w:lastRenderedPageBreak/>
              <w:t>l'authentification, y compris la génération, la transmission et l'utilisation du code d'authentification.</w:t>
            </w:r>
          </w:p>
        </w:tc>
        <w:tc>
          <w:tcPr>
            <w:tcW w:w="1465" w:type="dxa"/>
          </w:tcPr>
          <w:p w:rsidR="009973F6" w:rsidRPr="00CC1AEF" w:rsidRDefault="009973F6" w:rsidP="009973F6">
            <w:pPr>
              <w:jc w:val="center"/>
              <w:rPr>
                <w:rFonts w:asciiTheme="minorHAnsi" w:hAnsiTheme="minorHAnsi" w:cstheme="minorHAnsi"/>
                <w:b/>
                <w:sz w:val="22"/>
                <w:szCs w:val="22"/>
              </w:rPr>
            </w:pPr>
          </w:p>
        </w:tc>
        <w:tc>
          <w:tcPr>
            <w:tcW w:w="6698" w:type="dxa"/>
          </w:tcPr>
          <w:p w:rsidR="009973F6" w:rsidRPr="00CC1AEF" w:rsidRDefault="009973F6">
            <w:pPr>
              <w:jc w:val="left"/>
              <w:rPr>
                <w:rFonts w:asciiTheme="minorHAnsi" w:eastAsia="Calibri" w:hAnsiTheme="minorHAnsi" w:cstheme="minorHAnsi"/>
                <w:b/>
                <w:sz w:val="22"/>
                <w:szCs w:val="22"/>
                <w:lang w:eastAsia="en-US"/>
              </w:rPr>
            </w:pPr>
          </w:p>
        </w:tc>
      </w:tr>
      <w:tr w:rsidR="009973F6" w:rsidRPr="00CC1AEF" w:rsidTr="00683E60">
        <w:tc>
          <w:tcPr>
            <w:tcW w:w="1595" w:type="dxa"/>
          </w:tcPr>
          <w:p w:rsidR="009973F6" w:rsidRPr="00CC1AEF" w:rsidRDefault="009973F6" w:rsidP="009973F6">
            <w:pPr>
              <w:jc w:val="center"/>
              <w:rPr>
                <w:rFonts w:asciiTheme="minorHAnsi" w:hAnsiTheme="minorHAnsi" w:cstheme="minorHAnsi"/>
                <w:b/>
                <w:sz w:val="22"/>
                <w:szCs w:val="22"/>
              </w:rPr>
            </w:pPr>
          </w:p>
        </w:tc>
        <w:tc>
          <w:tcPr>
            <w:tcW w:w="4979" w:type="dxa"/>
          </w:tcPr>
          <w:p w:rsidR="00970454" w:rsidRPr="00CC1AEF" w:rsidRDefault="00970454" w:rsidP="00970454">
            <w:pPr>
              <w:rPr>
                <w:rFonts w:asciiTheme="minorHAnsi" w:hAnsiTheme="minorHAnsi" w:cstheme="minorHAnsi"/>
                <w:sz w:val="22"/>
                <w:szCs w:val="22"/>
              </w:rPr>
            </w:pPr>
            <w:r w:rsidRPr="00CC1AEF">
              <w:rPr>
                <w:rFonts w:asciiTheme="minorHAnsi" w:hAnsiTheme="minorHAnsi" w:cstheme="minorHAnsi"/>
                <w:sz w:val="22"/>
                <w:szCs w:val="22"/>
              </w:rPr>
              <w:t>L</w:t>
            </w:r>
            <w:r w:rsidR="00D46CE0" w:rsidRPr="00CC1AEF">
              <w:rPr>
                <w:rFonts w:asciiTheme="minorHAnsi" w:hAnsiTheme="minorHAnsi" w:cstheme="minorHAnsi"/>
                <w:sz w:val="22"/>
                <w:szCs w:val="22"/>
              </w:rPr>
              <w:t>orsque le</w:t>
            </w:r>
            <w:r w:rsidRPr="00CC1AEF">
              <w:rPr>
                <w:rFonts w:asciiTheme="minorHAnsi" w:hAnsiTheme="minorHAnsi" w:cstheme="minorHAnsi"/>
                <w:sz w:val="22"/>
                <w:szCs w:val="22"/>
              </w:rPr>
              <w:t xml:space="preserve"> PSP </w:t>
            </w:r>
            <w:r w:rsidR="00D46CE0" w:rsidRPr="00CC1AEF">
              <w:rPr>
                <w:rFonts w:asciiTheme="minorHAnsi" w:hAnsiTheme="minorHAnsi" w:cstheme="minorHAnsi"/>
                <w:sz w:val="22"/>
                <w:szCs w:val="22"/>
              </w:rPr>
              <w:t>applique l'authentification forte du cli</w:t>
            </w:r>
            <w:r w:rsidR="00237305">
              <w:rPr>
                <w:rFonts w:asciiTheme="minorHAnsi" w:hAnsiTheme="minorHAnsi" w:cstheme="minorHAnsi"/>
                <w:sz w:val="22"/>
                <w:szCs w:val="22"/>
              </w:rPr>
              <w:t>ent (conformément à l'article 97 §</w:t>
            </w:r>
            <w:r w:rsidR="00D46CE0" w:rsidRPr="00CC1AEF">
              <w:rPr>
                <w:rFonts w:asciiTheme="minorHAnsi" w:hAnsiTheme="minorHAnsi" w:cstheme="minorHAnsi"/>
                <w:sz w:val="22"/>
                <w:szCs w:val="22"/>
              </w:rPr>
              <w:t xml:space="preserve"> 2 de la directive (UE) 2015/2366</w:t>
            </w:r>
            <w:r w:rsidR="00237305">
              <w:rPr>
                <w:rFonts w:asciiTheme="minorHAnsi" w:hAnsiTheme="minorHAnsi" w:cstheme="minorHAnsi"/>
                <w:sz w:val="22"/>
                <w:szCs w:val="22"/>
              </w:rPr>
              <w:t>)</w:t>
            </w:r>
            <w:r w:rsidRPr="00CC1AEF">
              <w:rPr>
                <w:rFonts w:asciiTheme="minorHAnsi" w:hAnsiTheme="minorHAnsi" w:cstheme="minorHAnsi"/>
                <w:sz w:val="22"/>
                <w:szCs w:val="22"/>
              </w:rPr>
              <w:t xml:space="preserve"> respecte-t-il </w:t>
            </w:r>
            <w:r w:rsidR="00D46CE0" w:rsidRPr="00CC1AEF">
              <w:rPr>
                <w:rFonts w:asciiTheme="minorHAnsi" w:hAnsiTheme="minorHAnsi" w:cstheme="minorHAnsi"/>
                <w:sz w:val="22"/>
                <w:szCs w:val="22"/>
              </w:rPr>
              <w:t xml:space="preserve">les exigences </w:t>
            </w:r>
            <w:r w:rsidRPr="00CC1AEF">
              <w:rPr>
                <w:rFonts w:asciiTheme="minorHAnsi" w:hAnsiTheme="minorHAnsi" w:cstheme="minorHAnsi"/>
                <w:sz w:val="22"/>
                <w:szCs w:val="22"/>
              </w:rPr>
              <w:t>listées ci-après ?</w:t>
            </w:r>
          </w:p>
          <w:p w:rsidR="00970454" w:rsidRPr="00CC1AEF" w:rsidRDefault="00970454" w:rsidP="00970454">
            <w:pPr>
              <w:rPr>
                <w:rFonts w:asciiTheme="minorHAnsi" w:hAnsiTheme="minorHAnsi" w:cstheme="minorHAnsi"/>
                <w:sz w:val="22"/>
                <w:szCs w:val="22"/>
              </w:rPr>
            </w:pPr>
            <w:r w:rsidRPr="00CC1AEF">
              <w:rPr>
                <w:rFonts w:asciiTheme="minorHAnsi" w:hAnsiTheme="minorHAnsi" w:cstheme="minorHAnsi"/>
                <w:sz w:val="22"/>
                <w:szCs w:val="22"/>
              </w:rPr>
              <w:t>-</w:t>
            </w:r>
            <w:r w:rsidR="00D46CE0" w:rsidRPr="00CC1AEF">
              <w:rPr>
                <w:rFonts w:asciiTheme="minorHAnsi" w:hAnsiTheme="minorHAnsi" w:cstheme="minorHAnsi"/>
                <w:sz w:val="22"/>
                <w:szCs w:val="22"/>
              </w:rPr>
              <w:t xml:space="preserve"> en ce qui concerne les opérations de paiement liées à une carte pour lesquelles le payeur a donné son consentement quant au montant exact des fonds à bloquer en vertu de l'article 75</w:t>
            </w:r>
            <w:r w:rsidR="00880D31">
              <w:rPr>
                <w:rFonts w:asciiTheme="minorHAnsi" w:hAnsiTheme="minorHAnsi" w:cstheme="minorHAnsi"/>
                <w:sz w:val="22"/>
                <w:szCs w:val="22"/>
              </w:rPr>
              <w:t xml:space="preserve"> §</w:t>
            </w:r>
            <w:r w:rsidR="00D46CE0" w:rsidRPr="00CC1AEF">
              <w:rPr>
                <w:rFonts w:asciiTheme="minorHAnsi" w:hAnsiTheme="minorHAnsi" w:cstheme="minorHAnsi"/>
                <w:sz w:val="22"/>
                <w:szCs w:val="22"/>
              </w:rPr>
              <w:t xml:space="preserve"> 1 de ladite directive, le code d'authentification est spécifique au montant au blocage duquel le payeur a donné son consentement et que le payeur a approuvé lors de l'initiation de l'opération</w:t>
            </w:r>
            <w:r w:rsidR="00880D31">
              <w:rPr>
                <w:rFonts w:asciiTheme="minorHAnsi" w:hAnsiTheme="minorHAnsi" w:cstheme="minorHAnsi"/>
                <w:sz w:val="22"/>
                <w:szCs w:val="22"/>
              </w:rPr>
              <w:t xml:space="preserve"> </w:t>
            </w:r>
            <w:r w:rsidR="00D46CE0" w:rsidRPr="00CC1AEF">
              <w:rPr>
                <w:rFonts w:asciiTheme="minorHAnsi" w:hAnsiTheme="minorHAnsi" w:cstheme="minorHAnsi"/>
                <w:sz w:val="22"/>
                <w:szCs w:val="22"/>
              </w:rPr>
              <w:t xml:space="preserve">; </w:t>
            </w:r>
          </w:p>
          <w:p w:rsidR="001345AA" w:rsidRPr="00CC1AEF" w:rsidRDefault="00970454" w:rsidP="00970454">
            <w:pPr>
              <w:rPr>
                <w:rFonts w:asciiTheme="minorHAnsi" w:hAnsiTheme="minorHAnsi" w:cstheme="minorHAnsi"/>
                <w:b/>
                <w:sz w:val="22"/>
                <w:szCs w:val="22"/>
              </w:rPr>
            </w:pPr>
            <w:r w:rsidRPr="00CC1AEF">
              <w:rPr>
                <w:rFonts w:asciiTheme="minorHAnsi" w:hAnsiTheme="minorHAnsi" w:cstheme="minorHAnsi"/>
                <w:sz w:val="22"/>
                <w:szCs w:val="22"/>
              </w:rPr>
              <w:t>-</w:t>
            </w:r>
            <w:r w:rsidR="00D46CE0" w:rsidRPr="00CC1AEF">
              <w:rPr>
                <w:rFonts w:asciiTheme="minorHAnsi" w:hAnsiTheme="minorHAnsi" w:cstheme="minorHAnsi"/>
                <w:sz w:val="22"/>
                <w:szCs w:val="22"/>
              </w:rPr>
              <w:t xml:space="preserve"> en ce qui concerne les opérations de paiement pour lesquelles le payeur a donné son consentement à l'exécution d'une série d'opérations de paiement électronique à distance en faveur d'un ou de plusieurs bénéficiaires, le code d'authentification est spécifique au montant total de la série d'opérations de paiement et aux bénéficiaires désignés</w:t>
            </w:r>
            <w:r w:rsidR="00880D31">
              <w:rPr>
                <w:rFonts w:asciiTheme="minorHAnsi" w:hAnsiTheme="minorHAnsi" w:cstheme="minorHAnsi"/>
                <w:sz w:val="22"/>
                <w:szCs w:val="22"/>
              </w:rPr>
              <w:t>.</w:t>
            </w:r>
          </w:p>
        </w:tc>
        <w:tc>
          <w:tcPr>
            <w:tcW w:w="1465" w:type="dxa"/>
          </w:tcPr>
          <w:p w:rsidR="009973F6" w:rsidRPr="00CC1AEF" w:rsidRDefault="009973F6" w:rsidP="009973F6">
            <w:pPr>
              <w:jc w:val="center"/>
              <w:rPr>
                <w:rFonts w:asciiTheme="minorHAnsi" w:hAnsiTheme="minorHAnsi" w:cstheme="minorHAnsi"/>
                <w:b/>
                <w:sz w:val="22"/>
                <w:szCs w:val="22"/>
              </w:rPr>
            </w:pPr>
          </w:p>
        </w:tc>
        <w:tc>
          <w:tcPr>
            <w:tcW w:w="6698" w:type="dxa"/>
          </w:tcPr>
          <w:p w:rsidR="009973F6" w:rsidRPr="00CC1AEF" w:rsidRDefault="009973F6">
            <w:pPr>
              <w:jc w:val="left"/>
              <w:rPr>
                <w:rFonts w:asciiTheme="minorHAnsi" w:eastAsia="Calibri" w:hAnsiTheme="minorHAnsi" w:cstheme="minorHAnsi"/>
                <w:b/>
                <w:sz w:val="22"/>
                <w:szCs w:val="22"/>
                <w:lang w:eastAsia="en-US"/>
              </w:rPr>
            </w:pPr>
          </w:p>
        </w:tc>
      </w:tr>
      <w:tr w:rsidR="00257D84" w:rsidRPr="00CC1AEF" w:rsidTr="006B6ABB">
        <w:tc>
          <w:tcPr>
            <w:tcW w:w="14737" w:type="dxa"/>
            <w:gridSpan w:val="4"/>
            <w:shd w:val="clear" w:color="auto" w:fill="FBD4B4" w:themeFill="accent6" w:themeFillTint="66"/>
          </w:tcPr>
          <w:p w:rsidR="00257D84" w:rsidRPr="00CC1AEF" w:rsidRDefault="00257D84">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Exigences relatives aux éléments appartenant à la catégorie « connaissance »</w:t>
            </w:r>
          </w:p>
        </w:tc>
      </w:tr>
      <w:tr w:rsidR="00257D84" w:rsidRPr="00CC1AEF" w:rsidTr="00683E60">
        <w:tc>
          <w:tcPr>
            <w:tcW w:w="1595" w:type="dxa"/>
            <w:vMerge w:val="restart"/>
          </w:tcPr>
          <w:p w:rsidR="00257D84" w:rsidRPr="00CC1AEF" w:rsidRDefault="00257D84" w:rsidP="009973F6">
            <w:pPr>
              <w:jc w:val="center"/>
              <w:rPr>
                <w:rFonts w:asciiTheme="minorHAnsi" w:hAnsiTheme="minorHAnsi" w:cstheme="minorHAnsi"/>
                <w:b/>
                <w:sz w:val="22"/>
                <w:szCs w:val="22"/>
              </w:rPr>
            </w:pPr>
            <w:r w:rsidRPr="00CC1AEF">
              <w:rPr>
                <w:rFonts w:asciiTheme="minorHAnsi" w:hAnsiTheme="minorHAnsi" w:cstheme="minorHAnsi"/>
                <w:b/>
                <w:sz w:val="22"/>
                <w:szCs w:val="22"/>
              </w:rPr>
              <w:t>6</w:t>
            </w:r>
          </w:p>
        </w:tc>
        <w:tc>
          <w:tcPr>
            <w:tcW w:w="4979" w:type="dxa"/>
          </w:tcPr>
          <w:p w:rsidR="001345AA" w:rsidRPr="00CC1AEF" w:rsidRDefault="00257D84" w:rsidP="00257D84">
            <w:pPr>
              <w:rPr>
                <w:rFonts w:asciiTheme="minorHAnsi" w:hAnsiTheme="minorHAnsi" w:cstheme="minorHAnsi"/>
                <w:b/>
                <w:sz w:val="22"/>
                <w:szCs w:val="22"/>
              </w:rPr>
            </w:pPr>
            <w:r w:rsidRPr="00CC1AEF">
              <w:rPr>
                <w:rFonts w:asciiTheme="minorHAnsi" w:hAnsiTheme="minorHAnsi" w:cstheme="minorHAnsi"/>
                <w:sz w:val="22"/>
                <w:szCs w:val="22"/>
              </w:rPr>
              <w:t>Le PSP a-t-il mis en place des mesures pour atténuer le risque que les éléments d'authentification forte du client appartenant à la catégorie</w:t>
            </w:r>
            <w:r w:rsidR="004A2D15" w:rsidRPr="00CC1AEF">
              <w:rPr>
                <w:rFonts w:asciiTheme="minorHAnsi" w:hAnsiTheme="minorHAnsi" w:cstheme="minorHAnsi"/>
                <w:sz w:val="22"/>
                <w:szCs w:val="22"/>
              </w:rPr>
              <w:t xml:space="preserve"> « connaissance »</w:t>
            </w:r>
            <w:r w:rsidRPr="00CC1AEF">
              <w:rPr>
                <w:rFonts w:asciiTheme="minorHAnsi" w:hAnsiTheme="minorHAnsi" w:cstheme="minorHAnsi"/>
                <w:sz w:val="22"/>
                <w:szCs w:val="22"/>
              </w:rPr>
              <w:t xml:space="preserve"> ne soient mis au jour par des tiers non autorisés ou divulgués à ceux-ci ?</w:t>
            </w:r>
          </w:p>
        </w:tc>
        <w:tc>
          <w:tcPr>
            <w:tcW w:w="1465" w:type="dxa"/>
          </w:tcPr>
          <w:p w:rsidR="00257D84" w:rsidRPr="00CC1AEF" w:rsidRDefault="00257D84" w:rsidP="009973F6">
            <w:pPr>
              <w:jc w:val="center"/>
              <w:rPr>
                <w:rFonts w:asciiTheme="minorHAnsi" w:hAnsiTheme="minorHAnsi" w:cstheme="minorHAnsi"/>
                <w:b/>
                <w:sz w:val="22"/>
                <w:szCs w:val="22"/>
              </w:rPr>
            </w:pPr>
          </w:p>
        </w:tc>
        <w:tc>
          <w:tcPr>
            <w:tcW w:w="6698" w:type="dxa"/>
          </w:tcPr>
          <w:p w:rsidR="00257D84" w:rsidRPr="00CC1AEF" w:rsidRDefault="00257D84">
            <w:pPr>
              <w:jc w:val="left"/>
              <w:rPr>
                <w:rFonts w:asciiTheme="minorHAnsi" w:eastAsia="Calibri" w:hAnsiTheme="minorHAnsi" w:cstheme="minorHAnsi"/>
                <w:b/>
                <w:sz w:val="22"/>
                <w:szCs w:val="22"/>
                <w:lang w:eastAsia="en-US"/>
              </w:rPr>
            </w:pPr>
          </w:p>
        </w:tc>
      </w:tr>
      <w:tr w:rsidR="00257D84" w:rsidRPr="00CC1AEF" w:rsidTr="00683E60">
        <w:tc>
          <w:tcPr>
            <w:tcW w:w="1595" w:type="dxa"/>
            <w:vMerge/>
          </w:tcPr>
          <w:p w:rsidR="00257D84" w:rsidRPr="00CC1AEF" w:rsidRDefault="00257D84" w:rsidP="009973F6">
            <w:pPr>
              <w:jc w:val="center"/>
              <w:rPr>
                <w:rFonts w:asciiTheme="minorHAnsi" w:hAnsiTheme="minorHAnsi" w:cstheme="minorHAnsi"/>
                <w:b/>
                <w:sz w:val="22"/>
                <w:szCs w:val="22"/>
              </w:rPr>
            </w:pPr>
          </w:p>
        </w:tc>
        <w:tc>
          <w:tcPr>
            <w:tcW w:w="4979" w:type="dxa"/>
          </w:tcPr>
          <w:p w:rsidR="001345AA" w:rsidRPr="00CC1AEF" w:rsidRDefault="00257D84" w:rsidP="00257D84">
            <w:pPr>
              <w:rPr>
                <w:rFonts w:asciiTheme="minorHAnsi" w:hAnsiTheme="minorHAnsi" w:cstheme="minorHAnsi"/>
                <w:b/>
                <w:sz w:val="22"/>
                <w:szCs w:val="22"/>
              </w:rPr>
            </w:pPr>
            <w:r w:rsidRPr="00CC1AEF">
              <w:rPr>
                <w:rFonts w:asciiTheme="minorHAnsi" w:hAnsiTheme="minorHAnsi" w:cstheme="minorHAnsi"/>
                <w:sz w:val="22"/>
                <w:szCs w:val="22"/>
              </w:rPr>
              <w:t>L'utilisation par le payeur des éléments d'authentification forte appartenant à la catégorie</w:t>
            </w:r>
            <w:r w:rsidR="004A2D15" w:rsidRPr="00CC1AEF">
              <w:rPr>
                <w:rFonts w:asciiTheme="minorHAnsi" w:hAnsiTheme="minorHAnsi" w:cstheme="minorHAnsi"/>
                <w:sz w:val="22"/>
                <w:szCs w:val="22"/>
              </w:rPr>
              <w:t xml:space="preserve"> « connaissance »</w:t>
            </w:r>
            <w:r w:rsidRPr="00CC1AEF">
              <w:rPr>
                <w:rFonts w:asciiTheme="minorHAnsi" w:hAnsiTheme="minorHAnsi" w:cstheme="minorHAnsi"/>
                <w:sz w:val="22"/>
                <w:szCs w:val="22"/>
              </w:rPr>
              <w:t xml:space="preserve"> fait-elle l'objet de mesures d'atténuation des risques visant à éviter leur divulgation à des tiers non autorisés ?</w:t>
            </w:r>
          </w:p>
        </w:tc>
        <w:tc>
          <w:tcPr>
            <w:tcW w:w="1465" w:type="dxa"/>
          </w:tcPr>
          <w:p w:rsidR="00257D84" w:rsidRPr="00CC1AEF" w:rsidRDefault="00257D84" w:rsidP="009973F6">
            <w:pPr>
              <w:jc w:val="center"/>
              <w:rPr>
                <w:rFonts w:asciiTheme="minorHAnsi" w:hAnsiTheme="minorHAnsi" w:cstheme="minorHAnsi"/>
                <w:b/>
                <w:sz w:val="22"/>
                <w:szCs w:val="22"/>
              </w:rPr>
            </w:pPr>
          </w:p>
        </w:tc>
        <w:tc>
          <w:tcPr>
            <w:tcW w:w="6698" w:type="dxa"/>
          </w:tcPr>
          <w:p w:rsidR="00257D84" w:rsidRPr="00CC1AEF" w:rsidRDefault="00257D84">
            <w:pPr>
              <w:jc w:val="left"/>
              <w:rPr>
                <w:rFonts w:asciiTheme="minorHAnsi" w:eastAsia="Calibri" w:hAnsiTheme="minorHAnsi" w:cstheme="minorHAnsi"/>
                <w:b/>
                <w:sz w:val="22"/>
                <w:szCs w:val="22"/>
                <w:lang w:eastAsia="en-US"/>
              </w:rPr>
            </w:pPr>
          </w:p>
        </w:tc>
      </w:tr>
      <w:tr w:rsidR="00257D84" w:rsidRPr="00CC1AEF" w:rsidTr="006B6ABB">
        <w:tc>
          <w:tcPr>
            <w:tcW w:w="14737" w:type="dxa"/>
            <w:gridSpan w:val="4"/>
            <w:shd w:val="clear" w:color="auto" w:fill="FBD4B4" w:themeFill="accent6" w:themeFillTint="66"/>
          </w:tcPr>
          <w:p w:rsidR="00257D84" w:rsidRPr="00CC1AEF" w:rsidRDefault="00257D84">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Exigences relatives aux éléments appartenant à la catégorie «possession»</w:t>
            </w:r>
          </w:p>
        </w:tc>
      </w:tr>
      <w:tr w:rsidR="006028DC" w:rsidRPr="00CC1AEF" w:rsidTr="00683E60">
        <w:tc>
          <w:tcPr>
            <w:tcW w:w="1595" w:type="dxa"/>
            <w:vMerge w:val="restart"/>
          </w:tcPr>
          <w:p w:rsidR="006028DC" w:rsidRPr="00CC1AEF" w:rsidRDefault="006028DC" w:rsidP="009973F6">
            <w:pPr>
              <w:jc w:val="center"/>
              <w:rPr>
                <w:rFonts w:asciiTheme="minorHAnsi" w:hAnsiTheme="minorHAnsi" w:cstheme="minorHAnsi"/>
                <w:b/>
                <w:sz w:val="22"/>
                <w:szCs w:val="22"/>
              </w:rPr>
            </w:pPr>
            <w:r w:rsidRPr="00CC1AEF">
              <w:rPr>
                <w:rFonts w:asciiTheme="minorHAnsi" w:hAnsiTheme="minorHAnsi" w:cstheme="minorHAnsi"/>
                <w:b/>
                <w:sz w:val="22"/>
                <w:szCs w:val="22"/>
              </w:rPr>
              <w:lastRenderedPageBreak/>
              <w:t>7</w:t>
            </w:r>
          </w:p>
        </w:tc>
        <w:tc>
          <w:tcPr>
            <w:tcW w:w="4979" w:type="dxa"/>
          </w:tcPr>
          <w:p w:rsidR="001345AA" w:rsidRPr="00CC1AEF" w:rsidRDefault="006028DC" w:rsidP="006028DC">
            <w:pPr>
              <w:rPr>
                <w:rFonts w:asciiTheme="minorHAnsi" w:hAnsiTheme="minorHAnsi" w:cstheme="minorHAnsi"/>
                <w:b/>
                <w:sz w:val="22"/>
                <w:szCs w:val="22"/>
              </w:rPr>
            </w:pPr>
            <w:r w:rsidRPr="00CC1AEF">
              <w:rPr>
                <w:rFonts w:asciiTheme="minorHAnsi" w:hAnsiTheme="minorHAnsi" w:cstheme="minorHAnsi"/>
                <w:sz w:val="22"/>
                <w:szCs w:val="22"/>
              </w:rPr>
              <w:t>Le PSP a-t-il mis en place des mesures pour atténuer le risque que les éléments d'authentification forte du client appartenant à la catégorie</w:t>
            </w:r>
            <w:r w:rsidR="004A2D15" w:rsidRPr="00CC1AEF">
              <w:rPr>
                <w:rFonts w:asciiTheme="minorHAnsi" w:hAnsiTheme="minorHAnsi" w:cstheme="minorHAnsi"/>
                <w:sz w:val="22"/>
                <w:szCs w:val="22"/>
              </w:rPr>
              <w:t xml:space="preserve"> « possession »</w:t>
            </w:r>
            <w:r w:rsidRPr="00CC1AEF">
              <w:rPr>
                <w:rFonts w:asciiTheme="minorHAnsi" w:hAnsiTheme="minorHAnsi" w:cstheme="minorHAnsi"/>
                <w:sz w:val="22"/>
                <w:szCs w:val="22"/>
              </w:rPr>
              <w:t xml:space="preserve"> ne soient utilisés par des tiers non autorisés ?</w:t>
            </w:r>
          </w:p>
        </w:tc>
        <w:tc>
          <w:tcPr>
            <w:tcW w:w="1465" w:type="dxa"/>
          </w:tcPr>
          <w:p w:rsidR="006028DC" w:rsidRPr="00CC1AEF" w:rsidRDefault="006028DC" w:rsidP="009973F6">
            <w:pPr>
              <w:jc w:val="center"/>
              <w:rPr>
                <w:rFonts w:asciiTheme="minorHAnsi" w:hAnsiTheme="minorHAnsi" w:cstheme="minorHAnsi"/>
                <w:b/>
                <w:sz w:val="22"/>
                <w:szCs w:val="22"/>
              </w:rPr>
            </w:pPr>
          </w:p>
        </w:tc>
        <w:tc>
          <w:tcPr>
            <w:tcW w:w="6698" w:type="dxa"/>
          </w:tcPr>
          <w:p w:rsidR="006028DC" w:rsidRPr="00CC1AEF" w:rsidRDefault="006028DC">
            <w:pPr>
              <w:jc w:val="left"/>
              <w:rPr>
                <w:rFonts w:asciiTheme="minorHAnsi" w:eastAsia="Calibri" w:hAnsiTheme="minorHAnsi" w:cstheme="minorHAnsi"/>
                <w:b/>
                <w:sz w:val="22"/>
                <w:szCs w:val="22"/>
                <w:lang w:eastAsia="en-US"/>
              </w:rPr>
            </w:pPr>
          </w:p>
        </w:tc>
      </w:tr>
      <w:tr w:rsidR="006028DC" w:rsidRPr="00CC1AEF" w:rsidTr="00683E60">
        <w:tc>
          <w:tcPr>
            <w:tcW w:w="1595" w:type="dxa"/>
            <w:vMerge/>
          </w:tcPr>
          <w:p w:rsidR="006028DC" w:rsidRPr="00CC1AEF" w:rsidRDefault="006028DC" w:rsidP="009973F6">
            <w:pPr>
              <w:jc w:val="center"/>
              <w:rPr>
                <w:rFonts w:asciiTheme="minorHAnsi" w:hAnsiTheme="minorHAnsi" w:cstheme="minorHAnsi"/>
                <w:b/>
                <w:sz w:val="22"/>
                <w:szCs w:val="22"/>
              </w:rPr>
            </w:pPr>
          </w:p>
        </w:tc>
        <w:tc>
          <w:tcPr>
            <w:tcW w:w="4979" w:type="dxa"/>
          </w:tcPr>
          <w:p w:rsidR="001345AA" w:rsidRPr="00CC1AEF" w:rsidRDefault="006028DC" w:rsidP="00945FE7">
            <w:pPr>
              <w:rPr>
                <w:rFonts w:asciiTheme="minorHAnsi" w:hAnsiTheme="minorHAnsi" w:cstheme="minorHAnsi"/>
                <w:b/>
                <w:sz w:val="22"/>
                <w:szCs w:val="22"/>
              </w:rPr>
            </w:pPr>
            <w:r w:rsidRPr="00CC1AEF">
              <w:rPr>
                <w:rFonts w:asciiTheme="minorHAnsi" w:hAnsiTheme="minorHAnsi" w:cstheme="minorHAnsi"/>
                <w:sz w:val="22"/>
                <w:szCs w:val="22"/>
              </w:rPr>
              <w:t>L'utilisation par le payeur de</w:t>
            </w:r>
            <w:r w:rsidR="00945FE7" w:rsidRPr="00CC1AEF">
              <w:rPr>
                <w:rFonts w:asciiTheme="minorHAnsi" w:hAnsiTheme="minorHAnsi" w:cstheme="minorHAnsi"/>
                <w:sz w:val="22"/>
                <w:szCs w:val="22"/>
              </w:rPr>
              <w:t xml:space="preserve">s </w:t>
            </w:r>
            <w:r w:rsidRPr="00CC1AEF">
              <w:rPr>
                <w:rFonts w:asciiTheme="minorHAnsi" w:hAnsiTheme="minorHAnsi" w:cstheme="minorHAnsi"/>
                <w:sz w:val="22"/>
                <w:szCs w:val="22"/>
              </w:rPr>
              <w:t>éléments d'authentification forte appartenant à la catégorie</w:t>
            </w:r>
            <w:r w:rsidR="004A2D15" w:rsidRPr="00CC1AEF">
              <w:rPr>
                <w:rFonts w:asciiTheme="minorHAnsi" w:hAnsiTheme="minorHAnsi" w:cstheme="minorHAnsi"/>
                <w:sz w:val="22"/>
                <w:szCs w:val="22"/>
              </w:rPr>
              <w:t xml:space="preserve"> « possession »</w:t>
            </w:r>
            <w:r w:rsidRPr="00CC1AEF">
              <w:rPr>
                <w:rFonts w:asciiTheme="minorHAnsi" w:hAnsiTheme="minorHAnsi" w:cstheme="minorHAnsi"/>
                <w:sz w:val="22"/>
                <w:szCs w:val="22"/>
              </w:rPr>
              <w:t xml:space="preserve"> fait</w:t>
            </w:r>
            <w:r w:rsidR="00945FE7" w:rsidRPr="00CC1AEF">
              <w:rPr>
                <w:rFonts w:asciiTheme="minorHAnsi" w:hAnsiTheme="minorHAnsi" w:cstheme="minorHAnsi"/>
                <w:sz w:val="22"/>
                <w:szCs w:val="22"/>
              </w:rPr>
              <w:t>-elle</w:t>
            </w:r>
            <w:r w:rsidRPr="00CC1AEF">
              <w:rPr>
                <w:rFonts w:asciiTheme="minorHAnsi" w:hAnsiTheme="minorHAnsi" w:cstheme="minorHAnsi"/>
                <w:sz w:val="22"/>
                <w:szCs w:val="22"/>
              </w:rPr>
              <w:t xml:space="preserve"> l'objet de mesures visant à éviter leur copie ?</w:t>
            </w:r>
          </w:p>
        </w:tc>
        <w:tc>
          <w:tcPr>
            <w:tcW w:w="1465" w:type="dxa"/>
          </w:tcPr>
          <w:p w:rsidR="006028DC" w:rsidRPr="00CC1AEF" w:rsidRDefault="006028DC" w:rsidP="009973F6">
            <w:pPr>
              <w:jc w:val="center"/>
              <w:rPr>
                <w:rFonts w:asciiTheme="minorHAnsi" w:hAnsiTheme="minorHAnsi" w:cstheme="minorHAnsi"/>
                <w:b/>
                <w:sz w:val="22"/>
                <w:szCs w:val="22"/>
              </w:rPr>
            </w:pPr>
          </w:p>
        </w:tc>
        <w:tc>
          <w:tcPr>
            <w:tcW w:w="6698" w:type="dxa"/>
          </w:tcPr>
          <w:p w:rsidR="006028DC" w:rsidRPr="00CC1AEF" w:rsidRDefault="006028DC">
            <w:pPr>
              <w:jc w:val="left"/>
              <w:rPr>
                <w:rFonts w:asciiTheme="minorHAnsi" w:eastAsia="Calibri" w:hAnsiTheme="minorHAnsi" w:cstheme="minorHAnsi"/>
                <w:b/>
                <w:sz w:val="22"/>
                <w:szCs w:val="22"/>
                <w:lang w:eastAsia="en-US"/>
              </w:rPr>
            </w:pPr>
          </w:p>
        </w:tc>
      </w:tr>
      <w:tr w:rsidR="006028DC" w:rsidRPr="00CC1AEF" w:rsidTr="006B6ABB">
        <w:tc>
          <w:tcPr>
            <w:tcW w:w="14737" w:type="dxa"/>
            <w:gridSpan w:val="4"/>
            <w:shd w:val="clear" w:color="auto" w:fill="FBD4B4" w:themeFill="accent6" w:themeFillTint="66"/>
          </w:tcPr>
          <w:p w:rsidR="006028DC" w:rsidRPr="00CC1AEF" w:rsidRDefault="006028DC">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Exigences relatives aux dispositifs et logiciels associés à des éléments appartenant à la catégorie «inhérence»</w:t>
            </w:r>
          </w:p>
        </w:tc>
      </w:tr>
      <w:tr w:rsidR="006028DC" w:rsidRPr="00CC1AEF" w:rsidTr="00683E60">
        <w:tc>
          <w:tcPr>
            <w:tcW w:w="1595" w:type="dxa"/>
            <w:vMerge w:val="restart"/>
          </w:tcPr>
          <w:p w:rsidR="006028DC" w:rsidRPr="00CC1AEF" w:rsidRDefault="006028DC" w:rsidP="009973F6">
            <w:pPr>
              <w:jc w:val="center"/>
              <w:rPr>
                <w:rFonts w:asciiTheme="minorHAnsi" w:hAnsiTheme="minorHAnsi" w:cstheme="minorHAnsi"/>
                <w:b/>
                <w:sz w:val="22"/>
                <w:szCs w:val="22"/>
              </w:rPr>
            </w:pPr>
            <w:r w:rsidRPr="00CC1AEF">
              <w:rPr>
                <w:rFonts w:asciiTheme="minorHAnsi" w:hAnsiTheme="minorHAnsi" w:cstheme="minorHAnsi"/>
                <w:b/>
                <w:sz w:val="22"/>
                <w:szCs w:val="22"/>
              </w:rPr>
              <w:t>8</w:t>
            </w:r>
          </w:p>
        </w:tc>
        <w:tc>
          <w:tcPr>
            <w:tcW w:w="4979" w:type="dxa"/>
          </w:tcPr>
          <w:p w:rsidR="003B1165" w:rsidRPr="00CC1AEF" w:rsidRDefault="006028DC" w:rsidP="003B1165">
            <w:pPr>
              <w:rPr>
                <w:rFonts w:asciiTheme="minorHAnsi" w:hAnsiTheme="minorHAnsi" w:cstheme="minorHAnsi"/>
                <w:sz w:val="22"/>
                <w:szCs w:val="22"/>
              </w:rPr>
            </w:pPr>
            <w:r w:rsidRPr="00CC1AEF">
              <w:rPr>
                <w:rFonts w:asciiTheme="minorHAnsi" w:hAnsiTheme="minorHAnsi" w:cstheme="minorHAnsi"/>
                <w:sz w:val="22"/>
                <w:szCs w:val="22"/>
              </w:rPr>
              <w:t>Le</w:t>
            </w:r>
            <w:r w:rsidR="003B1165" w:rsidRPr="00CC1AEF">
              <w:rPr>
                <w:rFonts w:asciiTheme="minorHAnsi" w:hAnsiTheme="minorHAnsi" w:cstheme="minorHAnsi"/>
                <w:sz w:val="22"/>
                <w:szCs w:val="22"/>
              </w:rPr>
              <w:t xml:space="preserve"> PSP a-t-il mis en place des </w:t>
            </w:r>
            <w:r w:rsidRPr="00CC1AEF">
              <w:rPr>
                <w:rFonts w:asciiTheme="minorHAnsi" w:hAnsiTheme="minorHAnsi" w:cstheme="minorHAnsi"/>
                <w:sz w:val="22"/>
                <w:szCs w:val="22"/>
              </w:rPr>
              <w:t>mesures pour atténuer le risque que des éléments d'authentification appartenant à la catégorie</w:t>
            </w:r>
            <w:r w:rsidR="004A2D15" w:rsidRPr="00CC1AEF">
              <w:rPr>
                <w:rFonts w:asciiTheme="minorHAnsi" w:hAnsiTheme="minorHAnsi" w:cstheme="minorHAnsi"/>
                <w:sz w:val="22"/>
                <w:szCs w:val="22"/>
              </w:rPr>
              <w:t xml:space="preserve"> « inhérence »</w:t>
            </w:r>
            <w:r w:rsidRPr="00CC1AEF">
              <w:rPr>
                <w:rFonts w:asciiTheme="minorHAnsi" w:hAnsiTheme="minorHAnsi" w:cstheme="minorHAnsi"/>
                <w:sz w:val="22"/>
                <w:szCs w:val="22"/>
              </w:rPr>
              <w:t xml:space="preserve"> qui sont lus par des dispositifs et des logiciels d'accès fournis au payeur ne soient mis au jour par des tiers non autorisés</w:t>
            </w:r>
            <w:r w:rsidR="003B1165" w:rsidRPr="00CC1AEF">
              <w:rPr>
                <w:rFonts w:asciiTheme="minorHAnsi" w:hAnsiTheme="minorHAnsi" w:cstheme="minorHAnsi"/>
                <w:sz w:val="22"/>
                <w:szCs w:val="22"/>
              </w:rPr>
              <w:t> ?</w:t>
            </w:r>
            <w:r w:rsidRPr="00CC1AEF">
              <w:rPr>
                <w:rFonts w:asciiTheme="minorHAnsi" w:hAnsiTheme="minorHAnsi" w:cstheme="minorHAnsi"/>
                <w:sz w:val="22"/>
                <w:szCs w:val="22"/>
              </w:rPr>
              <w:t xml:space="preserve"> </w:t>
            </w:r>
          </w:p>
          <w:p w:rsidR="001345AA" w:rsidRPr="00CC1AEF" w:rsidRDefault="006028DC" w:rsidP="003B1165">
            <w:pPr>
              <w:rPr>
                <w:rFonts w:asciiTheme="minorHAnsi" w:hAnsiTheme="minorHAnsi" w:cstheme="minorHAnsi"/>
                <w:sz w:val="22"/>
                <w:szCs w:val="22"/>
              </w:rPr>
            </w:pPr>
            <w:r w:rsidRPr="00CC1AEF">
              <w:rPr>
                <w:rFonts w:asciiTheme="minorHAnsi" w:hAnsiTheme="minorHAnsi" w:cstheme="minorHAnsi"/>
                <w:sz w:val="22"/>
                <w:szCs w:val="22"/>
              </w:rPr>
              <w:t>Au minimum, le</w:t>
            </w:r>
            <w:r w:rsidR="003B1165" w:rsidRPr="00CC1AEF">
              <w:rPr>
                <w:rFonts w:asciiTheme="minorHAnsi" w:hAnsiTheme="minorHAnsi" w:cstheme="minorHAnsi"/>
                <w:sz w:val="22"/>
                <w:szCs w:val="22"/>
              </w:rPr>
              <w:t xml:space="preserve"> PSP veille-t-il </w:t>
            </w:r>
            <w:r w:rsidRPr="00CC1AEF">
              <w:rPr>
                <w:rFonts w:asciiTheme="minorHAnsi" w:hAnsiTheme="minorHAnsi" w:cstheme="minorHAnsi"/>
                <w:sz w:val="22"/>
                <w:szCs w:val="22"/>
              </w:rPr>
              <w:t>à ce qu'il soit très peu probable, avec ces dispositifs et logiciels d'accès, qu'un tiers non autorisé soit authentifié comme étant le payeur</w:t>
            </w:r>
            <w:r w:rsidR="003B1165" w:rsidRPr="00CC1AEF">
              <w:rPr>
                <w:rFonts w:asciiTheme="minorHAnsi" w:hAnsiTheme="minorHAnsi" w:cstheme="minorHAnsi"/>
                <w:sz w:val="22"/>
                <w:szCs w:val="22"/>
              </w:rPr>
              <w:t> ?</w:t>
            </w:r>
          </w:p>
        </w:tc>
        <w:tc>
          <w:tcPr>
            <w:tcW w:w="1465" w:type="dxa"/>
          </w:tcPr>
          <w:p w:rsidR="006028DC" w:rsidRPr="00CC1AEF" w:rsidRDefault="006028DC" w:rsidP="009973F6">
            <w:pPr>
              <w:jc w:val="center"/>
              <w:rPr>
                <w:rFonts w:asciiTheme="minorHAnsi" w:hAnsiTheme="minorHAnsi" w:cstheme="minorHAnsi"/>
                <w:b/>
                <w:sz w:val="22"/>
                <w:szCs w:val="22"/>
              </w:rPr>
            </w:pPr>
          </w:p>
        </w:tc>
        <w:tc>
          <w:tcPr>
            <w:tcW w:w="6698" w:type="dxa"/>
          </w:tcPr>
          <w:p w:rsidR="006028DC" w:rsidRPr="00CC1AEF" w:rsidRDefault="006028DC">
            <w:pPr>
              <w:jc w:val="left"/>
              <w:rPr>
                <w:rFonts w:asciiTheme="minorHAnsi" w:eastAsia="Calibri" w:hAnsiTheme="minorHAnsi" w:cstheme="minorHAnsi"/>
                <w:b/>
                <w:sz w:val="22"/>
                <w:szCs w:val="22"/>
                <w:lang w:eastAsia="en-US"/>
              </w:rPr>
            </w:pPr>
          </w:p>
        </w:tc>
      </w:tr>
      <w:tr w:rsidR="006028DC" w:rsidRPr="00CC1AEF" w:rsidTr="00683E60">
        <w:tc>
          <w:tcPr>
            <w:tcW w:w="1595" w:type="dxa"/>
            <w:vMerge/>
          </w:tcPr>
          <w:p w:rsidR="006028DC" w:rsidRPr="00CC1AEF" w:rsidRDefault="006028DC" w:rsidP="009973F6">
            <w:pPr>
              <w:jc w:val="center"/>
              <w:rPr>
                <w:rFonts w:asciiTheme="minorHAnsi" w:hAnsiTheme="minorHAnsi" w:cstheme="minorHAnsi"/>
                <w:b/>
                <w:sz w:val="22"/>
                <w:szCs w:val="22"/>
              </w:rPr>
            </w:pPr>
          </w:p>
        </w:tc>
        <w:tc>
          <w:tcPr>
            <w:tcW w:w="4979" w:type="dxa"/>
          </w:tcPr>
          <w:p w:rsidR="001345AA" w:rsidRPr="00CC1AEF" w:rsidRDefault="006028DC" w:rsidP="006028DC">
            <w:pPr>
              <w:rPr>
                <w:rFonts w:asciiTheme="minorHAnsi" w:hAnsiTheme="minorHAnsi" w:cstheme="minorHAnsi"/>
                <w:sz w:val="22"/>
                <w:szCs w:val="22"/>
              </w:rPr>
            </w:pPr>
            <w:r w:rsidRPr="00CC1AEF">
              <w:rPr>
                <w:rFonts w:asciiTheme="minorHAnsi" w:hAnsiTheme="minorHAnsi" w:cstheme="minorHAnsi"/>
                <w:sz w:val="22"/>
                <w:szCs w:val="22"/>
              </w:rPr>
              <w:t>L'utilisation par le payeur des éléments</w:t>
            </w:r>
            <w:r w:rsidR="00BE7328" w:rsidRPr="00CC1AEF">
              <w:rPr>
                <w:rFonts w:asciiTheme="minorHAnsi" w:hAnsiTheme="minorHAnsi" w:cstheme="minorHAnsi"/>
                <w:sz w:val="22"/>
                <w:szCs w:val="22"/>
              </w:rPr>
              <w:t xml:space="preserve"> d'authentification appartenant à la catégorie « inhérence » </w:t>
            </w:r>
            <w:r w:rsidRPr="00CC1AEF">
              <w:rPr>
                <w:rFonts w:asciiTheme="minorHAnsi" w:hAnsiTheme="minorHAnsi" w:cstheme="minorHAnsi"/>
                <w:sz w:val="22"/>
                <w:szCs w:val="22"/>
              </w:rPr>
              <w:t xml:space="preserve"> fait</w:t>
            </w:r>
            <w:r w:rsidR="00945FE7" w:rsidRPr="00CC1AEF">
              <w:rPr>
                <w:rFonts w:asciiTheme="minorHAnsi" w:hAnsiTheme="minorHAnsi" w:cstheme="minorHAnsi"/>
                <w:sz w:val="22"/>
                <w:szCs w:val="22"/>
              </w:rPr>
              <w:t>-il</w:t>
            </w:r>
            <w:r w:rsidRPr="00CC1AEF">
              <w:rPr>
                <w:rFonts w:asciiTheme="minorHAnsi" w:hAnsiTheme="minorHAnsi" w:cstheme="minorHAnsi"/>
                <w:sz w:val="22"/>
                <w:szCs w:val="22"/>
              </w:rPr>
              <w:t xml:space="preserve"> l'objet de mesures garantissant que ces dispositifs et logiciels empêchent toute utilisation non autorisée desdits éléments qui passerait par un accès a</w:t>
            </w:r>
            <w:r w:rsidR="00945FE7" w:rsidRPr="00CC1AEF">
              <w:rPr>
                <w:rFonts w:asciiTheme="minorHAnsi" w:hAnsiTheme="minorHAnsi" w:cstheme="minorHAnsi"/>
                <w:sz w:val="22"/>
                <w:szCs w:val="22"/>
              </w:rPr>
              <w:t>uxdits dispositifs et logiciels ?</w:t>
            </w:r>
          </w:p>
        </w:tc>
        <w:tc>
          <w:tcPr>
            <w:tcW w:w="1465" w:type="dxa"/>
          </w:tcPr>
          <w:p w:rsidR="006028DC" w:rsidRPr="00CC1AEF" w:rsidRDefault="006028DC" w:rsidP="009973F6">
            <w:pPr>
              <w:jc w:val="center"/>
              <w:rPr>
                <w:rFonts w:asciiTheme="minorHAnsi" w:hAnsiTheme="minorHAnsi" w:cstheme="minorHAnsi"/>
                <w:b/>
                <w:sz w:val="22"/>
                <w:szCs w:val="22"/>
              </w:rPr>
            </w:pPr>
          </w:p>
        </w:tc>
        <w:tc>
          <w:tcPr>
            <w:tcW w:w="6698" w:type="dxa"/>
          </w:tcPr>
          <w:p w:rsidR="006028DC" w:rsidRPr="00CC1AEF" w:rsidRDefault="006028DC">
            <w:pPr>
              <w:jc w:val="left"/>
              <w:rPr>
                <w:rFonts w:asciiTheme="minorHAnsi" w:eastAsia="Calibri" w:hAnsiTheme="minorHAnsi" w:cstheme="minorHAnsi"/>
                <w:b/>
                <w:sz w:val="22"/>
                <w:szCs w:val="22"/>
                <w:lang w:eastAsia="en-US"/>
              </w:rPr>
            </w:pPr>
          </w:p>
        </w:tc>
      </w:tr>
      <w:tr w:rsidR="003B1165" w:rsidRPr="00CC1AEF" w:rsidTr="006B6ABB">
        <w:tc>
          <w:tcPr>
            <w:tcW w:w="14737" w:type="dxa"/>
            <w:gridSpan w:val="4"/>
            <w:shd w:val="clear" w:color="auto" w:fill="FBD4B4" w:themeFill="accent6" w:themeFillTint="66"/>
          </w:tcPr>
          <w:p w:rsidR="003B1165" w:rsidRPr="00CC1AEF" w:rsidRDefault="003B1165">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Indépendance des éléments</w:t>
            </w:r>
          </w:p>
        </w:tc>
      </w:tr>
      <w:tr w:rsidR="006028DC" w:rsidRPr="00CC1AEF" w:rsidTr="00683E60">
        <w:tc>
          <w:tcPr>
            <w:tcW w:w="1595" w:type="dxa"/>
          </w:tcPr>
          <w:p w:rsidR="006028DC" w:rsidRPr="00CC1AEF" w:rsidRDefault="003B1165" w:rsidP="009973F6">
            <w:pPr>
              <w:jc w:val="center"/>
              <w:rPr>
                <w:rFonts w:asciiTheme="minorHAnsi" w:hAnsiTheme="minorHAnsi" w:cstheme="minorHAnsi"/>
                <w:b/>
                <w:sz w:val="22"/>
                <w:szCs w:val="22"/>
              </w:rPr>
            </w:pPr>
            <w:r w:rsidRPr="00CC1AEF">
              <w:rPr>
                <w:rFonts w:asciiTheme="minorHAnsi" w:hAnsiTheme="minorHAnsi" w:cstheme="minorHAnsi"/>
                <w:b/>
                <w:sz w:val="22"/>
                <w:szCs w:val="22"/>
              </w:rPr>
              <w:t>9</w:t>
            </w:r>
          </w:p>
        </w:tc>
        <w:tc>
          <w:tcPr>
            <w:tcW w:w="4979" w:type="dxa"/>
          </w:tcPr>
          <w:p w:rsidR="001345AA" w:rsidRPr="00CC1AEF" w:rsidRDefault="00280CD2" w:rsidP="00280CD2">
            <w:pPr>
              <w:rPr>
                <w:rFonts w:asciiTheme="minorHAnsi" w:hAnsiTheme="minorHAnsi" w:cstheme="minorHAnsi"/>
                <w:sz w:val="22"/>
                <w:szCs w:val="22"/>
              </w:rPr>
            </w:pPr>
            <w:r w:rsidRPr="00CC1AEF">
              <w:rPr>
                <w:rFonts w:asciiTheme="minorHAnsi" w:hAnsiTheme="minorHAnsi" w:cstheme="minorHAnsi"/>
                <w:sz w:val="22"/>
                <w:szCs w:val="22"/>
              </w:rPr>
              <w:t>Le PSP veille-t-il à ce que l'utilisation des éléments d'authentification forte du client des catégories « possession », « connaissance » et « inhérence </w:t>
            </w:r>
            <w:r w:rsidR="0098552F" w:rsidRPr="00CC1AEF">
              <w:rPr>
                <w:rFonts w:asciiTheme="minorHAnsi" w:hAnsiTheme="minorHAnsi" w:cstheme="minorHAnsi"/>
                <w:sz w:val="22"/>
                <w:szCs w:val="22"/>
              </w:rPr>
              <w:t>», fasse</w:t>
            </w:r>
            <w:r w:rsidRPr="00CC1AEF">
              <w:rPr>
                <w:rFonts w:asciiTheme="minorHAnsi" w:hAnsiTheme="minorHAnsi" w:cstheme="minorHAnsi"/>
                <w:sz w:val="22"/>
                <w:szCs w:val="22"/>
              </w:rPr>
              <w:t xml:space="preserve"> l'objet de mesures garantissant que, sur le plan de la technologie, des algorithmes et des paramètres, la compromission d'un des éléments ne remet pas en question la fiabilité des autres ?</w:t>
            </w:r>
          </w:p>
        </w:tc>
        <w:tc>
          <w:tcPr>
            <w:tcW w:w="1465" w:type="dxa"/>
          </w:tcPr>
          <w:p w:rsidR="006028DC" w:rsidRPr="00CC1AEF" w:rsidRDefault="006028DC" w:rsidP="009973F6">
            <w:pPr>
              <w:jc w:val="center"/>
              <w:rPr>
                <w:rFonts w:asciiTheme="minorHAnsi" w:hAnsiTheme="minorHAnsi" w:cstheme="minorHAnsi"/>
                <w:b/>
                <w:sz w:val="22"/>
                <w:szCs w:val="22"/>
              </w:rPr>
            </w:pPr>
          </w:p>
        </w:tc>
        <w:tc>
          <w:tcPr>
            <w:tcW w:w="6698" w:type="dxa"/>
          </w:tcPr>
          <w:p w:rsidR="006028DC" w:rsidRPr="00CC1AEF" w:rsidRDefault="006028DC">
            <w:pPr>
              <w:jc w:val="left"/>
              <w:rPr>
                <w:rFonts w:asciiTheme="minorHAnsi" w:eastAsia="Calibri" w:hAnsiTheme="minorHAnsi" w:cstheme="minorHAnsi"/>
                <w:b/>
                <w:sz w:val="22"/>
                <w:szCs w:val="22"/>
                <w:lang w:eastAsia="en-US"/>
              </w:rPr>
            </w:pPr>
          </w:p>
        </w:tc>
      </w:tr>
      <w:tr w:rsidR="006028DC" w:rsidRPr="00CC1AEF" w:rsidTr="00683E60">
        <w:tc>
          <w:tcPr>
            <w:tcW w:w="1595" w:type="dxa"/>
          </w:tcPr>
          <w:p w:rsidR="006028DC" w:rsidRPr="00CC1AEF" w:rsidRDefault="006028DC" w:rsidP="009973F6">
            <w:pPr>
              <w:jc w:val="center"/>
              <w:rPr>
                <w:rFonts w:asciiTheme="minorHAnsi" w:hAnsiTheme="minorHAnsi" w:cstheme="minorHAnsi"/>
                <w:b/>
                <w:sz w:val="22"/>
                <w:szCs w:val="22"/>
              </w:rPr>
            </w:pPr>
          </w:p>
        </w:tc>
        <w:tc>
          <w:tcPr>
            <w:tcW w:w="4979" w:type="dxa"/>
          </w:tcPr>
          <w:p w:rsidR="006028DC" w:rsidRPr="00CC1AEF" w:rsidRDefault="00280CD2" w:rsidP="00280CD2">
            <w:pPr>
              <w:rPr>
                <w:rFonts w:asciiTheme="minorHAnsi" w:hAnsiTheme="minorHAnsi" w:cstheme="minorHAnsi"/>
                <w:sz w:val="22"/>
                <w:szCs w:val="22"/>
              </w:rPr>
            </w:pPr>
            <w:r w:rsidRPr="00CC1AEF">
              <w:rPr>
                <w:rFonts w:asciiTheme="minorHAnsi" w:hAnsiTheme="minorHAnsi" w:cstheme="minorHAnsi"/>
                <w:sz w:val="22"/>
                <w:szCs w:val="22"/>
              </w:rPr>
              <w:t xml:space="preserve">Lorsque l’un des éléments d’authentification forte du client ou le code d’authentification proprement dit </w:t>
            </w:r>
            <w:r w:rsidRPr="00CC1AEF">
              <w:rPr>
                <w:rFonts w:asciiTheme="minorHAnsi" w:hAnsiTheme="minorHAnsi" w:cstheme="minorHAnsi"/>
                <w:sz w:val="22"/>
                <w:szCs w:val="22"/>
              </w:rPr>
              <w:lastRenderedPageBreak/>
              <w:t>est utilisé au travers d'un dispositif multifonctionnel, le PSP a-t-il mis en place des mesures de sécurité pour réduire le risque qui découlerait de l'altération de ce dispositif multifonctionnel</w:t>
            </w:r>
            <w:r w:rsidR="00BE7328">
              <w:rPr>
                <w:rFonts w:asciiTheme="minorHAnsi" w:hAnsiTheme="minorHAnsi" w:cstheme="minorHAnsi"/>
                <w:sz w:val="22"/>
                <w:szCs w:val="22"/>
              </w:rPr>
              <w:t xml:space="preserve"> et ce</w:t>
            </w:r>
            <w:r w:rsidR="009F7FD9" w:rsidRPr="00CC1AEF">
              <w:rPr>
                <w:rFonts w:asciiTheme="minorHAnsi" w:hAnsiTheme="minorHAnsi" w:cstheme="minorHAnsi"/>
                <w:sz w:val="22"/>
                <w:szCs w:val="22"/>
              </w:rPr>
              <w:t xml:space="preserve">s mesures d’atténuation prévoient-elles </w:t>
            </w:r>
            <w:r w:rsidR="00BE7328">
              <w:rPr>
                <w:rFonts w:asciiTheme="minorHAnsi" w:hAnsiTheme="minorHAnsi" w:cstheme="minorHAnsi"/>
                <w:sz w:val="22"/>
                <w:szCs w:val="22"/>
              </w:rPr>
              <w:t xml:space="preserve">bien </w:t>
            </w:r>
            <w:r w:rsidR="009F7FD9" w:rsidRPr="00CC1AEF">
              <w:rPr>
                <w:rFonts w:asciiTheme="minorHAnsi" w:hAnsiTheme="minorHAnsi" w:cstheme="minorHAnsi"/>
                <w:sz w:val="22"/>
                <w:szCs w:val="22"/>
              </w:rPr>
              <w:t>chacu</w:t>
            </w:r>
            <w:r w:rsidR="00BE7328">
              <w:rPr>
                <w:rFonts w:asciiTheme="minorHAnsi" w:hAnsiTheme="minorHAnsi" w:cstheme="minorHAnsi"/>
                <w:sz w:val="22"/>
                <w:szCs w:val="22"/>
              </w:rPr>
              <w:t>n des éléments listés ci-après ?</w:t>
            </w:r>
          </w:p>
          <w:p w:rsidR="009F7FD9" w:rsidRPr="00CC1AEF" w:rsidRDefault="009F7FD9" w:rsidP="009F7FD9">
            <w:pPr>
              <w:pStyle w:val="Paragraphedeliste"/>
              <w:numPr>
                <w:ilvl w:val="0"/>
                <w:numId w:val="119"/>
              </w:numPr>
              <w:rPr>
                <w:rFonts w:asciiTheme="minorHAnsi" w:hAnsiTheme="minorHAnsi" w:cstheme="minorHAnsi"/>
                <w:szCs w:val="22"/>
              </w:rPr>
            </w:pPr>
            <w:r w:rsidRPr="00CC1AEF">
              <w:rPr>
                <w:rFonts w:asciiTheme="minorHAnsi" w:hAnsiTheme="minorHAnsi" w:cstheme="minorHAnsi"/>
                <w:szCs w:val="22"/>
              </w:rPr>
              <w:t>l'utilisation d'environnements d'exécution sécurisés distincts grâce au logiciel installé sur le dispositif multifonctionnel ;</w:t>
            </w:r>
          </w:p>
          <w:p w:rsidR="009F7FD9" w:rsidRPr="00CC1AEF" w:rsidRDefault="009F7FD9" w:rsidP="009F7FD9">
            <w:pPr>
              <w:pStyle w:val="Paragraphedeliste"/>
              <w:numPr>
                <w:ilvl w:val="0"/>
                <w:numId w:val="119"/>
              </w:numPr>
              <w:rPr>
                <w:rFonts w:asciiTheme="minorHAnsi" w:hAnsiTheme="minorHAnsi" w:cstheme="minorHAnsi"/>
                <w:szCs w:val="22"/>
              </w:rPr>
            </w:pPr>
            <w:r w:rsidRPr="00CC1AEF">
              <w:rPr>
                <w:rFonts w:asciiTheme="minorHAnsi" w:hAnsiTheme="minorHAnsi" w:cstheme="minorHAnsi"/>
                <w:szCs w:val="22"/>
              </w:rPr>
              <w:t>des mécanismes permettant de garantir que le logiciel ou le dispositif n'a pas été altéré par le payeur ou par un tiers ;</w:t>
            </w:r>
          </w:p>
          <w:p w:rsidR="009F7FD9" w:rsidRPr="00A85C3C" w:rsidRDefault="009F7FD9" w:rsidP="00A85C3C">
            <w:pPr>
              <w:pStyle w:val="Paragraphedeliste"/>
              <w:numPr>
                <w:ilvl w:val="0"/>
                <w:numId w:val="119"/>
              </w:numPr>
              <w:rPr>
                <w:rFonts w:asciiTheme="minorHAnsi" w:hAnsiTheme="minorHAnsi" w:cstheme="minorHAnsi"/>
                <w:szCs w:val="22"/>
              </w:rPr>
            </w:pPr>
            <w:r w:rsidRPr="00D84D7E">
              <w:rPr>
                <w:rFonts w:asciiTheme="minorHAnsi" w:hAnsiTheme="minorHAnsi" w:cstheme="minorHAnsi"/>
                <w:szCs w:val="22"/>
              </w:rPr>
              <w:t>en cas d'altérations, des mécanismes permettant de réduire les conséquences de celles-ci.</w:t>
            </w:r>
          </w:p>
        </w:tc>
        <w:tc>
          <w:tcPr>
            <w:tcW w:w="1465" w:type="dxa"/>
          </w:tcPr>
          <w:p w:rsidR="006028DC" w:rsidRPr="00CC1AEF" w:rsidRDefault="006028DC" w:rsidP="009973F6">
            <w:pPr>
              <w:jc w:val="center"/>
              <w:rPr>
                <w:rFonts w:asciiTheme="minorHAnsi" w:hAnsiTheme="minorHAnsi" w:cstheme="minorHAnsi"/>
                <w:b/>
                <w:sz w:val="22"/>
                <w:szCs w:val="22"/>
              </w:rPr>
            </w:pPr>
          </w:p>
        </w:tc>
        <w:tc>
          <w:tcPr>
            <w:tcW w:w="6698" w:type="dxa"/>
          </w:tcPr>
          <w:p w:rsidR="006028DC" w:rsidRPr="00CC1AEF" w:rsidRDefault="006028DC">
            <w:pPr>
              <w:jc w:val="left"/>
              <w:rPr>
                <w:rFonts w:asciiTheme="minorHAnsi" w:eastAsia="Calibri" w:hAnsiTheme="minorHAnsi" w:cstheme="minorHAnsi"/>
                <w:b/>
                <w:sz w:val="22"/>
                <w:szCs w:val="22"/>
                <w:lang w:eastAsia="en-US"/>
              </w:rPr>
            </w:pPr>
          </w:p>
        </w:tc>
      </w:tr>
      <w:tr w:rsidR="001345AA" w:rsidRPr="00CC1AEF" w:rsidTr="00A36997">
        <w:tc>
          <w:tcPr>
            <w:tcW w:w="14737" w:type="dxa"/>
            <w:gridSpan w:val="4"/>
            <w:shd w:val="clear" w:color="auto" w:fill="8DB3E2" w:themeFill="text2" w:themeFillTint="66"/>
          </w:tcPr>
          <w:p w:rsidR="001345AA" w:rsidRPr="00CC1AEF" w:rsidRDefault="001345AA">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DÉROGATIONS À L'OBLIGATION D'AUTHENTIFICATION FORTE DU CLIENT</w:t>
            </w:r>
          </w:p>
        </w:tc>
      </w:tr>
      <w:tr w:rsidR="001345AA" w:rsidRPr="00CC1AEF" w:rsidTr="006B6ABB">
        <w:tc>
          <w:tcPr>
            <w:tcW w:w="14737" w:type="dxa"/>
            <w:gridSpan w:val="4"/>
            <w:shd w:val="clear" w:color="auto" w:fill="FBD4B4" w:themeFill="accent6" w:themeFillTint="66"/>
          </w:tcPr>
          <w:p w:rsidR="001345AA" w:rsidRPr="00CC1AEF" w:rsidRDefault="001345AA">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Analyse des risques liés à l'opération</w:t>
            </w:r>
          </w:p>
        </w:tc>
      </w:tr>
      <w:tr w:rsidR="006028DC" w:rsidRPr="00CC1AEF" w:rsidTr="00683E60">
        <w:tc>
          <w:tcPr>
            <w:tcW w:w="1595" w:type="dxa"/>
          </w:tcPr>
          <w:p w:rsidR="006028DC" w:rsidRPr="00CC1AEF" w:rsidRDefault="001345AA" w:rsidP="009973F6">
            <w:pPr>
              <w:jc w:val="center"/>
              <w:rPr>
                <w:rFonts w:asciiTheme="minorHAnsi" w:hAnsiTheme="minorHAnsi" w:cstheme="minorHAnsi"/>
                <w:b/>
                <w:sz w:val="22"/>
                <w:szCs w:val="22"/>
              </w:rPr>
            </w:pPr>
            <w:r w:rsidRPr="00CC1AEF">
              <w:rPr>
                <w:rFonts w:asciiTheme="minorHAnsi" w:hAnsiTheme="minorHAnsi" w:cstheme="minorHAnsi"/>
                <w:b/>
                <w:sz w:val="22"/>
                <w:szCs w:val="22"/>
              </w:rPr>
              <w:t>18</w:t>
            </w:r>
          </w:p>
        </w:tc>
        <w:tc>
          <w:tcPr>
            <w:tcW w:w="4979" w:type="dxa"/>
          </w:tcPr>
          <w:p w:rsidR="00114699" w:rsidRDefault="00114699" w:rsidP="00114699">
            <w:pPr>
              <w:rPr>
                <w:rFonts w:asciiTheme="minorHAnsi" w:hAnsiTheme="minorHAnsi" w:cstheme="minorHAnsi"/>
                <w:i/>
                <w:sz w:val="22"/>
                <w:szCs w:val="22"/>
              </w:rPr>
            </w:pPr>
            <w:r w:rsidRPr="00415213">
              <w:rPr>
                <w:rFonts w:asciiTheme="minorHAnsi" w:hAnsiTheme="minorHAnsi" w:cstheme="minorHAnsi"/>
                <w:i/>
                <w:sz w:val="22"/>
                <w:szCs w:val="22"/>
              </w:rPr>
              <w:t xml:space="preserve">Pour la mise en œuvre </w:t>
            </w:r>
            <w:r>
              <w:rPr>
                <w:rFonts w:asciiTheme="minorHAnsi" w:hAnsiTheme="minorHAnsi" w:cstheme="minorHAnsi"/>
                <w:i/>
                <w:sz w:val="22"/>
                <w:szCs w:val="22"/>
              </w:rPr>
              <w:t>des articles 18 à 20</w:t>
            </w:r>
            <w:r w:rsidRPr="00415213">
              <w:rPr>
                <w:rFonts w:asciiTheme="minorHAnsi" w:hAnsiTheme="minorHAnsi" w:cstheme="minorHAnsi"/>
                <w:i/>
                <w:sz w:val="22"/>
                <w:szCs w:val="22"/>
              </w:rPr>
              <w:t>, l’établissement pourra se référer à la note de l’Observatoire de la sécurité des moyens de paiement</w:t>
            </w:r>
            <w:r w:rsidRPr="00772EC4">
              <w:rPr>
                <w:rFonts w:asciiTheme="minorHAnsi" w:hAnsiTheme="minorHAnsi" w:cstheme="minorHAnsi"/>
                <w:i/>
                <w:sz w:val="22"/>
                <w:szCs w:val="22"/>
              </w:rPr>
              <w:t xml:space="preserve"> sur l</w:t>
            </w:r>
            <w:r>
              <w:rPr>
                <w:rFonts w:asciiTheme="minorHAnsi" w:hAnsiTheme="minorHAnsi" w:cstheme="minorHAnsi"/>
                <w:i/>
                <w:sz w:val="22"/>
                <w:szCs w:val="22"/>
              </w:rPr>
              <w:t xml:space="preserve">’exemption liée à l’analyse des risques liés à l’opération, qui </w:t>
            </w:r>
            <w:r w:rsidR="008774F4">
              <w:rPr>
                <w:rFonts w:asciiTheme="minorHAnsi" w:hAnsiTheme="minorHAnsi" w:cstheme="minorHAnsi"/>
                <w:i/>
                <w:sz w:val="22"/>
                <w:szCs w:val="22"/>
              </w:rPr>
              <w:t>sera prochainement</w:t>
            </w:r>
            <w:r>
              <w:rPr>
                <w:rFonts w:asciiTheme="minorHAnsi" w:hAnsiTheme="minorHAnsi" w:cstheme="minorHAnsi"/>
                <w:i/>
                <w:sz w:val="22"/>
                <w:szCs w:val="22"/>
              </w:rPr>
              <w:t xml:space="preserve"> accessible sur son site internet. </w:t>
            </w:r>
          </w:p>
          <w:p w:rsidR="00114699" w:rsidRDefault="00114699" w:rsidP="006028DC">
            <w:pPr>
              <w:rPr>
                <w:rFonts w:asciiTheme="minorHAnsi" w:hAnsiTheme="minorHAnsi" w:cstheme="minorHAnsi"/>
                <w:sz w:val="22"/>
                <w:szCs w:val="22"/>
              </w:rPr>
            </w:pPr>
          </w:p>
          <w:p w:rsidR="000955A0" w:rsidRPr="00CC1AEF" w:rsidRDefault="00D84D7E" w:rsidP="006028DC">
            <w:pPr>
              <w:rPr>
                <w:rFonts w:asciiTheme="minorHAnsi" w:hAnsiTheme="minorHAnsi" w:cstheme="minorHAnsi"/>
                <w:sz w:val="22"/>
                <w:szCs w:val="22"/>
              </w:rPr>
            </w:pPr>
            <w:r>
              <w:rPr>
                <w:rFonts w:asciiTheme="minorHAnsi" w:hAnsiTheme="minorHAnsi" w:cstheme="minorHAnsi"/>
                <w:sz w:val="22"/>
                <w:szCs w:val="22"/>
              </w:rPr>
              <w:t xml:space="preserve">En cas d’usage </w:t>
            </w:r>
            <w:r w:rsidR="005D3389">
              <w:rPr>
                <w:rFonts w:asciiTheme="minorHAnsi" w:hAnsiTheme="minorHAnsi" w:cstheme="minorHAnsi"/>
                <w:sz w:val="22"/>
                <w:szCs w:val="22"/>
              </w:rPr>
              <w:t>de l’exemption au titre de l’analyse des risques</w:t>
            </w:r>
            <w:r>
              <w:rPr>
                <w:rFonts w:asciiTheme="minorHAnsi" w:hAnsiTheme="minorHAnsi" w:cstheme="minorHAnsi"/>
                <w:sz w:val="22"/>
                <w:szCs w:val="22"/>
              </w:rPr>
              <w:t>, le PSP</w:t>
            </w:r>
            <w:r w:rsidR="005D3389">
              <w:rPr>
                <w:rFonts w:asciiTheme="minorHAnsi" w:hAnsiTheme="minorHAnsi" w:cstheme="minorHAnsi"/>
                <w:sz w:val="22"/>
                <w:szCs w:val="22"/>
              </w:rPr>
              <w:t xml:space="preserve"> respecte</w:t>
            </w:r>
            <w:r>
              <w:rPr>
                <w:rFonts w:asciiTheme="minorHAnsi" w:hAnsiTheme="minorHAnsi" w:cstheme="minorHAnsi"/>
                <w:sz w:val="22"/>
                <w:szCs w:val="22"/>
              </w:rPr>
              <w:t>-t-il</w:t>
            </w:r>
            <w:r w:rsidR="005D3389">
              <w:rPr>
                <w:rFonts w:asciiTheme="minorHAnsi" w:hAnsiTheme="minorHAnsi" w:cstheme="minorHAnsi"/>
                <w:sz w:val="22"/>
                <w:szCs w:val="22"/>
              </w:rPr>
              <w:t xml:space="preserve"> bien les exigences listées </w:t>
            </w:r>
            <w:r w:rsidR="00C15E39" w:rsidRPr="00CC1AEF">
              <w:rPr>
                <w:rFonts w:asciiTheme="minorHAnsi" w:hAnsiTheme="minorHAnsi" w:cstheme="minorHAnsi"/>
                <w:sz w:val="22"/>
                <w:szCs w:val="22"/>
              </w:rPr>
              <w:t>ci-après</w:t>
            </w:r>
            <w:r w:rsidR="00C17676" w:rsidRPr="00CC1AEF">
              <w:rPr>
                <w:rFonts w:asciiTheme="minorHAnsi" w:hAnsiTheme="minorHAnsi" w:cstheme="minorHAnsi"/>
                <w:sz w:val="22"/>
                <w:szCs w:val="22"/>
              </w:rPr>
              <w:t> ?</w:t>
            </w:r>
          </w:p>
          <w:p w:rsidR="00C15E39" w:rsidRPr="00CC1AEF" w:rsidRDefault="00C15E39" w:rsidP="00C15E39">
            <w:pPr>
              <w:pStyle w:val="Paragraphedeliste"/>
              <w:numPr>
                <w:ilvl w:val="0"/>
                <w:numId w:val="119"/>
              </w:numPr>
              <w:rPr>
                <w:rFonts w:asciiTheme="minorHAnsi" w:hAnsiTheme="minorHAnsi" w:cstheme="minorHAnsi"/>
                <w:szCs w:val="22"/>
              </w:rPr>
            </w:pPr>
            <w:r w:rsidRPr="00CC1AEF">
              <w:rPr>
                <w:rFonts w:asciiTheme="minorHAnsi" w:hAnsiTheme="minorHAnsi" w:cstheme="minorHAnsi"/>
                <w:szCs w:val="22"/>
              </w:rPr>
              <w:t xml:space="preserve">le taux de fraude pour ce type d'opération est équivalent ou inférieur aux taux de référence en matière de fraude mentionnés en annexe </w:t>
            </w:r>
            <w:r w:rsidR="00C17676" w:rsidRPr="00CC1AEF">
              <w:rPr>
                <w:rFonts w:asciiTheme="minorHAnsi" w:hAnsiTheme="minorHAnsi" w:cstheme="minorHAnsi"/>
                <w:szCs w:val="22"/>
              </w:rPr>
              <w:t xml:space="preserve">du règlement délégué 2018/389 </w:t>
            </w:r>
            <w:r w:rsidRPr="00CC1AEF">
              <w:rPr>
                <w:rFonts w:asciiTheme="minorHAnsi" w:hAnsiTheme="minorHAnsi" w:cstheme="minorHAnsi"/>
                <w:szCs w:val="22"/>
              </w:rPr>
              <w:t>pour les «paiements électroniques à distance liés à une carte» et les «virements électroniques à distance» respectivement ;</w:t>
            </w:r>
          </w:p>
          <w:p w:rsidR="00C15E39" w:rsidRPr="00CC1AEF" w:rsidRDefault="00C15E39" w:rsidP="00C15E39">
            <w:pPr>
              <w:pStyle w:val="Paragraphedeliste"/>
              <w:numPr>
                <w:ilvl w:val="0"/>
                <w:numId w:val="119"/>
              </w:numPr>
              <w:rPr>
                <w:rFonts w:asciiTheme="minorHAnsi" w:hAnsiTheme="minorHAnsi" w:cstheme="minorHAnsi"/>
                <w:szCs w:val="22"/>
              </w:rPr>
            </w:pPr>
            <w:r w:rsidRPr="00CC1AEF">
              <w:rPr>
                <w:rFonts w:asciiTheme="minorHAnsi" w:hAnsiTheme="minorHAnsi" w:cstheme="minorHAnsi"/>
                <w:szCs w:val="22"/>
              </w:rPr>
              <w:t xml:space="preserve"> le montant de l'opération ne dépasse pas la valeur-seuil de dérogation correspondante </w:t>
            </w:r>
            <w:r w:rsidRPr="00CC1AEF">
              <w:rPr>
                <w:rFonts w:asciiTheme="minorHAnsi" w:hAnsiTheme="minorHAnsi" w:cstheme="minorHAnsi"/>
                <w:szCs w:val="22"/>
              </w:rPr>
              <w:lastRenderedPageBreak/>
              <w:t>mentionnée en annexe</w:t>
            </w:r>
            <w:r w:rsidR="00C17676" w:rsidRPr="00CC1AEF">
              <w:rPr>
                <w:rFonts w:asciiTheme="minorHAnsi" w:hAnsiTheme="minorHAnsi" w:cstheme="minorHAnsi"/>
                <w:szCs w:val="22"/>
              </w:rPr>
              <w:t xml:space="preserve"> du règlement délégué 2018/389</w:t>
            </w:r>
            <w:r w:rsidRPr="00CC1AEF">
              <w:rPr>
                <w:rFonts w:asciiTheme="minorHAnsi" w:hAnsiTheme="minorHAnsi" w:cstheme="minorHAnsi"/>
                <w:szCs w:val="22"/>
              </w:rPr>
              <w:t xml:space="preserve"> ; </w:t>
            </w:r>
          </w:p>
          <w:p w:rsidR="00C17676" w:rsidRPr="00CC1AEF" w:rsidRDefault="00C17676" w:rsidP="00A36997">
            <w:pPr>
              <w:pStyle w:val="Paragraphedeliste"/>
              <w:numPr>
                <w:ilvl w:val="0"/>
                <w:numId w:val="119"/>
              </w:numPr>
              <w:rPr>
                <w:rFonts w:asciiTheme="minorHAnsi" w:hAnsiTheme="minorHAnsi" w:cstheme="minorHAnsi"/>
                <w:szCs w:val="22"/>
              </w:rPr>
            </w:pPr>
            <w:r w:rsidRPr="00CC1AEF">
              <w:rPr>
                <w:rFonts w:asciiTheme="minorHAnsi" w:hAnsiTheme="minorHAnsi" w:cstheme="minorHAnsi"/>
                <w:szCs w:val="22"/>
              </w:rPr>
              <w:t>l</w:t>
            </w:r>
            <w:r w:rsidR="00C15E39" w:rsidRPr="00CC1AEF">
              <w:rPr>
                <w:rFonts w:asciiTheme="minorHAnsi" w:hAnsiTheme="minorHAnsi" w:cstheme="minorHAnsi"/>
                <w:szCs w:val="22"/>
              </w:rPr>
              <w:t>e PSP n’a décelé aucun des éléments suivants à l'issue d'une analyse en temps réel des risques :</w:t>
            </w:r>
          </w:p>
          <w:p w:rsidR="00C15E39" w:rsidRPr="00CC1AEF" w:rsidRDefault="00C15E39"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i)</w:t>
            </w:r>
            <w:r w:rsidR="005270C9" w:rsidRPr="00CC1AEF">
              <w:rPr>
                <w:rFonts w:asciiTheme="minorHAnsi" w:hAnsiTheme="minorHAnsi" w:cstheme="minorHAnsi"/>
                <w:szCs w:val="22"/>
              </w:rPr>
              <w:t xml:space="preserve"> </w:t>
            </w:r>
            <w:r w:rsidRPr="00CC1AEF">
              <w:rPr>
                <w:rFonts w:asciiTheme="minorHAnsi" w:hAnsiTheme="minorHAnsi" w:cstheme="minorHAnsi"/>
                <w:szCs w:val="22"/>
              </w:rPr>
              <w:t>des dépenses anormales ou un type de comportement anormal du payeur ;</w:t>
            </w:r>
          </w:p>
          <w:p w:rsidR="00C15E39" w:rsidRPr="00CC1AEF" w:rsidRDefault="00C15E39"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 xml:space="preserve"> ii) des informations inhabituelles concernant l'utilisation du dispositif ou logiciel du payeur à des fins d'accès ;</w:t>
            </w:r>
          </w:p>
          <w:p w:rsidR="00C15E39" w:rsidRPr="00CC1AEF" w:rsidRDefault="00C15E39"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iii) des signes d'infection par un logiciel malveillant lors d'une session de la procédure d'authentification</w:t>
            </w:r>
            <w:r w:rsidR="005270C9" w:rsidRPr="00CC1AEF">
              <w:rPr>
                <w:rFonts w:asciiTheme="minorHAnsi" w:hAnsiTheme="minorHAnsi" w:cstheme="minorHAnsi"/>
                <w:szCs w:val="22"/>
              </w:rPr>
              <w:t> ;</w:t>
            </w:r>
            <w:r w:rsidRPr="00CC1AEF">
              <w:rPr>
                <w:rFonts w:asciiTheme="minorHAnsi" w:hAnsiTheme="minorHAnsi" w:cstheme="minorHAnsi"/>
                <w:szCs w:val="22"/>
              </w:rPr>
              <w:t xml:space="preserve"> </w:t>
            </w:r>
          </w:p>
          <w:p w:rsidR="00C15E39" w:rsidRPr="00CC1AEF" w:rsidRDefault="00C15E39"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iv) un scénario connu de fraude dans le cadre de la prestation de services de paiement ;</w:t>
            </w:r>
          </w:p>
          <w:p w:rsidR="00C15E39" w:rsidRPr="00CC1AEF" w:rsidRDefault="00C15E39"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v) une localisation anormale du payeur ;</w:t>
            </w:r>
          </w:p>
          <w:p w:rsidR="00C15E39" w:rsidRPr="00CC1AEF" w:rsidRDefault="00C15E39"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vi) une localisation du bénéficiaire présentant des risques élevés.</w:t>
            </w:r>
          </w:p>
          <w:p w:rsidR="000955A0" w:rsidRPr="00CC1AEF" w:rsidRDefault="00C17676" w:rsidP="00C17676">
            <w:pPr>
              <w:pStyle w:val="Paragraphedeliste"/>
              <w:numPr>
                <w:ilvl w:val="0"/>
                <w:numId w:val="119"/>
              </w:numPr>
              <w:rPr>
                <w:rFonts w:asciiTheme="minorHAnsi" w:hAnsiTheme="minorHAnsi" w:cstheme="minorHAnsi"/>
                <w:szCs w:val="22"/>
              </w:rPr>
            </w:pPr>
            <w:r w:rsidRPr="00CC1AEF">
              <w:rPr>
                <w:rFonts w:asciiTheme="minorHAnsi" w:hAnsiTheme="minorHAnsi" w:cstheme="minorHAnsi"/>
                <w:szCs w:val="22"/>
              </w:rPr>
              <w:t>A minima les facteurs liés aux risques listés ci-après sont pris en compte :</w:t>
            </w:r>
          </w:p>
          <w:p w:rsidR="00C17676" w:rsidRPr="00CC1AEF" w:rsidRDefault="00C17676"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i) les habitudes de dépenses antérieures de l'utilisateur individuel de services de paiement ; ii) l'historique des opérations de paiement de chacun des utilisateurs de services de paiement du prestataire de services de paiement ;</w:t>
            </w:r>
          </w:p>
          <w:p w:rsidR="00C17676" w:rsidRPr="00CC1AEF" w:rsidRDefault="00C17676"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iii) la localisation du payeur et du bénéficiaire au moment de l'opération de paiement dans les cas où le dispositif d'accès ou le logiciel est fourni par le prestataire de services de paiement ;</w:t>
            </w:r>
          </w:p>
          <w:p w:rsidR="000955A0" w:rsidRPr="00A85C3C" w:rsidRDefault="00C17676" w:rsidP="00A85C3C">
            <w:pPr>
              <w:pStyle w:val="Paragraphedeliste"/>
              <w:ind w:left="567"/>
            </w:pPr>
            <w:r w:rsidRPr="00CC1AEF">
              <w:rPr>
                <w:rFonts w:asciiTheme="minorHAnsi" w:hAnsiTheme="minorHAnsi" w:cstheme="minorHAnsi"/>
                <w:szCs w:val="22"/>
              </w:rPr>
              <w:t>iv) l'identification de comportements de paiement anormaux de l'utilisateur de services de paiement par rapport à l'historique de ses opérations de paiement.</w:t>
            </w:r>
          </w:p>
        </w:tc>
        <w:tc>
          <w:tcPr>
            <w:tcW w:w="1465" w:type="dxa"/>
          </w:tcPr>
          <w:p w:rsidR="006028DC" w:rsidRPr="00CC1AEF" w:rsidRDefault="006028DC" w:rsidP="009973F6">
            <w:pPr>
              <w:jc w:val="center"/>
              <w:rPr>
                <w:rFonts w:asciiTheme="minorHAnsi" w:hAnsiTheme="minorHAnsi" w:cstheme="minorHAnsi"/>
                <w:b/>
                <w:sz w:val="22"/>
                <w:szCs w:val="22"/>
              </w:rPr>
            </w:pPr>
          </w:p>
        </w:tc>
        <w:tc>
          <w:tcPr>
            <w:tcW w:w="6698" w:type="dxa"/>
          </w:tcPr>
          <w:p w:rsidR="006028DC" w:rsidRPr="00CC1AEF" w:rsidRDefault="006028DC">
            <w:pPr>
              <w:jc w:val="left"/>
              <w:rPr>
                <w:rFonts w:asciiTheme="minorHAnsi" w:eastAsia="Calibri" w:hAnsiTheme="minorHAnsi" w:cstheme="minorHAnsi"/>
                <w:b/>
                <w:sz w:val="22"/>
                <w:szCs w:val="22"/>
                <w:lang w:eastAsia="en-US"/>
              </w:rPr>
            </w:pPr>
          </w:p>
        </w:tc>
      </w:tr>
    </w:tbl>
    <w:p w:rsidR="00997F0E" w:rsidRDefault="00997F0E">
      <w:r>
        <w:br w:type="page"/>
      </w:r>
    </w:p>
    <w:tbl>
      <w:tblPr>
        <w:tblStyle w:val="Grilledutableau"/>
        <w:tblW w:w="14737" w:type="dxa"/>
        <w:tblLook w:val="04A0" w:firstRow="1" w:lastRow="0" w:firstColumn="1" w:lastColumn="0" w:noHBand="0" w:noVBand="1"/>
      </w:tblPr>
      <w:tblGrid>
        <w:gridCol w:w="1595"/>
        <w:gridCol w:w="4979"/>
        <w:gridCol w:w="1465"/>
        <w:gridCol w:w="6698"/>
      </w:tblGrid>
      <w:tr w:rsidR="00C17676" w:rsidRPr="00CC1AEF" w:rsidTr="006B6ABB">
        <w:tc>
          <w:tcPr>
            <w:tcW w:w="14737" w:type="dxa"/>
            <w:gridSpan w:val="4"/>
            <w:shd w:val="clear" w:color="auto" w:fill="FBD4B4" w:themeFill="accent6" w:themeFillTint="66"/>
          </w:tcPr>
          <w:p w:rsidR="00C17676" w:rsidRPr="00CC1AEF" w:rsidRDefault="00C17676">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lastRenderedPageBreak/>
              <w:t>Calcul du taux de fraude</w:t>
            </w:r>
          </w:p>
        </w:tc>
      </w:tr>
      <w:tr w:rsidR="00277210" w:rsidRPr="00CC1AEF" w:rsidTr="00683E60">
        <w:tc>
          <w:tcPr>
            <w:tcW w:w="1595" w:type="dxa"/>
            <w:vMerge w:val="restart"/>
          </w:tcPr>
          <w:p w:rsidR="00277210" w:rsidRPr="00CC1AEF" w:rsidRDefault="00277210" w:rsidP="009973F6">
            <w:pPr>
              <w:jc w:val="center"/>
              <w:rPr>
                <w:rFonts w:asciiTheme="minorHAnsi" w:hAnsiTheme="minorHAnsi" w:cstheme="minorHAnsi"/>
                <w:b/>
                <w:sz w:val="22"/>
                <w:szCs w:val="22"/>
              </w:rPr>
            </w:pPr>
            <w:r w:rsidRPr="00CC1AEF">
              <w:rPr>
                <w:rFonts w:asciiTheme="minorHAnsi" w:hAnsiTheme="minorHAnsi" w:cstheme="minorHAnsi"/>
                <w:b/>
                <w:sz w:val="22"/>
                <w:szCs w:val="22"/>
              </w:rPr>
              <w:t>19</w:t>
            </w:r>
          </w:p>
        </w:tc>
        <w:tc>
          <w:tcPr>
            <w:tcW w:w="4979" w:type="dxa"/>
          </w:tcPr>
          <w:p w:rsidR="00277210" w:rsidRPr="00A85C3C" w:rsidRDefault="00277210" w:rsidP="0009412D">
            <w:pPr>
              <w:rPr>
                <w:rFonts w:asciiTheme="minorHAnsi" w:hAnsiTheme="minorHAnsi" w:cstheme="minorHAnsi"/>
                <w:sz w:val="16"/>
                <w:szCs w:val="16"/>
              </w:rPr>
            </w:pPr>
            <w:r w:rsidRPr="00CC1AEF">
              <w:rPr>
                <w:rFonts w:asciiTheme="minorHAnsi" w:hAnsiTheme="minorHAnsi" w:cstheme="minorHAnsi"/>
                <w:sz w:val="22"/>
                <w:szCs w:val="22"/>
              </w:rPr>
              <w:t>Pour chaque type d’opération («paiements électroniques à distance liés à une carte» et « virements électroniques à distance»), le PSP veille-t-il à ce que les taux de fraude globaux soient équivalents ou inférieurs au</w:t>
            </w:r>
            <w:r w:rsidR="0009412D">
              <w:rPr>
                <w:rFonts w:asciiTheme="minorHAnsi" w:hAnsiTheme="minorHAnsi" w:cstheme="minorHAnsi"/>
                <w:sz w:val="22"/>
                <w:szCs w:val="22"/>
              </w:rPr>
              <w:t>x</w:t>
            </w:r>
            <w:r w:rsidRPr="00CC1AEF">
              <w:rPr>
                <w:rFonts w:asciiTheme="minorHAnsi" w:hAnsiTheme="minorHAnsi" w:cstheme="minorHAnsi"/>
                <w:sz w:val="22"/>
                <w:szCs w:val="22"/>
              </w:rPr>
              <w:t xml:space="preserve"> taux </w:t>
            </w:r>
            <w:r w:rsidR="00370A27">
              <w:rPr>
                <w:rFonts w:asciiTheme="minorHAnsi" w:hAnsiTheme="minorHAnsi" w:cstheme="minorHAnsi"/>
                <w:sz w:val="22"/>
                <w:szCs w:val="22"/>
              </w:rPr>
              <w:t>maxima</w:t>
            </w:r>
            <w:r w:rsidR="0009412D">
              <w:rPr>
                <w:rFonts w:asciiTheme="minorHAnsi" w:hAnsiTheme="minorHAnsi" w:cstheme="minorHAnsi"/>
                <w:sz w:val="22"/>
                <w:szCs w:val="22"/>
              </w:rPr>
              <w:t>ux de référence</w:t>
            </w:r>
            <w:r w:rsidR="00370A27">
              <w:rPr>
                <w:rFonts w:asciiTheme="minorHAnsi" w:hAnsiTheme="minorHAnsi" w:cstheme="minorHAnsi"/>
                <w:sz w:val="22"/>
                <w:szCs w:val="22"/>
              </w:rPr>
              <w:t xml:space="preserve"> tel que fixé</w:t>
            </w:r>
            <w:r w:rsidR="0009412D">
              <w:rPr>
                <w:rFonts w:asciiTheme="minorHAnsi" w:hAnsiTheme="minorHAnsi" w:cstheme="minorHAnsi"/>
                <w:sz w:val="22"/>
                <w:szCs w:val="22"/>
              </w:rPr>
              <w:t>s</w:t>
            </w:r>
            <w:r w:rsidR="00370A27">
              <w:rPr>
                <w:rFonts w:asciiTheme="minorHAnsi" w:hAnsiTheme="minorHAnsi" w:cstheme="minorHAnsi"/>
                <w:sz w:val="22"/>
                <w:szCs w:val="22"/>
              </w:rPr>
              <w:t xml:space="preserve"> </w:t>
            </w:r>
            <w:r w:rsidR="00C54F2D">
              <w:rPr>
                <w:rFonts w:asciiTheme="minorHAnsi" w:hAnsiTheme="minorHAnsi" w:cstheme="minorHAnsi"/>
                <w:sz w:val="22"/>
                <w:szCs w:val="22"/>
              </w:rPr>
              <w:t>dans</w:t>
            </w:r>
            <w:r w:rsidR="00370A27">
              <w:rPr>
                <w:rFonts w:asciiTheme="minorHAnsi" w:hAnsiTheme="minorHAnsi" w:cstheme="minorHAnsi"/>
                <w:sz w:val="22"/>
                <w:szCs w:val="22"/>
              </w:rPr>
              <w:t xml:space="preserve"> l’annexe des </w:t>
            </w:r>
            <w:r w:rsidRPr="00CC1AEF">
              <w:rPr>
                <w:rFonts w:asciiTheme="minorHAnsi" w:hAnsiTheme="minorHAnsi" w:cstheme="minorHAnsi"/>
                <w:sz w:val="22"/>
                <w:szCs w:val="22"/>
              </w:rPr>
              <w:t>RTS ?</w:t>
            </w:r>
          </w:p>
        </w:tc>
        <w:tc>
          <w:tcPr>
            <w:tcW w:w="1465" w:type="dxa"/>
          </w:tcPr>
          <w:p w:rsidR="00277210" w:rsidRPr="00CC1AEF" w:rsidRDefault="00277210" w:rsidP="009973F6">
            <w:pPr>
              <w:jc w:val="center"/>
              <w:rPr>
                <w:rFonts w:asciiTheme="minorHAnsi" w:hAnsiTheme="minorHAnsi" w:cstheme="minorHAnsi"/>
                <w:b/>
                <w:sz w:val="22"/>
                <w:szCs w:val="22"/>
              </w:rPr>
            </w:pPr>
          </w:p>
        </w:tc>
        <w:tc>
          <w:tcPr>
            <w:tcW w:w="6698" w:type="dxa"/>
          </w:tcPr>
          <w:p w:rsidR="00277210" w:rsidRPr="00CC1AEF" w:rsidRDefault="00277210">
            <w:pPr>
              <w:jc w:val="left"/>
              <w:rPr>
                <w:rFonts w:asciiTheme="minorHAnsi" w:eastAsia="Calibri" w:hAnsiTheme="minorHAnsi" w:cstheme="minorHAnsi"/>
                <w:b/>
                <w:sz w:val="22"/>
                <w:szCs w:val="22"/>
                <w:lang w:eastAsia="en-US"/>
              </w:rPr>
            </w:pPr>
          </w:p>
        </w:tc>
      </w:tr>
      <w:tr w:rsidR="00277210" w:rsidRPr="00CC1AEF" w:rsidTr="00683E60">
        <w:tc>
          <w:tcPr>
            <w:tcW w:w="1595" w:type="dxa"/>
            <w:vMerge/>
          </w:tcPr>
          <w:p w:rsidR="00277210" w:rsidRPr="00CC1AEF" w:rsidRDefault="00277210" w:rsidP="009973F6">
            <w:pPr>
              <w:jc w:val="center"/>
              <w:rPr>
                <w:rFonts w:asciiTheme="minorHAnsi" w:hAnsiTheme="minorHAnsi" w:cstheme="minorHAnsi"/>
                <w:b/>
                <w:sz w:val="22"/>
                <w:szCs w:val="22"/>
              </w:rPr>
            </w:pPr>
          </w:p>
        </w:tc>
        <w:tc>
          <w:tcPr>
            <w:tcW w:w="4979" w:type="dxa"/>
          </w:tcPr>
          <w:p w:rsidR="00277210" w:rsidRDefault="00277210" w:rsidP="006028DC">
            <w:pPr>
              <w:rPr>
                <w:rFonts w:asciiTheme="minorHAnsi" w:hAnsiTheme="minorHAnsi" w:cstheme="minorHAnsi"/>
                <w:sz w:val="22"/>
                <w:szCs w:val="22"/>
              </w:rPr>
            </w:pPr>
            <w:r w:rsidRPr="00CC1AEF">
              <w:rPr>
                <w:rFonts w:asciiTheme="minorHAnsi" w:hAnsiTheme="minorHAnsi" w:cstheme="minorHAnsi"/>
                <w:sz w:val="22"/>
                <w:szCs w:val="22"/>
              </w:rPr>
              <w:t xml:space="preserve">Pour chaque type d’opération («paiements électroniques à distance liés à une carte» et « virements électroniques à distance»), </w:t>
            </w:r>
            <w:r>
              <w:rPr>
                <w:rFonts w:asciiTheme="minorHAnsi" w:hAnsiTheme="minorHAnsi" w:cstheme="minorHAnsi"/>
                <w:sz w:val="22"/>
                <w:szCs w:val="22"/>
              </w:rPr>
              <w:t xml:space="preserve">les taux de fraude sont bien calculés </w:t>
            </w:r>
            <w:r w:rsidR="00D44900">
              <w:rPr>
                <w:rFonts w:asciiTheme="minorHAnsi" w:hAnsiTheme="minorHAnsi" w:cstheme="minorHAnsi"/>
                <w:sz w:val="22"/>
                <w:szCs w:val="22"/>
              </w:rPr>
              <w:t xml:space="preserve">par le PSP </w:t>
            </w:r>
            <w:r>
              <w:rPr>
                <w:rFonts w:asciiTheme="minorHAnsi" w:hAnsiTheme="minorHAnsi" w:cstheme="minorHAnsi"/>
                <w:sz w:val="22"/>
                <w:szCs w:val="22"/>
              </w:rPr>
              <w:t>:</w:t>
            </w:r>
          </w:p>
          <w:p w:rsidR="00277210" w:rsidRDefault="00277210" w:rsidP="006028DC">
            <w:pPr>
              <w:rPr>
                <w:rFonts w:asciiTheme="minorHAnsi" w:hAnsiTheme="minorHAnsi" w:cstheme="minorHAnsi"/>
                <w:sz w:val="22"/>
                <w:szCs w:val="22"/>
              </w:rPr>
            </w:pPr>
            <w:r>
              <w:rPr>
                <w:rFonts w:asciiTheme="minorHAnsi" w:hAnsiTheme="minorHAnsi" w:cstheme="minorHAnsi"/>
                <w:sz w:val="22"/>
                <w:szCs w:val="22"/>
              </w:rPr>
              <w:t>- par le montant initial des opérations de paiement frauduleuses (approche « fraude brute ») divisé par la valeur totale de l’ensemble des opérations de paiement avec ou sans authentification forte ;</w:t>
            </w:r>
          </w:p>
          <w:p w:rsidR="00E71DDB" w:rsidRPr="00F355FF" w:rsidRDefault="00277210" w:rsidP="006028DC">
            <w:pPr>
              <w:rPr>
                <w:rFonts w:asciiTheme="minorHAnsi" w:hAnsiTheme="minorHAnsi" w:cstheme="minorHAnsi"/>
                <w:sz w:val="22"/>
                <w:szCs w:val="22"/>
              </w:rPr>
            </w:pPr>
            <w:r>
              <w:rPr>
                <w:rFonts w:asciiTheme="minorHAnsi" w:hAnsiTheme="minorHAnsi" w:cstheme="minorHAnsi"/>
                <w:sz w:val="22"/>
                <w:szCs w:val="22"/>
              </w:rPr>
              <w:t>-</w:t>
            </w:r>
            <w:r w:rsidR="00C843F6">
              <w:rPr>
                <w:rFonts w:asciiTheme="minorHAnsi" w:hAnsiTheme="minorHAnsi" w:cstheme="minorHAnsi"/>
                <w:sz w:val="22"/>
                <w:szCs w:val="22"/>
              </w:rPr>
              <w:t xml:space="preserve"> et,</w:t>
            </w:r>
            <w:r>
              <w:rPr>
                <w:rFonts w:asciiTheme="minorHAnsi" w:hAnsiTheme="minorHAnsi" w:cstheme="minorHAnsi"/>
                <w:sz w:val="22"/>
                <w:szCs w:val="22"/>
              </w:rPr>
              <w:t xml:space="preserve"> sur une base trimestrielle glissante (90 jours).</w:t>
            </w:r>
          </w:p>
        </w:tc>
        <w:tc>
          <w:tcPr>
            <w:tcW w:w="1465" w:type="dxa"/>
          </w:tcPr>
          <w:p w:rsidR="00277210" w:rsidRPr="00CC1AEF" w:rsidRDefault="00277210" w:rsidP="009973F6">
            <w:pPr>
              <w:jc w:val="center"/>
              <w:rPr>
                <w:rFonts w:asciiTheme="minorHAnsi" w:hAnsiTheme="minorHAnsi" w:cstheme="minorHAnsi"/>
                <w:b/>
                <w:sz w:val="22"/>
                <w:szCs w:val="22"/>
              </w:rPr>
            </w:pPr>
          </w:p>
        </w:tc>
        <w:tc>
          <w:tcPr>
            <w:tcW w:w="6698" w:type="dxa"/>
          </w:tcPr>
          <w:p w:rsidR="00277210" w:rsidRPr="00CC1AEF" w:rsidRDefault="00277210">
            <w:pPr>
              <w:jc w:val="left"/>
              <w:rPr>
                <w:rFonts w:asciiTheme="minorHAnsi" w:eastAsia="Calibri" w:hAnsiTheme="minorHAnsi" w:cstheme="minorHAnsi"/>
                <w:b/>
                <w:sz w:val="22"/>
                <w:szCs w:val="22"/>
                <w:lang w:eastAsia="en-US"/>
              </w:rPr>
            </w:pPr>
          </w:p>
        </w:tc>
      </w:tr>
      <w:tr w:rsidR="00277210" w:rsidRPr="00CC1AEF" w:rsidTr="00277210">
        <w:tc>
          <w:tcPr>
            <w:tcW w:w="14737" w:type="dxa"/>
            <w:gridSpan w:val="4"/>
            <w:shd w:val="clear" w:color="auto" w:fill="FBD4B4" w:themeFill="accent6" w:themeFillTint="66"/>
          </w:tcPr>
          <w:p w:rsidR="00277210" w:rsidRPr="00277210" w:rsidRDefault="00277210">
            <w:pPr>
              <w:jc w:val="left"/>
              <w:rPr>
                <w:rFonts w:asciiTheme="minorHAnsi" w:eastAsia="Calibri" w:hAnsiTheme="minorHAnsi" w:cstheme="minorHAnsi"/>
                <w:b/>
                <w:szCs w:val="24"/>
                <w:lang w:eastAsia="en-US"/>
              </w:rPr>
            </w:pPr>
            <w:r w:rsidRPr="00277210">
              <w:rPr>
                <w:rFonts w:asciiTheme="minorHAnsi" w:eastAsia="Calibri" w:hAnsiTheme="minorHAnsi" w:cstheme="minorHAnsi"/>
                <w:b/>
                <w:szCs w:val="24"/>
                <w:lang w:eastAsia="en-US"/>
              </w:rPr>
              <w:t>Suspension des dérogations sur la base de l'analyse des risques liés à l'opération</w:t>
            </w:r>
          </w:p>
        </w:tc>
      </w:tr>
      <w:tr w:rsidR="009606D4" w:rsidRPr="00CC1AEF" w:rsidTr="00683E60">
        <w:tc>
          <w:tcPr>
            <w:tcW w:w="1595" w:type="dxa"/>
            <w:vMerge w:val="restart"/>
          </w:tcPr>
          <w:p w:rsidR="009606D4" w:rsidRPr="00CC1AEF" w:rsidRDefault="009606D4" w:rsidP="009973F6">
            <w:pPr>
              <w:jc w:val="center"/>
              <w:rPr>
                <w:rFonts w:asciiTheme="minorHAnsi" w:hAnsiTheme="minorHAnsi" w:cstheme="minorHAnsi"/>
                <w:b/>
                <w:sz w:val="22"/>
                <w:szCs w:val="22"/>
              </w:rPr>
            </w:pPr>
            <w:r>
              <w:rPr>
                <w:rFonts w:asciiTheme="minorHAnsi" w:hAnsiTheme="minorHAnsi" w:cstheme="minorHAnsi"/>
                <w:b/>
                <w:sz w:val="22"/>
                <w:szCs w:val="22"/>
              </w:rPr>
              <w:t>20</w:t>
            </w:r>
          </w:p>
        </w:tc>
        <w:tc>
          <w:tcPr>
            <w:tcW w:w="4979" w:type="dxa"/>
          </w:tcPr>
          <w:p w:rsidR="00E71DDB" w:rsidRPr="00F355FF" w:rsidRDefault="009606D4" w:rsidP="002143B5">
            <w:pPr>
              <w:rPr>
                <w:rFonts w:asciiTheme="minorHAnsi" w:hAnsiTheme="minorHAnsi" w:cstheme="minorHAnsi"/>
                <w:sz w:val="22"/>
                <w:szCs w:val="22"/>
              </w:rPr>
            </w:pPr>
            <w:r>
              <w:rPr>
                <w:rFonts w:asciiTheme="minorHAnsi" w:hAnsiTheme="minorHAnsi" w:cstheme="minorHAnsi"/>
                <w:sz w:val="22"/>
                <w:szCs w:val="22"/>
              </w:rPr>
              <w:t>En cas de recours à l’exemption au titre de l’analyse des risques (art. 18), le PSP dispose-t-il d’une procédure permettant de notifier immédiatement auprès de la Banque de France tout dépassement du taux de fraude maximal autorisé (tel que fixé par l’annexe des RTS) et pour fournir une</w:t>
            </w:r>
            <w:r w:rsidRPr="00277210">
              <w:rPr>
                <w:rFonts w:asciiTheme="minorHAnsi" w:hAnsiTheme="minorHAnsi" w:cstheme="minorHAnsi"/>
                <w:sz w:val="22"/>
                <w:szCs w:val="22"/>
              </w:rPr>
              <w:t xml:space="preserve"> description des mesures </w:t>
            </w:r>
            <w:r>
              <w:rPr>
                <w:rFonts w:asciiTheme="minorHAnsi" w:hAnsiTheme="minorHAnsi" w:cstheme="minorHAnsi"/>
                <w:sz w:val="22"/>
                <w:szCs w:val="22"/>
              </w:rPr>
              <w:t>envisagées po</w:t>
            </w:r>
            <w:r w:rsidRPr="00277210">
              <w:rPr>
                <w:rFonts w:asciiTheme="minorHAnsi" w:hAnsiTheme="minorHAnsi" w:cstheme="minorHAnsi"/>
                <w:sz w:val="22"/>
                <w:szCs w:val="22"/>
              </w:rPr>
              <w:t>ur rétablir la conformité du taux de fraude</w:t>
            </w:r>
            <w:r>
              <w:rPr>
                <w:rFonts w:asciiTheme="minorHAnsi" w:hAnsiTheme="minorHAnsi" w:cstheme="minorHAnsi"/>
                <w:sz w:val="22"/>
                <w:szCs w:val="22"/>
              </w:rPr>
              <w:t> ?</w:t>
            </w:r>
          </w:p>
        </w:tc>
        <w:tc>
          <w:tcPr>
            <w:tcW w:w="1465" w:type="dxa"/>
          </w:tcPr>
          <w:p w:rsidR="009606D4" w:rsidRPr="00CC1AEF" w:rsidRDefault="009606D4" w:rsidP="009973F6">
            <w:pPr>
              <w:jc w:val="center"/>
              <w:rPr>
                <w:rFonts w:asciiTheme="minorHAnsi" w:hAnsiTheme="minorHAnsi" w:cstheme="minorHAnsi"/>
                <w:b/>
                <w:sz w:val="22"/>
                <w:szCs w:val="22"/>
              </w:rPr>
            </w:pPr>
          </w:p>
        </w:tc>
        <w:tc>
          <w:tcPr>
            <w:tcW w:w="6698" w:type="dxa"/>
          </w:tcPr>
          <w:p w:rsidR="009606D4" w:rsidRPr="00CC1AEF" w:rsidRDefault="009606D4">
            <w:pPr>
              <w:jc w:val="left"/>
              <w:rPr>
                <w:rFonts w:asciiTheme="minorHAnsi" w:eastAsia="Calibri" w:hAnsiTheme="minorHAnsi" w:cstheme="minorHAnsi"/>
                <w:b/>
                <w:sz w:val="22"/>
                <w:szCs w:val="22"/>
                <w:lang w:eastAsia="en-US"/>
              </w:rPr>
            </w:pPr>
          </w:p>
        </w:tc>
      </w:tr>
      <w:tr w:rsidR="009606D4" w:rsidRPr="00CC1AEF" w:rsidTr="00683E60">
        <w:tc>
          <w:tcPr>
            <w:tcW w:w="1595" w:type="dxa"/>
            <w:vMerge/>
          </w:tcPr>
          <w:p w:rsidR="009606D4" w:rsidRDefault="009606D4" w:rsidP="009973F6">
            <w:pPr>
              <w:jc w:val="center"/>
              <w:rPr>
                <w:rFonts w:asciiTheme="minorHAnsi" w:hAnsiTheme="minorHAnsi" w:cstheme="minorHAnsi"/>
                <w:b/>
                <w:sz w:val="22"/>
                <w:szCs w:val="22"/>
              </w:rPr>
            </w:pPr>
          </w:p>
        </w:tc>
        <w:tc>
          <w:tcPr>
            <w:tcW w:w="4979" w:type="dxa"/>
          </w:tcPr>
          <w:p w:rsidR="00E71DDB" w:rsidRPr="00F355FF" w:rsidRDefault="009606D4" w:rsidP="00FD08EF">
            <w:pPr>
              <w:rPr>
                <w:rFonts w:asciiTheme="minorHAnsi" w:hAnsiTheme="minorHAnsi" w:cstheme="minorHAnsi"/>
                <w:sz w:val="22"/>
                <w:szCs w:val="22"/>
              </w:rPr>
            </w:pPr>
            <w:r w:rsidRPr="00FD08EF">
              <w:rPr>
                <w:rFonts w:asciiTheme="minorHAnsi" w:hAnsiTheme="minorHAnsi" w:cstheme="minorHAnsi"/>
                <w:sz w:val="22"/>
                <w:szCs w:val="22"/>
              </w:rPr>
              <w:t>Le PSP a-t-il bien</w:t>
            </w:r>
            <w:r>
              <w:rPr>
                <w:rFonts w:asciiTheme="minorHAnsi" w:hAnsiTheme="minorHAnsi" w:cstheme="minorHAnsi"/>
                <w:sz w:val="22"/>
                <w:szCs w:val="22"/>
              </w:rPr>
              <w:t xml:space="preserve"> prévu de suspendre </w:t>
            </w:r>
            <w:r w:rsidRPr="00FD08EF">
              <w:rPr>
                <w:rFonts w:asciiTheme="minorHAnsi" w:hAnsiTheme="minorHAnsi" w:cstheme="minorHAnsi"/>
                <w:sz w:val="22"/>
                <w:szCs w:val="22"/>
              </w:rPr>
              <w:t xml:space="preserve">immédiatement </w:t>
            </w:r>
            <w:r>
              <w:rPr>
                <w:rFonts w:asciiTheme="minorHAnsi" w:hAnsiTheme="minorHAnsi" w:cstheme="minorHAnsi"/>
                <w:sz w:val="22"/>
                <w:szCs w:val="22"/>
              </w:rPr>
              <w:t xml:space="preserve">la mise en œuvre de </w:t>
            </w:r>
            <w:r w:rsidRPr="00FD08EF">
              <w:rPr>
                <w:rFonts w:asciiTheme="minorHAnsi" w:hAnsiTheme="minorHAnsi" w:cstheme="minorHAnsi"/>
                <w:sz w:val="22"/>
                <w:szCs w:val="22"/>
              </w:rPr>
              <w:t xml:space="preserve">la dérogation </w:t>
            </w:r>
            <w:r>
              <w:rPr>
                <w:rFonts w:asciiTheme="minorHAnsi" w:hAnsiTheme="minorHAnsi" w:cstheme="minorHAnsi"/>
                <w:sz w:val="22"/>
                <w:szCs w:val="22"/>
              </w:rPr>
              <w:t>au titre de l’analyse des risques (</w:t>
            </w:r>
            <w:r w:rsidRPr="00FD08EF">
              <w:rPr>
                <w:rFonts w:asciiTheme="minorHAnsi" w:hAnsiTheme="minorHAnsi" w:cstheme="minorHAnsi"/>
                <w:sz w:val="22"/>
                <w:szCs w:val="22"/>
              </w:rPr>
              <w:t>art</w:t>
            </w:r>
            <w:r>
              <w:rPr>
                <w:rFonts w:asciiTheme="minorHAnsi" w:hAnsiTheme="minorHAnsi" w:cstheme="minorHAnsi"/>
                <w:sz w:val="22"/>
                <w:szCs w:val="22"/>
              </w:rPr>
              <w:t>.</w:t>
            </w:r>
            <w:r w:rsidRPr="00FD08EF">
              <w:rPr>
                <w:rFonts w:asciiTheme="minorHAnsi" w:hAnsiTheme="minorHAnsi" w:cstheme="minorHAnsi"/>
                <w:sz w:val="22"/>
                <w:szCs w:val="22"/>
              </w:rPr>
              <w:t xml:space="preserve"> 18</w:t>
            </w:r>
            <w:r>
              <w:rPr>
                <w:rFonts w:asciiTheme="minorHAnsi" w:hAnsiTheme="minorHAnsi" w:cstheme="minorHAnsi"/>
                <w:sz w:val="22"/>
                <w:szCs w:val="22"/>
              </w:rPr>
              <w:t>)</w:t>
            </w:r>
            <w:r w:rsidRPr="00FD08EF">
              <w:rPr>
                <w:rFonts w:asciiTheme="minorHAnsi" w:hAnsiTheme="minorHAnsi" w:cstheme="minorHAnsi"/>
                <w:sz w:val="22"/>
                <w:szCs w:val="22"/>
              </w:rPr>
              <w:t xml:space="preserve"> </w:t>
            </w:r>
            <w:r>
              <w:rPr>
                <w:rFonts w:asciiTheme="minorHAnsi" w:hAnsiTheme="minorHAnsi" w:cstheme="minorHAnsi"/>
                <w:sz w:val="22"/>
                <w:szCs w:val="22"/>
              </w:rPr>
              <w:t>en cas de dépassement du taux maximal autorisé p</w:t>
            </w:r>
            <w:r w:rsidRPr="00FD08EF">
              <w:rPr>
                <w:rFonts w:asciiTheme="minorHAnsi" w:hAnsiTheme="minorHAnsi" w:cstheme="minorHAnsi"/>
                <w:sz w:val="22"/>
                <w:szCs w:val="22"/>
              </w:rPr>
              <w:t>endant deux trimestres consécutifs</w:t>
            </w:r>
            <w:r>
              <w:rPr>
                <w:rFonts w:asciiTheme="minorHAnsi" w:hAnsiTheme="minorHAnsi" w:cstheme="minorHAnsi"/>
                <w:sz w:val="22"/>
                <w:szCs w:val="22"/>
              </w:rPr>
              <w:t> ?</w:t>
            </w:r>
          </w:p>
        </w:tc>
        <w:tc>
          <w:tcPr>
            <w:tcW w:w="1465" w:type="dxa"/>
          </w:tcPr>
          <w:p w:rsidR="009606D4" w:rsidRPr="00CC1AEF" w:rsidRDefault="009606D4" w:rsidP="009973F6">
            <w:pPr>
              <w:jc w:val="center"/>
              <w:rPr>
                <w:rFonts w:asciiTheme="minorHAnsi" w:hAnsiTheme="minorHAnsi" w:cstheme="minorHAnsi"/>
                <w:b/>
                <w:sz w:val="22"/>
                <w:szCs w:val="22"/>
              </w:rPr>
            </w:pPr>
          </w:p>
        </w:tc>
        <w:tc>
          <w:tcPr>
            <w:tcW w:w="6698" w:type="dxa"/>
          </w:tcPr>
          <w:p w:rsidR="009606D4" w:rsidRPr="00CC1AEF" w:rsidRDefault="009606D4">
            <w:pPr>
              <w:jc w:val="left"/>
              <w:rPr>
                <w:rFonts w:asciiTheme="minorHAnsi" w:eastAsia="Calibri" w:hAnsiTheme="minorHAnsi" w:cstheme="minorHAnsi"/>
                <w:b/>
                <w:sz w:val="22"/>
                <w:szCs w:val="22"/>
                <w:lang w:eastAsia="en-US"/>
              </w:rPr>
            </w:pPr>
          </w:p>
        </w:tc>
      </w:tr>
      <w:tr w:rsidR="009606D4" w:rsidRPr="00CC1AEF" w:rsidTr="00683E60">
        <w:tc>
          <w:tcPr>
            <w:tcW w:w="1595" w:type="dxa"/>
            <w:vMerge/>
          </w:tcPr>
          <w:p w:rsidR="009606D4" w:rsidRDefault="009606D4" w:rsidP="009973F6">
            <w:pPr>
              <w:jc w:val="center"/>
              <w:rPr>
                <w:rFonts w:asciiTheme="minorHAnsi" w:hAnsiTheme="minorHAnsi" w:cstheme="minorHAnsi"/>
                <w:b/>
                <w:sz w:val="22"/>
                <w:szCs w:val="22"/>
              </w:rPr>
            </w:pPr>
          </w:p>
        </w:tc>
        <w:tc>
          <w:tcPr>
            <w:tcW w:w="4979" w:type="dxa"/>
          </w:tcPr>
          <w:p w:rsidR="00E71DDB" w:rsidRPr="00F355FF" w:rsidRDefault="009606D4" w:rsidP="00F476A2">
            <w:pPr>
              <w:rPr>
                <w:rFonts w:asciiTheme="minorHAnsi" w:hAnsiTheme="minorHAnsi" w:cstheme="minorHAnsi"/>
                <w:sz w:val="22"/>
                <w:szCs w:val="22"/>
              </w:rPr>
            </w:pPr>
            <w:r>
              <w:rPr>
                <w:rFonts w:asciiTheme="minorHAnsi" w:hAnsiTheme="minorHAnsi" w:cstheme="minorHAnsi"/>
                <w:sz w:val="22"/>
                <w:szCs w:val="22"/>
              </w:rPr>
              <w:t xml:space="preserve">Après la suspension, le PSP a-t-il bien prévu de faire usage à nouveau de la dérogation au titre de l’analyse des risques (art. 18) que lorsque le taux de fraude calculé est resté égal ou inférieur au taux maximal autorisé pendant un trimestre et, dispose-t-il d’une </w:t>
            </w:r>
            <w:r>
              <w:rPr>
                <w:rFonts w:asciiTheme="minorHAnsi" w:hAnsiTheme="minorHAnsi" w:cstheme="minorHAnsi"/>
                <w:sz w:val="22"/>
                <w:szCs w:val="22"/>
              </w:rPr>
              <w:lastRenderedPageBreak/>
              <w:t xml:space="preserve">procédure prévoyant d’en informer dans ce cas la Banque de France en communiquant les éléments attestant que le taux de fraude est redevenu conforme au taux maximal autorisé ? </w:t>
            </w:r>
          </w:p>
        </w:tc>
        <w:tc>
          <w:tcPr>
            <w:tcW w:w="1465" w:type="dxa"/>
          </w:tcPr>
          <w:p w:rsidR="009606D4" w:rsidRPr="00CC1AEF" w:rsidRDefault="009606D4" w:rsidP="009973F6">
            <w:pPr>
              <w:jc w:val="center"/>
              <w:rPr>
                <w:rFonts w:asciiTheme="minorHAnsi" w:hAnsiTheme="minorHAnsi" w:cstheme="minorHAnsi"/>
                <w:b/>
                <w:sz w:val="22"/>
                <w:szCs w:val="22"/>
              </w:rPr>
            </w:pPr>
          </w:p>
        </w:tc>
        <w:tc>
          <w:tcPr>
            <w:tcW w:w="6698" w:type="dxa"/>
          </w:tcPr>
          <w:p w:rsidR="009606D4" w:rsidRPr="00CC1AEF" w:rsidRDefault="009606D4">
            <w:pPr>
              <w:jc w:val="left"/>
              <w:rPr>
                <w:rFonts w:asciiTheme="minorHAnsi" w:eastAsia="Calibri" w:hAnsiTheme="minorHAnsi" w:cstheme="minorHAnsi"/>
                <w:b/>
                <w:sz w:val="22"/>
                <w:szCs w:val="22"/>
                <w:lang w:eastAsia="en-US"/>
              </w:rPr>
            </w:pPr>
          </w:p>
        </w:tc>
      </w:tr>
      <w:tr w:rsidR="00277210" w:rsidRPr="00CC1AEF" w:rsidTr="00277210">
        <w:tc>
          <w:tcPr>
            <w:tcW w:w="14737" w:type="dxa"/>
            <w:gridSpan w:val="4"/>
            <w:shd w:val="clear" w:color="auto" w:fill="FBD4B4" w:themeFill="accent6" w:themeFillTint="66"/>
          </w:tcPr>
          <w:p w:rsidR="00277210" w:rsidRPr="00CC1AEF" w:rsidRDefault="00277210">
            <w:pPr>
              <w:jc w:val="left"/>
              <w:rPr>
                <w:rFonts w:asciiTheme="minorHAnsi" w:eastAsia="Calibri" w:hAnsiTheme="minorHAnsi" w:cstheme="minorHAnsi"/>
                <w:b/>
                <w:sz w:val="22"/>
                <w:szCs w:val="22"/>
                <w:lang w:eastAsia="en-US"/>
              </w:rPr>
            </w:pPr>
            <w:r w:rsidRPr="00277210">
              <w:rPr>
                <w:rFonts w:asciiTheme="minorHAnsi" w:eastAsia="Calibri" w:hAnsiTheme="minorHAnsi" w:cstheme="minorHAnsi"/>
                <w:b/>
                <w:szCs w:val="24"/>
                <w:lang w:eastAsia="en-US"/>
              </w:rPr>
              <w:t>Contrôle</w:t>
            </w:r>
          </w:p>
        </w:tc>
      </w:tr>
      <w:tr w:rsidR="00277210" w:rsidRPr="00CC1AEF" w:rsidTr="00683E60">
        <w:tc>
          <w:tcPr>
            <w:tcW w:w="1595" w:type="dxa"/>
          </w:tcPr>
          <w:p w:rsidR="00277210" w:rsidRDefault="00277210" w:rsidP="009973F6">
            <w:pPr>
              <w:jc w:val="center"/>
              <w:rPr>
                <w:rFonts w:asciiTheme="minorHAnsi" w:hAnsiTheme="minorHAnsi" w:cstheme="minorHAnsi"/>
                <w:b/>
                <w:sz w:val="22"/>
                <w:szCs w:val="22"/>
              </w:rPr>
            </w:pPr>
            <w:r>
              <w:rPr>
                <w:rFonts w:asciiTheme="minorHAnsi" w:hAnsiTheme="minorHAnsi" w:cstheme="minorHAnsi"/>
                <w:b/>
                <w:sz w:val="22"/>
                <w:szCs w:val="22"/>
              </w:rPr>
              <w:t>21</w:t>
            </w:r>
          </w:p>
        </w:tc>
        <w:tc>
          <w:tcPr>
            <w:tcW w:w="4979" w:type="dxa"/>
          </w:tcPr>
          <w:p w:rsidR="00277210" w:rsidRDefault="0007431B" w:rsidP="0007431B">
            <w:pPr>
              <w:rPr>
                <w:rFonts w:asciiTheme="minorHAnsi" w:hAnsiTheme="minorHAnsi" w:cstheme="minorHAnsi"/>
                <w:sz w:val="22"/>
                <w:szCs w:val="22"/>
              </w:rPr>
            </w:pPr>
            <w:r>
              <w:rPr>
                <w:rFonts w:asciiTheme="minorHAnsi" w:hAnsiTheme="minorHAnsi" w:cstheme="minorHAnsi"/>
                <w:sz w:val="22"/>
                <w:szCs w:val="22"/>
              </w:rPr>
              <w:t>En cas d’usage des dérogations à l’authentification forte (art. 10 à 18), l</w:t>
            </w:r>
            <w:r w:rsidR="00C843F6">
              <w:rPr>
                <w:rFonts w:asciiTheme="minorHAnsi" w:hAnsiTheme="minorHAnsi" w:cstheme="minorHAnsi"/>
                <w:sz w:val="22"/>
                <w:szCs w:val="22"/>
              </w:rPr>
              <w:t xml:space="preserve">e PSP a-t-il mis en place un dispositif pour </w:t>
            </w:r>
            <w:r>
              <w:rPr>
                <w:rFonts w:asciiTheme="minorHAnsi" w:hAnsiTheme="minorHAnsi" w:cstheme="minorHAnsi"/>
                <w:sz w:val="22"/>
                <w:szCs w:val="22"/>
              </w:rPr>
              <w:t>enregistrer et contrôler, pour chaque type d’opérations de paiement et sur une base au moins trimestrielle, les données listées ci-après ?</w:t>
            </w:r>
          </w:p>
          <w:p w:rsidR="0050160F" w:rsidRDefault="0050160F" w:rsidP="0050160F">
            <w:pPr>
              <w:pStyle w:val="Paragraphedeliste"/>
              <w:numPr>
                <w:ilvl w:val="0"/>
                <w:numId w:val="119"/>
              </w:numPr>
              <w:rPr>
                <w:rFonts w:asciiTheme="minorHAnsi" w:hAnsiTheme="minorHAnsi" w:cstheme="minorHAnsi"/>
                <w:szCs w:val="22"/>
              </w:rPr>
            </w:pPr>
            <w:r w:rsidRPr="0050160F">
              <w:rPr>
                <w:rFonts w:asciiTheme="minorHAnsi" w:hAnsiTheme="minorHAnsi" w:cstheme="minorHAnsi"/>
                <w:szCs w:val="22"/>
              </w:rPr>
              <w:t>la valeur totale des opérations de paiement non autorisées ou frauduleuses, la valeur totale de l'ensemble des opérations de paiement et le taux de fraude qui en découle, comprenant une ventilation par opérations de paiement initiées grâce à l'authentification forte du client et au titre de chacune des dérogations</w:t>
            </w:r>
            <w:r>
              <w:rPr>
                <w:rFonts w:asciiTheme="minorHAnsi" w:hAnsiTheme="minorHAnsi" w:cstheme="minorHAnsi"/>
                <w:szCs w:val="22"/>
              </w:rPr>
              <w:t xml:space="preserve"> </w:t>
            </w:r>
            <w:r w:rsidRPr="0050160F">
              <w:rPr>
                <w:rFonts w:asciiTheme="minorHAnsi" w:hAnsiTheme="minorHAnsi" w:cstheme="minorHAnsi"/>
                <w:szCs w:val="22"/>
              </w:rPr>
              <w:t>;</w:t>
            </w:r>
          </w:p>
          <w:p w:rsidR="0050160F" w:rsidRDefault="0050160F" w:rsidP="0050160F">
            <w:pPr>
              <w:pStyle w:val="Paragraphedeliste"/>
              <w:numPr>
                <w:ilvl w:val="0"/>
                <w:numId w:val="119"/>
              </w:numPr>
              <w:rPr>
                <w:rFonts w:asciiTheme="minorHAnsi" w:hAnsiTheme="minorHAnsi" w:cstheme="minorHAnsi"/>
                <w:szCs w:val="22"/>
              </w:rPr>
            </w:pPr>
            <w:r w:rsidRPr="0050160F">
              <w:rPr>
                <w:rFonts w:asciiTheme="minorHAnsi" w:hAnsiTheme="minorHAnsi" w:cstheme="minorHAnsi"/>
                <w:szCs w:val="22"/>
              </w:rPr>
              <w:t>la valeur moyenne des opérations, comprenant une ventilation par opérations de paiement initiées grâce à l'authentification forte du client et au titre de chacune des dérogations</w:t>
            </w:r>
            <w:r>
              <w:rPr>
                <w:rFonts w:asciiTheme="minorHAnsi" w:hAnsiTheme="minorHAnsi" w:cstheme="minorHAnsi"/>
                <w:szCs w:val="22"/>
              </w:rPr>
              <w:t xml:space="preserve"> </w:t>
            </w:r>
            <w:r w:rsidRPr="0050160F">
              <w:rPr>
                <w:rFonts w:asciiTheme="minorHAnsi" w:hAnsiTheme="minorHAnsi" w:cstheme="minorHAnsi"/>
                <w:szCs w:val="22"/>
              </w:rPr>
              <w:t>;</w:t>
            </w:r>
          </w:p>
          <w:p w:rsidR="00E71DDB" w:rsidRPr="00F355FF" w:rsidRDefault="0050160F" w:rsidP="00F355FF">
            <w:pPr>
              <w:pStyle w:val="Paragraphedeliste"/>
              <w:numPr>
                <w:ilvl w:val="0"/>
                <w:numId w:val="119"/>
              </w:numPr>
              <w:rPr>
                <w:rFonts w:asciiTheme="minorHAnsi" w:hAnsiTheme="minorHAnsi" w:cstheme="minorHAnsi"/>
                <w:szCs w:val="22"/>
              </w:rPr>
            </w:pPr>
            <w:r w:rsidRPr="0050160F">
              <w:rPr>
                <w:rFonts w:asciiTheme="minorHAnsi" w:hAnsiTheme="minorHAnsi" w:cstheme="minorHAnsi"/>
                <w:szCs w:val="22"/>
              </w:rPr>
              <w:t>le nombre d'opérations de paiement pour lesquelles chacune des dérogations a été appliquée et le pourcentage qu'elles représentent par rapport au nombre total d'opérations de paiement.</w:t>
            </w:r>
          </w:p>
        </w:tc>
        <w:tc>
          <w:tcPr>
            <w:tcW w:w="1465" w:type="dxa"/>
          </w:tcPr>
          <w:p w:rsidR="00277210" w:rsidRPr="00CC1AEF" w:rsidRDefault="00277210" w:rsidP="009973F6">
            <w:pPr>
              <w:jc w:val="center"/>
              <w:rPr>
                <w:rFonts w:asciiTheme="minorHAnsi" w:hAnsiTheme="minorHAnsi" w:cstheme="minorHAnsi"/>
                <w:b/>
                <w:sz w:val="22"/>
                <w:szCs w:val="22"/>
              </w:rPr>
            </w:pPr>
          </w:p>
        </w:tc>
        <w:tc>
          <w:tcPr>
            <w:tcW w:w="6698" w:type="dxa"/>
          </w:tcPr>
          <w:p w:rsidR="00277210" w:rsidRPr="00CC1AEF" w:rsidRDefault="00277210">
            <w:pPr>
              <w:jc w:val="left"/>
              <w:rPr>
                <w:rFonts w:asciiTheme="minorHAnsi" w:eastAsia="Calibri" w:hAnsiTheme="minorHAnsi" w:cstheme="minorHAnsi"/>
                <w:b/>
                <w:sz w:val="22"/>
                <w:szCs w:val="22"/>
                <w:lang w:eastAsia="en-US"/>
              </w:rPr>
            </w:pPr>
          </w:p>
        </w:tc>
      </w:tr>
      <w:tr w:rsidR="003B1156" w:rsidRPr="005E52C6" w:rsidTr="003C4D7C">
        <w:tc>
          <w:tcPr>
            <w:tcW w:w="14737" w:type="dxa"/>
            <w:gridSpan w:val="4"/>
            <w:shd w:val="clear" w:color="auto" w:fill="B8CCE4" w:themeFill="accent1" w:themeFillTint="66"/>
          </w:tcPr>
          <w:p w:rsidR="003B1156" w:rsidRPr="005E52C6" w:rsidRDefault="003B1156">
            <w:pPr>
              <w:jc w:val="left"/>
              <w:rPr>
                <w:rFonts w:asciiTheme="minorHAnsi" w:eastAsia="Calibri" w:hAnsiTheme="minorHAnsi" w:cstheme="minorHAnsi"/>
                <w:b/>
                <w:szCs w:val="24"/>
                <w:lang w:eastAsia="en-US"/>
              </w:rPr>
            </w:pPr>
            <w:r w:rsidRPr="005E52C6">
              <w:rPr>
                <w:rFonts w:asciiTheme="minorHAnsi" w:eastAsia="Calibri" w:hAnsiTheme="minorHAnsi" w:cstheme="minorHAnsi"/>
                <w:b/>
                <w:szCs w:val="24"/>
                <w:lang w:eastAsia="en-US"/>
              </w:rPr>
              <w:t>CONFIDENTIALITÉ ET INTÉGRITÉ DES DONNÉES DE SÉCURITÉ PERSONNALISÉES DES UTILISATEURS DE SERVICES DE PAIEMENT</w:t>
            </w:r>
          </w:p>
        </w:tc>
      </w:tr>
      <w:tr w:rsidR="003B1156" w:rsidRPr="005E52C6" w:rsidTr="00D32383">
        <w:tc>
          <w:tcPr>
            <w:tcW w:w="14737" w:type="dxa"/>
            <w:gridSpan w:val="4"/>
            <w:shd w:val="clear" w:color="auto" w:fill="FBD4B4" w:themeFill="accent6" w:themeFillTint="66"/>
          </w:tcPr>
          <w:p w:rsidR="003B1156" w:rsidRPr="005E52C6" w:rsidRDefault="003B1156">
            <w:pPr>
              <w:jc w:val="left"/>
              <w:rPr>
                <w:rFonts w:asciiTheme="minorHAnsi" w:eastAsia="Calibri" w:hAnsiTheme="minorHAnsi" w:cstheme="minorHAnsi"/>
                <w:b/>
                <w:szCs w:val="24"/>
                <w:lang w:eastAsia="en-US"/>
              </w:rPr>
            </w:pPr>
            <w:r w:rsidRPr="005E52C6">
              <w:rPr>
                <w:rFonts w:asciiTheme="minorHAnsi" w:eastAsia="Calibri" w:hAnsiTheme="minorHAnsi" w:cstheme="minorHAnsi"/>
                <w:b/>
                <w:szCs w:val="24"/>
                <w:lang w:eastAsia="en-US"/>
              </w:rPr>
              <w:t>Exigences générales</w:t>
            </w:r>
          </w:p>
        </w:tc>
      </w:tr>
      <w:tr w:rsidR="00916E92" w:rsidRPr="00CC1AEF" w:rsidTr="00683E60">
        <w:tc>
          <w:tcPr>
            <w:tcW w:w="1595" w:type="dxa"/>
            <w:vMerge w:val="restart"/>
          </w:tcPr>
          <w:p w:rsidR="00916E92" w:rsidRPr="00CC1AEF" w:rsidRDefault="00916E92" w:rsidP="009973F6">
            <w:pPr>
              <w:jc w:val="center"/>
              <w:rPr>
                <w:rFonts w:asciiTheme="minorHAnsi" w:hAnsiTheme="minorHAnsi" w:cstheme="minorHAnsi"/>
                <w:b/>
                <w:sz w:val="22"/>
                <w:szCs w:val="22"/>
              </w:rPr>
            </w:pPr>
            <w:r w:rsidRPr="00CC1AEF">
              <w:rPr>
                <w:rFonts w:asciiTheme="minorHAnsi" w:hAnsiTheme="minorHAnsi" w:cstheme="minorHAnsi"/>
                <w:b/>
                <w:sz w:val="22"/>
                <w:szCs w:val="22"/>
              </w:rPr>
              <w:t>22</w:t>
            </w:r>
          </w:p>
        </w:tc>
        <w:tc>
          <w:tcPr>
            <w:tcW w:w="4979" w:type="dxa"/>
          </w:tcPr>
          <w:p w:rsidR="00916E92" w:rsidRPr="00CC1AEF" w:rsidRDefault="00916E92" w:rsidP="003B1156">
            <w:pPr>
              <w:rPr>
                <w:rFonts w:asciiTheme="minorHAnsi" w:hAnsiTheme="minorHAnsi" w:cstheme="minorHAnsi"/>
                <w:sz w:val="22"/>
                <w:szCs w:val="22"/>
              </w:rPr>
            </w:pPr>
            <w:r w:rsidRPr="00CC1AEF">
              <w:rPr>
                <w:rFonts w:asciiTheme="minorHAnsi" w:hAnsiTheme="minorHAnsi" w:cstheme="minorHAnsi"/>
                <w:sz w:val="22"/>
                <w:szCs w:val="22"/>
              </w:rPr>
              <w:t>Le PSP veille-t-il à la confidentialité et à l'intégrité des données de sécurité personnalisées de l'utilisateur de services de paiement, notamment des codes d'authentification, durant l'ensemble des phases de l'authentification en respectant les exigences listées ci-après ?</w:t>
            </w:r>
          </w:p>
          <w:p w:rsidR="00916E92" w:rsidRPr="00CC1AEF" w:rsidRDefault="00916E92" w:rsidP="00916E92">
            <w:pPr>
              <w:pStyle w:val="Paragraphedeliste"/>
              <w:numPr>
                <w:ilvl w:val="0"/>
                <w:numId w:val="119"/>
              </w:numPr>
              <w:rPr>
                <w:rFonts w:asciiTheme="minorHAnsi" w:hAnsiTheme="minorHAnsi" w:cstheme="minorHAnsi"/>
                <w:szCs w:val="22"/>
              </w:rPr>
            </w:pPr>
            <w:r w:rsidRPr="00CC1AEF">
              <w:rPr>
                <w:rFonts w:asciiTheme="minorHAnsi" w:hAnsiTheme="minorHAnsi" w:cstheme="minorHAnsi"/>
                <w:szCs w:val="22"/>
              </w:rPr>
              <w:lastRenderedPageBreak/>
              <w:t>les données de sécurité personnalisées sont masquées lorsqu'elles sont affichées et ne sont pas lisibles dans leur intégralité lorsqu'elles sont entrées par l'utilisateur de services de paiement durant l'authentification ;</w:t>
            </w:r>
          </w:p>
          <w:p w:rsidR="00916E92" w:rsidRPr="00CC1AEF" w:rsidRDefault="00916E92" w:rsidP="00916E92">
            <w:pPr>
              <w:pStyle w:val="Paragraphedeliste"/>
              <w:numPr>
                <w:ilvl w:val="0"/>
                <w:numId w:val="119"/>
              </w:numPr>
              <w:rPr>
                <w:rFonts w:asciiTheme="minorHAnsi" w:hAnsiTheme="minorHAnsi" w:cstheme="minorHAnsi"/>
                <w:szCs w:val="22"/>
              </w:rPr>
            </w:pPr>
            <w:r w:rsidRPr="00CC1AEF">
              <w:rPr>
                <w:rFonts w:asciiTheme="minorHAnsi" w:hAnsiTheme="minorHAnsi" w:cstheme="minorHAnsi"/>
                <w:szCs w:val="22"/>
              </w:rPr>
              <w:t xml:space="preserve">les données de sécurité personnalisées en format de données ainsi que le matériel cryptographique lié au cryptage des données de sécurité personnalisées ne sont pas conservés en texte clair ;  </w:t>
            </w:r>
          </w:p>
          <w:p w:rsidR="00916E92" w:rsidRPr="00A85C3C" w:rsidRDefault="00916E92" w:rsidP="00A85C3C">
            <w:pPr>
              <w:pStyle w:val="Paragraphedeliste"/>
              <w:numPr>
                <w:ilvl w:val="0"/>
                <w:numId w:val="119"/>
              </w:numPr>
              <w:rPr>
                <w:rFonts w:asciiTheme="minorHAnsi" w:hAnsiTheme="minorHAnsi" w:cstheme="minorHAnsi"/>
                <w:sz w:val="16"/>
                <w:szCs w:val="16"/>
              </w:rPr>
            </w:pPr>
            <w:r w:rsidRPr="00CC1AEF">
              <w:rPr>
                <w:rFonts w:asciiTheme="minorHAnsi" w:hAnsiTheme="minorHAnsi" w:cstheme="minorHAnsi"/>
                <w:szCs w:val="22"/>
              </w:rPr>
              <w:t>le matériel cryptographique secret est protégé de toute divulgation non autorisée.</w:t>
            </w:r>
          </w:p>
        </w:tc>
        <w:tc>
          <w:tcPr>
            <w:tcW w:w="1465" w:type="dxa"/>
          </w:tcPr>
          <w:p w:rsidR="00916E92" w:rsidRPr="00CC1AEF" w:rsidRDefault="00916E92" w:rsidP="009973F6">
            <w:pPr>
              <w:jc w:val="center"/>
              <w:rPr>
                <w:rFonts w:asciiTheme="minorHAnsi" w:hAnsiTheme="minorHAnsi" w:cstheme="minorHAnsi"/>
                <w:b/>
                <w:sz w:val="22"/>
                <w:szCs w:val="22"/>
              </w:rPr>
            </w:pPr>
          </w:p>
        </w:tc>
        <w:tc>
          <w:tcPr>
            <w:tcW w:w="6698" w:type="dxa"/>
          </w:tcPr>
          <w:p w:rsidR="00916E92" w:rsidRPr="00CC1AEF" w:rsidRDefault="00916E92">
            <w:pPr>
              <w:jc w:val="left"/>
              <w:rPr>
                <w:rFonts w:asciiTheme="minorHAnsi" w:eastAsia="Calibri" w:hAnsiTheme="minorHAnsi" w:cstheme="minorHAnsi"/>
                <w:b/>
                <w:sz w:val="22"/>
                <w:szCs w:val="22"/>
                <w:lang w:eastAsia="en-US"/>
              </w:rPr>
            </w:pPr>
          </w:p>
        </w:tc>
      </w:tr>
      <w:tr w:rsidR="00916E92" w:rsidRPr="00CC1AEF" w:rsidTr="00683E60">
        <w:tc>
          <w:tcPr>
            <w:tcW w:w="1595" w:type="dxa"/>
            <w:vMerge/>
          </w:tcPr>
          <w:p w:rsidR="00916E92" w:rsidRPr="00CC1AEF" w:rsidRDefault="00916E92" w:rsidP="009973F6">
            <w:pPr>
              <w:jc w:val="center"/>
              <w:rPr>
                <w:rFonts w:asciiTheme="minorHAnsi" w:hAnsiTheme="minorHAnsi" w:cstheme="minorHAnsi"/>
                <w:b/>
                <w:sz w:val="22"/>
                <w:szCs w:val="22"/>
              </w:rPr>
            </w:pPr>
          </w:p>
        </w:tc>
        <w:tc>
          <w:tcPr>
            <w:tcW w:w="4979" w:type="dxa"/>
          </w:tcPr>
          <w:p w:rsidR="00916E92" w:rsidRPr="00CC1AEF" w:rsidRDefault="00916E92" w:rsidP="00916E92">
            <w:pPr>
              <w:rPr>
                <w:rFonts w:asciiTheme="minorHAnsi" w:hAnsiTheme="minorHAnsi" w:cstheme="minorHAnsi"/>
                <w:sz w:val="22"/>
                <w:szCs w:val="22"/>
              </w:rPr>
            </w:pPr>
            <w:r w:rsidRPr="00CC1AEF">
              <w:rPr>
                <w:rFonts w:asciiTheme="minorHAnsi" w:hAnsiTheme="minorHAnsi" w:cstheme="minorHAnsi"/>
                <w:sz w:val="22"/>
                <w:szCs w:val="22"/>
              </w:rPr>
              <w:t>Le PSP consigne-t-il intégralement par écrit le processus de gestion du matériel cryptographique utilisé pour crypter ou rendre illisibles d'une autre manière les données de sécurité personnalisées ?</w:t>
            </w:r>
          </w:p>
        </w:tc>
        <w:tc>
          <w:tcPr>
            <w:tcW w:w="1465" w:type="dxa"/>
          </w:tcPr>
          <w:p w:rsidR="00916E92" w:rsidRPr="00CC1AEF" w:rsidRDefault="00916E92" w:rsidP="009973F6">
            <w:pPr>
              <w:jc w:val="center"/>
              <w:rPr>
                <w:rFonts w:asciiTheme="minorHAnsi" w:hAnsiTheme="minorHAnsi" w:cstheme="minorHAnsi"/>
                <w:b/>
                <w:sz w:val="22"/>
                <w:szCs w:val="22"/>
              </w:rPr>
            </w:pPr>
          </w:p>
        </w:tc>
        <w:tc>
          <w:tcPr>
            <w:tcW w:w="6698" w:type="dxa"/>
          </w:tcPr>
          <w:p w:rsidR="00916E92" w:rsidRPr="00CC1AEF" w:rsidRDefault="00916E92">
            <w:pPr>
              <w:jc w:val="left"/>
              <w:rPr>
                <w:rFonts w:asciiTheme="minorHAnsi" w:eastAsia="Calibri" w:hAnsiTheme="minorHAnsi" w:cstheme="minorHAnsi"/>
                <w:b/>
                <w:sz w:val="22"/>
                <w:szCs w:val="22"/>
                <w:lang w:eastAsia="en-US"/>
              </w:rPr>
            </w:pPr>
          </w:p>
        </w:tc>
      </w:tr>
      <w:tr w:rsidR="00916E92" w:rsidRPr="00CC1AEF" w:rsidTr="00683E60">
        <w:tc>
          <w:tcPr>
            <w:tcW w:w="1595" w:type="dxa"/>
            <w:vMerge/>
          </w:tcPr>
          <w:p w:rsidR="00916E92" w:rsidRPr="00CC1AEF" w:rsidRDefault="00916E92" w:rsidP="009973F6">
            <w:pPr>
              <w:jc w:val="center"/>
              <w:rPr>
                <w:rFonts w:asciiTheme="minorHAnsi" w:hAnsiTheme="minorHAnsi" w:cstheme="minorHAnsi"/>
                <w:b/>
                <w:sz w:val="22"/>
                <w:szCs w:val="22"/>
              </w:rPr>
            </w:pPr>
          </w:p>
        </w:tc>
        <w:tc>
          <w:tcPr>
            <w:tcW w:w="4979" w:type="dxa"/>
          </w:tcPr>
          <w:p w:rsidR="00916E92" w:rsidRPr="00CC1AEF" w:rsidRDefault="00916E92" w:rsidP="00916E92">
            <w:pPr>
              <w:rPr>
                <w:rFonts w:asciiTheme="minorHAnsi" w:hAnsiTheme="minorHAnsi" w:cstheme="minorHAnsi"/>
                <w:sz w:val="22"/>
                <w:szCs w:val="22"/>
              </w:rPr>
            </w:pPr>
            <w:r w:rsidRPr="00CC1AEF">
              <w:rPr>
                <w:rFonts w:asciiTheme="minorHAnsi" w:hAnsiTheme="minorHAnsi" w:cstheme="minorHAnsi"/>
                <w:sz w:val="22"/>
                <w:szCs w:val="22"/>
              </w:rPr>
              <w:t>Le PSP veille-t-il à ce que le traitement et le routage des données de sécurité personnalisées et des codes d'authentification aient lieu dans des environnements sécurisés suivant des normes sectorielles rigoureuses et largement reconnues ?</w:t>
            </w:r>
          </w:p>
        </w:tc>
        <w:tc>
          <w:tcPr>
            <w:tcW w:w="1465" w:type="dxa"/>
          </w:tcPr>
          <w:p w:rsidR="00916E92" w:rsidRPr="00CC1AEF" w:rsidRDefault="00916E92" w:rsidP="009973F6">
            <w:pPr>
              <w:jc w:val="center"/>
              <w:rPr>
                <w:rFonts w:asciiTheme="minorHAnsi" w:hAnsiTheme="minorHAnsi" w:cstheme="minorHAnsi"/>
                <w:b/>
                <w:sz w:val="22"/>
                <w:szCs w:val="22"/>
              </w:rPr>
            </w:pPr>
          </w:p>
        </w:tc>
        <w:tc>
          <w:tcPr>
            <w:tcW w:w="6698" w:type="dxa"/>
          </w:tcPr>
          <w:p w:rsidR="00916E92" w:rsidRPr="00CC1AEF" w:rsidRDefault="00916E92">
            <w:pPr>
              <w:jc w:val="left"/>
              <w:rPr>
                <w:rFonts w:asciiTheme="minorHAnsi" w:eastAsia="Calibri" w:hAnsiTheme="minorHAnsi" w:cstheme="minorHAnsi"/>
                <w:b/>
                <w:sz w:val="22"/>
                <w:szCs w:val="22"/>
                <w:lang w:eastAsia="en-US"/>
              </w:rPr>
            </w:pPr>
          </w:p>
        </w:tc>
      </w:tr>
      <w:tr w:rsidR="00A4317D" w:rsidRPr="00CC1AEF" w:rsidTr="00D32383">
        <w:tc>
          <w:tcPr>
            <w:tcW w:w="14737" w:type="dxa"/>
            <w:gridSpan w:val="4"/>
            <w:shd w:val="clear" w:color="auto" w:fill="FBD4B4" w:themeFill="accent6" w:themeFillTint="66"/>
          </w:tcPr>
          <w:p w:rsidR="00A4317D" w:rsidRPr="00CC1AEF" w:rsidRDefault="00A4317D">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Création et transmission des données</w:t>
            </w:r>
          </w:p>
        </w:tc>
      </w:tr>
      <w:tr w:rsidR="00715D1A" w:rsidRPr="00CC1AEF" w:rsidTr="00683E60">
        <w:tc>
          <w:tcPr>
            <w:tcW w:w="1595" w:type="dxa"/>
            <w:vMerge w:val="restart"/>
          </w:tcPr>
          <w:p w:rsidR="00715D1A" w:rsidRPr="00CC1AEF" w:rsidRDefault="00715D1A" w:rsidP="009973F6">
            <w:pPr>
              <w:jc w:val="center"/>
              <w:rPr>
                <w:rFonts w:asciiTheme="minorHAnsi" w:hAnsiTheme="minorHAnsi" w:cstheme="minorHAnsi"/>
                <w:b/>
                <w:sz w:val="22"/>
                <w:szCs w:val="22"/>
              </w:rPr>
            </w:pPr>
            <w:r w:rsidRPr="00CC1AEF">
              <w:rPr>
                <w:rFonts w:asciiTheme="minorHAnsi" w:hAnsiTheme="minorHAnsi" w:cstheme="minorHAnsi"/>
                <w:b/>
                <w:sz w:val="22"/>
                <w:szCs w:val="22"/>
              </w:rPr>
              <w:t>23</w:t>
            </w:r>
          </w:p>
        </w:tc>
        <w:tc>
          <w:tcPr>
            <w:tcW w:w="4979" w:type="dxa"/>
          </w:tcPr>
          <w:p w:rsidR="00390721" w:rsidRPr="00CC1AEF" w:rsidRDefault="00715D1A" w:rsidP="00715D1A">
            <w:pPr>
              <w:rPr>
                <w:rFonts w:asciiTheme="minorHAnsi" w:hAnsiTheme="minorHAnsi" w:cstheme="minorHAnsi"/>
                <w:sz w:val="22"/>
                <w:szCs w:val="22"/>
              </w:rPr>
            </w:pPr>
            <w:r w:rsidRPr="00CC1AEF">
              <w:rPr>
                <w:rFonts w:asciiTheme="minorHAnsi" w:hAnsiTheme="minorHAnsi" w:cstheme="minorHAnsi"/>
                <w:sz w:val="22"/>
                <w:szCs w:val="22"/>
              </w:rPr>
              <w:t xml:space="preserve">Le PSP veille-t-il à ce que la création des données de sécurité personnalisées ait lieu dans un environnement sécurisé ? </w:t>
            </w:r>
          </w:p>
        </w:tc>
        <w:tc>
          <w:tcPr>
            <w:tcW w:w="1465" w:type="dxa"/>
          </w:tcPr>
          <w:p w:rsidR="00715D1A" w:rsidRPr="00CC1AEF" w:rsidRDefault="00715D1A" w:rsidP="009973F6">
            <w:pPr>
              <w:jc w:val="center"/>
              <w:rPr>
                <w:rFonts w:asciiTheme="minorHAnsi" w:hAnsiTheme="minorHAnsi" w:cstheme="minorHAnsi"/>
                <w:b/>
                <w:sz w:val="22"/>
                <w:szCs w:val="22"/>
              </w:rPr>
            </w:pPr>
          </w:p>
        </w:tc>
        <w:tc>
          <w:tcPr>
            <w:tcW w:w="6698" w:type="dxa"/>
          </w:tcPr>
          <w:p w:rsidR="00715D1A" w:rsidRPr="00CC1AEF" w:rsidRDefault="00715D1A">
            <w:pPr>
              <w:jc w:val="left"/>
              <w:rPr>
                <w:rFonts w:asciiTheme="minorHAnsi" w:eastAsia="Calibri" w:hAnsiTheme="minorHAnsi" w:cstheme="minorHAnsi"/>
                <w:b/>
                <w:sz w:val="22"/>
                <w:szCs w:val="22"/>
                <w:lang w:eastAsia="en-US"/>
              </w:rPr>
            </w:pPr>
          </w:p>
        </w:tc>
      </w:tr>
      <w:tr w:rsidR="00715D1A" w:rsidRPr="00CC1AEF" w:rsidTr="00683E60">
        <w:tc>
          <w:tcPr>
            <w:tcW w:w="1595" w:type="dxa"/>
            <w:vMerge/>
          </w:tcPr>
          <w:p w:rsidR="00715D1A" w:rsidRPr="00CC1AEF" w:rsidRDefault="00715D1A" w:rsidP="009973F6">
            <w:pPr>
              <w:jc w:val="center"/>
              <w:rPr>
                <w:rFonts w:asciiTheme="minorHAnsi" w:hAnsiTheme="minorHAnsi" w:cstheme="minorHAnsi"/>
                <w:b/>
                <w:sz w:val="22"/>
                <w:szCs w:val="22"/>
              </w:rPr>
            </w:pPr>
          </w:p>
        </w:tc>
        <w:tc>
          <w:tcPr>
            <w:tcW w:w="4979" w:type="dxa"/>
          </w:tcPr>
          <w:p w:rsidR="00390721" w:rsidRPr="00CC1AEF" w:rsidRDefault="00715D1A" w:rsidP="00715D1A">
            <w:pPr>
              <w:rPr>
                <w:rFonts w:asciiTheme="minorHAnsi" w:hAnsiTheme="minorHAnsi" w:cstheme="minorHAnsi"/>
                <w:sz w:val="22"/>
                <w:szCs w:val="22"/>
              </w:rPr>
            </w:pPr>
            <w:r w:rsidRPr="00CC1AEF">
              <w:rPr>
                <w:rFonts w:asciiTheme="minorHAnsi" w:hAnsiTheme="minorHAnsi" w:cstheme="minorHAnsi"/>
                <w:sz w:val="22"/>
                <w:szCs w:val="22"/>
              </w:rPr>
              <w:t>Les risques d'utilisation non autorisée des données de sécurité personnalisées ainsi que des dispositifs et du logiciel d'authentification à la suite de leur perte, vol ou copie avant leur livraison au payeur sont-ils bien maitrisés ?</w:t>
            </w:r>
          </w:p>
        </w:tc>
        <w:tc>
          <w:tcPr>
            <w:tcW w:w="1465" w:type="dxa"/>
          </w:tcPr>
          <w:p w:rsidR="00715D1A" w:rsidRPr="00CC1AEF" w:rsidRDefault="00715D1A" w:rsidP="009973F6">
            <w:pPr>
              <w:jc w:val="center"/>
              <w:rPr>
                <w:rFonts w:asciiTheme="minorHAnsi" w:hAnsiTheme="minorHAnsi" w:cstheme="minorHAnsi"/>
                <w:b/>
                <w:sz w:val="22"/>
                <w:szCs w:val="22"/>
              </w:rPr>
            </w:pPr>
          </w:p>
        </w:tc>
        <w:tc>
          <w:tcPr>
            <w:tcW w:w="6698" w:type="dxa"/>
          </w:tcPr>
          <w:p w:rsidR="00715D1A" w:rsidRPr="00CC1AEF" w:rsidRDefault="00715D1A">
            <w:pPr>
              <w:jc w:val="left"/>
              <w:rPr>
                <w:rFonts w:asciiTheme="minorHAnsi" w:eastAsia="Calibri" w:hAnsiTheme="minorHAnsi" w:cstheme="minorHAnsi"/>
                <w:b/>
                <w:sz w:val="22"/>
                <w:szCs w:val="22"/>
                <w:lang w:eastAsia="en-US"/>
              </w:rPr>
            </w:pPr>
          </w:p>
        </w:tc>
      </w:tr>
      <w:tr w:rsidR="00715D1A" w:rsidRPr="00CC1AEF" w:rsidTr="00D32383">
        <w:tc>
          <w:tcPr>
            <w:tcW w:w="14737" w:type="dxa"/>
            <w:gridSpan w:val="4"/>
            <w:shd w:val="clear" w:color="auto" w:fill="FBD4B4" w:themeFill="accent6" w:themeFillTint="66"/>
          </w:tcPr>
          <w:p w:rsidR="00715D1A" w:rsidRPr="00CC1AEF" w:rsidRDefault="00715D1A">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Association avec l'utilisateur de services de paiement</w:t>
            </w:r>
          </w:p>
        </w:tc>
      </w:tr>
      <w:tr w:rsidR="006028DC" w:rsidRPr="00CC1AEF" w:rsidTr="00683E60">
        <w:tc>
          <w:tcPr>
            <w:tcW w:w="1595" w:type="dxa"/>
          </w:tcPr>
          <w:p w:rsidR="006028DC" w:rsidRPr="00CC1AEF" w:rsidRDefault="00715D1A" w:rsidP="009973F6">
            <w:pPr>
              <w:jc w:val="center"/>
              <w:rPr>
                <w:rFonts w:asciiTheme="minorHAnsi" w:hAnsiTheme="minorHAnsi" w:cstheme="minorHAnsi"/>
                <w:b/>
                <w:sz w:val="22"/>
                <w:szCs w:val="22"/>
              </w:rPr>
            </w:pPr>
            <w:r w:rsidRPr="00CC1AEF">
              <w:rPr>
                <w:rFonts w:asciiTheme="minorHAnsi" w:hAnsiTheme="minorHAnsi" w:cstheme="minorHAnsi"/>
                <w:b/>
                <w:sz w:val="22"/>
                <w:szCs w:val="22"/>
              </w:rPr>
              <w:t>24</w:t>
            </w:r>
          </w:p>
        </w:tc>
        <w:tc>
          <w:tcPr>
            <w:tcW w:w="4979" w:type="dxa"/>
          </w:tcPr>
          <w:p w:rsidR="00715D1A" w:rsidRPr="00CC1AEF" w:rsidRDefault="00715D1A" w:rsidP="00715D1A">
            <w:pPr>
              <w:rPr>
                <w:rFonts w:asciiTheme="minorHAnsi" w:hAnsiTheme="minorHAnsi" w:cstheme="minorHAnsi"/>
                <w:sz w:val="22"/>
                <w:szCs w:val="22"/>
              </w:rPr>
            </w:pPr>
            <w:r w:rsidRPr="00CC1AEF">
              <w:rPr>
                <w:rFonts w:asciiTheme="minorHAnsi" w:hAnsiTheme="minorHAnsi" w:cstheme="minorHAnsi"/>
                <w:sz w:val="22"/>
                <w:szCs w:val="22"/>
              </w:rPr>
              <w:t xml:space="preserve">Le PSP veille-t-il à ce que seul l'utilisateur de services de paiement soit associé, de manière sécurisée, aux données de sécurité personnalisées, aux dispositifs </w:t>
            </w:r>
            <w:r w:rsidRPr="00CC1AEF">
              <w:rPr>
                <w:rFonts w:asciiTheme="minorHAnsi" w:hAnsiTheme="minorHAnsi" w:cstheme="minorHAnsi"/>
                <w:sz w:val="22"/>
                <w:szCs w:val="22"/>
              </w:rPr>
              <w:lastRenderedPageBreak/>
              <w:t>d'authentification et au logiciel en respectant les exigences listées ci-après ?</w:t>
            </w:r>
          </w:p>
          <w:p w:rsidR="00715D1A" w:rsidRPr="00CC1AEF" w:rsidRDefault="00715D1A" w:rsidP="00715D1A">
            <w:pPr>
              <w:rPr>
                <w:rFonts w:asciiTheme="minorHAnsi" w:hAnsiTheme="minorHAnsi" w:cstheme="minorHAnsi"/>
                <w:sz w:val="22"/>
                <w:szCs w:val="22"/>
              </w:rPr>
            </w:pPr>
            <w:r w:rsidRPr="00CC1AEF">
              <w:rPr>
                <w:rFonts w:asciiTheme="minorHAnsi" w:hAnsiTheme="minorHAnsi" w:cstheme="minorHAnsi"/>
                <w:sz w:val="22"/>
                <w:szCs w:val="22"/>
              </w:rPr>
              <w:t>- l'association de l'identité de l'utilisateur de services de paiement avec les données de sécurité personnalisées et les dispositifs et le logiciel d'authentification a lieu dans des environnements sécurisés relevant de la responsabilité du prestataire de services de paiement, comprenant au moins les locaux du prestataire de services de paiement et l'environnement internet fourni par le prestataire de services de paiement, ou d'autres sites internet sécurisés similaires utilisés par ce dernier et par ses services de retrait à des distributeurs automatiques de billets, et tenant compte des risques liés aux dispositifs et composants sous-jacents utilisés au cours du processus d'association qui ne sont pas sous la responsabilité du prestataire de services de paiement ;</w:t>
            </w:r>
          </w:p>
          <w:p w:rsidR="00AE5683" w:rsidRPr="00CC1AEF" w:rsidRDefault="00715D1A" w:rsidP="00715D1A">
            <w:pPr>
              <w:rPr>
                <w:rFonts w:asciiTheme="minorHAnsi" w:hAnsiTheme="minorHAnsi" w:cstheme="minorHAnsi"/>
                <w:sz w:val="22"/>
                <w:szCs w:val="22"/>
              </w:rPr>
            </w:pPr>
            <w:r w:rsidRPr="00CC1AEF">
              <w:rPr>
                <w:rFonts w:asciiTheme="minorHAnsi" w:hAnsiTheme="minorHAnsi" w:cstheme="minorHAnsi"/>
                <w:sz w:val="22"/>
                <w:szCs w:val="22"/>
              </w:rPr>
              <w:t xml:space="preserve"> - l'association, grâce à un moyen de communication à distance, de l'identité de l'utilisateur de services de paiement avec les données de sécurité personnalisées et les dispositifs ou le logiciel d'authentification est effectuée à l'aide d'une authentification forte du client.</w:t>
            </w:r>
          </w:p>
        </w:tc>
        <w:tc>
          <w:tcPr>
            <w:tcW w:w="1465" w:type="dxa"/>
          </w:tcPr>
          <w:p w:rsidR="006028DC" w:rsidRPr="00CC1AEF" w:rsidRDefault="006028DC" w:rsidP="009973F6">
            <w:pPr>
              <w:jc w:val="center"/>
              <w:rPr>
                <w:rFonts w:asciiTheme="minorHAnsi" w:hAnsiTheme="minorHAnsi" w:cstheme="minorHAnsi"/>
                <w:b/>
                <w:sz w:val="22"/>
                <w:szCs w:val="22"/>
              </w:rPr>
            </w:pPr>
          </w:p>
        </w:tc>
        <w:tc>
          <w:tcPr>
            <w:tcW w:w="6698" w:type="dxa"/>
          </w:tcPr>
          <w:p w:rsidR="006028DC" w:rsidRPr="00CC1AEF" w:rsidRDefault="006028DC">
            <w:pPr>
              <w:jc w:val="left"/>
              <w:rPr>
                <w:rFonts w:asciiTheme="minorHAnsi" w:eastAsia="Calibri" w:hAnsiTheme="minorHAnsi" w:cstheme="minorHAnsi"/>
                <w:b/>
                <w:sz w:val="22"/>
                <w:szCs w:val="22"/>
                <w:lang w:eastAsia="en-US"/>
              </w:rPr>
            </w:pPr>
          </w:p>
        </w:tc>
      </w:tr>
      <w:tr w:rsidR="00AE5683" w:rsidRPr="00CC1AEF" w:rsidTr="00D32383">
        <w:tc>
          <w:tcPr>
            <w:tcW w:w="14737" w:type="dxa"/>
            <w:gridSpan w:val="4"/>
            <w:shd w:val="clear" w:color="auto" w:fill="FBD4B4" w:themeFill="accent6" w:themeFillTint="66"/>
          </w:tcPr>
          <w:p w:rsidR="00AE5683" w:rsidRPr="00CC1AEF" w:rsidRDefault="00AE5683">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Livraison des données ainsi que des dispositifs et d</w:t>
            </w:r>
            <w:r w:rsidR="009606D4">
              <w:rPr>
                <w:rFonts w:asciiTheme="minorHAnsi" w:eastAsia="Calibri" w:hAnsiTheme="minorHAnsi" w:cstheme="minorHAnsi"/>
                <w:b/>
                <w:sz w:val="22"/>
                <w:szCs w:val="22"/>
                <w:lang w:eastAsia="en-US"/>
              </w:rPr>
              <w:t xml:space="preserve">u logiciel d'authentification </w:t>
            </w:r>
          </w:p>
        </w:tc>
      </w:tr>
      <w:tr w:rsidR="006028DC" w:rsidRPr="00CC1AEF" w:rsidTr="00683E60">
        <w:tc>
          <w:tcPr>
            <w:tcW w:w="1595" w:type="dxa"/>
          </w:tcPr>
          <w:p w:rsidR="006028DC" w:rsidRPr="00CC1AEF" w:rsidRDefault="00AE5683" w:rsidP="009973F6">
            <w:pPr>
              <w:jc w:val="center"/>
              <w:rPr>
                <w:rFonts w:asciiTheme="minorHAnsi" w:hAnsiTheme="minorHAnsi" w:cstheme="minorHAnsi"/>
                <w:b/>
                <w:sz w:val="22"/>
                <w:szCs w:val="22"/>
              </w:rPr>
            </w:pPr>
            <w:r w:rsidRPr="00CC1AEF">
              <w:rPr>
                <w:rFonts w:asciiTheme="minorHAnsi" w:hAnsiTheme="minorHAnsi" w:cstheme="minorHAnsi"/>
                <w:b/>
                <w:sz w:val="22"/>
                <w:szCs w:val="22"/>
              </w:rPr>
              <w:t>25</w:t>
            </w:r>
          </w:p>
        </w:tc>
        <w:tc>
          <w:tcPr>
            <w:tcW w:w="4979" w:type="dxa"/>
          </w:tcPr>
          <w:p w:rsidR="00AE5683" w:rsidRPr="00CC1AEF" w:rsidRDefault="00AE5683" w:rsidP="00AE5683">
            <w:pPr>
              <w:rPr>
                <w:rFonts w:asciiTheme="minorHAnsi" w:hAnsiTheme="minorHAnsi" w:cstheme="minorHAnsi"/>
                <w:sz w:val="22"/>
                <w:szCs w:val="22"/>
              </w:rPr>
            </w:pPr>
            <w:r w:rsidRPr="00CC1AEF">
              <w:rPr>
                <w:rFonts w:asciiTheme="minorHAnsi" w:hAnsiTheme="minorHAnsi" w:cstheme="minorHAnsi"/>
                <w:sz w:val="22"/>
                <w:szCs w:val="22"/>
              </w:rPr>
              <w:t>Le PSP veille-t-il à ce que la livraison des données de sécurité personnalisées ainsi que des dispositifs et du logiciel d'authentification à l'utilisateur de services de paiement soit effectuée d'une manière sécurisée qui permette de prévenir les risques liés à leur utilisation non autorisée à la suite de leur perte, vol ou copie en appliquant au moins chacune des mesures listées ci-après ?</w:t>
            </w:r>
          </w:p>
          <w:p w:rsidR="00AE5683" w:rsidRPr="00CC1AEF" w:rsidRDefault="00AE5683" w:rsidP="00AE5683">
            <w:pPr>
              <w:pStyle w:val="Paragraphedeliste"/>
              <w:numPr>
                <w:ilvl w:val="0"/>
                <w:numId w:val="119"/>
              </w:numPr>
              <w:rPr>
                <w:rFonts w:asciiTheme="minorHAnsi" w:hAnsiTheme="minorHAnsi" w:cstheme="minorHAnsi"/>
                <w:szCs w:val="22"/>
              </w:rPr>
            </w:pPr>
            <w:r w:rsidRPr="00CC1AEF">
              <w:rPr>
                <w:rFonts w:asciiTheme="minorHAnsi" w:hAnsiTheme="minorHAnsi" w:cstheme="minorHAnsi"/>
                <w:szCs w:val="22"/>
              </w:rPr>
              <w:t xml:space="preserve">des mécanismes de livraison efficaces et sécurisés garantissent que les données de sécurité </w:t>
            </w:r>
            <w:r w:rsidRPr="00CC1AEF">
              <w:rPr>
                <w:rFonts w:asciiTheme="minorHAnsi" w:hAnsiTheme="minorHAnsi" w:cstheme="minorHAnsi"/>
                <w:szCs w:val="22"/>
              </w:rPr>
              <w:lastRenderedPageBreak/>
              <w:t>personnalisées ainsi que les dispositifs et le logiciel d'authentification sont livrés à l'utilisateur de services de paiement légitime ;</w:t>
            </w:r>
          </w:p>
          <w:p w:rsidR="00AE5683" w:rsidRPr="00CC1AEF" w:rsidRDefault="00AE5683" w:rsidP="00AE5683">
            <w:pPr>
              <w:pStyle w:val="Paragraphedeliste"/>
              <w:numPr>
                <w:ilvl w:val="0"/>
                <w:numId w:val="119"/>
              </w:numPr>
              <w:rPr>
                <w:rFonts w:asciiTheme="minorHAnsi" w:hAnsiTheme="minorHAnsi" w:cstheme="minorHAnsi"/>
                <w:szCs w:val="22"/>
              </w:rPr>
            </w:pPr>
            <w:r w:rsidRPr="00CC1AEF">
              <w:rPr>
                <w:rFonts w:asciiTheme="minorHAnsi" w:hAnsiTheme="minorHAnsi" w:cstheme="minorHAnsi"/>
                <w:szCs w:val="22"/>
              </w:rPr>
              <w:t>des mécanismes permettent au prestataire de services de paiement de vérifier l'authenticité du logiciel d'authentification livré à l'utilisateur de services de paiement grâce à l'internet ;</w:t>
            </w:r>
          </w:p>
          <w:p w:rsidR="00AE5683" w:rsidRPr="00CC1AEF" w:rsidRDefault="00AE5683" w:rsidP="00AE5683">
            <w:pPr>
              <w:pStyle w:val="Paragraphedeliste"/>
              <w:numPr>
                <w:ilvl w:val="0"/>
                <w:numId w:val="119"/>
              </w:numPr>
              <w:rPr>
                <w:rFonts w:asciiTheme="minorHAnsi" w:hAnsiTheme="minorHAnsi" w:cstheme="minorHAnsi"/>
                <w:szCs w:val="22"/>
              </w:rPr>
            </w:pPr>
            <w:r w:rsidRPr="00CC1AEF">
              <w:rPr>
                <w:rFonts w:asciiTheme="minorHAnsi" w:hAnsiTheme="minorHAnsi" w:cstheme="minorHAnsi"/>
                <w:szCs w:val="22"/>
              </w:rPr>
              <w:t>des dispositions garantissent que, lorsque la livraison des données de sécurité personnalisées a lieu en dehors des locaux du prestataire de services de paiement ou grâce à un moyen de communication à distance :</w:t>
            </w:r>
          </w:p>
          <w:p w:rsidR="00AE5683" w:rsidRPr="00CC1AEF" w:rsidRDefault="00AE5683"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 xml:space="preserve">    i) aucun tiers non autorisé ne peut obtenir plus d'un élément des données de sécurité personnalisées ou des dispositifs ou du logiciel d'authentification lorsque la livraison est effectuée grâce au même moyen de communication ;</w:t>
            </w:r>
          </w:p>
          <w:p w:rsidR="00AE5683" w:rsidRPr="00CC1AEF" w:rsidRDefault="00AE5683" w:rsidP="00C17676">
            <w:pPr>
              <w:pStyle w:val="Paragraphedeliste"/>
              <w:ind w:left="567"/>
              <w:rPr>
                <w:rFonts w:asciiTheme="minorHAnsi" w:hAnsiTheme="minorHAnsi" w:cstheme="minorHAnsi"/>
                <w:szCs w:val="22"/>
              </w:rPr>
            </w:pPr>
            <w:r w:rsidRPr="00CC1AEF">
              <w:rPr>
                <w:rFonts w:asciiTheme="minorHAnsi" w:hAnsiTheme="minorHAnsi" w:cstheme="minorHAnsi"/>
                <w:szCs w:val="22"/>
              </w:rPr>
              <w:t xml:space="preserve">    ii) les données de sécurité personnalisées ou les dispositifs ou le logiciel d'authentification doivent être activés avant de pouvoir être utilisés ;</w:t>
            </w:r>
          </w:p>
          <w:p w:rsidR="00390721" w:rsidRPr="00A85C3C" w:rsidRDefault="00AE5683" w:rsidP="00A85C3C">
            <w:pPr>
              <w:pStyle w:val="Paragraphedeliste"/>
              <w:numPr>
                <w:ilvl w:val="0"/>
                <w:numId w:val="119"/>
              </w:numPr>
              <w:rPr>
                <w:rFonts w:asciiTheme="minorHAnsi" w:hAnsiTheme="minorHAnsi" w:cstheme="minorHAnsi"/>
                <w:szCs w:val="22"/>
              </w:rPr>
            </w:pPr>
            <w:r w:rsidRPr="00CC1AEF">
              <w:rPr>
                <w:rFonts w:asciiTheme="minorHAnsi" w:hAnsiTheme="minorHAnsi" w:cstheme="minorHAnsi"/>
                <w:szCs w:val="22"/>
              </w:rPr>
              <w:t>des dispositions garantissent que, si les données de sécurité personnalisées ou les dispositifs ou le logiciel d'authentification doivent être activés avant leur première utilisation, cette activation est effectuée dans un environnement sécurisé conformément aux procédures d'association visées à l'article 24.</w:t>
            </w:r>
          </w:p>
        </w:tc>
        <w:tc>
          <w:tcPr>
            <w:tcW w:w="1465" w:type="dxa"/>
          </w:tcPr>
          <w:p w:rsidR="006028DC" w:rsidRPr="00CC1AEF" w:rsidRDefault="006028DC" w:rsidP="009973F6">
            <w:pPr>
              <w:jc w:val="center"/>
              <w:rPr>
                <w:rFonts w:asciiTheme="minorHAnsi" w:hAnsiTheme="minorHAnsi" w:cstheme="minorHAnsi"/>
                <w:b/>
                <w:sz w:val="22"/>
                <w:szCs w:val="22"/>
              </w:rPr>
            </w:pPr>
          </w:p>
        </w:tc>
        <w:tc>
          <w:tcPr>
            <w:tcW w:w="6698" w:type="dxa"/>
          </w:tcPr>
          <w:p w:rsidR="006028DC" w:rsidRPr="00CC1AEF" w:rsidRDefault="006028DC">
            <w:pPr>
              <w:jc w:val="left"/>
              <w:rPr>
                <w:rFonts w:asciiTheme="minorHAnsi" w:eastAsia="Calibri" w:hAnsiTheme="minorHAnsi" w:cstheme="minorHAnsi"/>
                <w:b/>
                <w:sz w:val="22"/>
                <w:szCs w:val="22"/>
                <w:lang w:eastAsia="en-US"/>
              </w:rPr>
            </w:pPr>
          </w:p>
        </w:tc>
      </w:tr>
      <w:tr w:rsidR="00AE5683" w:rsidRPr="00CC1AEF" w:rsidTr="00D32383">
        <w:tc>
          <w:tcPr>
            <w:tcW w:w="14737" w:type="dxa"/>
            <w:gridSpan w:val="4"/>
            <w:shd w:val="clear" w:color="auto" w:fill="FBD4B4" w:themeFill="accent6" w:themeFillTint="66"/>
          </w:tcPr>
          <w:p w:rsidR="00AE5683" w:rsidRPr="00CC1AEF" w:rsidRDefault="00AE5683">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Renouvellement des données de sécurité personnalisées</w:t>
            </w:r>
          </w:p>
        </w:tc>
      </w:tr>
      <w:tr w:rsidR="006028DC" w:rsidRPr="00CC1AEF" w:rsidTr="00683E60">
        <w:tc>
          <w:tcPr>
            <w:tcW w:w="1595" w:type="dxa"/>
          </w:tcPr>
          <w:p w:rsidR="006028DC" w:rsidRPr="00CC1AEF" w:rsidRDefault="00AE5683" w:rsidP="009973F6">
            <w:pPr>
              <w:jc w:val="center"/>
              <w:rPr>
                <w:rFonts w:asciiTheme="minorHAnsi" w:hAnsiTheme="minorHAnsi" w:cstheme="minorHAnsi"/>
                <w:b/>
                <w:sz w:val="22"/>
                <w:szCs w:val="22"/>
              </w:rPr>
            </w:pPr>
            <w:r w:rsidRPr="00CC1AEF">
              <w:rPr>
                <w:rFonts w:asciiTheme="minorHAnsi" w:hAnsiTheme="minorHAnsi" w:cstheme="minorHAnsi"/>
                <w:b/>
                <w:sz w:val="22"/>
                <w:szCs w:val="22"/>
              </w:rPr>
              <w:t>26</w:t>
            </w:r>
          </w:p>
        </w:tc>
        <w:tc>
          <w:tcPr>
            <w:tcW w:w="4979" w:type="dxa"/>
          </w:tcPr>
          <w:p w:rsidR="00390721" w:rsidRPr="00CC1AEF" w:rsidRDefault="00AE5683" w:rsidP="00AE5683">
            <w:pPr>
              <w:rPr>
                <w:rFonts w:asciiTheme="minorHAnsi" w:hAnsiTheme="minorHAnsi" w:cstheme="minorHAnsi"/>
                <w:sz w:val="22"/>
                <w:szCs w:val="22"/>
              </w:rPr>
            </w:pPr>
            <w:r w:rsidRPr="00CC1AEF">
              <w:rPr>
                <w:rFonts w:asciiTheme="minorHAnsi" w:hAnsiTheme="minorHAnsi" w:cstheme="minorHAnsi"/>
                <w:sz w:val="22"/>
                <w:szCs w:val="22"/>
              </w:rPr>
              <w:t>Le</w:t>
            </w:r>
            <w:r w:rsidR="00D32383">
              <w:rPr>
                <w:rFonts w:asciiTheme="minorHAnsi" w:hAnsiTheme="minorHAnsi" w:cstheme="minorHAnsi"/>
                <w:sz w:val="22"/>
                <w:szCs w:val="22"/>
              </w:rPr>
              <w:t xml:space="preserve"> PSP v</w:t>
            </w:r>
            <w:r w:rsidRPr="00CC1AEF">
              <w:rPr>
                <w:rFonts w:asciiTheme="minorHAnsi" w:hAnsiTheme="minorHAnsi" w:cstheme="minorHAnsi"/>
                <w:sz w:val="22"/>
                <w:szCs w:val="22"/>
              </w:rPr>
              <w:t>eille</w:t>
            </w:r>
            <w:r w:rsidR="00D32383">
              <w:rPr>
                <w:rFonts w:asciiTheme="minorHAnsi" w:hAnsiTheme="minorHAnsi" w:cstheme="minorHAnsi"/>
                <w:sz w:val="22"/>
                <w:szCs w:val="22"/>
              </w:rPr>
              <w:t>-t-il</w:t>
            </w:r>
            <w:r w:rsidRPr="00CC1AEF">
              <w:rPr>
                <w:rFonts w:asciiTheme="minorHAnsi" w:hAnsiTheme="minorHAnsi" w:cstheme="minorHAnsi"/>
                <w:sz w:val="22"/>
                <w:szCs w:val="22"/>
              </w:rPr>
              <w:t xml:space="preserve"> à ce que le renouvellement ou la réactivation des données de sécurité personnalisées respecte les procédures applicables à la création, à l'association et à la livraison de ces données et des </w:t>
            </w:r>
            <w:r w:rsidRPr="00CC1AEF">
              <w:rPr>
                <w:rFonts w:asciiTheme="minorHAnsi" w:hAnsiTheme="minorHAnsi" w:cstheme="minorHAnsi"/>
                <w:sz w:val="22"/>
                <w:szCs w:val="22"/>
              </w:rPr>
              <w:lastRenderedPageBreak/>
              <w:t>dispositifs d'authentification conform</w:t>
            </w:r>
            <w:r w:rsidR="00D32383">
              <w:rPr>
                <w:rFonts w:asciiTheme="minorHAnsi" w:hAnsiTheme="minorHAnsi" w:cstheme="minorHAnsi"/>
                <w:sz w:val="22"/>
                <w:szCs w:val="22"/>
              </w:rPr>
              <w:t>ément aux articles 23, 24 et 25 des RTS ?</w:t>
            </w:r>
          </w:p>
        </w:tc>
        <w:tc>
          <w:tcPr>
            <w:tcW w:w="1465" w:type="dxa"/>
          </w:tcPr>
          <w:p w:rsidR="006028DC" w:rsidRPr="00CC1AEF" w:rsidRDefault="006028DC" w:rsidP="009973F6">
            <w:pPr>
              <w:jc w:val="center"/>
              <w:rPr>
                <w:rFonts w:asciiTheme="minorHAnsi" w:hAnsiTheme="minorHAnsi" w:cstheme="minorHAnsi"/>
                <w:b/>
                <w:sz w:val="22"/>
                <w:szCs w:val="22"/>
              </w:rPr>
            </w:pPr>
          </w:p>
        </w:tc>
        <w:tc>
          <w:tcPr>
            <w:tcW w:w="6698" w:type="dxa"/>
          </w:tcPr>
          <w:p w:rsidR="006028DC" w:rsidRPr="00CC1AEF" w:rsidRDefault="006028DC">
            <w:pPr>
              <w:jc w:val="left"/>
              <w:rPr>
                <w:rFonts w:asciiTheme="minorHAnsi" w:eastAsia="Calibri" w:hAnsiTheme="minorHAnsi" w:cstheme="minorHAnsi"/>
                <w:b/>
                <w:sz w:val="22"/>
                <w:szCs w:val="22"/>
                <w:lang w:eastAsia="en-US"/>
              </w:rPr>
            </w:pPr>
          </w:p>
        </w:tc>
      </w:tr>
      <w:tr w:rsidR="00AE5683" w:rsidRPr="00CC1AEF" w:rsidTr="00D32383">
        <w:tc>
          <w:tcPr>
            <w:tcW w:w="14737" w:type="dxa"/>
            <w:gridSpan w:val="4"/>
            <w:shd w:val="clear" w:color="auto" w:fill="FBD4B4" w:themeFill="accent6" w:themeFillTint="66"/>
          </w:tcPr>
          <w:p w:rsidR="00AE5683" w:rsidRPr="00CC1AEF" w:rsidRDefault="00AE5683">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Destruction, désactivation et révocation</w:t>
            </w:r>
          </w:p>
        </w:tc>
      </w:tr>
      <w:tr w:rsidR="006028DC" w:rsidRPr="00CC1AEF" w:rsidTr="00683E60">
        <w:tc>
          <w:tcPr>
            <w:tcW w:w="1595" w:type="dxa"/>
          </w:tcPr>
          <w:p w:rsidR="006028DC" w:rsidRPr="00CC1AEF" w:rsidRDefault="00AE5683" w:rsidP="009973F6">
            <w:pPr>
              <w:jc w:val="center"/>
              <w:rPr>
                <w:rFonts w:asciiTheme="minorHAnsi" w:hAnsiTheme="minorHAnsi" w:cstheme="minorHAnsi"/>
                <w:b/>
                <w:sz w:val="22"/>
                <w:szCs w:val="22"/>
              </w:rPr>
            </w:pPr>
            <w:r w:rsidRPr="00CC1AEF">
              <w:rPr>
                <w:rFonts w:asciiTheme="minorHAnsi" w:hAnsiTheme="minorHAnsi" w:cstheme="minorHAnsi"/>
                <w:b/>
                <w:sz w:val="22"/>
                <w:szCs w:val="22"/>
              </w:rPr>
              <w:t>27</w:t>
            </w:r>
          </w:p>
        </w:tc>
        <w:tc>
          <w:tcPr>
            <w:tcW w:w="4979" w:type="dxa"/>
          </w:tcPr>
          <w:p w:rsidR="00AE5683" w:rsidRPr="00CC1AEF" w:rsidRDefault="00AE5683" w:rsidP="00AE5683">
            <w:pPr>
              <w:rPr>
                <w:rFonts w:asciiTheme="minorHAnsi" w:hAnsiTheme="minorHAnsi" w:cstheme="minorHAnsi"/>
                <w:sz w:val="22"/>
                <w:szCs w:val="22"/>
              </w:rPr>
            </w:pPr>
            <w:r w:rsidRPr="00CC1AEF">
              <w:rPr>
                <w:rFonts w:asciiTheme="minorHAnsi" w:hAnsiTheme="minorHAnsi" w:cstheme="minorHAnsi"/>
                <w:sz w:val="22"/>
                <w:szCs w:val="22"/>
              </w:rPr>
              <w:t>Le PSP a-t-il mis en place des procédures efficaces en vue d'appliquer chacune des mesures de sécurité listées ci-après ?</w:t>
            </w:r>
          </w:p>
          <w:p w:rsidR="00AE5683" w:rsidRPr="00CC1AEF" w:rsidRDefault="00AE5683" w:rsidP="00AE5683">
            <w:pPr>
              <w:pStyle w:val="Paragraphedeliste"/>
              <w:numPr>
                <w:ilvl w:val="0"/>
                <w:numId w:val="119"/>
              </w:numPr>
              <w:rPr>
                <w:rFonts w:asciiTheme="minorHAnsi" w:hAnsiTheme="minorHAnsi" w:cstheme="minorHAnsi"/>
                <w:szCs w:val="22"/>
              </w:rPr>
            </w:pPr>
            <w:r w:rsidRPr="00CC1AEF">
              <w:rPr>
                <w:rFonts w:asciiTheme="minorHAnsi" w:hAnsiTheme="minorHAnsi" w:cstheme="minorHAnsi"/>
                <w:szCs w:val="22"/>
              </w:rPr>
              <w:t>la destruction, la désactivation ou la révocation sécurisée des données de sécurité personnalisées et des dispositifs et du logiciel d'authentification ;</w:t>
            </w:r>
          </w:p>
          <w:p w:rsidR="00390721" w:rsidRPr="00CC1AEF" w:rsidRDefault="00AE5683" w:rsidP="00AE5683">
            <w:pPr>
              <w:pStyle w:val="Paragraphedeliste"/>
              <w:numPr>
                <w:ilvl w:val="0"/>
                <w:numId w:val="119"/>
              </w:numPr>
              <w:rPr>
                <w:rFonts w:asciiTheme="minorHAnsi" w:hAnsiTheme="minorHAnsi" w:cstheme="minorHAnsi"/>
                <w:szCs w:val="22"/>
              </w:rPr>
            </w:pPr>
            <w:r w:rsidRPr="00CC1AEF">
              <w:rPr>
                <w:rFonts w:asciiTheme="minorHAnsi" w:hAnsiTheme="minorHAnsi" w:cstheme="minorHAnsi"/>
                <w:szCs w:val="22"/>
              </w:rPr>
              <w:t xml:space="preserve">lorsque le prestataire de services de paiement distribue des dispositifs et logiciels d'authentification réutilisables, la réutilisation sécurisée d'un dispositif ou logiciel est établie, décrite par écrit et mise en </w:t>
            </w:r>
            <w:r w:rsidR="00390721" w:rsidRPr="00CC1AEF">
              <w:rPr>
                <w:rFonts w:asciiTheme="minorHAnsi" w:hAnsiTheme="minorHAnsi" w:cstheme="minorHAnsi"/>
                <w:szCs w:val="22"/>
              </w:rPr>
              <w:t>œuvre</w:t>
            </w:r>
            <w:r w:rsidRPr="00CC1AEF">
              <w:rPr>
                <w:rFonts w:asciiTheme="minorHAnsi" w:hAnsiTheme="minorHAnsi" w:cstheme="minorHAnsi"/>
                <w:szCs w:val="22"/>
              </w:rPr>
              <w:t xml:space="preserve"> avant sa mise à disposition d'un autre utilisateur de services de paiement</w:t>
            </w:r>
            <w:r w:rsidR="00390721" w:rsidRPr="00CC1AEF">
              <w:rPr>
                <w:rFonts w:asciiTheme="minorHAnsi" w:hAnsiTheme="minorHAnsi" w:cstheme="minorHAnsi"/>
                <w:szCs w:val="22"/>
              </w:rPr>
              <w:t xml:space="preserve"> </w:t>
            </w:r>
            <w:r w:rsidRPr="00CC1AEF">
              <w:rPr>
                <w:rFonts w:asciiTheme="minorHAnsi" w:hAnsiTheme="minorHAnsi" w:cstheme="minorHAnsi"/>
                <w:szCs w:val="22"/>
              </w:rPr>
              <w:t>;</w:t>
            </w:r>
          </w:p>
          <w:p w:rsidR="00390721" w:rsidRPr="00A85C3C" w:rsidRDefault="00AE5683" w:rsidP="00A85C3C">
            <w:pPr>
              <w:pStyle w:val="Paragraphedeliste"/>
              <w:numPr>
                <w:ilvl w:val="0"/>
                <w:numId w:val="119"/>
              </w:numPr>
              <w:rPr>
                <w:rFonts w:asciiTheme="minorHAnsi" w:hAnsiTheme="minorHAnsi" w:cstheme="minorHAnsi"/>
                <w:szCs w:val="22"/>
              </w:rPr>
            </w:pPr>
            <w:r w:rsidRPr="00CC1AEF">
              <w:rPr>
                <w:rFonts w:asciiTheme="minorHAnsi" w:hAnsiTheme="minorHAnsi" w:cstheme="minorHAnsi"/>
                <w:szCs w:val="22"/>
              </w:rPr>
              <w:t>la désactivation ou la révocation des informations liées aux données de sécurité personnalisées conservées dans les systèmes et bases de données du prestataire de services de paiement et, le cas échéant, dans des registres publics.</w:t>
            </w:r>
          </w:p>
        </w:tc>
        <w:tc>
          <w:tcPr>
            <w:tcW w:w="1465" w:type="dxa"/>
          </w:tcPr>
          <w:p w:rsidR="006028DC" w:rsidRPr="00CC1AEF" w:rsidRDefault="006028DC" w:rsidP="009973F6">
            <w:pPr>
              <w:jc w:val="center"/>
              <w:rPr>
                <w:rFonts w:asciiTheme="minorHAnsi" w:hAnsiTheme="minorHAnsi" w:cstheme="minorHAnsi"/>
                <w:b/>
                <w:sz w:val="22"/>
                <w:szCs w:val="22"/>
              </w:rPr>
            </w:pPr>
          </w:p>
        </w:tc>
        <w:tc>
          <w:tcPr>
            <w:tcW w:w="6698" w:type="dxa"/>
          </w:tcPr>
          <w:p w:rsidR="006028DC" w:rsidRPr="00CC1AEF" w:rsidRDefault="006028DC">
            <w:pPr>
              <w:jc w:val="left"/>
              <w:rPr>
                <w:rFonts w:asciiTheme="minorHAnsi" w:eastAsia="Calibri" w:hAnsiTheme="minorHAnsi" w:cstheme="minorHAnsi"/>
                <w:b/>
                <w:sz w:val="22"/>
                <w:szCs w:val="22"/>
                <w:lang w:eastAsia="en-US"/>
              </w:rPr>
            </w:pPr>
          </w:p>
        </w:tc>
      </w:tr>
      <w:tr w:rsidR="00D32383" w:rsidRPr="00CC1AEF" w:rsidTr="00CE66B9">
        <w:tc>
          <w:tcPr>
            <w:tcW w:w="14737" w:type="dxa"/>
            <w:gridSpan w:val="4"/>
            <w:shd w:val="clear" w:color="auto" w:fill="B8CCE4" w:themeFill="accent1" w:themeFillTint="66"/>
          </w:tcPr>
          <w:p w:rsidR="00D32383" w:rsidRPr="00CC1AEF" w:rsidRDefault="00D32383">
            <w:pPr>
              <w:jc w:val="left"/>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Normes ouvertes communes et sécurisées de communication</w:t>
            </w:r>
          </w:p>
        </w:tc>
      </w:tr>
      <w:tr w:rsidR="00897A4F" w:rsidRPr="00CC1AEF" w:rsidTr="00897A4F">
        <w:tc>
          <w:tcPr>
            <w:tcW w:w="14737" w:type="dxa"/>
            <w:gridSpan w:val="4"/>
            <w:shd w:val="clear" w:color="auto" w:fill="C2D69B" w:themeFill="accent3" w:themeFillTint="99"/>
          </w:tcPr>
          <w:p w:rsidR="00897A4F" w:rsidRDefault="00897A4F" w:rsidP="00080007">
            <w:pP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Applicables par le PSP gestionnaire de comptes</w:t>
            </w:r>
            <w:r w:rsidR="007952FB">
              <w:rPr>
                <w:rFonts w:asciiTheme="minorHAnsi" w:eastAsia="Calibri" w:hAnsiTheme="minorHAnsi" w:cstheme="minorHAnsi"/>
                <w:b/>
                <w:sz w:val="22"/>
                <w:szCs w:val="22"/>
                <w:lang w:eastAsia="en-US"/>
              </w:rPr>
              <w:t xml:space="preserve"> en cas de non mise en œuvre d’une interface d’accès dédiée : accès via le site de banque en ligne avec authentification du tiers</w:t>
            </w:r>
          </w:p>
        </w:tc>
      </w:tr>
      <w:tr w:rsidR="00D32383" w:rsidRPr="00CC1AEF" w:rsidTr="00683E60">
        <w:tc>
          <w:tcPr>
            <w:tcW w:w="1595" w:type="dxa"/>
          </w:tcPr>
          <w:p w:rsidR="00D32383" w:rsidRDefault="00743803" w:rsidP="009973F6">
            <w:pPr>
              <w:jc w:val="center"/>
              <w:rPr>
                <w:rFonts w:asciiTheme="minorHAnsi" w:hAnsiTheme="minorHAnsi" w:cstheme="minorHAnsi"/>
                <w:b/>
                <w:sz w:val="22"/>
                <w:szCs w:val="22"/>
              </w:rPr>
            </w:pPr>
            <w:r>
              <w:rPr>
                <w:rFonts w:asciiTheme="minorHAnsi" w:hAnsiTheme="minorHAnsi" w:cstheme="minorHAnsi"/>
                <w:b/>
                <w:sz w:val="22"/>
                <w:szCs w:val="22"/>
              </w:rPr>
              <w:t>29</w:t>
            </w:r>
          </w:p>
          <w:p w:rsidR="00743803" w:rsidRPr="00CC1AEF" w:rsidRDefault="00743803" w:rsidP="009973F6">
            <w:pPr>
              <w:jc w:val="center"/>
              <w:rPr>
                <w:rFonts w:asciiTheme="minorHAnsi" w:hAnsiTheme="minorHAnsi" w:cstheme="minorHAnsi"/>
                <w:b/>
                <w:sz w:val="22"/>
                <w:szCs w:val="22"/>
              </w:rPr>
            </w:pPr>
          </w:p>
        </w:tc>
        <w:tc>
          <w:tcPr>
            <w:tcW w:w="4979" w:type="dxa"/>
          </w:tcPr>
          <w:p w:rsidR="00D32383" w:rsidRPr="00F107F1" w:rsidRDefault="00F107F1" w:rsidP="00943FA1">
            <w:pPr>
              <w:rPr>
                <w:rFonts w:asciiTheme="minorHAnsi" w:hAnsiTheme="minorHAnsi" w:cstheme="minorHAnsi"/>
                <w:sz w:val="22"/>
                <w:szCs w:val="22"/>
              </w:rPr>
            </w:pPr>
            <w:r>
              <w:rPr>
                <w:rFonts w:asciiTheme="minorHAnsi" w:hAnsiTheme="minorHAnsi" w:cstheme="minorHAnsi"/>
                <w:sz w:val="22"/>
                <w:szCs w:val="22"/>
              </w:rPr>
              <w:t xml:space="preserve">Le PSP veille-t-il à ce que </w:t>
            </w:r>
            <w:r w:rsidR="00943FA1">
              <w:rPr>
                <w:rFonts w:asciiTheme="minorHAnsi" w:hAnsiTheme="minorHAnsi" w:cstheme="minorHAnsi"/>
                <w:sz w:val="22"/>
                <w:szCs w:val="22"/>
              </w:rPr>
              <w:t xml:space="preserve">l’ensemble des opérations (authentification, consultation et initiation de paiement) </w:t>
            </w:r>
            <w:r>
              <w:rPr>
                <w:rFonts w:asciiTheme="minorHAnsi" w:hAnsiTheme="minorHAnsi" w:cstheme="minorHAnsi"/>
                <w:sz w:val="22"/>
                <w:szCs w:val="22"/>
              </w:rPr>
              <w:t xml:space="preserve"> avec l’utilisateur du service de paiement, y compris des commerçants, d’autres PSP et d’autres entités </w:t>
            </w:r>
            <w:r w:rsidR="00943FA1">
              <w:rPr>
                <w:rFonts w:asciiTheme="minorHAnsi" w:hAnsiTheme="minorHAnsi" w:cstheme="minorHAnsi"/>
                <w:sz w:val="22"/>
                <w:szCs w:val="22"/>
              </w:rPr>
              <w:t>soient bien tracées avec des identifiants uniques,</w:t>
            </w:r>
            <w:r>
              <w:rPr>
                <w:rFonts w:asciiTheme="minorHAnsi" w:hAnsiTheme="minorHAnsi" w:cstheme="minorHAnsi"/>
                <w:sz w:val="22"/>
                <w:szCs w:val="22"/>
              </w:rPr>
              <w:t xml:space="preserve"> non prédictible</w:t>
            </w:r>
            <w:r w:rsidR="00943FA1">
              <w:rPr>
                <w:rFonts w:asciiTheme="minorHAnsi" w:hAnsiTheme="minorHAnsi" w:cstheme="minorHAnsi"/>
                <w:sz w:val="22"/>
                <w:szCs w:val="22"/>
              </w:rPr>
              <w:t>s</w:t>
            </w:r>
            <w:r>
              <w:rPr>
                <w:rFonts w:asciiTheme="minorHAnsi" w:hAnsiTheme="minorHAnsi" w:cstheme="minorHAnsi"/>
                <w:sz w:val="22"/>
                <w:szCs w:val="22"/>
              </w:rPr>
              <w:t xml:space="preserve"> et horodatée</w:t>
            </w:r>
            <w:r w:rsidR="00943FA1">
              <w:rPr>
                <w:rFonts w:asciiTheme="minorHAnsi" w:hAnsiTheme="minorHAnsi" w:cstheme="minorHAnsi"/>
                <w:sz w:val="22"/>
                <w:szCs w:val="22"/>
              </w:rPr>
              <w:t>s</w:t>
            </w:r>
            <w:r>
              <w:rPr>
                <w:rFonts w:asciiTheme="minorHAnsi" w:hAnsiTheme="minorHAnsi" w:cstheme="minorHAnsi"/>
                <w:sz w:val="22"/>
                <w:szCs w:val="22"/>
              </w:rPr>
              <w:t> ?</w:t>
            </w:r>
          </w:p>
        </w:tc>
        <w:tc>
          <w:tcPr>
            <w:tcW w:w="1465" w:type="dxa"/>
          </w:tcPr>
          <w:p w:rsidR="00D32383" w:rsidRPr="00CC1AEF" w:rsidRDefault="00D32383" w:rsidP="009973F6">
            <w:pPr>
              <w:jc w:val="center"/>
              <w:rPr>
                <w:rFonts w:asciiTheme="minorHAnsi" w:hAnsiTheme="minorHAnsi" w:cstheme="minorHAnsi"/>
                <w:b/>
                <w:sz w:val="22"/>
                <w:szCs w:val="22"/>
              </w:rPr>
            </w:pPr>
          </w:p>
        </w:tc>
        <w:tc>
          <w:tcPr>
            <w:tcW w:w="6698" w:type="dxa"/>
          </w:tcPr>
          <w:p w:rsidR="00D32383" w:rsidRPr="00CC1AEF" w:rsidRDefault="00D32383">
            <w:pPr>
              <w:jc w:val="left"/>
              <w:rPr>
                <w:rFonts w:asciiTheme="minorHAnsi" w:eastAsia="Calibri" w:hAnsiTheme="minorHAnsi" w:cstheme="minorHAnsi"/>
                <w:b/>
                <w:sz w:val="22"/>
                <w:szCs w:val="22"/>
                <w:lang w:eastAsia="en-US"/>
              </w:rPr>
            </w:pPr>
          </w:p>
        </w:tc>
      </w:tr>
      <w:tr w:rsidR="00D32383" w:rsidRPr="00CC1AEF" w:rsidTr="00683E60">
        <w:tc>
          <w:tcPr>
            <w:tcW w:w="1595" w:type="dxa"/>
          </w:tcPr>
          <w:p w:rsidR="00D32383" w:rsidRPr="00CC1AEF" w:rsidRDefault="00931CD3" w:rsidP="009973F6">
            <w:pPr>
              <w:jc w:val="center"/>
              <w:rPr>
                <w:rFonts w:asciiTheme="minorHAnsi" w:hAnsiTheme="minorHAnsi" w:cstheme="minorHAnsi"/>
                <w:b/>
                <w:sz w:val="22"/>
                <w:szCs w:val="22"/>
              </w:rPr>
            </w:pPr>
            <w:r>
              <w:rPr>
                <w:rFonts w:asciiTheme="minorHAnsi" w:hAnsiTheme="minorHAnsi" w:cstheme="minorHAnsi"/>
                <w:b/>
                <w:sz w:val="22"/>
                <w:szCs w:val="22"/>
              </w:rPr>
              <w:t>30</w:t>
            </w:r>
            <w:r w:rsidR="00671D63">
              <w:rPr>
                <w:rFonts w:asciiTheme="minorHAnsi" w:hAnsiTheme="minorHAnsi" w:cstheme="minorHAnsi"/>
                <w:b/>
                <w:sz w:val="22"/>
                <w:szCs w:val="22"/>
              </w:rPr>
              <w:t>-1</w:t>
            </w:r>
          </w:p>
        </w:tc>
        <w:tc>
          <w:tcPr>
            <w:tcW w:w="4979" w:type="dxa"/>
          </w:tcPr>
          <w:p w:rsidR="00E96114" w:rsidRDefault="00E96114" w:rsidP="007952FB">
            <w:pPr>
              <w:rPr>
                <w:rFonts w:asciiTheme="minorHAnsi" w:hAnsiTheme="minorHAnsi" w:cstheme="minorHAnsi"/>
                <w:sz w:val="22"/>
                <w:szCs w:val="22"/>
              </w:rPr>
            </w:pPr>
            <w:r w:rsidRPr="00E96114">
              <w:rPr>
                <w:rFonts w:asciiTheme="minorHAnsi" w:hAnsiTheme="minorHAnsi" w:cstheme="minorHAnsi"/>
                <w:sz w:val="22"/>
                <w:szCs w:val="22"/>
              </w:rPr>
              <w:t xml:space="preserve">Le </w:t>
            </w:r>
            <w:r>
              <w:rPr>
                <w:rFonts w:asciiTheme="minorHAnsi" w:hAnsiTheme="minorHAnsi" w:cstheme="minorHAnsi"/>
                <w:sz w:val="22"/>
                <w:szCs w:val="22"/>
              </w:rPr>
              <w:t>PSP a-t-il mis à disposition des PSP tiers une interface d’accès qui respecte les exigences listées ci-après</w:t>
            </w:r>
            <w:r w:rsidR="00266D56">
              <w:rPr>
                <w:rFonts w:asciiTheme="minorHAnsi" w:hAnsiTheme="minorHAnsi" w:cstheme="minorHAnsi"/>
                <w:sz w:val="22"/>
                <w:szCs w:val="22"/>
              </w:rPr>
              <w:t> ?</w:t>
            </w:r>
          </w:p>
          <w:p w:rsidR="00E96114" w:rsidRDefault="00E96114" w:rsidP="00E96114">
            <w:pPr>
              <w:pStyle w:val="Paragraphedeliste"/>
              <w:numPr>
                <w:ilvl w:val="0"/>
                <w:numId w:val="119"/>
              </w:numPr>
              <w:rPr>
                <w:rFonts w:asciiTheme="minorHAnsi" w:hAnsiTheme="minorHAnsi" w:cstheme="minorHAnsi"/>
                <w:szCs w:val="22"/>
              </w:rPr>
            </w:pPr>
            <w:r>
              <w:rPr>
                <w:rFonts w:asciiTheme="minorHAnsi" w:hAnsiTheme="minorHAnsi" w:cstheme="minorHAnsi"/>
                <w:szCs w:val="22"/>
              </w:rPr>
              <w:t>les PSP tiers sont en mesure de s’identifier auprès du PSP ;</w:t>
            </w:r>
          </w:p>
          <w:p w:rsidR="00E96114" w:rsidRPr="00E96114" w:rsidRDefault="00E96114" w:rsidP="00E96114">
            <w:pPr>
              <w:pStyle w:val="Paragraphedeliste"/>
              <w:numPr>
                <w:ilvl w:val="0"/>
                <w:numId w:val="119"/>
              </w:numPr>
              <w:rPr>
                <w:rFonts w:asciiTheme="minorHAnsi" w:hAnsiTheme="minorHAnsi" w:cstheme="minorHAnsi"/>
                <w:szCs w:val="22"/>
              </w:rPr>
            </w:pPr>
            <w:r>
              <w:rPr>
                <w:rFonts w:asciiTheme="minorHAnsi" w:hAnsiTheme="minorHAnsi" w:cstheme="minorHAnsi"/>
                <w:szCs w:val="22"/>
              </w:rPr>
              <w:lastRenderedPageBreak/>
              <w:t>les PSP tiers sont en mesure de communiquer de manière sécurisée avec le PSP pour exécuter leurs services de paiement.</w:t>
            </w:r>
          </w:p>
        </w:tc>
        <w:tc>
          <w:tcPr>
            <w:tcW w:w="1465" w:type="dxa"/>
          </w:tcPr>
          <w:p w:rsidR="00D32383" w:rsidRPr="00CC1AEF" w:rsidRDefault="00D32383" w:rsidP="009973F6">
            <w:pPr>
              <w:jc w:val="center"/>
              <w:rPr>
                <w:rFonts w:asciiTheme="minorHAnsi" w:hAnsiTheme="minorHAnsi" w:cstheme="minorHAnsi"/>
                <w:b/>
                <w:sz w:val="22"/>
                <w:szCs w:val="22"/>
              </w:rPr>
            </w:pPr>
          </w:p>
        </w:tc>
        <w:tc>
          <w:tcPr>
            <w:tcW w:w="6698" w:type="dxa"/>
          </w:tcPr>
          <w:p w:rsidR="00D32383" w:rsidRPr="00CC1AEF" w:rsidRDefault="00D32383">
            <w:pPr>
              <w:jc w:val="left"/>
              <w:rPr>
                <w:rFonts w:asciiTheme="minorHAnsi" w:eastAsia="Calibri" w:hAnsiTheme="minorHAnsi" w:cstheme="minorHAnsi"/>
                <w:b/>
                <w:sz w:val="22"/>
                <w:szCs w:val="22"/>
                <w:lang w:eastAsia="en-US"/>
              </w:rPr>
            </w:pPr>
          </w:p>
        </w:tc>
      </w:tr>
      <w:tr w:rsidR="00E96114" w:rsidRPr="00CC1AEF" w:rsidTr="00683E60">
        <w:tc>
          <w:tcPr>
            <w:tcW w:w="1595" w:type="dxa"/>
          </w:tcPr>
          <w:p w:rsidR="00E96114" w:rsidRDefault="00671D63" w:rsidP="009973F6">
            <w:pPr>
              <w:jc w:val="center"/>
              <w:rPr>
                <w:rFonts w:asciiTheme="minorHAnsi" w:hAnsiTheme="minorHAnsi" w:cstheme="minorHAnsi"/>
                <w:b/>
                <w:sz w:val="22"/>
                <w:szCs w:val="22"/>
              </w:rPr>
            </w:pPr>
            <w:r>
              <w:rPr>
                <w:rFonts w:asciiTheme="minorHAnsi" w:hAnsiTheme="minorHAnsi" w:cstheme="minorHAnsi"/>
                <w:b/>
                <w:sz w:val="22"/>
                <w:szCs w:val="22"/>
              </w:rPr>
              <w:t>30-2</w:t>
            </w:r>
          </w:p>
        </w:tc>
        <w:tc>
          <w:tcPr>
            <w:tcW w:w="4979" w:type="dxa"/>
          </w:tcPr>
          <w:p w:rsidR="00671D63" w:rsidRPr="00E96114" w:rsidRDefault="00671D63" w:rsidP="00266D56">
            <w:pPr>
              <w:rPr>
                <w:rFonts w:asciiTheme="minorHAnsi" w:hAnsiTheme="minorHAnsi" w:cstheme="minorHAnsi"/>
                <w:sz w:val="22"/>
                <w:szCs w:val="22"/>
              </w:rPr>
            </w:pPr>
            <w:r>
              <w:rPr>
                <w:rFonts w:asciiTheme="minorHAnsi" w:hAnsiTheme="minorHAnsi" w:cstheme="minorHAnsi"/>
                <w:sz w:val="22"/>
                <w:szCs w:val="22"/>
              </w:rPr>
              <w:t>L</w:t>
            </w:r>
            <w:r w:rsidR="00266D56">
              <w:rPr>
                <w:rFonts w:asciiTheme="minorHAnsi" w:hAnsiTheme="minorHAnsi" w:cstheme="minorHAnsi"/>
                <w:sz w:val="22"/>
                <w:szCs w:val="22"/>
              </w:rPr>
              <w:t>e PSP r</w:t>
            </w:r>
            <w:r w:rsidR="00266D56" w:rsidRPr="00266D56">
              <w:rPr>
                <w:rFonts w:asciiTheme="minorHAnsi" w:hAnsiTheme="minorHAnsi" w:cstheme="minorHAnsi"/>
                <w:sz w:val="22"/>
                <w:szCs w:val="22"/>
              </w:rPr>
              <w:t>end</w:t>
            </w:r>
            <w:r w:rsidR="00266D56">
              <w:rPr>
                <w:rFonts w:asciiTheme="minorHAnsi" w:hAnsiTheme="minorHAnsi" w:cstheme="minorHAnsi"/>
                <w:sz w:val="22"/>
                <w:szCs w:val="22"/>
              </w:rPr>
              <w:t>-t-il</w:t>
            </w:r>
            <w:r w:rsidR="00266D56" w:rsidRPr="00266D56">
              <w:rPr>
                <w:rFonts w:asciiTheme="minorHAnsi" w:hAnsiTheme="minorHAnsi" w:cstheme="minorHAnsi"/>
                <w:sz w:val="22"/>
                <w:szCs w:val="22"/>
              </w:rPr>
              <w:t xml:space="preserve"> l’ensemble des procédures d’authentification proposées aux utilisateurs de services de paiement utilisable</w:t>
            </w:r>
            <w:r w:rsidR="00462A8D">
              <w:rPr>
                <w:rFonts w:asciiTheme="minorHAnsi" w:hAnsiTheme="minorHAnsi" w:cstheme="minorHAnsi"/>
                <w:sz w:val="22"/>
                <w:szCs w:val="22"/>
              </w:rPr>
              <w:t>s</w:t>
            </w:r>
            <w:r w:rsidR="00266D56" w:rsidRPr="00266D56">
              <w:rPr>
                <w:rFonts w:asciiTheme="minorHAnsi" w:hAnsiTheme="minorHAnsi" w:cstheme="minorHAnsi"/>
                <w:sz w:val="22"/>
                <w:szCs w:val="22"/>
              </w:rPr>
              <w:t xml:space="preserve"> par les PSP tiers aux fins de l’authentification des utilisateurs de services de paiement</w:t>
            </w:r>
            <w:r w:rsidR="00266D56">
              <w:rPr>
                <w:rFonts w:asciiTheme="minorHAnsi" w:hAnsiTheme="minorHAnsi" w:cstheme="minorHAnsi"/>
                <w:sz w:val="22"/>
                <w:szCs w:val="22"/>
              </w:rPr>
              <w:t> ?</w:t>
            </w:r>
          </w:p>
        </w:tc>
        <w:tc>
          <w:tcPr>
            <w:tcW w:w="1465" w:type="dxa"/>
          </w:tcPr>
          <w:p w:rsidR="00E96114" w:rsidRPr="00CC1AEF" w:rsidRDefault="00E96114" w:rsidP="009973F6">
            <w:pPr>
              <w:jc w:val="center"/>
              <w:rPr>
                <w:rFonts w:asciiTheme="minorHAnsi" w:hAnsiTheme="minorHAnsi" w:cstheme="minorHAnsi"/>
                <w:b/>
                <w:sz w:val="22"/>
                <w:szCs w:val="22"/>
              </w:rPr>
            </w:pPr>
          </w:p>
        </w:tc>
        <w:tc>
          <w:tcPr>
            <w:tcW w:w="6698" w:type="dxa"/>
          </w:tcPr>
          <w:p w:rsidR="00E96114" w:rsidRPr="00CC1AEF" w:rsidRDefault="00E96114">
            <w:pPr>
              <w:jc w:val="left"/>
              <w:rPr>
                <w:rFonts w:asciiTheme="minorHAnsi" w:eastAsia="Calibri" w:hAnsiTheme="minorHAnsi" w:cstheme="minorHAnsi"/>
                <w:b/>
                <w:sz w:val="22"/>
                <w:szCs w:val="22"/>
                <w:lang w:eastAsia="en-US"/>
              </w:rPr>
            </w:pPr>
          </w:p>
        </w:tc>
      </w:tr>
      <w:tr w:rsidR="00266D56" w:rsidRPr="00CC1AEF" w:rsidTr="00683E60">
        <w:tc>
          <w:tcPr>
            <w:tcW w:w="1595" w:type="dxa"/>
          </w:tcPr>
          <w:p w:rsidR="00266D56" w:rsidRDefault="00266D56" w:rsidP="009973F6">
            <w:pPr>
              <w:jc w:val="center"/>
              <w:rPr>
                <w:rFonts w:asciiTheme="minorHAnsi" w:hAnsiTheme="minorHAnsi" w:cstheme="minorHAnsi"/>
                <w:b/>
                <w:sz w:val="22"/>
                <w:szCs w:val="22"/>
              </w:rPr>
            </w:pPr>
            <w:r>
              <w:rPr>
                <w:rFonts w:asciiTheme="minorHAnsi" w:hAnsiTheme="minorHAnsi" w:cstheme="minorHAnsi"/>
                <w:b/>
                <w:sz w:val="22"/>
                <w:szCs w:val="22"/>
              </w:rPr>
              <w:t>30-2-a-b</w:t>
            </w:r>
          </w:p>
        </w:tc>
        <w:tc>
          <w:tcPr>
            <w:tcW w:w="4979" w:type="dxa"/>
          </w:tcPr>
          <w:p w:rsidR="00266D56" w:rsidRDefault="00266D56" w:rsidP="006A74E0">
            <w:pPr>
              <w:rPr>
                <w:rFonts w:asciiTheme="minorHAnsi" w:hAnsiTheme="minorHAnsi" w:cstheme="minorHAnsi"/>
                <w:sz w:val="22"/>
                <w:szCs w:val="22"/>
              </w:rPr>
            </w:pPr>
            <w:r>
              <w:rPr>
                <w:rFonts w:asciiTheme="minorHAnsi" w:hAnsiTheme="minorHAnsi" w:cstheme="minorHAnsi"/>
                <w:sz w:val="22"/>
                <w:szCs w:val="22"/>
              </w:rPr>
              <w:t>L’interface d’accès du PSP respecte-t-elle les exigences listées ci-après ?</w:t>
            </w:r>
          </w:p>
          <w:p w:rsidR="00266D56" w:rsidRDefault="00266D56" w:rsidP="006A74E0">
            <w:pPr>
              <w:rPr>
                <w:rFonts w:asciiTheme="minorHAnsi" w:hAnsiTheme="minorHAnsi" w:cstheme="minorHAnsi"/>
                <w:sz w:val="22"/>
                <w:szCs w:val="22"/>
              </w:rPr>
            </w:pPr>
            <w:r>
              <w:rPr>
                <w:rFonts w:asciiTheme="minorHAnsi" w:hAnsiTheme="minorHAnsi" w:cstheme="minorHAnsi"/>
                <w:sz w:val="22"/>
                <w:szCs w:val="22"/>
              </w:rPr>
              <w:t xml:space="preserve">- le PSP est </w:t>
            </w:r>
            <w:r w:rsidRPr="00266D56">
              <w:rPr>
                <w:rFonts w:asciiTheme="minorHAnsi" w:hAnsiTheme="minorHAnsi" w:cstheme="minorHAnsi"/>
                <w:sz w:val="22"/>
                <w:szCs w:val="22"/>
              </w:rPr>
              <w:t xml:space="preserve">en capacité de commencer l’authentification forte sur la requête d’un </w:t>
            </w:r>
            <w:r>
              <w:rPr>
                <w:rFonts w:asciiTheme="minorHAnsi" w:hAnsiTheme="minorHAnsi" w:cstheme="minorHAnsi"/>
                <w:sz w:val="22"/>
                <w:szCs w:val="22"/>
              </w:rPr>
              <w:t>PSP tiers</w:t>
            </w:r>
            <w:r w:rsidRPr="00266D56">
              <w:rPr>
                <w:rFonts w:asciiTheme="minorHAnsi" w:hAnsiTheme="minorHAnsi" w:cstheme="minorHAnsi"/>
                <w:sz w:val="22"/>
                <w:szCs w:val="22"/>
              </w:rPr>
              <w:t xml:space="preserve"> qui a préalablement recueilli l</w:t>
            </w:r>
            <w:r>
              <w:rPr>
                <w:rFonts w:asciiTheme="minorHAnsi" w:hAnsiTheme="minorHAnsi" w:cstheme="minorHAnsi"/>
                <w:sz w:val="22"/>
                <w:szCs w:val="22"/>
              </w:rPr>
              <w:t>e consentement de l’utilisateur ;</w:t>
            </w:r>
          </w:p>
          <w:p w:rsidR="00266D56" w:rsidRDefault="00266D56" w:rsidP="00080007">
            <w:pPr>
              <w:rPr>
                <w:rFonts w:asciiTheme="minorHAnsi" w:hAnsiTheme="minorHAnsi" w:cstheme="minorHAnsi"/>
                <w:sz w:val="22"/>
                <w:szCs w:val="22"/>
              </w:rPr>
            </w:pPr>
            <w:r>
              <w:rPr>
                <w:rFonts w:asciiTheme="minorHAnsi" w:hAnsiTheme="minorHAnsi" w:cstheme="minorHAnsi"/>
                <w:sz w:val="22"/>
                <w:szCs w:val="22"/>
              </w:rPr>
              <w:t xml:space="preserve">- </w:t>
            </w:r>
            <w:r w:rsidR="00080007">
              <w:rPr>
                <w:rFonts w:asciiTheme="minorHAnsi" w:hAnsiTheme="minorHAnsi" w:cstheme="minorHAnsi"/>
                <w:sz w:val="22"/>
                <w:szCs w:val="22"/>
              </w:rPr>
              <w:t>l</w:t>
            </w:r>
            <w:r w:rsidRPr="00266D56">
              <w:rPr>
                <w:rFonts w:asciiTheme="minorHAnsi" w:hAnsiTheme="minorHAnsi" w:cstheme="minorHAnsi"/>
                <w:sz w:val="22"/>
                <w:szCs w:val="22"/>
              </w:rPr>
              <w:t xml:space="preserve">es sessions de communication entre le </w:t>
            </w:r>
            <w:r>
              <w:rPr>
                <w:rFonts w:asciiTheme="minorHAnsi" w:hAnsiTheme="minorHAnsi" w:cstheme="minorHAnsi"/>
                <w:sz w:val="22"/>
                <w:szCs w:val="22"/>
              </w:rPr>
              <w:t>PSP et les PSP tiers</w:t>
            </w:r>
            <w:r w:rsidRPr="00266D56">
              <w:rPr>
                <w:rFonts w:asciiTheme="minorHAnsi" w:hAnsiTheme="minorHAnsi" w:cstheme="minorHAnsi"/>
                <w:sz w:val="22"/>
                <w:szCs w:val="22"/>
              </w:rPr>
              <w:t xml:space="preserve"> sont établies et maintenues tout au long de l'authentification.</w:t>
            </w:r>
          </w:p>
        </w:tc>
        <w:tc>
          <w:tcPr>
            <w:tcW w:w="1465" w:type="dxa"/>
          </w:tcPr>
          <w:p w:rsidR="00266D56" w:rsidRPr="00CC1AEF" w:rsidRDefault="00266D56" w:rsidP="009973F6">
            <w:pPr>
              <w:jc w:val="center"/>
              <w:rPr>
                <w:rFonts w:asciiTheme="minorHAnsi" w:hAnsiTheme="minorHAnsi" w:cstheme="minorHAnsi"/>
                <w:b/>
                <w:sz w:val="22"/>
                <w:szCs w:val="22"/>
              </w:rPr>
            </w:pPr>
          </w:p>
        </w:tc>
        <w:tc>
          <w:tcPr>
            <w:tcW w:w="6698" w:type="dxa"/>
          </w:tcPr>
          <w:p w:rsidR="00266D56" w:rsidRPr="00CC1AEF" w:rsidRDefault="00266D56">
            <w:pPr>
              <w:jc w:val="left"/>
              <w:rPr>
                <w:rFonts w:asciiTheme="minorHAnsi" w:eastAsia="Calibri" w:hAnsiTheme="minorHAnsi" w:cstheme="minorHAnsi"/>
                <w:b/>
                <w:sz w:val="22"/>
                <w:szCs w:val="22"/>
                <w:lang w:eastAsia="en-US"/>
              </w:rPr>
            </w:pPr>
          </w:p>
        </w:tc>
      </w:tr>
      <w:tr w:rsidR="00D32383" w:rsidRPr="00CC1AEF" w:rsidTr="00683E60">
        <w:tc>
          <w:tcPr>
            <w:tcW w:w="1595" w:type="dxa"/>
          </w:tcPr>
          <w:p w:rsidR="00D32383" w:rsidRPr="00CC1AEF" w:rsidRDefault="006A74E0" w:rsidP="009973F6">
            <w:pPr>
              <w:jc w:val="center"/>
              <w:rPr>
                <w:rFonts w:asciiTheme="minorHAnsi" w:hAnsiTheme="minorHAnsi" w:cstheme="minorHAnsi"/>
                <w:b/>
                <w:sz w:val="22"/>
                <w:szCs w:val="22"/>
              </w:rPr>
            </w:pPr>
            <w:r>
              <w:rPr>
                <w:rFonts w:asciiTheme="minorHAnsi" w:hAnsiTheme="minorHAnsi" w:cstheme="minorHAnsi"/>
                <w:b/>
                <w:sz w:val="22"/>
                <w:szCs w:val="22"/>
              </w:rPr>
              <w:t>34-1</w:t>
            </w:r>
          </w:p>
        </w:tc>
        <w:tc>
          <w:tcPr>
            <w:tcW w:w="4979" w:type="dxa"/>
          </w:tcPr>
          <w:p w:rsidR="00D32383" w:rsidRPr="006A74E0" w:rsidRDefault="006A74E0" w:rsidP="006A74E0">
            <w:pPr>
              <w:rPr>
                <w:rFonts w:asciiTheme="minorHAnsi" w:hAnsiTheme="minorHAnsi" w:cstheme="minorHAnsi"/>
                <w:sz w:val="22"/>
                <w:szCs w:val="22"/>
              </w:rPr>
            </w:pPr>
            <w:r>
              <w:rPr>
                <w:rFonts w:asciiTheme="minorHAnsi" w:hAnsiTheme="minorHAnsi" w:cstheme="minorHAnsi"/>
                <w:sz w:val="22"/>
                <w:szCs w:val="22"/>
              </w:rPr>
              <w:t xml:space="preserve">L’accès des PSP tiers au site de banque en ligne du PSP se fait au moyen de certificats qualifiés de cachet électronique ou de certificats qualifiés d’authentification de site internet ? </w:t>
            </w:r>
          </w:p>
        </w:tc>
        <w:tc>
          <w:tcPr>
            <w:tcW w:w="1465" w:type="dxa"/>
          </w:tcPr>
          <w:p w:rsidR="00D32383" w:rsidRPr="00CC1AEF" w:rsidRDefault="00D32383" w:rsidP="009973F6">
            <w:pPr>
              <w:jc w:val="center"/>
              <w:rPr>
                <w:rFonts w:asciiTheme="minorHAnsi" w:hAnsiTheme="minorHAnsi" w:cstheme="minorHAnsi"/>
                <w:b/>
                <w:sz w:val="22"/>
                <w:szCs w:val="22"/>
              </w:rPr>
            </w:pPr>
          </w:p>
        </w:tc>
        <w:tc>
          <w:tcPr>
            <w:tcW w:w="6698" w:type="dxa"/>
          </w:tcPr>
          <w:p w:rsidR="00D32383" w:rsidRPr="00CC1AEF" w:rsidRDefault="00D32383">
            <w:pPr>
              <w:jc w:val="left"/>
              <w:rPr>
                <w:rFonts w:asciiTheme="minorHAnsi" w:eastAsia="Calibri" w:hAnsiTheme="minorHAnsi" w:cstheme="minorHAnsi"/>
                <w:b/>
                <w:sz w:val="22"/>
                <w:szCs w:val="22"/>
                <w:lang w:eastAsia="en-US"/>
              </w:rPr>
            </w:pPr>
          </w:p>
        </w:tc>
      </w:tr>
      <w:tr w:rsidR="00D32383" w:rsidRPr="00CC1AEF" w:rsidTr="00683E60">
        <w:tc>
          <w:tcPr>
            <w:tcW w:w="1595" w:type="dxa"/>
          </w:tcPr>
          <w:p w:rsidR="00D32383" w:rsidRPr="00CC1AEF" w:rsidRDefault="00E50B14" w:rsidP="009973F6">
            <w:pPr>
              <w:jc w:val="center"/>
              <w:rPr>
                <w:rFonts w:asciiTheme="minorHAnsi" w:hAnsiTheme="minorHAnsi" w:cstheme="minorHAnsi"/>
                <w:b/>
                <w:sz w:val="22"/>
                <w:szCs w:val="22"/>
              </w:rPr>
            </w:pPr>
            <w:r>
              <w:rPr>
                <w:rFonts w:asciiTheme="minorHAnsi" w:hAnsiTheme="minorHAnsi" w:cstheme="minorHAnsi"/>
                <w:b/>
                <w:sz w:val="22"/>
                <w:szCs w:val="22"/>
              </w:rPr>
              <w:t>35</w:t>
            </w:r>
            <w:r w:rsidR="00820175">
              <w:rPr>
                <w:rFonts w:asciiTheme="minorHAnsi" w:hAnsiTheme="minorHAnsi" w:cstheme="minorHAnsi"/>
                <w:b/>
                <w:sz w:val="22"/>
                <w:szCs w:val="22"/>
              </w:rPr>
              <w:t>-1</w:t>
            </w:r>
          </w:p>
        </w:tc>
        <w:tc>
          <w:tcPr>
            <w:tcW w:w="4979" w:type="dxa"/>
          </w:tcPr>
          <w:p w:rsidR="00D32383" w:rsidRPr="0054426A" w:rsidRDefault="00AC03A7" w:rsidP="00745F89">
            <w:pPr>
              <w:rPr>
                <w:rFonts w:asciiTheme="minorHAnsi" w:hAnsiTheme="minorHAnsi" w:cstheme="minorHAnsi"/>
                <w:sz w:val="22"/>
                <w:szCs w:val="22"/>
              </w:rPr>
            </w:pPr>
            <w:r>
              <w:rPr>
                <w:rFonts w:asciiTheme="minorHAnsi" w:hAnsiTheme="minorHAnsi" w:cstheme="minorHAnsi"/>
                <w:sz w:val="22"/>
                <w:szCs w:val="22"/>
              </w:rPr>
              <w:t xml:space="preserve">L’intégrité et la confidentialité des données de sécurité personnalisées et les codes d’authentification qui transitent par les flux de communication ou qui sont stockés dans les systèmes d’information du PSP sont-elles </w:t>
            </w:r>
            <w:r w:rsidR="00745F89">
              <w:rPr>
                <w:rFonts w:asciiTheme="minorHAnsi" w:hAnsiTheme="minorHAnsi" w:cstheme="minorHAnsi"/>
                <w:sz w:val="22"/>
                <w:szCs w:val="22"/>
              </w:rPr>
              <w:t>assurées ?</w:t>
            </w:r>
          </w:p>
        </w:tc>
        <w:tc>
          <w:tcPr>
            <w:tcW w:w="1465" w:type="dxa"/>
          </w:tcPr>
          <w:p w:rsidR="00D32383" w:rsidRPr="00CC1AEF" w:rsidRDefault="00D32383" w:rsidP="009973F6">
            <w:pPr>
              <w:jc w:val="center"/>
              <w:rPr>
                <w:rFonts w:asciiTheme="minorHAnsi" w:hAnsiTheme="minorHAnsi" w:cstheme="minorHAnsi"/>
                <w:b/>
                <w:sz w:val="22"/>
                <w:szCs w:val="22"/>
              </w:rPr>
            </w:pPr>
          </w:p>
        </w:tc>
        <w:tc>
          <w:tcPr>
            <w:tcW w:w="6698" w:type="dxa"/>
          </w:tcPr>
          <w:p w:rsidR="00D32383" w:rsidRPr="00CC1AEF" w:rsidRDefault="00D32383">
            <w:pPr>
              <w:jc w:val="left"/>
              <w:rPr>
                <w:rFonts w:asciiTheme="minorHAnsi" w:eastAsia="Calibri" w:hAnsiTheme="minorHAnsi" w:cstheme="minorHAnsi"/>
                <w:b/>
                <w:sz w:val="22"/>
                <w:szCs w:val="22"/>
                <w:lang w:eastAsia="en-US"/>
              </w:rPr>
            </w:pPr>
          </w:p>
        </w:tc>
      </w:tr>
      <w:tr w:rsidR="00820175" w:rsidRPr="00CC1AEF" w:rsidTr="00683E60">
        <w:tc>
          <w:tcPr>
            <w:tcW w:w="1595" w:type="dxa"/>
          </w:tcPr>
          <w:p w:rsidR="00820175" w:rsidRDefault="00820175" w:rsidP="009973F6">
            <w:pPr>
              <w:jc w:val="center"/>
              <w:rPr>
                <w:rFonts w:asciiTheme="minorHAnsi" w:hAnsiTheme="minorHAnsi" w:cstheme="minorHAnsi"/>
                <w:b/>
                <w:sz w:val="22"/>
                <w:szCs w:val="22"/>
              </w:rPr>
            </w:pPr>
            <w:r>
              <w:rPr>
                <w:rFonts w:asciiTheme="minorHAnsi" w:hAnsiTheme="minorHAnsi" w:cstheme="minorHAnsi"/>
                <w:b/>
                <w:sz w:val="22"/>
                <w:szCs w:val="22"/>
              </w:rPr>
              <w:t>35-5</w:t>
            </w:r>
          </w:p>
        </w:tc>
        <w:tc>
          <w:tcPr>
            <w:tcW w:w="4979" w:type="dxa"/>
          </w:tcPr>
          <w:p w:rsidR="00820175" w:rsidRDefault="00820175" w:rsidP="0054426A">
            <w:pPr>
              <w:rPr>
                <w:rFonts w:asciiTheme="minorHAnsi" w:hAnsiTheme="minorHAnsi" w:cstheme="minorHAnsi"/>
                <w:sz w:val="22"/>
                <w:szCs w:val="22"/>
              </w:rPr>
            </w:pPr>
            <w:r>
              <w:rPr>
                <w:rFonts w:asciiTheme="minorHAnsi" w:hAnsiTheme="minorHAnsi" w:cstheme="minorHAnsi"/>
                <w:sz w:val="22"/>
                <w:szCs w:val="22"/>
              </w:rPr>
              <w:t>Le PSP veille-t-il à ce que les données de sécurité personnalisées et les codes d’authentification qu’ils communiquent ne soient aucun moment lisibles directement ou indirectement par un membre du personnel ?</w:t>
            </w:r>
          </w:p>
        </w:tc>
        <w:tc>
          <w:tcPr>
            <w:tcW w:w="1465" w:type="dxa"/>
          </w:tcPr>
          <w:p w:rsidR="00820175" w:rsidRPr="00CC1AEF" w:rsidRDefault="00820175" w:rsidP="009973F6">
            <w:pPr>
              <w:jc w:val="center"/>
              <w:rPr>
                <w:rFonts w:asciiTheme="minorHAnsi" w:hAnsiTheme="minorHAnsi" w:cstheme="minorHAnsi"/>
                <w:b/>
                <w:sz w:val="22"/>
                <w:szCs w:val="22"/>
              </w:rPr>
            </w:pPr>
          </w:p>
        </w:tc>
        <w:tc>
          <w:tcPr>
            <w:tcW w:w="6698" w:type="dxa"/>
          </w:tcPr>
          <w:p w:rsidR="00820175" w:rsidRPr="00CC1AEF" w:rsidRDefault="00820175">
            <w:pPr>
              <w:jc w:val="left"/>
              <w:rPr>
                <w:rFonts w:asciiTheme="minorHAnsi" w:eastAsia="Calibri" w:hAnsiTheme="minorHAnsi" w:cstheme="minorHAnsi"/>
                <w:b/>
                <w:sz w:val="22"/>
                <w:szCs w:val="22"/>
                <w:lang w:eastAsia="en-US"/>
              </w:rPr>
            </w:pPr>
          </w:p>
        </w:tc>
      </w:tr>
      <w:tr w:rsidR="00D32383" w:rsidRPr="00CC1AEF" w:rsidTr="00683E60">
        <w:tc>
          <w:tcPr>
            <w:tcW w:w="1595" w:type="dxa"/>
          </w:tcPr>
          <w:p w:rsidR="00D32383" w:rsidRPr="00CC1AEF" w:rsidRDefault="00095155" w:rsidP="009973F6">
            <w:pPr>
              <w:jc w:val="center"/>
              <w:rPr>
                <w:rFonts w:asciiTheme="minorHAnsi" w:hAnsiTheme="minorHAnsi" w:cstheme="minorHAnsi"/>
                <w:b/>
                <w:sz w:val="22"/>
                <w:szCs w:val="22"/>
              </w:rPr>
            </w:pPr>
            <w:r>
              <w:rPr>
                <w:rFonts w:asciiTheme="minorHAnsi" w:hAnsiTheme="minorHAnsi" w:cstheme="minorHAnsi"/>
                <w:b/>
                <w:sz w:val="22"/>
                <w:szCs w:val="22"/>
              </w:rPr>
              <w:t>36</w:t>
            </w:r>
            <w:r w:rsidR="00471A43">
              <w:rPr>
                <w:rFonts w:asciiTheme="minorHAnsi" w:hAnsiTheme="minorHAnsi" w:cstheme="minorHAnsi"/>
                <w:b/>
                <w:sz w:val="22"/>
                <w:szCs w:val="22"/>
              </w:rPr>
              <w:t>-1</w:t>
            </w:r>
          </w:p>
        </w:tc>
        <w:tc>
          <w:tcPr>
            <w:tcW w:w="4979" w:type="dxa"/>
          </w:tcPr>
          <w:p w:rsidR="00D32383" w:rsidRPr="00471A43" w:rsidRDefault="00471A43" w:rsidP="00471A43">
            <w:pPr>
              <w:rPr>
                <w:rFonts w:asciiTheme="minorHAnsi" w:hAnsiTheme="minorHAnsi" w:cstheme="minorHAnsi"/>
                <w:sz w:val="22"/>
                <w:szCs w:val="22"/>
              </w:rPr>
            </w:pPr>
            <w:r w:rsidRPr="00471A43">
              <w:rPr>
                <w:rFonts w:asciiTheme="minorHAnsi" w:hAnsiTheme="minorHAnsi" w:cstheme="minorHAnsi"/>
                <w:sz w:val="22"/>
                <w:szCs w:val="22"/>
              </w:rPr>
              <w:t>Le PSP respecte-t-il les exigences listées ci-après ?</w:t>
            </w:r>
          </w:p>
          <w:p w:rsidR="00BB0EC2" w:rsidRDefault="00471A43" w:rsidP="00471A43">
            <w:pPr>
              <w:pStyle w:val="Paragraphedeliste"/>
              <w:numPr>
                <w:ilvl w:val="0"/>
                <w:numId w:val="119"/>
              </w:numPr>
              <w:rPr>
                <w:rFonts w:asciiTheme="minorHAnsi" w:hAnsiTheme="minorHAnsi" w:cstheme="minorHAnsi"/>
                <w:szCs w:val="22"/>
              </w:rPr>
            </w:pPr>
            <w:r w:rsidRPr="00471A43">
              <w:rPr>
                <w:rFonts w:asciiTheme="minorHAnsi" w:hAnsiTheme="minorHAnsi" w:cstheme="minorHAnsi"/>
                <w:szCs w:val="22"/>
              </w:rPr>
              <w:t>il fourni</w:t>
            </w:r>
            <w:r>
              <w:rPr>
                <w:rFonts w:asciiTheme="minorHAnsi" w:hAnsiTheme="minorHAnsi" w:cstheme="minorHAnsi"/>
                <w:szCs w:val="22"/>
              </w:rPr>
              <w:t>t</w:t>
            </w:r>
            <w:r w:rsidRPr="00471A43">
              <w:rPr>
                <w:rFonts w:asciiTheme="minorHAnsi" w:hAnsiTheme="minorHAnsi" w:cstheme="minorHAnsi"/>
                <w:szCs w:val="22"/>
              </w:rPr>
              <w:t xml:space="preserve"> aux </w:t>
            </w:r>
            <w:r w:rsidR="00BB0EC2">
              <w:rPr>
                <w:rFonts w:asciiTheme="minorHAnsi" w:hAnsiTheme="minorHAnsi" w:cstheme="minorHAnsi"/>
                <w:szCs w:val="22"/>
              </w:rPr>
              <w:t>PSP tiers les</w:t>
            </w:r>
            <w:r w:rsidRPr="00471A43">
              <w:rPr>
                <w:rFonts w:asciiTheme="minorHAnsi" w:hAnsiTheme="minorHAnsi" w:cstheme="minorHAnsi"/>
                <w:szCs w:val="22"/>
              </w:rPr>
              <w:t xml:space="preserve"> mêmes informations provenant des comptes de paiement désignés et des opérations de paiement associées que celles </w:t>
            </w:r>
            <w:r w:rsidRPr="00471A43">
              <w:rPr>
                <w:rFonts w:asciiTheme="minorHAnsi" w:hAnsiTheme="minorHAnsi" w:cstheme="minorHAnsi"/>
                <w:szCs w:val="22"/>
              </w:rPr>
              <w:lastRenderedPageBreak/>
              <w:t>qui sont mises à la disposition de l'utilisateur de services de paiement en cas de demande directe d'accès aux informations sur le compte, pour autant que ces informations ne comportent pas de données de paiement sensibles</w:t>
            </w:r>
          </w:p>
          <w:p w:rsidR="00471A43" w:rsidRDefault="00462A8D" w:rsidP="00471A43">
            <w:pPr>
              <w:pStyle w:val="Paragraphedeliste"/>
              <w:numPr>
                <w:ilvl w:val="0"/>
                <w:numId w:val="119"/>
              </w:numPr>
              <w:rPr>
                <w:rFonts w:asciiTheme="minorHAnsi" w:hAnsiTheme="minorHAnsi" w:cstheme="minorHAnsi"/>
                <w:szCs w:val="22"/>
              </w:rPr>
            </w:pPr>
            <w:r>
              <w:rPr>
                <w:rFonts w:asciiTheme="minorHAnsi" w:hAnsiTheme="minorHAnsi" w:cstheme="minorHAnsi"/>
                <w:szCs w:val="22"/>
              </w:rPr>
              <w:t>i</w:t>
            </w:r>
            <w:r w:rsidR="00BB0EC2" w:rsidRPr="00471A43">
              <w:rPr>
                <w:rFonts w:asciiTheme="minorHAnsi" w:hAnsiTheme="minorHAnsi" w:cstheme="minorHAnsi"/>
                <w:szCs w:val="22"/>
              </w:rPr>
              <w:t>mmédiatement</w:t>
            </w:r>
            <w:r w:rsidR="00471A43" w:rsidRPr="00471A43">
              <w:rPr>
                <w:rFonts w:asciiTheme="minorHAnsi" w:hAnsiTheme="minorHAnsi" w:cstheme="minorHAnsi"/>
                <w:szCs w:val="22"/>
              </w:rPr>
              <w:t xml:space="preserve"> après avoir reçu l'ordre de paiement, ils fournissent aux </w:t>
            </w:r>
            <w:r w:rsidR="00BB0EC2">
              <w:rPr>
                <w:rFonts w:asciiTheme="minorHAnsi" w:hAnsiTheme="minorHAnsi" w:cstheme="minorHAnsi"/>
                <w:szCs w:val="22"/>
              </w:rPr>
              <w:t>PSP tiers</w:t>
            </w:r>
            <w:r w:rsidR="00471A43" w:rsidRPr="00471A43">
              <w:rPr>
                <w:rFonts w:asciiTheme="minorHAnsi" w:hAnsiTheme="minorHAnsi" w:cstheme="minorHAnsi"/>
                <w:szCs w:val="22"/>
              </w:rPr>
              <w:t xml:space="preserve"> les mêmes informations sur l'initiation et l'exécution de l'opération de paiement que celles qui sont fournies ou mises à la disposition de l'utilisateur de services de paiement lorsque ce dernier initie directement l'opération</w:t>
            </w:r>
            <w:r w:rsidR="00471A43">
              <w:rPr>
                <w:rFonts w:asciiTheme="minorHAnsi" w:hAnsiTheme="minorHAnsi" w:cstheme="minorHAnsi"/>
                <w:szCs w:val="22"/>
              </w:rPr>
              <w:t> ;</w:t>
            </w:r>
          </w:p>
          <w:p w:rsidR="00471A43" w:rsidRPr="00A85C3C" w:rsidRDefault="00471A43" w:rsidP="00A85C3C">
            <w:pPr>
              <w:pStyle w:val="Paragraphedeliste"/>
              <w:numPr>
                <w:ilvl w:val="0"/>
                <w:numId w:val="119"/>
              </w:numPr>
              <w:rPr>
                <w:rFonts w:asciiTheme="minorHAnsi" w:hAnsiTheme="minorHAnsi" w:cstheme="minorHAnsi"/>
                <w:szCs w:val="22"/>
              </w:rPr>
            </w:pPr>
            <w:r w:rsidRPr="00471A43">
              <w:rPr>
                <w:rFonts w:asciiTheme="minorHAnsi" w:hAnsiTheme="minorHAnsi" w:cstheme="minorHAnsi"/>
                <w:szCs w:val="22"/>
              </w:rPr>
              <w:t xml:space="preserve">sur demande, il fournit immédiatement aux </w:t>
            </w:r>
            <w:r w:rsidR="00BB0EC2">
              <w:rPr>
                <w:rFonts w:asciiTheme="minorHAnsi" w:hAnsiTheme="minorHAnsi" w:cstheme="minorHAnsi"/>
                <w:szCs w:val="22"/>
              </w:rPr>
              <w:t>PSP tiers</w:t>
            </w:r>
            <w:r w:rsidRPr="00471A43">
              <w:rPr>
                <w:rFonts w:asciiTheme="minorHAnsi" w:hAnsiTheme="minorHAnsi" w:cstheme="minorHAnsi"/>
                <w:szCs w:val="22"/>
              </w:rPr>
              <w:t>, sous la forme d'un simple «oui» ou «non», que le montant nécessaire à l'exécution d'une opération de paiement est disponible ou non sur le compte de paiement du payeur.</w:t>
            </w:r>
          </w:p>
        </w:tc>
        <w:tc>
          <w:tcPr>
            <w:tcW w:w="1465" w:type="dxa"/>
          </w:tcPr>
          <w:p w:rsidR="00D32383" w:rsidRPr="00CC1AEF" w:rsidRDefault="00D32383" w:rsidP="009973F6">
            <w:pPr>
              <w:jc w:val="center"/>
              <w:rPr>
                <w:rFonts w:asciiTheme="minorHAnsi" w:hAnsiTheme="minorHAnsi" w:cstheme="minorHAnsi"/>
                <w:b/>
                <w:sz w:val="22"/>
                <w:szCs w:val="22"/>
              </w:rPr>
            </w:pPr>
          </w:p>
        </w:tc>
        <w:tc>
          <w:tcPr>
            <w:tcW w:w="6698" w:type="dxa"/>
          </w:tcPr>
          <w:p w:rsidR="00D32383" w:rsidRPr="00CC1AEF" w:rsidRDefault="00D32383">
            <w:pPr>
              <w:jc w:val="left"/>
              <w:rPr>
                <w:rFonts w:asciiTheme="minorHAnsi" w:eastAsia="Calibri" w:hAnsiTheme="minorHAnsi" w:cstheme="minorHAnsi"/>
                <w:b/>
                <w:sz w:val="22"/>
                <w:szCs w:val="22"/>
                <w:lang w:eastAsia="en-US"/>
              </w:rPr>
            </w:pPr>
          </w:p>
        </w:tc>
      </w:tr>
      <w:tr w:rsidR="00095155" w:rsidRPr="00CC1AEF" w:rsidTr="00683E60">
        <w:tc>
          <w:tcPr>
            <w:tcW w:w="1595" w:type="dxa"/>
          </w:tcPr>
          <w:p w:rsidR="00095155" w:rsidRPr="00CC1AEF" w:rsidRDefault="00471A43" w:rsidP="009973F6">
            <w:pPr>
              <w:jc w:val="center"/>
              <w:rPr>
                <w:rFonts w:asciiTheme="minorHAnsi" w:hAnsiTheme="minorHAnsi" w:cstheme="minorHAnsi"/>
                <w:b/>
                <w:sz w:val="22"/>
                <w:szCs w:val="22"/>
              </w:rPr>
            </w:pPr>
            <w:r>
              <w:rPr>
                <w:rFonts w:asciiTheme="minorHAnsi" w:hAnsiTheme="minorHAnsi" w:cstheme="minorHAnsi"/>
                <w:b/>
                <w:sz w:val="22"/>
                <w:szCs w:val="22"/>
              </w:rPr>
              <w:t>36-2</w:t>
            </w:r>
          </w:p>
        </w:tc>
        <w:tc>
          <w:tcPr>
            <w:tcW w:w="4979" w:type="dxa"/>
          </w:tcPr>
          <w:p w:rsidR="00095155" w:rsidRPr="00471A43" w:rsidRDefault="00471A43" w:rsidP="00471A43">
            <w:pPr>
              <w:rPr>
                <w:rFonts w:asciiTheme="minorHAnsi" w:hAnsiTheme="minorHAnsi" w:cstheme="minorHAnsi"/>
                <w:sz w:val="22"/>
                <w:szCs w:val="22"/>
              </w:rPr>
            </w:pPr>
            <w:r w:rsidRPr="00471A43">
              <w:rPr>
                <w:rFonts w:asciiTheme="minorHAnsi" w:hAnsiTheme="minorHAnsi" w:cstheme="minorHAnsi"/>
                <w:sz w:val="22"/>
                <w:szCs w:val="22"/>
              </w:rPr>
              <w:t>En cas d'erreur ou d'événement imprévu au cours de la procédure d'identification ou d'authentification ou lors de l'échan</w:t>
            </w:r>
            <w:r>
              <w:rPr>
                <w:rFonts w:asciiTheme="minorHAnsi" w:hAnsiTheme="minorHAnsi" w:cstheme="minorHAnsi"/>
                <w:sz w:val="22"/>
                <w:szCs w:val="22"/>
              </w:rPr>
              <w:t>ge d'éléments d'information, les procédures du PSP prévoient-elles l’</w:t>
            </w:r>
            <w:r w:rsidRPr="00471A43">
              <w:rPr>
                <w:rFonts w:asciiTheme="minorHAnsi" w:hAnsiTheme="minorHAnsi" w:cstheme="minorHAnsi"/>
                <w:sz w:val="22"/>
                <w:szCs w:val="22"/>
              </w:rPr>
              <w:t>envoi</w:t>
            </w:r>
            <w:r>
              <w:rPr>
                <w:rFonts w:asciiTheme="minorHAnsi" w:hAnsiTheme="minorHAnsi" w:cstheme="minorHAnsi"/>
                <w:sz w:val="22"/>
                <w:szCs w:val="22"/>
              </w:rPr>
              <w:t xml:space="preserve"> d’un message de notification aux PSP tiers, en </w:t>
            </w:r>
            <w:r w:rsidRPr="00471A43">
              <w:rPr>
                <w:rFonts w:asciiTheme="minorHAnsi" w:hAnsiTheme="minorHAnsi" w:cstheme="minorHAnsi"/>
                <w:sz w:val="22"/>
                <w:szCs w:val="22"/>
              </w:rPr>
              <w:t>indiquant les raisons de l'erreur ou de l'événement imprévu</w:t>
            </w:r>
            <w:r w:rsidR="00BB0EC2">
              <w:rPr>
                <w:rFonts w:asciiTheme="minorHAnsi" w:hAnsiTheme="minorHAnsi" w:cstheme="minorHAnsi"/>
                <w:sz w:val="22"/>
                <w:szCs w:val="22"/>
              </w:rPr>
              <w:t> ?</w:t>
            </w:r>
          </w:p>
        </w:tc>
        <w:tc>
          <w:tcPr>
            <w:tcW w:w="1465" w:type="dxa"/>
          </w:tcPr>
          <w:p w:rsidR="00095155" w:rsidRPr="00CC1AEF" w:rsidRDefault="00095155" w:rsidP="009973F6">
            <w:pPr>
              <w:jc w:val="center"/>
              <w:rPr>
                <w:rFonts w:asciiTheme="minorHAnsi" w:hAnsiTheme="minorHAnsi" w:cstheme="minorHAnsi"/>
                <w:b/>
                <w:sz w:val="22"/>
                <w:szCs w:val="22"/>
              </w:rPr>
            </w:pPr>
          </w:p>
        </w:tc>
        <w:tc>
          <w:tcPr>
            <w:tcW w:w="6698" w:type="dxa"/>
          </w:tcPr>
          <w:p w:rsidR="00095155" w:rsidRPr="00CC1AEF" w:rsidRDefault="00095155">
            <w:pPr>
              <w:jc w:val="left"/>
              <w:rPr>
                <w:rFonts w:asciiTheme="minorHAnsi" w:eastAsia="Calibri" w:hAnsiTheme="minorHAnsi" w:cstheme="minorHAnsi"/>
                <w:b/>
                <w:sz w:val="22"/>
                <w:szCs w:val="22"/>
                <w:lang w:eastAsia="en-US"/>
              </w:rPr>
            </w:pPr>
          </w:p>
        </w:tc>
      </w:tr>
      <w:tr w:rsidR="007952FB" w:rsidRPr="00CC1AEF" w:rsidTr="007952FB">
        <w:tc>
          <w:tcPr>
            <w:tcW w:w="14737" w:type="dxa"/>
            <w:gridSpan w:val="4"/>
            <w:shd w:val="clear" w:color="auto" w:fill="C2D69B" w:themeFill="accent3" w:themeFillTint="99"/>
          </w:tcPr>
          <w:p w:rsidR="007952FB" w:rsidRPr="00CC1AEF" w:rsidRDefault="007952FB" w:rsidP="00943FA1">
            <w:pP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Applicables par le PSP gestionnaire de comptes en cas de mise en œuvre d’une </w:t>
            </w:r>
            <w:r w:rsidR="00943FA1">
              <w:rPr>
                <w:rFonts w:asciiTheme="minorHAnsi" w:eastAsia="Calibri" w:hAnsiTheme="minorHAnsi" w:cstheme="minorHAnsi"/>
                <w:b/>
                <w:sz w:val="22"/>
                <w:szCs w:val="22"/>
                <w:lang w:eastAsia="en-US"/>
              </w:rPr>
              <w:t>interface d’accès</w:t>
            </w:r>
            <w:r>
              <w:rPr>
                <w:rFonts w:asciiTheme="minorHAnsi" w:eastAsia="Calibri" w:hAnsiTheme="minorHAnsi" w:cstheme="minorHAnsi"/>
                <w:b/>
                <w:sz w:val="22"/>
                <w:szCs w:val="22"/>
                <w:lang w:eastAsia="en-US"/>
              </w:rPr>
              <w:t xml:space="preserve"> dédiée </w:t>
            </w:r>
            <w:r w:rsidR="00943FA1">
              <w:rPr>
                <w:rFonts w:asciiTheme="minorHAnsi" w:eastAsia="Calibri" w:hAnsiTheme="minorHAnsi" w:cstheme="minorHAnsi"/>
                <w:b/>
                <w:sz w:val="22"/>
                <w:szCs w:val="22"/>
                <w:lang w:eastAsia="en-US"/>
              </w:rPr>
              <w:t xml:space="preserve">et </w:t>
            </w:r>
            <w:r>
              <w:rPr>
                <w:rFonts w:asciiTheme="minorHAnsi" w:eastAsia="Calibri" w:hAnsiTheme="minorHAnsi" w:cstheme="minorHAnsi"/>
                <w:b/>
                <w:sz w:val="22"/>
                <w:szCs w:val="22"/>
                <w:lang w:eastAsia="en-US"/>
              </w:rPr>
              <w:t>dotée d’un mécanisme de secours  (accès banque en ligne avec authentification du tiers)</w:t>
            </w:r>
          </w:p>
        </w:tc>
      </w:tr>
      <w:tr w:rsidR="00943FA1" w:rsidRPr="00CC1AEF" w:rsidTr="00683E60">
        <w:tc>
          <w:tcPr>
            <w:tcW w:w="1595" w:type="dxa"/>
          </w:tcPr>
          <w:p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29</w:t>
            </w:r>
          </w:p>
          <w:p w:rsidR="00943FA1" w:rsidRPr="00CC1AEF" w:rsidRDefault="00943FA1" w:rsidP="00943FA1">
            <w:pPr>
              <w:jc w:val="center"/>
              <w:rPr>
                <w:rFonts w:asciiTheme="minorHAnsi" w:hAnsiTheme="minorHAnsi" w:cstheme="minorHAnsi"/>
                <w:b/>
                <w:sz w:val="22"/>
                <w:szCs w:val="22"/>
              </w:rPr>
            </w:pPr>
          </w:p>
        </w:tc>
        <w:tc>
          <w:tcPr>
            <w:tcW w:w="4979" w:type="dxa"/>
          </w:tcPr>
          <w:p w:rsidR="00943FA1" w:rsidRPr="00CC1AEF" w:rsidRDefault="00943FA1" w:rsidP="00943FA1">
            <w:pPr>
              <w:rPr>
                <w:rFonts w:asciiTheme="minorHAnsi" w:hAnsiTheme="minorHAnsi" w:cstheme="minorHAnsi"/>
                <w:b/>
                <w:sz w:val="22"/>
                <w:szCs w:val="22"/>
              </w:rPr>
            </w:pPr>
            <w:r>
              <w:rPr>
                <w:rFonts w:asciiTheme="minorHAnsi" w:hAnsiTheme="minorHAnsi" w:cstheme="minorHAnsi"/>
                <w:sz w:val="22"/>
                <w:szCs w:val="22"/>
              </w:rPr>
              <w:t>Le PSP veille-t-il à ce que l’ensemble des opérations (authentification, consultation et initiation de paiement)  avec l’utilisateur du service de paiement, y compris des commerçants, d’autres PSP et d’autres entités soient bien tracées avec des identifiants  uniques,  non prédictibles et  horodatées ?</w:t>
            </w:r>
          </w:p>
        </w:tc>
        <w:tc>
          <w:tcPr>
            <w:tcW w:w="1465" w:type="dxa"/>
          </w:tcPr>
          <w:p w:rsidR="00943FA1" w:rsidRPr="00CC1AEF" w:rsidRDefault="00943FA1" w:rsidP="00943FA1">
            <w:pPr>
              <w:jc w:val="center"/>
              <w:rPr>
                <w:rFonts w:asciiTheme="minorHAnsi" w:hAnsiTheme="minorHAnsi" w:cstheme="minorHAnsi"/>
                <w:b/>
                <w:sz w:val="22"/>
                <w:szCs w:val="22"/>
              </w:rPr>
            </w:pPr>
          </w:p>
        </w:tc>
        <w:tc>
          <w:tcPr>
            <w:tcW w:w="6698" w:type="dxa"/>
          </w:tcPr>
          <w:p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rsidTr="00683E60">
        <w:tc>
          <w:tcPr>
            <w:tcW w:w="1595" w:type="dxa"/>
          </w:tcPr>
          <w:p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30-1</w:t>
            </w:r>
          </w:p>
        </w:tc>
        <w:tc>
          <w:tcPr>
            <w:tcW w:w="4979" w:type="dxa"/>
          </w:tcPr>
          <w:p w:rsidR="00943FA1" w:rsidRPr="00080007" w:rsidRDefault="00943FA1" w:rsidP="00943FA1">
            <w:pPr>
              <w:rPr>
                <w:rFonts w:asciiTheme="minorHAnsi" w:hAnsiTheme="minorHAnsi" w:cstheme="minorHAnsi"/>
                <w:sz w:val="22"/>
                <w:szCs w:val="22"/>
              </w:rPr>
            </w:pPr>
            <w:r w:rsidRPr="00080007">
              <w:rPr>
                <w:rFonts w:asciiTheme="minorHAnsi" w:hAnsiTheme="minorHAnsi" w:cstheme="minorHAnsi"/>
                <w:sz w:val="22"/>
                <w:szCs w:val="22"/>
              </w:rPr>
              <w:t>Le PSP a-t-il mis à disposition des PSP tiers une interface d’accès qui respecte les exigences listées ci-après :</w:t>
            </w:r>
          </w:p>
          <w:p w:rsidR="00943FA1" w:rsidRPr="00080007" w:rsidRDefault="00943FA1" w:rsidP="00943FA1">
            <w:pPr>
              <w:pStyle w:val="Paragraphedeliste"/>
              <w:numPr>
                <w:ilvl w:val="0"/>
                <w:numId w:val="119"/>
              </w:numPr>
              <w:rPr>
                <w:rFonts w:asciiTheme="minorHAnsi" w:hAnsiTheme="minorHAnsi" w:cstheme="minorHAnsi"/>
                <w:szCs w:val="22"/>
              </w:rPr>
            </w:pPr>
            <w:r w:rsidRPr="00080007">
              <w:rPr>
                <w:rFonts w:asciiTheme="minorHAnsi" w:hAnsiTheme="minorHAnsi" w:cstheme="minorHAnsi"/>
                <w:szCs w:val="22"/>
              </w:rPr>
              <w:lastRenderedPageBreak/>
              <w:t>les PSP tiers sont en mesure de s’identifier auprès du PSP ;</w:t>
            </w:r>
          </w:p>
          <w:p w:rsidR="00943FA1" w:rsidRPr="00A85C3C" w:rsidRDefault="00943FA1" w:rsidP="00A85C3C">
            <w:pPr>
              <w:pStyle w:val="Paragraphedeliste"/>
              <w:numPr>
                <w:ilvl w:val="0"/>
                <w:numId w:val="119"/>
              </w:numPr>
              <w:rPr>
                <w:rFonts w:asciiTheme="minorHAnsi" w:hAnsiTheme="minorHAnsi" w:cstheme="minorHAnsi"/>
                <w:szCs w:val="22"/>
              </w:rPr>
            </w:pPr>
            <w:r w:rsidRPr="00A85C3C">
              <w:rPr>
                <w:rFonts w:asciiTheme="minorHAnsi" w:hAnsiTheme="minorHAnsi" w:cstheme="minorHAnsi"/>
                <w:szCs w:val="22"/>
              </w:rPr>
              <w:t>les PSP tiers sont en mesure de communiquer de manière sécurisée avec le PSP pour exécuter leurs services de paiement.</w:t>
            </w:r>
          </w:p>
        </w:tc>
        <w:tc>
          <w:tcPr>
            <w:tcW w:w="1465" w:type="dxa"/>
          </w:tcPr>
          <w:p w:rsidR="00943FA1" w:rsidRPr="00CC1AEF" w:rsidRDefault="00943FA1" w:rsidP="00943FA1">
            <w:pPr>
              <w:jc w:val="center"/>
              <w:rPr>
                <w:rFonts w:asciiTheme="minorHAnsi" w:hAnsiTheme="minorHAnsi" w:cstheme="minorHAnsi"/>
                <w:b/>
                <w:sz w:val="22"/>
                <w:szCs w:val="22"/>
              </w:rPr>
            </w:pPr>
          </w:p>
        </w:tc>
        <w:tc>
          <w:tcPr>
            <w:tcW w:w="6698" w:type="dxa"/>
          </w:tcPr>
          <w:p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rsidTr="00683E60">
        <w:tc>
          <w:tcPr>
            <w:tcW w:w="1595" w:type="dxa"/>
          </w:tcPr>
          <w:p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30-2</w:t>
            </w:r>
          </w:p>
        </w:tc>
        <w:tc>
          <w:tcPr>
            <w:tcW w:w="4979" w:type="dxa"/>
          </w:tcPr>
          <w:p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Le PSP r</w:t>
            </w:r>
            <w:r w:rsidRPr="00266D56">
              <w:rPr>
                <w:rFonts w:asciiTheme="minorHAnsi" w:hAnsiTheme="minorHAnsi" w:cstheme="minorHAnsi"/>
                <w:sz w:val="22"/>
                <w:szCs w:val="22"/>
              </w:rPr>
              <w:t>end</w:t>
            </w:r>
            <w:r>
              <w:rPr>
                <w:rFonts w:asciiTheme="minorHAnsi" w:hAnsiTheme="minorHAnsi" w:cstheme="minorHAnsi"/>
                <w:sz w:val="22"/>
                <w:szCs w:val="22"/>
              </w:rPr>
              <w:t>-t-il</w:t>
            </w:r>
            <w:r w:rsidRPr="00266D56">
              <w:rPr>
                <w:rFonts w:asciiTheme="minorHAnsi" w:hAnsiTheme="minorHAnsi" w:cstheme="minorHAnsi"/>
                <w:sz w:val="22"/>
                <w:szCs w:val="22"/>
              </w:rPr>
              <w:t xml:space="preserve"> l’ensemble des procédures d’authentification proposées aux utilisateurs de services de paiement utilisable</w:t>
            </w:r>
            <w:r w:rsidR="00462A8D">
              <w:rPr>
                <w:rFonts w:asciiTheme="minorHAnsi" w:hAnsiTheme="minorHAnsi" w:cstheme="minorHAnsi"/>
                <w:sz w:val="22"/>
                <w:szCs w:val="22"/>
              </w:rPr>
              <w:t>s</w:t>
            </w:r>
            <w:r w:rsidRPr="00266D56">
              <w:rPr>
                <w:rFonts w:asciiTheme="minorHAnsi" w:hAnsiTheme="minorHAnsi" w:cstheme="minorHAnsi"/>
                <w:sz w:val="22"/>
                <w:szCs w:val="22"/>
              </w:rPr>
              <w:t xml:space="preserve"> par les PSP tiers aux fins de l’authentification des utilisateurs de services de paiement</w:t>
            </w:r>
            <w:r>
              <w:rPr>
                <w:rFonts w:asciiTheme="minorHAnsi" w:hAnsiTheme="minorHAnsi" w:cstheme="minorHAnsi"/>
                <w:sz w:val="22"/>
                <w:szCs w:val="22"/>
              </w:rPr>
              <w:t> ?</w:t>
            </w:r>
          </w:p>
        </w:tc>
        <w:tc>
          <w:tcPr>
            <w:tcW w:w="1465" w:type="dxa"/>
          </w:tcPr>
          <w:p w:rsidR="00943FA1" w:rsidRPr="00CC1AEF" w:rsidRDefault="00943FA1" w:rsidP="00943FA1">
            <w:pPr>
              <w:jc w:val="center"/>
              <w:rPr>
                <w:rFonts w:asciiTheme="minorHAnsi" w:hAnsiTheme="minorHAnsi" w:cstheme="minorHAnsi"/>
                <w:b/>
                <w:sz w:val="22"/>
                <w:szCs w:val="22"/>
              </w:rPr>
            </w:pPr>
          </w:p>
        </w:tc>
        <w:tc>
          <w:tcPr>
            <w:tcW w:w="6698" w:type="dxa"/>
          </w:tcPr>
          <w:p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rsidTr="00683E60">
        <w:tc>
          <w:tcPr>
            <w:tcW w:w="1595" w:type="dxa"/>
          </w:tcPr>
          <w:p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30-2-a-b</w:t>
            </w:r>
          </w:p>
        </w:tc>
        <w:tc>
          <w:tcPr>
            <w:tcW w:w="4979" w:type="dxa"/>
          </w:tcPr>
          <w:p w:rsidR="00943FA1" w:rsidRDefault="00943FA1" w:rsidP="00943FA1">
            <w:pPr>
              <w:rPr>
                <w:rFonts w:asciiTheme="minorHAnsi" w:hAnsiTheme="minorHAnsi" w:cstheme="minorHAnsi"/>
                <w:sz w:val="22"/>
                <w:szCs w:val="22"/>
              </w:rPr>
            </w:pPr>
            <w:r>
              <w:rPr>
                <w:rFonts w:asciiTheme="minorHAnsi" w:hAnsiTheme="minorHAnsi" w:cstheme="minorHAnsi"/>
                <w:sz w:val="22"/>
                <w:szCs w:val="22"/>
              </w:rPr>
              <w:t>L’interface d’accès du PSP respecte-t-elle les exigences listées ci-après ?</w:t>
            </w:r>
          </w:p>
          <w:p w:rsidR="00943FA1" w:rsidRDefault="00943FA1" w:rsidP="00943FA1">
            <w:pPr>
              <w:rPr>
                <w:rFonts w:asciiTheme="minorHAnsi" w:hAnsiTheme="minorHAnsi" w:cstheme="minorHAnsi"/>
                <w:sz w:val="22"/>
                <w:szCs w:val="22"/>
              </w:rPr>
            </w:pPr>
            <w:r>
              <w:rPr>
                <w:rFonts w:asciiTheme="minorHAnsi" w:hAnsiTheme="minorHAnsi" w:cstheme="minorHAnsi"/>
                <w:sz w:val="22"/>
                <w:szCs w:val="22"/>
              </w:rPr>
              <w:t xml:space="preserve">- le PSP est </w:t>
            </w:r>
            <w:r w:rsidRPr="00266D56">
              <w:rPr>
                <w:rFonts w:asciiTheme="minorHAnsi" w:hAnsiTheme="minorHAnsi" w:cstheme="minorHAnsi"/>
                <w:sz w:val="22"/>
                <w:szCs w:val="22"/>
              </w:rPr>
              <w:t xml:space="preserve">en capacité de commencer l’authentification forte sur la requête d’un </w:t>
            </w:r>
            <w:r>
              <w:rPr>
                <w:rFonts w:asciiTheme="minorHAnsi" w:hAnsiTheme="minorHAnsi" w:cstheme="minorHAnsi"/>
                <w:sz w:val="22"/>
                <w:szCs w:val="22"/>
              </w:rPr>
              <w:t>PSP tiers</w:t>
            </w:r>
            <w:r w:rsidRPr="00266D56">
              <w:rPr>
                <w:rFonts w:asciiTheme="minorHAnsi" w:hAnsiTheme="minorHAnsi" w:cstheme="minorHAnsi"/>
                <w:sz w:val="22"/>
                <w:szCs w:val="22"/>
              </w:rPr>
              <w:t xml:space="preserve"> qui a préalablement recueilli l</w:t>
            </w:r>
            <w:r>
              <w:rPr>
                <w:rFonts w:asciiTheme="minorHAnsi" w:hAnsiTheme="minorHAnsi" w:cstheme="minorHAnsi"/>
                <w:sz w:val="22"/>
                <w:szCs w:val="22"/>
              </w:rPr>
              <w:t>e consentement de l’utilisateur ;</w:t>
            </w:r>
          </w:p>
          <w:p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 l</w:t>
            </w:r>
            <w:r w:rsidRPr="00266D56">
              <w:rPr>
                <w:rFonts w:asciiTheme="minorHAnsi" w:hAnsiTheme="minorHAnsi" w:cstheme="minorHAnsi"/>
                <w:sz w:val="22"/>
                <w:szCs w:val="22"/>
              </w:rPr>
              <w:t xml:space="preserve">es sessions de communication entre le </w:t>
            </w:r>
            <w:r>
              <w:rPr>
                <w:rFonts w:asciiTheme="minorHAnsi" w:hAnsiTheme="minorHAnsi" w:cstheme="minorHAnsi"/>
                <w:sz w:val="22"/>
                <w:szCs w:val="22"/>
              </w:rPr>
              <w:t>PSP et les PSP tiers</w:t>
            </w:r>
            <w:r w:rsidRPr="00266D56">
              <w:rPr>
                <w:rFonts w:asciiTheme="minorHAnsi" w:hAnsiTheme="minorHAnsi" w:cstheme="minorHAnsi"/>
                <w:sz w:val="22"/>
                <w:szCs w:val="22"/>
              </w:rPr>
              <w:t xml:space="preserve"> sont établies et maintenues tout au long de l'authentification.</w:t>
            </w:r>
          </w:p>
        </w:tc>
        <w:tc>
          <w:tcPr>
            <w:tcW w:w="1465" w:type="dxa"/>
          </w:tcPr>
          <w:p w:rsidR="00943FA1" w:rsidRPr="00CC1AEF" w:rsidRDefault="00943FA1" w:rsidP="00943FA1">
            <w:pPr>
              <w:jc w:val="center"/>
              <w:rPr>
                <w:rFonts w:asciiTheme="minorHAnsi" w:hAnsiTheme="minorHAnsi" w:cstheme="minorHAnsi"/>
                <w:b/>
                <w:sz w:val="22"/>
                <w:szCs w:val="22"/>
              </w:rPr>
            </w:pPr>
          </w:p>
        </w:tc>
        <w:tc>
          <w:tcPr>
            <w:tcW w:w="6698" w:type="dxa"/>
          </w:tcPr>
          <w:p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rsidTr="00683E60">
        <w:tc>
          <w:tcPr>
            <w:tcW w:w="1595" w:type="dxa"/>
          </w:tcPr>
          <w:p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30-3</w:t>
            </w:r>
          </w:p>
        </w:tc>
        <w:tc>
          <w:tcPr>
            <w:tcW w:w="4979" w:type="dxa"/>
          </w:tcPr>
          <w:p w:rsidR="00943FA1" w:rsidRDefault="00943FA1" w:rsidP="00943FA1">
            <w:pPr>
              <w:rPr>
                <w:rFonts w:asciiTheme="minorHAnsi" w:hAnsiTheme="minorHAnsi" w:cstheme="minorHAnsi"/>
                <w:sz w:val="22"/>
                <w:szCs w:val="22"/>
              </w:rPr>
            </w:pPr>
            <w:r>
              <w:rPr>
                <w:rFonts w:asciiTheme="minorHAnsi" w:hAnsiTheme="minorHAnsi" w:cstheme="minorHAnsi"/>
                <w:sz w:val="22"/>
                <w:szCs w:val="22"/>
              </w:rPr>
              <w:t xml:space="preserve">Le PSP veille-t-il à ce </w:t>
            </w:r>
            <w:r w:rsidR="009F4339">
              <w:rPr>
                <w:rFonts w:asciiTheme="minorHAnsi" w:hAnsiTheme="minorHAnsi" w:cstheme="minorHAnsi"/>
                <w:sz w:val="22"/>
                <w:szCs w:val="22"/>
              </w:rPr>
              <w:t xml:space="preserve">que </w:t>
            </w:r>
            <w:r>
              <w:rPr>
                <w:rFonts w:asciiTheme="minorHAnsi" w:hAnsiTheme="minorHAnsi" w:cstheme="minorHAnsi"/>
                <w:sz w:val="22"/>
                <w:szCs w:val="22"/>
              </w:rPr>
              <w:t>son interface d’accès sui</w:t>
            </w:r>
            <w:r w:rsidR="009F4339">
              <w:rPr>
                <w:rFonts w:asciiTheme="minorHAnsi" w:hAnsiTheme="minorHAnsi" w:cstheme="minorHAnsi"/>
                <w:sz w:val="22"/>
                <w:szCs w:val="22"/>
              </w:rPr>
              <w:t>ve</w:t>
            </w:r>
            <w:r>
              <w:rPr>
                <w:rFonts w:asciiTheme="minorHAnsi" w:hAnsiTheme="minorHAnsi" w:cstheme="minorHAnsi"/>
                <w:sz w:val="22"/>
                <w:szCs w:val="22"/>
              </w:rPr>
              <w:t xml:space="preserve"> les normes de communication publiées par des organisations européennes ou i</w:t>
            </w:r>
            <w:r w:rsidR="009F4339">
              <w:rPr>
                <w:rFonts w:asciiTheme="minorHAnsi" w:hAnsiTheme="minorHAnsi" w:cstheme="minorHAnsi"/>
                <w:sz w:val="22"/>
                <w:szCs w:val="22"/>
              </w:rPr>
              <w:t>nternationales de normalisation ?</w:t>
            </w:r>
          </w:p>
          <w:p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Les spécifications techniques de l’interface d’accès font-elles l’objet d’une documentation mentionnant une série de routines, de protocoles et d’outils dont les PSP tiers ont besoin pour permettre l’interopérabilité de leurs logiciels et applications avec les systèmes du PSP ?</w:t>
            </w:r>
          </w:p>
        </w:tc>
        <w:tc>
          <w:tcPr>
            <w:tcW w:w="1465" w:type="dxa"/>
          </w:tcPr>
          <w:p w:rsidR="00943FA1" w:rsidRPr="00CC1AEF" w:rsidRDefault="00943FA1" w:rsidP="00943FA1">
            <w:pPr>
              <w:jc w:val="center"/>
              <w:rPr>
                <w:rFonts w:asciiTheme="minorHAnsi" w:hAnsiTheme="minorHAnsi" w:cstheme="minorHAnsi"/>
                <w:b/>
                <w:sz w:val="22"/>
                <w:szCs w:val="22"/>
              </w:rPr>
            </w:pPr>
          </w:p>
        </w:tc>
        <w:tc>
          <w:tcPr>
            <w:tcW w:w="6698" w:type="dxa"/>
          </w:tcPr>
          <w:p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rsidTr="00683E60">
        <w:tc>
          <w:tcPr>
            <w:tcW w:w="1595" w:type="dxa"/>
          </w:tcPr>
          <w:p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30-4</w:t>
            </w:r>
          </w:p>
        </w:tc>
        <w:tc>
          <w:tcPr>
            <w:tcW w:w="4979" w:type="dxa"/>
          </w:tcPr>
          <w:p w:rsidR="00943FA1" w:rsidRDefault="00943FA1" w:rsidP="00943FA1">
            <w:pPr>
              <w:rPr>
                <w:rFonts w:asciiTheme="minorHAnsi" w:hAnsiTheme="minorHAnsi" w:cstheme="minorHAnsi"/>
                <w:sz w:val="22"/>
                <w:szCs w:val="22"/>
              </w:rPr>
            </w:pPr>
            <w:r w:rsidRPr="00850621">
              <w:rPr>
                <w:rFonts w:asciiTheme="minorHAnsi" w:hAnsiTheme="minorHAnsi" w:cstheme="minorHAnsi"/>
                <w:sz w:val="22"/>
                <w:szCs w:val="22"/>
              </w:rPr>
              <w:t>En cas</w:t>
            </w:r>
            <w:r>
              <w:rPr>
                <w:rFonts w:asciiTheme="minorHAnsi" w:hAnsiTheme="minorHAnsi" w:cstheme="minorHAnsi"/>
                <w:sz w:val="22"/>
                <w:szCs w:val="22"/>
              </w:rPr>
              <w:t xml:space="preserve"> de modifications des spécifications techniques de l’interface d’accès, sauf en cas d’urgence, le PSP a-t-il bien prévu une mise à disposition après des PSP tiers au moins trois mois avant leur mise en œuvre ?</w:t>
            </w:r>
          </w:p>
          <w:p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 xml:space="preserve">Les procédures du PSP prévoient-elles de décrire par écrit les situations d’urgence dans lesquelles </w:t>
            </w:r>
            <w:r w:rsidRPr="00FC0D51">
              <w:rPr>
                <w:rFonts w:asciiTheme="minorHAnsi" w:hAnsiTheme="minorHAnsi" w:cstheme="minorHAnsi"/>
                <w:sz w:val="22"/>
                <w:szCs w:val="22"/>
              </w:rPr>
              <w:t xml:space="preserve">les </w:t>
            </w:r>
            <w:r w:rsidRPr="00FC0D51">
              <w:rPr>
                <w:rFonts w:asciiTheme="minorHAnsi" w:hAnsiTheme="minorHAnsi" w:cstheme="minorHAnsi"/>
                <w:sz w:val="22"/>
                <w:szCs w:val="22"/>
              </w:rPr>
              <w:lastRenderedPageBreak/>
              <w:t xml:space="preserve">modifications ont été mises en œuvre et </w:t>
            </w:r>
            <w:r>
              <w:rPr>
                <w:rFonts w:asciiTheme="minorHAnsi" w:hAnsiTheme="minorHAnsi" w:cstheme="minorHAnsi"/>
                <w:sz w:val="22"/>
                <w:szCs w:val="22"/>
              </w:rPr>
              <w:t xml:space="preserve">de mettre </w:t>
            </w:r>
            <w:r w:rsidRPr="00FC0D51">
              <w:rPr>
                <w:rFonts w:asciiTheme="minorHAnsi" w:hAnsiTheme="minorHAnsi" w:cstheme="minorHAnsi"/>
                <w:sz w:val="22"/>
                <w:szCs w:val="22"/>
              </w:rPr>
              <w:t xml:space="preserve">cette documentation à la disposition </w:t>
            </w:r>
            <w:r w:rsidRPr="0085040E">
              <w:rPr>
                <w:rFonts w:asciiTheme="minorHAnsi" w:hAnsiTheme="minorHAnsi" w:cstheme="minorHAnsi"/>
                <w:sz w:val="22"/>
                <w:szCs w:val="22"/>
              </w:rPr>
              <w:t>de l’ACPR </w:t>
            </w:r>
            <w:r w:rsidR="0085040E" w:rsidRPr="0085040E">
              <w:rPr>
                <w:rFonts w:asciiTheme="minorHAnsi" w:hAnsiTheme="minorHAnsi" w:cstheme="minorHAnsi"/>
                <w:sz w:val="22"/>
                <w:szCs w:val="22"/>
              </w:rPr>
              <w:t>et</w:t>
            </w:r>
            <w:r w:rsidR="0085040E">
              <w:rPr>
                <w:rFonts w:asciiTheme="minorHAnsi" w:hAnsiTheme="minorHAnsi" w:cstheme="minorHAnsi"/>
                <w:sz w:val="22"/>
                <w:szCs w:val="22"/>
              </w:rPr>
              <w:t xml:space="preserve"> de la BDF </w:t>
            </w:r>
            <w:r>
              <w:rPr>
                <w:rFonts w:asciiTheme="minorHAnsi" w:hAnsiTheme="minorHAnsi" w:cstheme="minorHAnsi"/>
                <w:sz w:val="22"/>
                <w:szCs w:val="22"/>
              </w:rPr>
              <w:t>?</w:t>
            </w:r>
          </w:p>
        </w:tc>
        <w:tc>
          <w:tcPr>
            <w:tcW w:w="1465" w:type="dxa"/>
          </w:tcPr>
          <w:p w:rsidR="00943FA1" w:rsidRPr="00CC1AEF" w:rsidRDefault="00943FA1" w:rsidP="00943FA1">
            <w:pPr>
              <w:jc w:val="center"/>
              <w:rPr>
                <w:rFonts w:asciiTheme="minorHAnsi" w:hAnsiTheme="minorHAnsi" w:cstheme="minorHAnsi"/>
                <w:b/>
                <w:sz w:val="22"/>
                <w:szCs w:val="22"/>
              </w:rPr>
            </w:pPr>
          </w:p>
        </w:tc>
        <w:tc>
          <w:tcPr>
            <w:tcW w:w="6698" w:type="dxa"/>
          </w:tcPr>
          <w:p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rsidTr="00683E60">
        <w:tc>
          <w:tcPr>
            <w:tcW w:w="1595" w:type="dxa"/>
          </w:tcPr>
          <w:p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32-1</w:t>
            </w:r>
          </w:p>
        </w:tc>
        <w:tc>
          <w:tcPr>
            <w:tcW w:w="4979" w:type="dxa"/>
          </w:tcPr>
          <w:p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 xml:space="preserve">Le PSP veille-t-il à ce que son interface </w:t>
            </w:r>
            <w:r w:rsidR="00462A8D">
              <w:rPr>
                <w:rFonts w:asciiTheme="minorHAnsi" w:hAnsiTheme="minorHAnsi" w:cstheme="minorHAnsi"/>
                <w:sz w:val="22"/>
                <w:szCs w:val="22"/>
              </w:rPr>
              <w:t xml:space="preserve">d’accès </w:t>
            </w:r>
            <w:r>
              <w:rPr>
                <w:rFonts w:asciiTheme="minorHAnsi" w:hAnsiTheme="minorHAnsi" w:cstheme="minorHAnsi"/>
                <w:sz w:val="22"/>
                <w:szCs w:val="22"/>
              </w:rPr>
              <w:t xml:space="preserve">dédiée </w:t>
            </w:r>
            <w:r w:rsidRPr="00E57890">
              <w:rPr>
                <w:rFonts w:asciiTheme="minorHAnsi" w:hAnsiTheme="minorHAnsi" w:cstheme="minorHAnsi"/>
                <w:sz w:val="22"/>
                <w:szCs w:val="22"/>
              </w:rPr>
              <w:t>offre à tout moment le même niveau de disponibilité et de performances, assistance comprise, que l</w:t>
            </w:r>
            <w:r>
              <w:rPr>
                <w:rFonts w:asciiTheme="minorHAnsi" w:hAnsiTheme="minorHAnsi" w:cstheme="minorHAnsi"/>
                <w:sz w:val="22"/>
                <w:szCs w:val="22"/>
              </w:rPr>
              <w:t>a ou l</w:t>
            </w:r>
            <w:r w:rsidRPr="00E57890">
              <w:rPr>
                <w:rFonts w:asciiTheme="minorHAnsi" w:hAnsiTheme="minorHAnsi" w:cstheme="minorHAnsi"/>
                <w:sz w:val="22"/>
                <w:szCs w:val="22"/>
              </w:rPr>
              <w:t>es interfaces mises à la disposition de l'utilisateur de services de paiement pour accéder directement à son compte de paiement en ligne</w:t>
            </w:r>
            <w:r>
              <w:rPr>
                <w:rFonts w:asciiTheme="minorHAnsi" w:hAnsiTheme="minorHAnsi" w:cstheme="minorHAnsi"/>
                <w:sz w:val="22"/>
                <w:szCs w:val="22"/>
              </w:rPr>
              <w:t> ?</w:t>
            </w:r>
          </w:p>
        </w:tc>
        <w:tc>
          <w:tcPr>
            <w:tcW w:w="1465" w:type="dxa"/>
          </w:tcPr>
          <w:p w:rsidR="00943FA1" w:rsidRPr="00CC1AEF" w:rsidRDefault="00943FA1" w:rsidP="00943FA1">
            <w:pPr>
              <w:jc w:val="center"/>
              <w:rPr>
                <w:rFonts w:asciiTheme="minorHAnsi" w:hAnsiTheme="minorHAnsi" w:cstheme="minorHAnsi"/>
                <w:b/>
                <w:sz w:val="22"/>
                <w:szCs w:val="22"/>
              </w:rPr>
            </w:pPr>
          </w:p>
        </w:tc>
        <w:tc>
          <w:tcPr>
            <w:tcW w:w="6698" w:type="dxa"/>
          </w:tcPr>
          <w:p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rsidTr="00683E60">
        <w:tc>
          <w:tcPr>
            <w:tcW w:w="1595" w:type="dxa"/>
          </w:tcPr>
          <w:p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32-2</w:t>
            </w:r>
          </w:p>
        </w:tc>
        <w:tc>
          <w:tcPr>
            <w:tcW w:w="4979" w:type="dxa"/>
          </w:tcPr>
          <w:p w:rsidR="00943FA1" w:rsidRPr="003C47B2" w:rsidRDefault="00943FA1" w:rsidP="00943FA1">
            <w:pPr>
              <w:rPr>
                <w:rFonts w:asciiTheme="minorHAnsi" w:hAnsiTheme="minorHAnsi" w:cstheme="minorHAnsi"/>
                <w:sz w:val="22"/>
                <w:szCs w:val="22"/>
              </w:rPr>
            </w:pPr>
            <w:r w:rsidRPr="003C47B2">
              <w:rPr>
                <w:rFonts w:asciiTheme="minorHAnsi" w:hAnsiTheme="minorHAnsi" w:cstheme="minorHAnsi"/>
                <w:sz w:val="22"/>
                <w:szCs w:val="22"/>
              </w:rPr>
              <w:t>Le</w:t>
            </w:r>
            <w:r>
              <w:rPr>
                <w:rFonts w:asciiTheme="minorHAnsi" w:hAnsiTheme="minorHAnsi" w:cstheme="minorHAnsi"/>
                <w:sz w:val="22"/>
                <w:szCs w:val="22"/>
              </w:rPr>
              <w:t xml:space="preserve"> PSP a-t-il défini </w:t>
            </w:r>
            <w:r w:rsidRPr="003C47B2">
              <w:rPr>
                <w:rFonts w:asciiTheme="minorHAnsi" w:hAnsiTheme="minorHAnsi" w:cstheme="minorHAnsi"/>
                <w:sz w:val="22"/>
                <w:szCs w:val="22"/>
              </w:rPr>
              <w:t xml:space="preserve">des indicateurs de performance clés et des valeurs cibles de niveau de service </w:t>
            </w:r>
            <w:r>
              <w:rPr>
                <w:rFonts w:asciiTheme="minorHAnsi" w:hAnsiTheme="minorHAnsi" w:cstheme="minorHAnsi"/>
                <w:sz w:val="22"/>
                <w:szCs w:val="22"/>
              </w:rPr>
              <w:t xml:space="preserve">de son interface d’accès </w:t>
            </w:r>
            <w:r w:rsidRPr="003C47B2">
              <w:rPr>
                <w:rFonts w:asciiTheme="minorHAnsi" w:hAnsiTheme="minorHAnsi" w:cstheme="minorHAnsi"/>
                <w:sz w:val="22"/>
                <w:szCs w:val="22"/>
              </w:rPr>
              <w:t>qui soient transparents et au moins aussi exigeants que ceux fixés pour l'interface utilisée par leurs utilisateurs de services de paiement, tant sur le plan de la disponibilité que des données fournies</w:t>
            </w:r>
            <w:r>
              <w:rPr>
                <w:rFonts w:asciiTheme="minorHAnsi" w:hAnsiTheme="minorHAnsi" w:cstheme="minorHAnsi"/>
                <w:sz w:val="22"/>
                <w:szCs w:val="22"/>
              </w:rPr>
              <w:t> ?</w:t>
            </w:r>
          </w:p>
        </w:tc>
        <w:tc>
          <w:tcPr>
            <w:tcW w:w="1465" w:type="dxa"/>
          </w:tcPr>
          <w:p w:rsidR="00943FA1" w:rsidRPr="00CC1AEF" w:rsidRDefault="00943FA1" w:rsidP="00943FA1">
            <w:pPr>
              <w:jc w:val="center"/>
              <w:rPr>
                <w:rFonts w:asciiTheme="minorHAnsi" w:hAnsiTheme="minorHAnsi" w:cstheme="minorHAnsi"/>
                <w:b/>
                <w:sz w:val="22"/>
                <w:szCs w:val="22"/>
              </w:rPr>
            </w:pPr>
          </w:p>
        </w:tc>
        <w:tc>
          <w:tcPr>
            <w:tcW w:w="6698" w:type="dxa"/>
          </w:tcPr>
          <w:p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rsidTr="00683E60">
        <w:tc>
          <w:tcPr>
            <w:tcW w:w="1595" w:type="dxa"/>
          </w:tcPr>
          <w:p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32-4</w:t>
            </w:r>
          </w:p>
        </w:tc>
        <w:tc>
          <w:tcPr>
            <w:tcW w:w="4979" w:type="dxa"/>
          </w:tcPr>
          <w:p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L</w:t>
            </w:r>
            <w:r w:rsidRPr="003C47B2">
              <w:rPr>
                <w:rFonts w:asciiTheme="minorHAnsi" w:hAnsiTheme="minorHAnsi" w:cstheme="minorHAnsi"/>
                <w:sz w:val="22"/>
                <w:szCs w:val="22"/>
              </w:rPr>
              <w:t>a disponibilité et les performances de</w:t>
            </w:r>
            <w:r>
              <w:rPr>
                <w:rFonts w:asciiTheme="minorHAnsi" w:hAnsiTheme="minorHAnsi" w:cstheme="minorHAnsi"/>
                <w:sz w:val="22"/>
                <w:szCs w:val="22"/>
              </w:rPr>
              <w:t xml:space="preserve"> l’</w:t>
            </w:r>
            <w:r w:rsidRPr="003C47B2">
              <w:rPr>
                <w:rFonts w:asciiTheme="minorHAnsi" w:hAnsiTheme="minorHAnsi" w:cstheme="minorHAnsi"/>
                <w:sz w:val="22"/>
                <w:szCs w:val="22"/>
              </w:rPr>
              <w:t>interface</w:t>
            </w:r>
            <w:r>
              <w:rPr>
                <w:rFonts w:asciiTheme="minorHAnsi" w:hAnsiTheme="minorHAnsi" w:cstheme="minorHAnsi"/>
                <w:sz w:val="22"/>
                <w:szCs w:val="22"/>
              </w:rPr>
              <w:t xml:space="preserve"> d’accès sont-elles contrôlées par le PSP et les statistiques correspondantes sont-elles publiées sur son site internet </w:t>
            </w:r>
            <w:r w:rsidRPr="003C47B2">
              <w:rPr>
                <w:rFonts w:asciiTheme="minorHAnsi" w:hAnsiTheme="minorHAnsi" w:cstheme="minorHAnsi"/>
                <w:sz w:val="22"/>
                <w:szCs w:val="22"/>
              </w:rPr>
              <w:t>selon</w:t>
            </w:r>
            <w:r>
              <w:rPr>
                <w:rFonts w:asciiTheme="minorHAnsi" w:hAnsiTheme="minorHAnsi" w:cstheme="minorHAnsi"/>
                <w:sz w:val="22"/>
                <w:szCs w:val="22"/>
              </w:rPr>
              <w:t xml:space="preserve"> une périodicité trimestrielle ? </w:t>
            </w:r>
          </w:p>
        </w:tc>
        <w:tc>
          <w:tcPr>
            <w:tcW w:w="1465" w:type="dxa"/>
          </w:tcPr>
          <w:p w:rsidR="00943FA1" w:rsidRPr="00CC1AEF" w:rsidRDefault="00943FA1" w:rsidP="00943FA1">
            <w:pPr>
              <w:jc w:val="center"/>
              <w:rPr>
                <w:rFonts w:asciiTheme="minorHAnsi" w:hAnsiTheme="minorHAnsi" w:cstheme="minorHAnsi"/>
                <w:b/>
                <w:sz w:val="22"/>
                <w:szCs w:val="22"/>
              </w:rPr>
            </w:pPr>
          </w:p>
        </w:tc>
        <w:tc>
          <w:tcPr>
            <w:tcW w:w="6698" w:type="dxa"/>
          </w:tcPr>
          <w:p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rsidTr="00683E60">
        <w:tc>
          <w:tcPr>
            <w:tcW w:w="1595" w:type="dxa"/>
          </w:tcPr>
          <w:p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33-1</w:t>
            </w:r>
          </w:p>
        </w:tc>
        <w:tc>
          <w:tcPr>
            <w:tcW w:w="4979" w:type="dxa"/>
          </w:tcPr>
          <w:p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Le PSP a-t-il bien prévu la mise en œuvre du mécanisme de secours après cinq demandes consécutives d’accès à l’interface dédiée du PSP tiers sans réponse dans les 30 secondes ?</w:t>
            </w:r>
          </w:p>
        </w:tc>
        <w:tc>
          <w:tcPr>
            <w:tcW w:w="1465" w:type="dxa"/>
          </w:tcPr>
          <w:p w:rsidR="00943FA1" w:rsidRPr="00CC1AEF" w:rsidRDefault="00943FA1" w:rsidP="00943FA1">
            <w:pPr>
              <w:jc w:val="center"/>
              <w:rPr>
                <w:rFonts w:asciiTheme="minorHAnsi" w:hAnsiTheme="minorHAnsi" w:cstheme="minorHAnsi"/>
                <w:b/>
                <w:sz w:val="22"/>
                <w:szCs w:val="22"/>
              </w:rPr>
            </w:pPr>
          </w:p>
        </w:tc>
        <w:tc>
          <w:tcPr>
            <w:tcW w:w="6698" w:type="dxa"/>
          </w:tcPr>
          <w:p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rsidTr="00683E60">
        <w:tc>
          <w:tcPr>
            <w:tcW w:w="1595" w:type="dxa"/>
          </w:tcPr>
          <w:p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33-2</w:t>
            </w:r>
          </w:p>
        </w:tc>
        <w:tc>
          <w:tcPr>
            <w:tcW w:w="4979" w:type="dxa"/>
          </w:tcPr>
          <w:p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Le PSP dispose-t-il de plans de</w:t>
            </w:r>
            <w:r w:rsidRPr="00731E41">
              <w:rPr>
                <w:rFonts w:asciiTheme="minorHAnsi" w:hAnsiTheme="minorHAnsi" w:cstheme="minorHAnsi"/>
                <w:sz w:val="22"/>
                <w:szCs w:val="22"/>
              </w:rPr>
              <w:t xml:space="preserve"> communication visant à informer les </w:t>
            </w:r>
            <w:r>
              <w:rPr>
                <w:rFonts w:asciiTheme="minorHAnsi" w:hAnsiTheme="minorHAnsi" w:cstheme="minorHAnsi"/>
                <w:sz w:val="22"/>
                <w:szCs w:val="22"/>
              </w:rPr>
              <w:t xml:space="preserve">PSP tiers qui </w:t>
            </w:r>
            <w:r w:rsidRPr="00731E41">
              <w:rPr>
                <w:rFonts w:asciiTheme="minorHAnsi" w:hAnsiTheme="minorHAnsi" w:cstheme="minorHAnsi"/>
                <w:sz w:val="22"/>
                <w:szCs w:val="22"/>
              </w:rPr>
              <w:t>utilisent l'interface dédiée des mesures destinées à restaurer le système ainsi qu'une description des autres options immédiatement disponibles dont</w:t>
            </w:r>
            <w:r>
              <w:rPr>
                <w:rFonts w:asciiTheme="minorHAnsi" w:hAnsiTheme="minorHAnsi" w:cstheme="minorHAnsi"/>
                <w:sz w:val="22"/>
                <w:szCs w:val="22"/>
              </w:rPr>
              <w:t xml:space="preserve"> ils pe</w:t>
            </w:r>
            <w:r w:rsidRPr="00731E41">
              <w:rPr>
                <w:rFonts w:asciiTheme="minorHAnsi" w:hAnsiTheme="minorHAnsi" w:cstheme="minorHAnsi"/>
                <w:sz w:val="22"/>
                <w:szCs w:val="22"/>
              </w:rPr>
              <w:t>uvent faire usage pendant ce temps</w:t>
            </w:r>
            <w:r>
              <w:rPr>
                <w:rFonts w:asciiTheme="minorHAnsi" w:hAnsiTheme="minorHAnsi" w:cstheme="minorHAnsi"/>
                <w:sz w:val="22"/>
                <w:szCs w:val="22"/>
              </w:rPr>
              <w:t> ?</w:t>
            </w:r>
          </w:p>
        </w:tc>
        <w:tc>
          <w:tcPr>
            <w:tcW w:w="1465" w:type="dxa"/>
          </w:tcPr>
          <w:p w:rsidR="00943FA1" w:rsidRPr="00CC1AEF" w:rsidRDefault="00943FA1" w:rsidP="00943FA1">
            <w:pPr>
              <w:jc w:val="center"/>
              <w:rPr>
                <w:rFonts w:asciiTheme="minorHAnsi" w:hAnsiTheme="minorHAnsi" w:cstheme="minorHAnsi"/>
                <w:b/>
                <w:sz w:val="22"/>
                <w:szCs w:val="22"/>
              </w:rPr>
            </w:pPr>
          </w:p>
        </w:tc>
        <w:tc>
          <w:tcPr>
            <w:tcW w:w="6698" w:type="dxa"/>
          </w:tcPr>
          <w:p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rsidTr="00683E60">
        <w:tc>
          <w:tcPr>
            <w:tcW w:w="1595" w:type="dxa"/>
          </w:tcPr>
          <w:p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33-3</w:t>
            </w:r>
          </w:p>
        </w:tc>
        <w:tc>
          <w:tcPr>
            <w:tcW w:w="4979" w:type="dxa"/>
          </w:tcPr>
          <w:p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 xml:space="preserve">Les procédures du PSP prévoient-elles la notification sans délai auprès de </w:t>
            </w:r>
            <w:r w:rsidRPr="0085040E">
              <w:rPr>
                <w:rFonts w:asciiTheme="minorHAnsi" w:hAnsiTheme="minorHAnsi" w:cstheme="minorHAnsi"/>
                <w:sz w:val="22"/>
                <w:szCs w:val="22"/>
              </w:rPr>
              <w:t>l’ACPR</w:t>
            </w:r>
            <w:r>
              <w:rPr>
                <w:rFonts w:asciiTheme="minorHAnsi" w:hAnsiTheme="minorHAnsi" w:cstheme="minorHAnsi"/>
                <w:sz w:val="22"/>
                <w:szCs w:val="22"/>
              </w:rPr>
              <w:t xml:space="preserve"> des problèmes liés à l’interface dédiée ?</w:t>
            </w:r>
          </w:p>
        </w:tc>
        <w:tc>
          <w:tcPr>
            <w:tcW w:w="1465" w:type="dxa"/>
          </w:tcPr>
          <w:p w:rsidR="00943FA1" w:rsidRPr="00CC1AEF" w:rsidRDefault="00943FA1" w:rsidP="00943FA1">
            <w:pPr>
              <w:jc w:val="center"/>
              <w:rPr>
                <w:rFonts w:asciiTheme="minorHAnsi" w:hAnsiTheme="minorHAnsi" w:cstheme="minorHAnsi"/>
                <w:b/>
                <w:sz w:val="22"/>
                <w:szCs w:val="22"/>
              </w:rPr>
            </w:pPr>
          </w:p>
        </w:tc>
        <w:tc>
          <w:tcPr>
            <w:tcW w:w="6698" w:type="dxa"/>
          </w:tcPr>
          <w:p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rsidTr="00683E60">
        <w:tc>
          <w:tcPr>
            <w:tcW w:w="1595" w:type="dxa"/>
          </w:tcPr>
          <w:p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33-5</w:t>
            </w:r>
          </w:p>
        </w:tc>
        <w:tc>
          <w:tcPr>
            <w:tcW w:w="4979" w:type="dxa"/>
          </w:tcPr>
          <w:p w:rsidR="00943FA1" w:rsidRPr="00850621" w:rsidRDefault="00943FA1" w:rsidP="00943FA1">
            <w:pPr>
              <w:rPr>
                <w:rFonts w:asciiTheme="minorHAnsi" w:hAnsiTheme="minorHAnsi" w:cstheme="minorHAnsi"/>
                <w:sz w:val="22"/>
                <w:szCs w:val="22"/>
              </w:rPr>
            </w:pPr>
            <w:r>
              <w:rPr>
                <w:rFonts w:asciiTheme="minorHAnsi" w:hAnsiTheme="minorHAnsi" w:cstheme="minorHAnsi"/>
                <w:sz w:val="22"/>
                <w:szCs w:val="22"/>
              </w:rPr>
              <w:t xml:space="preserve">Pour l’accès à l’interface de secours, le PSP veille-t-il à identifier les PSP tiers et les authentifier selon les </w:t>
            </w:r>
            <w:r>
              <w:rPr>
                <w:rFonts w:asciiTheme="minorHAnsi" w:hAnsiTheme="minorHAnsi" w:cstheme="minorHAnsi"/>
                <w:sz w:val="22"/>
                <w:szCs w:val="22"/>
              </w:rPr>
              <w:lastRenderedPageBreak/>
              <w:t xml:space="preserve">procédures d’authentification prévues pour ses propres clients ? </w:t>
            </w:r>
          </w:p>
        </w:tc>
        <w:tc>
          <w:tcPr>
            <w:tcW w:w="1465" w:type="dxa"/>
          </w:tcPr>
          <w:p w:rsidR="00943FA1" w:rsidRPr="00CC1AEF" w:rsidRDefault="00943FA1" w:rsidP="00943FA1">
            <w:pPr>
              <w:jc w:val="center"/>
              <w:rPr>
                <w:rFonts w:asciiTheme="minorHAnsi" w:hAnsiTheme="minorHAnsi" w:cstheme="minorHAnsi"/>
                <w:b/>
                <w:sz w:val="22"/>
                <w:szCs w:val="22"/>
              </w:rPr>
            </w:pPr>
          </w:p>
        </w:tc>
        <w:tc>
          <w:tcPr>
            <w:tcW w:w="6698" w:type="dxa"/>
          </w:tcPr>
          <w:p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rsidTr="00683E60">
        <w:tc>
          <w:tcPr>
            <w:tcW w:w="1595" w:type="dxa"/>
          </w:tcPr>
          <w:p w:rsidR="00943FA1" w:rsidRPr="00CC1AEF"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34-1</w:t>
            </w:r>
          </w:p>
        </w:tc>
        <w:tc>
          <w:tcPr>
            <w:tcW w:w="4979" w:type="dxa"/>
          </w:tcPr>
          <w:p w:rsidR="00943FA1" w:rsidRPr="00850621" w:rsidRDefault="00943FA1" w:rsidP="00462A8D">
            <w:pPr>
              <w:rPr>
                <w:rFonts w:asciiTheme="minorHAnsi" w:hAnsiTheme="minorHAnsi" w:cstheme="minorHAnsi"/>
                <w:sz w:val="22"/>
                <w:szCs w:val="22"/>
              </w:rPr>
            </w:pPr>
            <w:r>
              <w:rPr>
                <w:rFonts w:asciiTheme="minorHAnsi" w:hAnsiTheme="minorHAnsi" w:cstheme="minorHAnsi"/>
                <w:sz w:val="22"/>
                <w:szCs w:val="22"/>
              </w:rPr>
              <w:t>L’accès des PSP tiers à l</w:t>
            </w:r>
            <w:r w:rsidR="00462A8D">
              <w:rPr>
                <w:rFonts w:asciiTheme="minorHAnsi" w:hAnsiTheme="minorHAnsi" w:cstheme="minorHAnsi"/>
                <w:sz w:val="22"/>
                <w:szCs w:val="22"/>
              </w:rPr>
              <w:t>’interface d’accès</w:t>
            </w:r>
            <w:r>
              <w:rPr>
                <w:rFonts w:asciiTheme="minorHAnsi" w:hAnsiTheme="minorHAnsi" w:cstheme="minorHAnsi"/>
                <w:sz w:val="22"/>
                <w:szCs w:val="22"/>
              </w:rPr>
              <w:t xml:space="preserve"> dédiée du PSP se fait au moyen de certificats qualifiés de cachet électronique ou de certificats qualifiés d’authentification de site internet ? </w:t>
            </w:r>
          </w:p>
        </w:tc>
        <w:tc>
          <w:tcPr>
            <w:tcW w:w="1465" w:type="dxa"/>
          </w:tcPr>
          <w:p w:rsidR="00943FA1" w:rsidRPr="00CC1AEF" w:rsidRDefault="00943FA1" w:rsidP="00943FA1">
            <w:pPr>
              <w:jc w:val="center"/>
              <w:rPr>
                <w:rFonts w:asciiTheme="minorHAnsi" w:hAnsiTheme="minorHAnsi" w:cstheme="minorHAnsi"/>
                <w:b/>
                <w:sz w:val="22"/>
                <w:szCs w:val="22"/>
              </w:rPr>
            </w:pPr>
          </w:p>
        </w:tc>
        <w:tc>
          <w:tcPr>
            <w:tcW w:w="6698" w:type="dxa"/>
          </w:tcPr>
          <w:p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rsidTr="00683E60">
        <w:tc>
          <w:tcPr>
            <w:tcW w:w="1595" w:type="dxa"/>
          </w:tcPr>
          <w:p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35-1</w:t>
            </w:r>
          </w:p>
        </w:tc>
        <w:tc>
          <w:tcPr>
            <w:tcW w:w="4979" w:type="dxa"/>
          </w:tcPr>
          <w:p w:rsidR="00943FA1" w:rsidRDefault="00943FA1" w:rsidP="00943FA1">
            <w:pPr>
              <w:rPr>
                <w:rFonts w:asciiTheme="minorHAnsi" w:hAnsiTheme="minorHAnsi" w:cstheme="minorHAnsi"/>
                <w:sz w:val="22"/>
                <w:szCs w:val="22"/>
              </w:rPr>
            </w:pPr>
            <w:r>
              <w:rPr>
                <w:rFonts w:asciiTheme="minorHAnsi" w:hAnsiTheme="minorHAnsi" w:cstheme="minorHAnsi"/>
                <w:sz w:val="22"/>
                <w:szCs w:val="22"/>
              </w:rPr>
              <w:t>L’intégrité et la confidentialité des données de sécurité personnalisées et les codes d’authentification qui transitent par les flux de communication ou qui sont stockés dans les systèmes d’information du PSP sont-elles assurées ?</w:t>
            </w:r>
          </w:p>
        </w:tc>
        <w:tc>
          <w:tcPr>
            <w:tcW w:w="1465" w:type="dxa"/>
          </w:tcPr>
          <w:p w:rsidR="00943FA1" w:rsidRPr="00CC1AEF" w:rsidRDefault="00943FA1" w:rsidP="00943FA1">
            <w:pPr>
              <w:jc w:val="center"/>
              <w:rPr>
                <w:rFonts w:asciiTheme="minorHAnsi" w:hAnsiTheme="minorHAnsi" w:cstheme="minorHAnsi"/>
                <w:b/>
                <w:sz w:val="22"/>
                <w:szCs w:val="22"/>
              </w:rPr>
            </w:pPr>
          </w:p>
        </w:tc>
        <w:tc>
          <w:tcPr>
            <w:tcW w:w="6698" w:type="dxa"/>
          </w:tcPr>
          <w:p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rsidTr="00683E60">
        <w:tc>
          <w:tcPr>
            <w:tcW w:w="1595" w:type="dxa"/>
          </w:tcPr>
          <w:p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35-5</w:t>
            </w:r>
          </w:p>
        </w:tc>
        <w:tc>
          <w:tcPr>
            <w:tcW w:w="4979" w:type="dxa"/>
          </w:tcPr>
          <w:p w:rsidR="00943FA1" w:rsidRDefault="00943FA1" w:rsidP="00943FA1">
            <w:pPr>
              <w:rPr>
                <w:rFonts w:asciiTheme="minorHAnsi" w:hAnsiTheme="minorHAnsi" w:cstheme="minorHAnsi"/>
                <w:sz w:val="22"/>
                <w:szCs w:val="22"/>
              </w:rPr>
            </w:pPr>
            <w:r>
              <w:rPr>
                <w:rFonts w:asciiTheme="minorHAnsi" w:hAnsiTheme="minorHAnsi" w:cstheme="minorHAnsi"/>
                <w:sz w:val="22"/>
                <w:szCs w:val="22"/>
              </w:rPr>
              <w:t>Le PSP veille-t-il à ce que les données de sécurité personnalisées et les codes d’authentification qu’ils communiquent ne soient aucun moment lisibles directement ou indirectement par un membre du personnel ?</w:t>
            </w:r>
          </w:p>
        </w:tc>
        <w:tc>
          <w:tcPr>
            <w:tcW w:w="1465" w:type="dxa"/>
          </w:tcPr>
          <w:p w:rsidR="00943FA1" w:rsidRPr="00CC1AEF" w:rsidRDefault="00943FA1" w:rsidP="00943FA1">
            <w:pPr>
              <w:jc w:val="center"/>
              <w:rPr>
                <w:rFonts w:asciiTheme="minorHAnsi" w:hAnsiTheme="minorHAnsi" w:cstheme="minorHAnsi"/>
                <w:b/>
                <w:sz w:val="22"/>
                <w:szCs w:val="22"/>
              </w:rPr>
            </w:pPr>
          </w:p>
        </w:tc>
        <w:tc>
          <w:tcPr>
            <w:tcW w:w="6698" w:type="dxa"/>
          </w:tcPr>
          <w:p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rsidTr="00683E60">
        <w:tc>
          <w:tcPr>
            <w:tcW w:w="1595" w:type="dxa"/>
          </w:tcPr>
          <w:p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36-1</w:t>
            </w:r>
          </w:p>
        </w:tc>
        <w:tc>
          <w:tcPr>
            <w:tcW w:w="4979" w:type="dxa"/>
          </w:tcPr>
          <w:p w:rsidR="00943FA1" w:rsidRPr="00471A43" w:rsidRDefault="00943FA1" w:rsidP="00943FA1">
            <w:pPr>
              <w:rPr>
                <w:rFonts w:asciiTheme="minorHAnsi" w:hAnsiTheme="minorHAnsi" w:cstheme="minorHAnsi"/>
                <w:sz w:val="22"/>
                <w:szCs w:val="22"/>
              </w:rPr>
            </w:pPr>
            <w:r w:rsidRPr="00471A43">
              <w:rPr>
                <w:rFonts w:asciiTheme="minorHAnsi" w:hAnsiTheme="minorHAnsi" w:cstheme="minorHAnsi"/>
                <w:sz w:val="22"/>
                <w:szCs w:val="22"/>
              </w:rPr>
              <w:t>Le PSP respecte-t-il les exigences listées ci-après ?</w:t>
            </w:r>
          </w:p>
          <w:p w:rsidR="00943FA1" w:rsidRDefault="00943FA1" w:rsidP="00943FA1">
            <w:pPr>
              <w:pStyle w:val="Paragraphedeliste"/>
              <w:numPr>
                <w:ilvl w:val="0"/>
                <w:numId w:val="119"/>
              </w:numPr>
              <w:rPr>
                <w:rFonts w:asciiTheme="minorHAnsi" w:hAnsiTheme="minorHAnsi" w:cstheme="minorHAnsi"/>
                <w:szCs w:val="22"/>
              </w:rPr>
            </w:pPr>
            <w:r w:rsidRPr="00471A43">
              <w:rPr>
                <w:rFonts w:asciiTheme="minorHAnsi" w:hAnsiTheme="minorHAnsi" w:cstheme="minorHAnsi"/>
                <w:szCs w:val="22"/>
              </w:rPr>
              <w:t>il fourni</w:t>
            </w:r>
            <w:r>
              <w:rPr>
                <w:rFonts w:asciiTheme="minorHAnsi" w:hAnsiTheme="minorHAnsi" w:cstheme="minorHAnsi"/>
                <w:szCs w:val="22"/>
              </w:rPr>
              <w:t>t</w:t>
            </w:r>
            <w:r w:rsidRPr="00471A43">
              <w:rPr>
                <w:rFonts w:asciiTheme="minorHAnsi" w:hAnsiTheme="minorHAnsi" w:cstheme="minorHAnsi"/>
                <w:szCs w:val="22"/>
              </w:rPr>
              <w:t xml:space="preserve"> aux </w:t>
            </w:r>
            <w:r>
              <w:rPr>
                <w:rFonts w:asciiTheme="minorHAnsi" w:hAnsiTheme="minorHAnsi" w:cstheme="minorHAnsi"/>
                <w:szCs w:val="22"/>
              </w:rPr>
              <w:t>PSP tiers les</w:t>
            </w:r>
            <w:r w:rsidRPr="00471A43">
              <w:rPr>
                <w:rFonts w:asciiTheme="minorHAnsi" w:hAnsiTheme="minorHAnsi" w:cstheme="minorHAnsi"/>
                <w:szCs w:val="22"/>
              </w:rPr>
              <w:t xml:space="preserve"> mêmes informations provenant des comptes de paiement désignés et des opérations de paiement associées que celles qui sont mises à la disposition de l'utilisateur de services de paiement en cas de demande directe d'accès aux informations sur le compte, pour autant que ces informations ne comportent pas de données de paiement sensibles</w:t>
            </w:r>
          </w:p>
          <w:p w:rsidR="00943FA1" w:rsidRDefault="00943FA1" w:rsidP="00943FA1">
            <w:pPr>
              <w:pStyle w:val="Paragraphedeliste"/>
              <w:numPr>
                <w:ilvl w:val="0"/>
                <w:numId w:val="119"/>
              </w:numPr>
              <w:rPr>
                <w:rFonts w:asciiTheme="minorHAnsi" w:hAnsiTheme="minorHAnsi" w:cstheme="minorHAnsi"/>
                <w:szCs w:val="22"/>
              </w:rPr>
            </w:pPr>
            <w:r w:rsidRPr="00471A43">
              <w:rPr>
                <w:rFonts w:asciiTheme="minorHAnsi" w:hAnsiTheme="minorHAnsi" w:cstheme="minorHAnsi"/>
                <w:szCs w:val="22"/>
              </w:rPr>
              <w:t xml:space="preserve"> </w:t>
            </w:r>
            <w:r w:rsidR="00462A8D">
              <w:rPr>
                <w:rFonts w:asciiTheme="minorHAnsi" w:hAnsiTheme="minorHAnsi" w:cstheme="minorHAnsi"/>
                <w:szCs w:val="22"/>
              </w:rPr>
              <w:t>i</w:t>
            </w:r>
            <w:r w:rsidRPr="00471A43">
              <w:rPr>
                <w:rFonts w:asciiTheme="minorHAnsi" w:hAnsiTheme="minorHAnsi" w:cstheme="minorHAnsi"/>
                <w:szCs w:val="22"/>
              </w:rPr>
              <w:t xml:space="preserve">mmédiatement après avoir reçu l'ordre de paiement, ils fournissent aux </w:t>
            </w:r>
            <w:r>
              <w:rPr>
                <w:rFonts w:asciiTheme="minorHAnsi" w:hAnsiTheme="minorHAnsi" w:cstheme="minorHAnsi"/>
                <w:szCs w:val="22"/>
              </w:rPr>
              <w:t>PSP tiers</w:t>
            </w:r>
            <w:r w:rsidRPr="00471A43">
              <w:rPr>
                <w:rFonts w:asciiTheme="minorHAnsi" w:hAnsiTheme="minorHAnsi" w:cstheme="minorHAnsi"/>
                <w:szCs w:val="22"/>
              </w:rPr>
              <w:t xml:space="preserve"> les mêmes informations sur l'initiation et l'exécution de l'opération de paiement que celles qui sont fournies ou mises à la disposition de l'utilisateur de services de paiement lorsque ce dernier initie directement l'opération</w:t>
            </w:r>
            <w:r>
              <w:rPr>
                <w:rFonts w:asciiTheme="minorHAnsi" w:hAnsiTheme="minorHAnsi" w:cstheme="minorHAnsi"/>
                <w:szCs w:val="22"/>
              </w:rPr>
              <w:t> ;</w:t>
            </w:r>
          </w:p>
          <w:p w:rsidR="00943FA1" w:rsidRPr="00A85C3C" w:rsidRDefault="00943FA1" w:rsidP="00A85C3C">
            <w:pPr>
              <w:pStyle w:val="Paragraphedeliste"/>
              <w:numPr>
                <w:ilvl w:val="0"/>
                <w:numId w:val="119"/>
              </w:numPr>
              <w:rPr>
                <w:rFonts w:asciiTheme="minorHAnsi" w:hAnsiTheme="minorHAnsi" w:cstheme="minorHAnsi"/>
                <w:szCs w:val="22"/>
              </w:rPr>
            </w:pPr>
            <w:r w:rsidRPr="00471A43">
              <w:rPr>
                <w:rFonts w:asciiTheme="minorHAnsi" w:hAnsiTheme="minorHAnsi" w:cstheme="minorHAnsi"/>
                <w:szCs w:val="22"/>
              </w:rPr>
              <w:t xml:space="preserve">sur demande, il fournit immédiatement aux </w:t>
            </w:r>
            <w:r>
              <w:rPr>
                <w:rFonts w:asciiTheme="minorHAnsi" w:hAnsiTheme="minorHAnsi" w:cstheme="minorHAnsi"/>
                <w:szCs w:val="22"/>
              </w:rPr>
              <w:t>PSP tiers</w:t>
            </w:r>
            <w:r w:rsidRPr="00471A43">
              <w:rPr>
                <w:rFonts w:asciiTheme="minorHAnsi" w:hAnsiTheme="minorHAnsi" w:cstheme="minorHAnsi"/>
                <w:szCs w:val="22"/>
              </w:rPr>
              <w:t xml:space="preserve">, sous la forme d'un simple «oui» ou «non», que le montant nécessaire à l'exécution d'une </w:t>
            </w:r>
            <w:r w:rsidRPr="00471A43">
              <w:rPr>
                <w:rFonts w:asciiTheme="minorHAnsi" w:hAnsiTheme="minorHAnsi" w:cstheme="minorHAnsi"/>
                <w:szCs w:val="22"/>
              </w:rPr>
              <w:lastRenderedPageBreak/>
              <w:t>opération de paiement est disponible ou non sur le compte de paiement du payeur.</w:t>
            </w:r>
          </w:p>
        </w:tc>
        <w:tc>
          <w:tcPr>
            <w:tcW w:w="1465" w:type="dxa"/>
          </w:tcPr>
          <w:p w:rsidR="00943FA1" w:rsidRPr="00CC1AEF" w:rsidRDefault="00943FA1" w:rsidP="00943FA1">
            <w:pPr>
              <w:jc w:val="center"/>
              <w:rPr>
                <w:rFonts w:asciiTheme="minorHAnsi" w:hAnsiTheme="minorHAnsi" w:cstheme="minorHAnsi"/>
                <w:b/>
                <w:sz w:val="22"/>
                <w:szCs w:val="22"/>
              </w:rPr>
            </w:pPr>
          </w:p>
        </w:tc>
        <w:tc>
          <w:tcPr>
            <w:tcW w:w="6698" w:type="dxa"/>
          </w:tcPr>
          <w:p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rsidTr="00683E60">
        <w:tc>
          <w:tcPr>
            <w:tcW w:w="1595" w:type="dxa"/>
          </w:tcPr>
          <w:p w:rsidR="00943FA1" w:rsidRDefault="00943FA1" w:rsidP="00943FA1">
            <w:pPr>
              <w:jc w:val="center"/>
              <w:rPr>
                <w:rFonts w:asciiTheme="minorHAnsi" w:hAnsiTheme="minorHAnsi" w:cstheme="minorHAnsi"/>
                <w:b/>
                <w:sz w:val="22"/>
                <w:szCs w:val="22"/>
              </w:rPr>
            </w:pPr>
            <w:r>
              <w:rPr>
                <w:rFonts w:asciiTheme="minorHAnsi" w:hAnsiTheme="minorHAnsi" w:cstheme="minorHAnsi"/>
                <w:b/>
                <w:sz w:val="22"/>
                <w:szCs w:val="22"/>
              </w:rPr>
              <w:t>36-2</w:t>
            </w:r>
          </w:p>
        </w:tc>
        <w:tc>
          <w:tcPr>
            <w:tcW w:w="4979" w:type="dxa"/>
          </w:tcPr>
          <w:p w:rsidR="00943FA1" w:rsidRDefault="00943FA1" w:rsidP="00943FA1">
            <w:pPr>
              <w:rPr>
                <w:rFonts w:asciiTheme="minorHAnsi" w:hAnsiTheme="minorHAnsi" w:cstheme="minorHAnsi"/>
                <w:sz w:val="22"/>
                <w:szCs w:val="22"/>
              </w:rPr>
            </w:pPr>
            <w:r w:rsidRPr="00471A43">
              <w:rPr>
                <w:rFonts w:asciiTheme="minorHAnsi" w:hAnsiTheme="minorHAnsi" w:cstheme="minorHAnsi"/>
                <w:sz w:val="22"/>
                <w:szCs w:val="22"/>
              </w:rPr>
              <w:t>En cas d'erreur ou d'événement imprévu au cours de la procédure d'identification ou d'authentification ou lors de l'échan</w:t>
            </w:r>
            <w:r>
              <w:rPr>
                <w:rFonts w:asciiTheme="minorHAnsi" w:hAnsiTheme="minorHAnsi" w:cstheme="minorHAnsi"/>
                <w:sz w:val="22"/>
                <w:szCs w:val="22"/>
              </w:rPr>
              <w:t>ge d'éléments d'information, les procédures du PSP prévoient-elles l’</w:t>
            </w:r>
            <w:r w:rsidRPr="00471A43">
              <w:rPr>
                <w:rFonts w:asciiTheme="minorHAnsi" w:hAnsiTheme="minorHAnsi" w:cstheme="minorHAnsi"/>
                <w:sz w:val="22"/>
                <w:szCs w:val="22"/>
              </w:rPr>
              <w:t>envoi</w:t>
            </w:r>
            <w:r>
              <w:rPr>
                <w:rFonts w:asciiTheme="minorHAnsi" w:hAnsiTheme="minorHAnsi" w:cstheme="minorHAnsi"/>
                <w:sz w:val="22"/>
                <w:szCs w:val="22"/>
              </w:rPr>
              <w:t xml:space="preserve"> d’un message de notification aux PSP tiers, en </w:t>
            </w:r>
            <w:r w:rsidRPr="00471A43">
              <w:rPr>
                <w:rFonts w:asciiTheme="minorHAnsi" w:hAnsiTheme="minorHAnsi" w:cstheme="minorHAnsi"/>
                <w:sz w:val="22"/>
                <w:szCs w:val="22"/>
              </w:rPr>
              <w:t>indiquant les raisons de l'erreur ou de l'événement imprévu</w:t>
            </w:r>
            <w:r>
              <w:rPr>
                <w:rFonts w:asciiTheme="minorHAnsi" w:hAnsiTheme="minorHAnsi" w:cstheme="minorHAnsi"/>
                <w:sz w:val="22"/>
                <w:szCs w:val="22"/>
              </w:rPr>
              <w:t> ?</w:t>
            </w:r>
          </w:p>
        </w:tc>
        <w:tc>
          <w:tcPr>
            <w:tcW w:w="1465" w:type="dxa"/>
          </w:tcPr>
          <w:p w:rsidR="00943FA1" w:rsidRPr="00CC1AEF" w:rsidRDefault="00943FA1" w:rsidP="00943FA1">
            <w:pPr>
              <w:jc w:val="center"/>
              <w:rPr>
                <w:rFonts w:asciiTheme="minorHAnsi" w:hAnsiTheme="minorHAnsi" w:cstheme="minorHAnsi"/>
                <w:b/>
                <w:sz w:val="22"/>
                <w:szCs w:val="22"/>
              </w:rPr>
            </w:pPr>
          </w:p>
        </w:tc>
        <w:tc>
          <w:tcPr>
            <w:tcW w:w="6698" w:type="dxa"/>
          </w:tcPr>
          <w:p w:rsidR="00943FA1" w:rsidRPr="00CC1AEF" w:rsidRDefault="00943FA1" w:rsidP="00943FA1">
            <w:pPr>
              <w:jc w:val="left"/>
              <w:rPr>
                <w:rFonts w:asciiTheme="minorHAnsi" w:eastAsia="Calibri" w:hAnsiTheme="minorHAnsi" w:cstheme="minorHAnsi"/>
                <w:b/>
                <w:sz w:val="22"/>
                <w:szCs w:val="22"/>
                <w:lang w:eastAsia="en-US"/>
              </w:rPr>
            </w:pPr>
          </w:p>
        </w:tc>
      </w:tr>
      <w:tr w:rsidR="00943FA1" w:rsidRPr="00CC1AEF" w:rsidTr="007952FB">
        <w:tc>
          <w:tcPr>
            <w:tcW w:w="14737" w:type="dxa"/>
            <w:gridSpan w:val="4"/>
            <w:shd w:val="clear" w:color="auto" w:fill="C2D69B" w:themeFill="accent3" w:themeFillTint="99"/>
          </w:tcPr>
          <w:p w:rsidR="00943FA1" w:rsidRPr="00CC1AEF" w:rsidRDefault="00943FA1" w:rsidP="00462A8D">
            <w:pP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Applicables par le PSP gestionnaire de comptes en cas de mise en œuvre d’une </w:t>
            </w:r>
            <w:r w:rsidR="00462A8D">
              <w:rPr>
                <w:rFonts w:asciiTheme="minorHAnsi" w:eastAsia="Calibri" w:hAnsiTheme="minorHAnsi" w:cstheme="minorHAnsi"/>
                <w:b/>
                <w:sz w:val="22"/>
                <w:szCs w:val="22"/>
                <w:lang w:eastAsia="en-US"/>
              </w:rPr>
              <w:t xml:space="preserve">interface d’accès </w:t>
            </w:r>
            <w:r>
              <w:rPr>
                <w:rFonts w:asciiTheme="minorHAnsi" w:eastAsia="Calibri" w:hAnsiTheme="minorHAnsi" w:cstheme="minorHAnsi"/>
                <w:b/>
                <w:sz w:val="22"/>
                <w:szCs w:val="22"/>
                <w:lang w:eastAsia="en-US"/>
              </w:rPr>
              <w:t>dédiée sans mécanisme de secours</w:t>
            </w:r>
          </w:p>
        </w:tc>
      </w:tr>
      <w:tr w:rsidR="00267FCE" w:rsidRPr="00CC1AEF" w:rsidTr="00683E60">
        <w:tc>
          <w:tcPr>
            <w:tcW w:w="1595" w:type="dxa"/>
          </w:tcPr>
          <w:p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29</w:t>
            </w:r>
          </w:p>
          <w:p w:rsidR="00267FCE" w:rsidRPr="00CC1AEF" w:rsidRDefault="00267FCE" w:rsidP="00267FCE">
            <w:pPr>
              <w:jc w:val="center"/>
              <w:rPr>
                <w:rFonts w:asciiTheme="minorHAnsi" w:hAnsiTheme="minorHAnsi" w:cstheme="minorHAnsi"/>
                <w:b/>
                <w:sz w:val="22"/>
                <w:szCs w:val="22"/>
              </w:rPr>
            </w:pPr>
          </w:p>
        </w:tc>
        <w:tc>
          <w:tcPr>
            <w:tcW w:w="4979" w:type="dxa"/>
          </w:tcPr>
          <w:p w:rsidR="00267FCE" w:rsidRPr="00CC1AEF" w:rsidRDefault="00267FCE" w:rsidP="00267FCE">
            <w:pPr>
              <w:rPr>
                <w:rFonts w:asciiTheme="minorHAnsi" w:hAnsiTheme="minorHAnsi" w:cstheme="minorHAnsi"/>
                <w:b/>
                <w:sz w:val="22"/>
                <w:szCs w:val="22"/>
              </w:rPr>
            </w:pPr>
            <w:r>
              <w:rPr>
                <w:rFonts w:asciiTheme="minorHAnsi" w:hAnsiTheme="minorHAnsi" w:cstheme="minorHAnsi"/>
                <w:sz w:val="22"/>
                <w:szCs w:val="22"/>
              </w:rPr>
              <w:t>Le PSP veille-t-il à ce que l’ensemble des opérations (authentification, consultation et initiation de paiement)  avec l’utilisateur du service de paiement, y compris des commerçants, d’autres PSP et d’autres entités soient bien tracées avec des identifiants uniques,  non prédictibles et  horodatées ?</w:t>
            </w:r>
          </w:p>
        </w:tc>
        <w:tc>
          <w:tcPr>
            <w:tcW w:w="1465" w:type="dxa"/>
          </w:tcPr>
          <w:p w:rsidR="00267FCE" w:rsidRPr="00CC1AEF" w:rsidRDefault="00267FCE" w:rsidP="00267FCE">
            <w:pPr>
              <w:jc w:val="center"/>
              <w:rPr>
                <w:rFonts w:asciiTheme="minorHAnsi" w:hAnsiTheme="minorHAnsi" w:cstheme="minorHAnsi"/>
                <w:b/>
                <w:sz w:val="22"/>
                <w:szCs w:val="22"/>
              </w:rPr>
            </w:pPr>
          </w:p>
        </w:tc>
        <w:tc>
          <w:tcPr>
            <w:tcW w:w="6698" w:type="dxa"/>
          </w:tcPr>
          <w:p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rsidTr="00683E60">
        <w:tc>
          <w:tcPr>
            <w:tcW w:w="1595" w:type="dxa"/>
          </w:tcPr>
          <w:p w:rsidR="00267FCE" w:rsidRPr="00CC1AEF"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30-1</w:t>
            </w:r>
          </w:p>
        </w:tc>
        <w:tc>
          <w:tcPr>
            <w:tcW w:w="4979" w:type="dxa"/>
          </w:tcPr>
          <w:p w:rsidR="00267FCE" w:rsidRPr="00080007" w:rsidRDefault="00267FCE" w:rsidP="00267FCE">
            <w:pPr>
              <w:rPr>
                <w:rFonts w:asciiTheme="minorHAnsi" w:hAnsiTheme="minorHAnsi" w:cstheme="minorHAnsi"/>
                <w:sz w:val="22"/>
                <w:szCs w:val="22"/>
              </w:rPr>
            </w:pPr>
            <w:r w:rsidRPr="00080007">
              <w:rPr>
                <w:rFonts w:asciiTheme="minorHAnsi" w:hAnsiTheme="minorHAnsi" w:cstheme="minorHAnsi"/>
                <w:sz w:val="22"/>
                <w:szCs w:val="22"/>
              </w:rPr>
              <w:t>Le PSP a-t-il mis à disposition des PSP tiers une interface d’accès qui respecte les exigences listées ci-après :</w:t>
            </w:r>
          </w:p>
          <w:p w:rsidR="00267FCE" w:rsidRPr="00080007" w:rsidRDefault="00267FCE" w:rsidP="00267FCE">
            <w:pPr>
              <w:pStyle w:val="Paragraphedeliste"/>
              <w:numPr>
                <w:ilvl w:val="0"/>
                <w:numId w:val="119"/>
              </w:numPr>
              <w:rPr>
                <w:rFonts w:asciiTheme="minorHAnsi" w:hAnsiTheme="minorHAnsi" w:cstheme="minorHAnsi"/>
                <w:szCs w:val="22"/>
              </w:rPr>
            </w:pPr>
            <w:r w:rsidRPr="00080007">
              <w:rPr>
                <w:rFonts w:asciiTheme="minorHAnsi" w:hAnsiTheme="minorHAnsi" w:cstheme="minorHAnsi"/>
                <w:szCs w:val="22"/>
              </w:rPr>
              <w:t>les PSP tiers sont en mesure de s’identifier auprès du PSP ;</w:t>
            </w:r>
          </w:p>
          <w:p w:rsidR="00267FCE" w:rsidRPr="00267FCE" w:rsidRDefault="00267FCE" w:rsidP="00267FCE">
            <w:pPr>
              <w:pStyle w:val="Paragraphedeliste"/>
              <w:numPr>
                <w:ilvl w:val="0"/>
                <w:numId w:val="119"/>
              </w:numPr>
              <w:rPr>
                <w:rFonts w:asciiTheme="minorHAnsi" w:hAnsiTheme="minorHAnsi" w:cstheme="minorHAnsi"/>
                <w:b/>
                <w:szCs w:val="22"/>
              </w:rPr>
            </w:pPr>
            <w:r w:rsidRPr="00267FCE">
              <w:rPr>
                <w:rFonts w:asciiTheme="minorHAnsi" w:hAnsiTheme="minorHAnsi" w:cstheme="minorHAnsi"/>
                <w:szCs w:val="22"/>
              </w:rPr>
              <w:t>les PSP tiers sont en mesure de communiquer de manière sécurisée avec le PSP pour exécuter leurs services de paiement.</w:t>
            </w:r>
          </w:p>
        </w:tc>
        <w:tc>
          <w:tcPr>
            <w:tcW w:w="1465" w:type="dxa"/>
          </w:tcPr>
          <w:p w:rsidR="00267FCE" w:rsidRPr="00CC1AEF" w:rsidRDefault="00267FCE" w:rsidP="00267FCE">
            <w:pPr>
              <w:jc w:val="center"/>
              <w:rPr>
                <w:rFonts w:asciiTheme="minorHAnsi" w:hAnsiTheme="minorHAnsi" w:cstheme="minorHAnsi"/>
                <w:b/>
                <w:sz w:val="22"/>
                <w:szCs w:val="22"/>
              </w:rPr>
            </w:pPr>
          </w:p>
        </w:tc>
        <w:tc>
          <w:tcPr>
            <w:tcW w:w="6698" w:type="dxa"/>
          </w:tcPr>
          <w:p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rsidTr="00683E60">
        <w:tc>
          <w:tcPr>
            <w:tcW w:w="1595" w:type="dxa"/>
          </w:tcPr>
          <w:p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30-2</w:t>
            </w:r>
          </w:p>
        </w:tc>
        <w:tc>
          <w:tcPr>
            <w:tcW w:w="4979" w:type="dxa"/>
          </w:tcPr>
          <w:p w:rsidR="00267FCE" w:rsidRPr="00E96114" w:rsidRDefault="00267FCE" w:rsidP="00267FCE">
            <w:pPr>
              <w:rPr>
                <w:rFonts w:asciiTheme="minorHAnsi" w:hAnsiTheme="minorHAnsi" w:cstheme="minorHAnsi"/>
                <w:sz w:val="22"/>
                <w:szCs w:val="22"/>
              </w:rPr>
            </w:pPr>
            <w:r>
              <w:rPr>
                <w:rFonts w:asciiTheme="minorHAnsi" w:hAnsiTheme="minorHAnsi" w:cstheme="minorHAnsi"/>
                <w:sz w:val="22"/>
                <w:szCs w:val="22"/>
              </w:rPr>
              <w:t>Le PSP r</w:t>
            </w:r>
            <w:r w:rsidRPr="00266D56">
              <w:rPr>
                <w:rFonts w:asciiTheme="minorHAnsi" w:hAnsiTheme="minorHAnsi" w:cstheme="minorHAnsi"/>
                <w:sz w:val="22"/>
                <w:szCs w:val="22"/>
              </w:rPr>
              <w:t>end</w:t>
            </w:r>
            <w:r>
              <w:rPr>
                <w:rFonts w:asciiTheme="minorHAnsi" w:hAnsiTheme="minorHAnsi" w:cstheme="minorHAnsi"/>
                <w:sz w:val="22"/>
                <w:szCs w:val="22"/>
              </w:rPr>
              <w:t>-t-il</w:t>
            </w:r>
            <w:r w:rsidRPr="00266D56">
              <w:rPr>
                <w:rFonts w:asciiTheme="minorHAnsi" w:hAnsiTheme="minorHAnsi" w:cstheme="minorHAnsi"/>
                <w:sz w:val="22"/>
                <w:szCs w:val="22"/>
              </w:rPr>
              <w:t xml:space="preserve"> l’ensemble des procédures d’authentification proposées aux utilisateurs de services de paiement utilisable</w:t>
            </w:r>
            <w:r>
              <w:rPr>
                <w:rFonts w:asciiTheme="minorHAnsi" w:hAnsiTheme="minorHAnsi" w:cstheme="minorHAnsi"/>
                <w:sz w:val="22"/>
                <w:szCs w:val="22"/>
              </w:rPr>
              <w:t>s</w:t>
            </w:r>
            <w:r w:rsidRPr="00266D56">
              <w:rPr>
                <w:rFonts w:asciiTheme="minorHAnsi" w:hAnsiTheme="minorHAnsi" w:cstheme="minorHAnsi"/>
                <w:sz w:val="22"/>
                <w:szCs w:val="22"/>
              </w:rPr>
              <w:t xml:space="preserve"> par les PSP tiers aux fins de l’authentification des utilisateurs de services de paiement</w:t>
            </w:r>
            <w:r>
              <w:rPr>
                <w:rFonts w:asciiTheme="minorHAnsi" w:hAnsiTheme="minorHAnsi" w:cstheme="minorHAnsi"/>
                <w:sz w:val="22"/>
                <w:szCs w:val="22"/>
              </w:rPr>
              <w:t> ?</w:t>
            </w:r>
          </w:p>
        </w:tc>
        <w:tc>
          <w:tcPr>
            <w:tcW w:w="1465" w:type="dxa"/>
          </w:tcPr>
          <w:p w:rsidR="00267FCE" w:rsidRPr="00CC1AEF" w:rsidRDefault="00267FCE" w:rsidP="00267FCE">
            <w:pPr>
              <w:jc w:val="center"/>
              <w:rPr>
                <w:rFonts w:asciiTheme="minorHAnsi" w:hAnsiTheme="minorHAnsi" w:cstheme="minorHAnsi"/>
                <w:b/>
                <w:sz w:val="22"/>
                <w:szCs w:val="22"/>
              </w:rPr>
            </w:pPr>
          </w:p>
        </w:tc>
        <w:tc>
          <w:tcPr>
            <w:tcW w:w="6698" w:type="dxa"/>
          </w:tcPr>
          <w:p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rsidTr="00683E60">
        <w:tc>
          <w:tcPr>
            <w:tcW w:w="1595" w:type="dxa"/>
          </w:tcPr>
          <w:p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30-2-a-b</w:t>
            </w:r>
          </w:p>
        </w:tc>
        <w:tc>
          <w:tcPr>
            <w:tcW w:w="4979" w:type="dxa"/>
          </w:tcPr>
          <w:p w:rsidR="00267FCE" w:rsidRDefault="00267FCE" w:rsidP="00267FCE">
            <w:pPr>
              <w:rPr>
                <w:rFonts w:asciiTheme="minorHAnsi" w:hAnsiTheme="minorHAnsi" w:cstheme="minorHAnsi"/>
                <w:sz w:val="22"/>
                <w:szCs w:val="22"/>
              </w:rPr>
            </w:pPr>
            <w:r>
              <w:rPr>
                <w:rFonts w:asciiTheme="minorHAnsi" w:hAnsiTheme="minorHAnsi" w:cstheme="minorHAnsi"/>
                <w:sz w:val="22"/>
                <w:szCs w:val="22"/>
              </w:rPr>
              <w:t>L’interface d’accès du PSP respecte-t-elle les exigences listées ci-après ?</w:t>
            </w:r>
          </w:p>
          <w:p w:rsidR="00267FCE" w:rsidRDefault="00267FCE" w:rsidP="00267FCE">
            <w:pPr>
              <w:rPr>
                <w:rFonts w:asciiTheme="minorHAnsi" w:hAnsiTheme="minorHAnsi" w:cstheme="minorHAnsi"/>
                <w:sz w:val="22"/>
                <w:szCs w:val="22"/>
              </w:rPr>
            </w:pPr>
            <w:r>
              <w:rPr>
                <w:rFonts w:asciiTheme="minorHAnsi" w:hAnsiTheme="minorHAnsi" w:cstheme="minorHAnsi"/>
                <w:sz w:val="22"/>
                <w:szCs w:val="22"/>
              </w:rPr>
              <w:t xml:space="preserve">- le PSP est </w:t>
            </w:r>
            <w:r w:rsidRPr="00266D56">
              <w:rPr>
                <w:rFonts w:asciiTheme="minorHAnsi" w:hAnsiTheme="minorHAnsi" w:cstheme="minorHAnsi"/>
                <w:sz w:val="22"/>
                <w:szCs w:val="22"/>
              </w:rPr>
              <w:t xml:space="preserve">en capacité de commencer l’authentification forte sur la requête d’un </w:t>
            </w:r>
            <w:r>
              <w:rPr>
                <w:rFonts w:asciiTheme="minorHAnsi" w:hAnsiTheme="minorHAnsi" w:cstheme="minorHAnsi"/>
                <w:sz w:val="22"/>
                <w:szCs w:val="22"/>
              </w:rPr>
              <w:t>PSP tiers</w:t>
            </w:r>
            <w:r w:rsidRPr="00266D56">
              <w:rPr>
                <w:rFonts w:asciiTheme="minorHAnsi" w:hAnsiTheme="minorHAnsi" w:cstheme="minorHAnsi"/>
                <w:sz w:val="22"/>
                <w:szCs w:val="22"/>
              </w:rPr>
              <w:t xml:space="preserve"> qui a préalablement recueilli l</w:t>
            </w:r>
            <w:r>
              <w:rPr>
                <w:rFonts w:asciiTheme="minorHAnsi" w:hAnsiTheme="minorHAnsi" w:cstheme="minorHAnsi"/>
                <w:sz w:val="22"/>
                <w:szCs w:val="22"/>
              </w:rPr>
              <w:t>e consentement de l’utilisateur ;</w:t>
            </w:r>
          </w:p>
          <w:p w:rsidR="00267FCE" w:rsidRPr="00E96114" w:rsidRDefault="00267FCE" w:rsidP="00267FCE">
            <w:pPr>
              <w:rPr>
                <w:rFonts w:asciiTheme="minorHAnsi" w:hAnsiTheme="minorHAnsi" w:cstheme="minorHAnsi"/>
                <w:sz w:val="22"/>
                <w:szCs w:val="22"/>
              </w:rPr>
            </w:pPr>
            <w:r>
              <w:rPr>
                <w:rFonts w:asciiTheme="minorHAnsi" w:hAnsiTheme="minorHAnsi" w:cstheme="minorHAnsi"/>
                <w:sz w:val="22"/>
                <w:szCs w:val="22"/>
              </w:rPr>
              <w:lastRenderedPageBreak/>
              <w:t>- l</w:t>
            </w:r>
            <w:r w:rsidRPr="00266D56">
              <w:rPr>
                <w:rFonts w:asciiTheme="minorHAnsi" w:hAnsiTheme="minorHAnsi" w:cstheme="minorHAnsi"/>
                <w:sz w:val="22"/>
                <w:szCs w:val="22"/>
              </w:rPr>
              <w:t xml:space="preserve">es sessions de communication entre le </w:t>
            </w:r>
            <w:r>
              <w:rPr>
                <w:rFonts w:asciiTheme="minorHAnsi" w:hAnsiTheme="minorHAnsi" w:cstheme="minorHAnsi"/>
                <w:sz w:val="22"/>
                <w:szCs w:val="22"/>
              </w:rPr>
              <w:t>PSP et les PSP tiers</w:t>
            </w:r>
            <w:r w:rsidRPr="00266D56">
              <w:rPr>
                <w:rFonts w:asciiTheme="minorHAnsi" w:hAnsiTheme="minorHAnsi" w:cstheme="minorHAnsi"/>
                <w:sz w:val="22"/>
                <w:szCs w:val="22"/>
              </w:rPr>
              <w:t xml:space="preserve"> sont établies et maintenues tout au long de l'authentification.</w:t>
            </w:r>
          </w:p>
        </w:tc>
        <w:tc>
          <w:tcPr>
            <w:tcW w:w="1465" w:type="dxa"/>
          </w:tcPr>
          <w:p w:rsidR="00267FCE" w:rsidRPr="00CC1AEF" w:rsidRDefault="00267FCE" w:rsidP="00267FCE">
            <w:pPr>
              <w:jc w:val="center"/>
              <w:rPr>
                <w:rFonts w:asciiTheme="minorHAnsi" w:hAnsiTheme="minorHAnsi" w:cstheme="minorHAnsi"/>
                <w:b/>
                <w:sz w:val="22"/>
                <w:szCs w:val="22"/>
              </w:rPr>
            </w:pPr>
          </w:p>
        </w:tc>
        <w:tc>
          <w:tcPr>
            <w:tcW w:w="6698" w:type="dxa"/>
          </w:tcPr>
          <w:p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rsidTr="00683E60">
        <w:tc>
          <w:tcPr>
            <w:tcW w:w="1595" w:type="dxa"/>
          </w:tcPr>
          <w:p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30-3</w:t>
            </w:r>
          </w:p>
        </w:tc>
        <w:tc>
          <w:tcPr>
            <w:tcW w:w="4979" w:type="dxa"/>
          </w:tcPr>
          <w:p w:rsidR="00267FCE" w:rsidRDefault="00267FCE" w:rsidP="00267FCE">
            <w:pPr>
              <w:rPr>
                <w:rFonts w:asciiTheme="minorHAnsi" w:hAnsiTheme="minorHAnsi" w:cstheme="minorHAnsi"/>
                <w:sz w:val="22"/>
                <w:szCs w:val="22"/>
              </w:rPr>
            </w:pPr>
            <w:r>
              <w:rPr>
                <w:rFonts w:asciiTheme="minorHAnsi" w:hAnsiTheme="minorHAnsi" w:cstheme="minorHAnsi"/>
                <w:sz w:val="22"/>
                <w:szCs w:val="22"/>
              </w:rPr>
              <w:t>Le PSP veille-t-il à ce que son interface d’accès suive les normes de communication publiées par des organisations européennes ou internationales de normalisation ?</w:t>
            </w:r>
          </w:p>
          <w:p w:rsidR="00267FCE" w:rsidRPr="00850621" w:rsidRDefault="00267FCE" w:rsidP="00267FCE">
            <w:pPr>
              <w:rPr>
                <w:rFonts w:asciiTheme="minorHAnsi" w:hAnsiTheme="minorHAnsi" w:cstheme="minorHAnsi"/>
                <w:sz w:val="22"/>
                <w:szCs w:val="22"/>
              </w:rPr>
            </w:pPr>
            <w:r>
              <w:rPr>
                <w:rFonts w:asciiTheme="minorHAnsi" w:hAnsiTheme="minorHAnsi" w:cstheme="minorHAnsi"/>
                <w:sz w:val="22"/>
                <w:szCs w:val="22"/>
              </w:rPr>
              <w:t>Les spécifications techniques de l’interface d’accès font-elles l’objet d’une documentation mentionnant une série de routines, de protocoles et d’outils dont les PSP tiers ont besoin pour permettre l’interopérabilité de leurs logiciels et applications avec les systèmes du PSP ?</w:t>
            </w:r>
          </w:p>
        </w:tc>
        <w:tc>
          <w:tcPr>
            <w:tcW w:w="1465" w:type="dxa"/>
          </w:tcPr>
          <w:p w:rsidR="00267FCE" w:rsidRPr="00CC1AEF" w:rsidRDefault="00267FCE" w:rsidP="00267FCE">
            <w:pPr>
              <w:jc w:val="center"/>
              <w:rPr>
                <w:rFonts w:asciiTheme="minorHAnsi" w:hAnsiTheme="minorHAnsi" w:cstheme="minorHAnsi"/>
                <w:b/>
                <w:sz w:val="22"/>
                <w:szCs w:val="22"/>
              </w:rPr>
            </w:pPr>
          </w:p>
        </w:tc>
        <w:tc>
          <w:tcPr>
            <w:tcW w:w="6698" w:type="dxa"/>
          </w:tcPr>
          <w:p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rsidTr="00683E60">
        <w:tc>
          <w:tcPr>
            <w:tcW w:w="1595" w:type="dxa"/>
          </w:tcPr>
          <w:p w:rsidR="00267FCE" w:rsidRPr="00CC1AEF"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30-4</w:t>
            </w:r>
          </w:p>
        </w:tc>
        <w:tc>
          <w:tcPr>
            <w:tcW w:w="4979" w:type="dxa"/>
          </w:tcPr>
          <w:p w:rsidR="00267FCE" w:rsidRDefault="00267FCE" w:rsidP="00267FCE">
            <w:pPr>
              <w:rPr>
                <w:rFonts w:asciiTheme="minorHAnsi" w:hAnsiTheme="minorHAnsi" w:cstheme="minorHAnsi"/>
                <w:sz w:val="22"/>
                <w:szCs w:val="22"/>
              </w:rPr>
            </w:pPr>
            <w:r w:rsidRPr="00850621">
              <w:rPr>
                <w:rFonts w:asciiTheme="minorHAnsi" w:hAnsiTheme="minorHAnsi" w:cstheme="minorHAnsi"/>
                <w:sz w:val="22"/>
                <w:szCs w:val="22"/>
              </w:rPr>
              <w:t>En cas</w:t>
            </w:r>
            <w:r>
              <w:rPr>
                <w:rFonts w:asciiTheme="minorHAnsi" w:hAnsiTheme="minorHAnsi" w:cstheme="minorHAnsi"/>
                <w:sz w:val="22"/>
                <w:szCs w:val="22"/>
              </w:rPr>
              <w:t xml:space="preserve"> de modifications des spécifications techniques de l’interface d’accès, sauf en cas d’urgence, le PSP a-t-il bien prévu une mise à disposition après des PSP tiers au moins trois mois avant leur mise en œuvre ?</w:t>
            </w:r>
          </w:p>
          <w:p w:rsidR="00267FCE" w:rsidRPr="00CC1AEF" w:rsidRDefault="00267FCE" w:rsidP="00267FCE">
            <w:pPr>
              <w:rPr>
                <w:rFonts w:asciiTheme="minorHAnsi" w:hAnsiTheme="minorHAnsi" w:cstheme="minorHAnsi"/>
                <w:b/>
                <w:sz w:val="22"/>
                <w:szCs w:val="22"/>
              </w:rPr>
            </w:pPr>
            <w:r>
              <w:rPr>
                <w:rFonts w:asciiTheme="minorHAnsi" w:hAnsiTheme="minorHAnsi" w:cstheme="minorHAnsi"/>
                <w:sz w:val="22"/>
                <w:szCs w:val="22"/>
              </w:rPr>
              <w:t xml:space="preserve">Les procédures du PSP prévoient-elles de décrire par écrit les situations d’urgence dans lesquelles </w:t>
            </w:r>
            <w:r w:rsidRPr="00FC0D51">
              <w:rPr>
                <w:rFonts w:asciiTheme="minorHAnsi" w:hAnsiTheme="minorHAnsi" w:cstheme="minorHAnsi"/>
                <w:sz w:val="22"/>
                <w:szCs w:val="22"/>
              </w:rPr>
              <w:t xml:space="preserve">les modifications ont été mises en œuvre et </w:t>
            </w:r>
            <w:r>
              <w:rPr>
                <w:rFonts w:asciiTheme="minorHAnsi" w:hAnsiTheme="minorHAnsi" w:cstheme="minorHAnsi"/>
                <w:sz w:val="22"/>
                <w:szCs w:val="22"/>
              </w:rPr>
              <w:t xml:space="preserve">de mettre </w:t>
            </w:r>
            <w:r w:rsidRPr="00FC0D51">
              <w:rPr>
                <w:rFonts w:asciiTheme="minorHAnsi" w:hAnsiTheme="minorHAnsi" w:cstheme="minorHAnsi"/>
                <w:sz w:val="22"/>
                <w:szCs w:val="22"/>
              </w:rPr>
              <w:t xml:space="preserve">cette documentation à la disposition </w:t>
            </w:r>
            <w:r w:rsidRPr="0085040E">
              <w:rPr>
                <w:rFonts w:asciiTheme="minorHAnsi" w:hAnsiTheme="minorHAnsi" w:cstheme="minorHAnsi"/>
                <w:sz w:val="22"/>
                <w:szCs w:val="22"/>
              </w:rPr>
              <w:t>de l’ACPR</w:t>
            </w:r>
            <w:r>
              <w:rPr>
                <w:rFonts w:asciiTheme="minorHAnsi" w:hAnsiTheme="minorHAnsi" w:cstheme="minorHAnsi"/>
                <w:sz w:val="22"/>
                <w:szCs w:val="22"/>
              </w:rPr>
              <w:t> </w:t>
            </w:r>
            <w:r w:rsidR="0085040E">
              <w:rPr>
                <w:rFonts w:asciiTheme="minorHAnsi" w:hAnsiTheme="minorHAnsi" w:cstheme="minorHAnsi"/>
                <w:sz w:val="22"/>
                <w:szCs w:val="22"/>
              </w:rPr>
              <w:t xml:space="preserve">et de la BDF </w:t>
            </w:r>
            <w:r>
              <w:rPr>
                <w:rFonts w:asciiTheme="minorHAnsi" w:hAnsiTheme="minorHAnsi" w:cstheme="minorHAnsi"/>
                <w:sz w:val="22"/>
                <w:szCs w:val="22"/>
              </w:rPr>
              <w:t>?</w:t>
            </w:r>
          </w:p>
        </w:tc>
        <w:tc>
          <w:tcPr>
            <w:tcW w:w="1465" w:type="dxa"/>
          </w:tcPr>
          <w:p w:rsidR="00267FCE" w:rsidRPr="00CC1AEF" w:rsidRDefault="00267FCE" w:rsidP="00267FCE">
            <w:pPr>
              <w:jc w:val="center"/>
              <w:rPr>
                <w:rFonts w:asciiTheme="minorHAnsi" w:hAnsiTheme="minorHAnsi" w:cstheme="minorHAnsi"/>
                <w:b/>
                <w:sz w:val="22"/>
                <w:szCs w:val="22"/>
              </w:rPr>
            </w:pPr>
          </w:p>
        </w:tc>
        <w:tc>
          <w:tcPr>
            <w:tcW w:w="6698" w:type="dxa"/>
          </w:tcPr>
          <w:p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rsidTr="00683E60">
        <w:tc>
          <w:tcPr>
            <w:tcW w:w="1595" w:type="dxa"/>
          </w:tcPr>
          <w:p w:rsidR="00267FCE" w:rsidRPr="00CC1AEF"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32-1</w:t>
            </w:r>
          </w:p>
        </w:tc>
        <w:tc>
          <w:tcPr>
            <w:tcW w:w="4979" w:type="dxa"/>
          </w:tcPr>
          <w:p w:rsidR="00267FCE" w:rsidRPr="00CC1AEF" w:rsidRDefault="00267FCE" w:rsidP="00267FCE">
            <w:pPr>
              <w:rPr>
                <w:rFonts w:asciiTheme="minorHAnsi" w:hAnsiTheme="minorHAnsi" w:cstheme="minorHAnsi"/>
                <w:b/>
                <w:sz w:val="22"/>
                <w:szCs w:val="22"/>
              </w:rPr>
            </w:pPr>
            <w:r>
              <w:rPr>
                <w:rFonts w:asciiTheme="minorHAnsi" w:hAnsiTheme="minorHAnsi" w:cstheme="minorHAnsi"/>
                <w:sz w:val="22"/>
                <w:szCs w:val="22"/>
              </w:rPr>
              <w:t xml:space="preserve">Le PSP veille-t-il à ce que son interface dédiée d’accès </w:t>
            </w:r>
            <w:r w:rsidRPr="00E57890">
              <w:rPr>
                <w:rFonts w:asciiTheme="minorHAnsi" w:hAnsiTheme="minorHAnsi" w:cstheme="minorHAnsi"/>
                <w:sz w:val="22"/>
                <w:szCs w:val="22"/>
              </w:rPr>
              <w:t>offre à tout moment le même niveau de disponibilité et de performances, assistance comprise, que les interfaces mises à la disposition de l'utilisateur de services de paiement pour accéder directement à son compte de paiement en ligne</w:t>
            </w:r>
            <w:r>
              <w:rPr>
                <w:rFonts w:asciiTheme="minorHAnsi" w:hAnsiTheme="minorHAnsi" w:cstheme="minorHAnsi"/>
                <w:sz w:val="22"/>
                <w:szCs w:val="22"/>
              </w:rPr>
              <w:t> ?</w:t>
            </w:r>
          </w:p>
        </w:tc>
        <w:tc>
          <w:tcPr>
            <w:tcW w:w="1465" w:type="dxa"/>
          </w:tcPr>
          <w:p w:rsidR="00267FCE" w:rsidRPr="00CC1AEF" w:rsidRDefault="00267FCE" w:rsidP="00267FCE">
            <w:pPr>
              <w:jc w:val="center"/>
              <w:rPr>
                <w:rFonts w:asciiTheme="minorHAnsi" w:hAnsiTheme="minorHAnsi" w:cstheme="minorHAnsi"/>
                <w:b/>
                <w:sz w:val="22"/>
                <w:szCs w:val="22"/>
              </w:rPr>
            </w:pPr>
          </w:p>
        </w:tc>
        <w:tc>
          <w:tcPr>
            <w:tcW w:w="6698" w:type="dxa"/>
          </w:tcPr>
          <w:p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rsidTr="00683E60">
        <w:tc>
          <w:tcPr>
            <w:tcW w:w="1595" w:type="dxa"/>
          </w:tcPr>
          <w:p w:rsidR="00267FCE" w:rsidRPr="00CC1AEF"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32-2</w:t>
            </w:r>
          </w:p>
        </w:tc>
        <w:tc>
          <w:tcPr>
            <w:tcW w:w="4979" w:type="dxa"/>
          </w:tcPr>
          <w:p w:rsidR="00267FCE" w:rsidRPr="00CC1AEF" w:rsidRDefault="00267FCE" w:rsidP="00267FCE">
            <w:pPr>
              <w:rPr>
                <w:rFonts w:asciiTheme="minorHAnsi" w:hAnsiTheme="minorHAnsi" w:cstheme="minorHAnsi"/>
                <w:b/>
                <w:sz w:val="22"/>
                <w:szCs w:val="22"/>
              </w:rPr>
            </w:pPr>
            <w:r w:rsidRPr="003C47B2">
              <w:rPr>
                <w:rFonts w:asciiTheme="minorHAnsi" w:hAnsiTheme="minorHAnsi" w:cstheme="minorHAnsi"/>
                <w:sz w:val="22"/>
                <w:szCs w:val="22"/>
              </w:rPr>
              <w:t>Le</w:t>
            </w:r>
            <w:r>
              <w:rPr>
                <w:rFonts w:asciiTheme="minorHAnsi" w:hAnsiTheme="minorHAnsi" w:cstheme="minorHAnsi"/>
                <w:sz w:val="22"/>
                <w:szCs w:val="22"/>
              </w:rPr>
              <w:t xml:space="preserve"> PSP a-t-il défini </w:t>
            </w:r>
            <w:r w:rsidRPr="003C47B2">
              <w:rPr>
                <w:rFonts w:asciiTheme="minorHAnsi" w:hAnsiTheme="minorHAnsi" w:cstheme="minorHAnsi"/>
                <w:sz w:val="22"/>
                <w:szCs w:val="22"/>
              </w:rPr>
              <w:t xml:space="preserve">des indicateurs de performance clés et des valeurs cibles de niveau de service </w:t>
            </w:r>
            <w:r>
              <w:rPr>
                <w:rFonts w:asciiTheme="minorHAnsi" w:hAnsiTheme="minorHAnsi" w:cstheme="minorHAnsi"/>
                <w:sz w:val="22"/>
                <w:szCs w:val="22"/>
              </w:rPr>
              <w:t xml:space="preserve">de son interface d’accès </w:t>
            </w:r>
            <w:r w:rsidRPr="003C47B2">
              <w:rPr>
                <w:rFonts w:asciiTheme="minorHAnsi" w:hAnsiTheme="minorHAnsi" w:cstheme="minorHAnsi"/>
                <w:sz w:val="22"/>
                <w:szCs w:val="22"/>
              </w:rPr>
              <w:t>qui soient transparents et au moins aussi exigeants que ceux fixés pour l'interface utilisée par leurs utilisateurs de services de paiement, tant sur le plan de la disponibilité que des données fournies</w:t>
            </w:r>
            <w:r>
              <w:rPr>
                <w:rFonts w:asciiTheme="minorHAnsi" w:hAnsiTheme="minorHAnsi" w:cstheme="minorHAnsi"/>
                <w:sz w:val="22"/>
                <w:szCs w:val="22"/>
              </w:rPr>
              <w:t> ?</w:t>
            </w:r>
          </w:p>
        </w:tc>
        <w:tc>
          <w:tcPr>
            <w:tcW w:w="1465" w:type="dxa"/>
          </w:tcPr>
          <w:p w:rsidR="00267FCE" w:rsidRPr="00CC1AEF" w:rsidRDefault="00267FCE" w:rsidP="00267FCE">
            <w:pPr>
              <w:jc w:val="center"/>
              <w:rPr>
                <w:rFonts w:asciiTheme="minorHAnsi" w:hAnsiTheme="minorHAnsi" w:cstheme="minorHAnsi"/>
                <w:b/>
                <w:sz w:val="22"/>
                <w:szCs w:val="22"/>
              </w:rPr>
            </w:pPr>
          </w:p>
        </w:tc>
        <w:tc>
          <w:tcPr>
            <w:tcW w:w="6698" w:type="dxa"/>
          </w:tcPr>
          <w:p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rsidTr="00683E60">
        <w:tc>
          <w:tcPr>
            <w:tcW w:w="1595" w:type="dxa"/>
          </w:tcPr>
          <w:p w:rsidR="00267FCE" w:rsidRPr="00CC1AEF"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lastRenderedPageBreak/>
              <w:t>32-4</w:t>
            </w:r>
          </w:p>
        </w:tc>
        <w:tc>
          <w:tcPr>
            <w:tcW w:w="4979" w:type="dxa"/>
          </w:tcPr>
          <w:p w:rsidR="00267FCE" w:rsidRPr="00CC1AEF" w:rsidRDefault="00267FCE" w:rsidP="00267FCE">
            <w:pPr>
              <w:rPr>
                <w:rFonts w:asciiTheme="minorHAnsi" w:hAnsiTheme="minorHAnsi" w:cstheme="minorHAnsi"/>
                <w:b/>
                <w:sz w:val="22"/>
                <w:szCs w:val="22"/>
              </w:rPr>
            </w:pPr>
            <w:r>
              <w:rPr>
                <w:rFonts w:asciiTheme="minorHAnsi" w:hAnsiTheme="minorHAnsi" w:cstheme="minorHAnsi"/>
                <w:sz w:val="22"/>
                <w:szCs w:val="22"/>
              </w:rPr>
              <w:t>L</w:t>
            </w:r>
            <w:r w:rsidRPr="003C47B2">
              <w:rPr>
                <w:rFonts w:asciiTheme="minorHAnsi" w:hAnsiTheme="minorHAnsi" w:cstheme="minorHAnsi"/>
                <w:sz w:val="22"/>
                <w:szCs w:val="22"/>
              </w:rPr>
              <w:t>a disponibilité et les performances de</w:t>
            </w:r>
            <w:r>
              <w:rPr>
                <w:rFonts w:asciiTheme="minorHAnsi" w:hAnsiTheme="minorHAnsi" w:cstheme="minorHAnsi"/>
                <w:sz w:val="22"/>
                <w:szCs w:val="22"/>
              </w:rPr>
              <w:t xml:space="preserve"> l’</w:t>
            </w:r>
            <w:r w:rsidRPr="003C47B2">
              <w:rPr>
                <w:rFonts w:asciiTheme="minorHAnsi" w:hAnsiTheme="minorHAnsi" w:cstheme="minorHAnsi"/>
                <w:sz w:val="22"/>
                <w:szCs w:val="22"/>
              </w:rPr>
              <w:t>interface</w:t>
            </w:r>
            <w:r>
              <w:rPr>
                <w:rFonts w:asciiTheme="minorHAnsi" w:hAnsiTheme="minorHAnsi" w:cstheme="minorHAnsi"/>
                <w:sz w:val="22"/>
                <w:szCs w:val="22"/>
              </w:rPr>
              <w:t xml:space="preserve"> d’accès sont-elles contrôlées par le PSP et les statistiques correspondantes sont-elles publiées sur son site internet </w:t>
            </w:r>
            <w:r w:rsidRPr="003C47B2">
              <w:rPr>
                <w:rFonts w:asciiTheme="minorHAnsi" w:hAnsiTheme="minorHAnsi" w:cstheme="minorHAnsi"/>
                <w:sz w:val="22"/>
                <w:szCs w:val="22"/>
              </w:rPr>
              <w:t xml:space="preserve"> </w:t>
            </w:r>
            <w:r>
              <w:rPr>
                <w:rFonts w:asciiTheme="minorHAnsi" w:hAnsiTheme="minorHAnsi" w:cstheme="minorHAnsi"/>
                <w:sz w:val="22"/>
                <w:szCs w:val="22"/>
              </w:rPr>
              <w:t xml:space="preserve">selon une périodicité trimestrielle ? </w:t>
            </w:r>
          </w:p>
        </w:tc>
        <w:tc>
          <w:tcPr>
            <w:tcW w:w="1465" w:type="dxa"/>
          </w:tcPr>
          <w:p w:rsidR="00267FCE" w:rsidRPr="00CC1AEF" w:rsidRDefault="00267FCE" w:rsidP="00267FCE">
            <w:pPr>
              <w:jc w:val="center"/>
              <w:rPr>
                <w:rFonts w:asciiTheme="minorHAnsi" w:hAnsiTheme="minorHAnsi" w:cstheme="minorHAnsi"/>
                <w:b/>
                <w:sz w:val="22"/>
                <w:szCs w:val="22"/>
              </w:rPr>
            </w:pPr>
          </w:p>
        </w:tc>
        <w:tc>
          <w:tcPr>
            <w:tcW w:w="6698" w:type="dxa"/>
          </w:tcPr>
          <w:p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rsidTr="00683E60">
        <w:tc>
          <w:tcPr>
            <w:tcW w:w="1595" w:type="dxa"/>
          </w:tcPr>
          <w:p w:rsidR="00267FCE" w:rsidRPr="00CC1AEF"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33-6</w:t>
            </w:r>
          </w:p>
        </w:tc>
        <w:tc>
          <w:tcPr>
            <w:tcW w:w="4979" w:type="dxa"/>
          </w:tcPr>
          <w:p w:rsidR="00267FCE" w:rsidRPr="008473F6" w:rsidRDefault="00267FCE" w:rsidP="00267FCE">
            <w:pPr>
              <w:rPr>
                <w:rFonts w:asciiTheme="minorHAnsi" w:hAnsiTheme="minorHAnsi" w:cstheme="minorHAnsi"/>
                <w:sz w:val="22"/>
                <w:szCs w:val="22"/>
              </w:rPr>
            </w:pPr>
            <w:r w:rsidRPr="008473F6">
              <w:rPr>
                <w:rFonts w:asciiTheme="minorHAnsi" w:hAnsiTheme="minorHAnsi" w:cstheme="minorHAnsi"/>
                <w:sz w:val="22"/>
                <w:szCs w:val="22"/>
              </w:rPr>
              <w:t>Le</w:t>
            </w:r>
            <w:r>
              <w:rPr>
                <w:rFonts w:asciiTheme="minorHAnsi" w:hAnsiTheme="minorHAnsi" w:cstheme="minorHAnsi"/>
                <w:sz w:val="22"/>
                <w:szCs w:val="22"/>
              </w:rPr>
              <w:t xml:space="preserve"> PSP a-t-il formulé une demande d’exemption de mise en place de mécanisme d’urgence auprès de l’ACPR ?</w:t>
            </w:r>
          </w:p>
        </w:tc>
        <w:tc>
          <w:tcPr>
            <w:tcW w:w="1465" w:type="dxa"/>
          </w:tcPr>
          <w:p w:rsidR="00267FCE" w:rsidRPr="00CC1AEF" w:rsidRDefault="00267FCE" w:rsidP="00267FCE">
            <w:pPr>
              <w:jc w:val="center"/>
              <w:rPr>
                <w:rFonts w:asciiTheme="minorHAnsi" w:hAnsiTheme="minorHAnsi" w:cstheme="minorHAnsi"/>
                <w:b/>
                <w:sz w:val="22"/>
                <w:szCs w:val="22"/>
              </w:rPr>
            </w:pPr>
          </w:p>
        </w:tc>
        <w:tc>
          <w:tcPr>
            <w:tcW w:w="6698" w:type="dxa"/>
          </w:tcPr>
          <w:p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rsidTr="00683E60">
        <w:tc>
          <w:tcPr>
            <w:tcW w:w="1595" w:type="dxa"/>
          </w:tcPr>
          <w:p w:rsidR="00267FCE" w:rsidRPr="00CC1AEF"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34-1</w:t>
            </w:r>
          </w:p>
        </w:tc>
        <w:tc>
          <w:tcPr>
            <w:tcW w:w="4979" w:type="dxa"/>
          </w:tcPr>
          <w:p w:rsidR="00267FCE" w:rsidRPr="00CC1AEF" w:rsidRDefault="00267FCE" w:rsidP="00267FCE">
            <w:pPr>
              <w:rPr>
                <w:rFonts w:asciiTheme="minorHAnsi" w:hAnsiTheme="minorHAnsi" w:cstheme="minorHAnsi"/>
                <w:b/>
                <w:sz w:val="22"/>
                <w:szCs w:val="22"/>
              </w:rPr>
            </w:pPr>
            <w:r>
              <w:rPr>
                <w:rFonts w:asciiTheme="minorHAnsi" w:hAnsiTheme="minorHAnsi" w:cstheme="minorHAnsi"/>
                <w:sz w:val="22"/>
                <w:szCs w:val="22"/>
              </w:rPr>
              <w:t xml:space="preserve">L’accès des PSP tiers à l’interface d’accès dédiée du PSP se fait au moyen de certificats qualifiés de cachet électronique ou de certificats qualifiés d’authentification de site internet ? </w:t>
            </w:r>
          </w:p>
        </w:tc>
        <w:tc>
          <w:tcPr>
            <w:tcW w:w="1465" w:type="dxa"/>
          </w:tcPr>
          <w:p w:rsidR="00267FCE" w:rsidRPr="00CC1AEF" w:rsidRDefault="00267FCE" w:rsidP="00267FCE">
            <w:pPr>
              <w:jc w:val="center"/>
              <w:rPr>
                <w:rFonts w:asciiTheme="minorHAnsi" w:hAnsiTheme="minorHAnsi" w:cstheme="minorHAnsi"/>
                <w:b/>
                <w:sz w:val="22"/>
                <w:szCs w:val="22"/>
              </w:rPr>
            </w:pPr>
          </w:p>
        </w:tc>
        <w:tc>
          <w:tcPr>
            <w:tcW w:w="6698" w:type="dxa"/>
          </w:tcPr>
          <w:p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rsidTr="00683E60">
        <w:tc>
          <w:tcPr>
            <w:tcW w:w="1595" w:type="dxa"/>
          </w:tcPr>
          <w:p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35-1</w:t>
            </w:r>
          </w:p>
          <w:p w:rsidR="00267FCE" w:rsidRDefault="00267FCE" w:rsidP="00267FCE">
            <w:pPr>
              <w:rPr>
                <w:rFonts w:asciiTheme="minorHAnsi" w:hAnsiTheme="minorHAnsi" w:cstheme="minorHAnsi"/>
                <w:b/>
                <w:sz w:val="22"/>
                <w:szCs w:val="22"/>
              </w:rPr>
            </w:pPr>
          </w:p>
        </w:tc>
        <w:tc>
          <w:tcPr>
            <w:tcW w:w="4979" w:type="dxa"/>
          </w:tcPr>
          <w:p w:rsidR="00267FCE" w:rsidRDefault="00267FCE" w:rsidP="00267FCE">
            <w:pPr>
              <w:rPr>
                <w:rFonts w:asciiTheme="minorHAnsi" w:hAnsiTheme="minorHAnsi" w:cstheme="minorHAnsi"/>
                <w:sz w:val="22"/>
                <w:szCs w:val="22"/>
              </w:rPr>
            </w:pPr>
            <w:r>
              <w:rPr>
                <w:rFonts w:asciiTheme="minorHAnsi" w:hAnsiTheme="minorHAnsi" w:cstheme="minorHAnsi"/>
                <w:sz w:val="22"/>
                <w:szCs w:val="22"/>
              </w:rPr>
              <w:t>L’intégrité et la confidentialité des données de sécurité personnalisées et les codes d’authentification qui transitent par les flux de communication ou qui sont stockés dans les systèmes d’information du PSP sont-elles assurées ?</w:t>
            </w:r>
          </w:p>
        </w:tc>
        <w:tc>
          <w:tcPr>
            <w:tcW w:w="1465" w:type="dxa"/>
          </w:tcPr>
          <w:p w:rsidR="00267FCE" w:rsidRPr="00CC1AEF" w:rsidRDefault="00267FCE" w:rsidP="00267FCE">
            <w:pPr>
              <w:jc w:val="center"/>
              <w:rPr>
                <w:rFonts w:asciiTheme="minorHAnsi" w:hAnsiTheme="minorHAnsi" w:cstheme="minorHAnsi"/>
                <w:b/>
                <w:sz w:val="22"/>
                <w:szCs w:val="22"/>
              </w:rPr>
            </w:pPr>
          </w:p>
        </w:tc>
        <w:tc>
          <w:tcPr>
            <w:tcW w:w="6698" w:type="dxa"/>
          </w:tcPr>
          <w:p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rsidTr="00683E60">
        <w:tc>
          <w:tcPr>
            <w:tcW w:w="1595" w:type="dxa"/>
          </w:tcPr>
          <w:p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35-5</w:t>
            </w:r>
          </w:p>
        </w:tc>
        <w:tc>
          <w:tcPr>
            <w:tcW w:w="4979" w:type="dxa"/>
          </w:tcPr>
          <w:p w:rsidR="00267FCE" w:rsidRDefault="00267FCE" w:rsidP="00267FCE">
            <w:pPr>
              <w:rPr>
                <w:rFonts w:asciiTheme="minorHAnsi" w:hAnsiTheme="minorHAnsi" w:cstheme="minorHAnsi"/>
                <w:sz w:val="22"/>
                <w:szCs w:val="22"/>
              </w:rPr>
            </w:pPr>
            <w:r>
              <w:rPr>
                <w:rFonts w:asciiTheme="minorHAnsi" w:hAnsiTheme="minorHAnsi" w:cstheme="minorHAnsi"/>
                <w:sz w:val="22"/>
                <w:szCs w:val="22"/>
              </w:rPr>
              <w:t>Le PSP veille-t-il à ce que les données de sécurité personnalisées et les codes d’authentification qu’ils communiquent ne soient aucun moment lisibles directement ou indirectement par un membre du personnel ?</w:t>
            </w:r>
          </w:p>
        </w:tc>
        <w:tc>
          <w:tcPr>
            <w:tcW w:w="1465" w:type="dxa"/>
          </w:tcPr>
          <w:p w:rsidR="00267FCE" w:rsidRPr="00CC1AEF" w:rsidRDefault="00267FCE" w:rsidP="00267FCE">
            <w:pPr>
              <w:jc w:val="center"/>
              <w:rPr>
                <w:rFonts w:asciiTheme="minorHAnsi" w:hAnsiTheme="minorHAnsi" w:cstheme="minorHAnsi"/>
                <w:b/>
                <w:sz w:val="22"/>
                <w:szCs w:val="22"/>
              </w:rPr>
            </w:pPr>
          </w:p>
        </w:tc>
        <w:tc>
          <w:tcPr>
            <w:tcW w:w="6698" w:type="dxa"/>
          </w:tcPr>
          <w:p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rsidTr="00683E60">
        <w:tc>
          <w:tcPr>
            <w:tcW w:w="1595" w:type="dxa"/>
          </w:tcPr>
          <w:p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36-1</w:t>
            </w:r>
          </w:p>
        </w:tc>
        <w:tc>
          <w:tcPr>
            <w:tcW w:w="4979" w:type="dxa"/>
          </w:tcPr>
          <w:p w:rsidR="00267FCE" w:rsidRPr="00471A43" w:rsidRDefault="00267FCE" w:rsidP="00267FCE">
            <w:pPr>
              <w:rPr>
                <w:rFonts w:asciiTheme="minorHAnsi" w:hAnsiTheme="minorHAnsi" w:cstheme="minorHAnsi"/>
                <w:sz w:val="22"/>
                <w:szCs w:val="22"/>
              </w:rPr>
            </w:pPr>
            <w:r w:rsidRPr="00471A43">
              <w:rPr>
                <w:rFonts w:asciiTheme="minorHAnsi" w:hAnsiTheme="minorHAnsi" w:cstheme="minorHAnsi"/>
                <w:sz w:val="22"/>
                <w:szCs w:val="22"/>
              </w:rPr>
              <w:t>Le PSP respecte-t-il les exigences listées ci-après ?</w:t>
            </w:r>
          </w:p>
          <w:p w:rsidR="00267FCE" w:rsidRDefault="00267FCE" w:rsidP="00267FCE">
            <w:pPr>
              <w:pStyle w:val="Paragraphedeliste"/>
              <w:numPr>
                <w:ilvl w:val="0"/>
                <w:numId w:val="119"/>
              </w:numPr>
              <w:rPr>
                <w:rFonts w:asciiTheme="minorHAnsi" w:hAnsiTheme="minorHAnsi" w:cstheme="minorHAnsi"/>
                <w:szCs w:val="22"/>
              </w:rPr>
            </w:pPr>
            <w:r w:rsidRPr="00471A43">
              <w:rPr>
                <w:rFonts w:asciiTheme="minorHAnsi" w:hAnsiTheme="minorHAnsi" w:cstheme="minorHAnsi"/>
                <w:szCs w:val="22"/>
              </w:rPr>
              <w:t>il fourni</w:t>
            </w:r>
            <w:r>
              <w:rPr>
                <w:rFonts w:asciiTheme="minorHAnsi" w:hAnsiTheme="minorHAnsi" w:cstheme="minorHAnsi"/>
                <w:szCs w:val="22"/>
              </w:rPr>
              <w:t>t</w:t>
            </w:r>
            <w:r w:rsidRPr="00471A43">
              <w:rPr>
                <w:rFonts w:asciiTheme="minorHAnsi" w:hAnsiTheme="minorHAnsi" w:cstheme="minorHAnsi"/>
                <w:szCs w:val="22"/>
              </w:rPr>
              <w:t xml:space="preserve"> aux </w:t>
            </w:r>
            <w:r>
              <w:rPr>
                <w:rFonts w:asciiTheme="minorHAnsi" w:hAnsiTheme="minorHAnsi" w:cstheme="minorHAnsi"/>
                <w:szCs w:val="22"/>
              </w:rPr>
              <w:t>PSP tiers les</w:t>
            </w:r>
            <w:r w:rsidRPr="00471A43">
              <w:rPr>
                <w:rFonts w:asciiTheme="minorHAnsi" w:hAnsiTheme="minorHAnsi" w:cstheme="minorHAnsi"/>
                <w:szCs w:val="22"/>
              </w:rPr>
              <w:t xml:space="preserve"> mêmes informations provenant des comptes de paiement désignés et des opérations de paiement associées que celles qui sont mises à la disposition de l'utilisateur de services de paiement en cas de demande directe d'accès aux informations sur le compte, pour autant que ces informations ne comportent pas de données de paiement sensibles</w:t>
            </w:r>
          </w:p>
          <w:p w:rsidR="00267FCE" w:rsidRDefault="00267FCE" w:rsidP="00267FCE">
            <w:pPr>
              <w:pStyle w:val="Paragraphedeliste"/>
              <w:numPr>
                <w:ilvl w:val="0"/>
                <w:numId w:val="119"/>
              </w:numPr>
              <w:rPr>
                <w:rFonts w:asciiTheme="minorHAnsi" w:hAnsiTheme="minorHAnsi" w:cstheme="minorHAnsi"/>
                <w:szCs w:val="22"/>
              </w:rPr>
            </w:pPr>
            <w:r>
              <w:rPr>
                <w:rFonts w:asciiTheme="minorHAnsi" w:hAnsiTheme="minorHAnsi" w:cstheme="minorHAnsi"/>
                <w:szCs w:val="22"/>
              </w:rPr>
              <w:t>i</w:t>
            </w:r>
            <w:r w:rsidRPr="00471A43">
              <w:rPr>
                <w:rFonts w:asciiTheme="minorHAnsi" w:hAnsiTheme="minorHAnsi" w:cstheme="minorHAnsi"/>
                <w:szCs w:val="22"/>
              </w:rPr>
              <w:t xml:space="preserve">mmédiatement après avoir reçu l'ordre de paiement, ils fournissent aux </w:t>
            </w:r>
            <w:r>
              <w:rPr>
                <w:rFonts w:asciiTheme="minorHAnsi" w:hAnsiTheme="minorHAnsi" w:cstheme="minorHAnsi"/>
                <w:szCs w:val="22"/>
              </w:rPr>
              <w:t>PSP tiers</w:t>
            </w:r>
            <w:r w:rsidRPr="00471A43">
              <w:rPr>
                <w:rFonts w:asciiTheme="minorHAnsi" w:hAnsiTheme="minorHAnsi" w:cstheme="minorHAnsi"/>
                <w:szCs w:val="22"/>
              </w:rPr>
              <w:t xml:space="preserve"> les mêmes informations sur l'initiation et l'exécution de l'opération de paiement que celles qui sont fournies ou mises à la disposition de l'utilisateur de </w:t>
            </w:r>
            <w:r w:rsidRPr="00471A43">
              <w:rPr>
                <w:rFonts w:asciiTheme="minorHAnsi" w:hAnsiTheme="minorHAnsi" w:cstheme="minorHAnsi"/>
                <w:szCs w:val="22"/>
              </w:rPr>
              <w:lastRenderedPageBreak/>
              <w:t>services de paiement lorsque ce dernier initie directement l'opération</w:t>
            </w:r>
            <w:r>
              <w:rPr>
                <w:rFonts w:asciiTheme="minorHAnsi" w:hAnsiTheme="minorHAnsi" w:cstheme="minorHAnsi"/>
                <w:szCs w:val="22"/>
              </w:rPr>
              <w:t> ;</w:t>
            </w:r>
          </w:p>
          <w:p w:rsidR="00267FCE" w:rsidRDefault="00267FCE" w:rsidP="00267FCE">
            <w:pPr>
              <w:pStyle w:val="Paragraphedeliste"/>
              <w:numPr>
                <w:ilvl w:val="0"/>
                <w:numId w:val="119"/>
              </w:numPr>
              <w:rPr>
                <w:rFonts w:asciiTheme="minorHAnsi" w:hAnsiTheme="minorHAnsi" w:cstheme="minorHAnsi"/>
                <w:szCs w:val="22"/>
              </w:rPr>
            </w:pPr>
            <w:r w:rsidRPr="00471A43">
              <w:rPr>
                <w:rFonts w:asciiTheme="minorHAnsi" w:hAnsiTheme="minorHAnsi" w:cstheme="minorHAnsi"/>
                <w:szCs w:val="22"/>
              </w:rPr>
              <w:t xml:space="preserve">sur demande, il fournit immédiatement aux </w:t>
            </w:r>
            <w:r>
              <w:rPr>
                <w:rFonts w:asciiTheme="minorHAnsi" w:hAnsiTheme="minorHAnsi" w:cstheme="minorHAnsi"/>
                <w:szCs w:val="22"/>
              </w:rPr>
              <w:t>PSP tiers</w:t>
            </w:r>
            <w:r w:rsidRPr="00471A43">
              <w:rPr>
                <w:rFonts w:asciiTheme="minorHAnsi" w:hAnsiTheme="minorHAnsi" w:cstheme="minorHAnsi"/>
                <w:szCs w:val="22"/>
              </w:rPr>
              <w:t>, sous la forme d'un simple «oui» ou «non», que le montant nécessaire à l'exécution d'une opération de paiement est disponible ou non sur le compte de paiement du payeur.</w:t>
            </w:r>
          </w:p>
        </w:tc>
        <w:tc>
          <w:tcPr>
            <w:tcW w:w="1465" w:type="dxa"/>
          </w:tcPr>
          <w:p w:rsidR="00267FCE" w:rsidRPr="00CC1AEF" w:rsidRDefault="00267FCE" w:rsidP="00267FCE">
            <w:pPr>
              <w:jc w:val="center"/>
              <w:rPr>
                <w:rFonts w:asciiTheme="minorHAnsi" w:hAnsiTheme="minorHAnsi" w:cstheme="minorHAnsi"/>
                <w:b/>
                <w:sz w:val="22"/>
                <w:szCs w:val="22"/>
              </w:rPr>
            </w:pPr>
          </w:p>
        </w:tc>
        <w:tc>
          <w:tcPr>
            <w:tcW w:w="6698" w:type="dxa"/>
          </w:tcPr>
          <w:p w:rsidR="00267FCE" w:rsidRPr="00CC1AEF" w:rsidRDefault="00267FCE" w:rsidP="00267FCE">
            <w:pPr>
              <w:jc w:val="left"/>
              <w:rPr>
                <w:rFonts w:asciiTheme="minorHAnsi" w:eastAsia="Calibri" w:hAnsiTheme="minorHAnsi" w:cstheme="minorHAnsi"/>
                <w:b/>
                <w:sz w:val="22"/>
                <w:szCs w:val="22"/>
                <w:lang w:eastAsia="en-US"/>
              </w:rPr>
            </w:pPr>
          </w:p>
        </w:tc>
      </w:tr>
      <w:tr w:rsidR="00267FCE" w:rsidRPr="00CC1AEF" w:rsidTr="00683E60">
        <w:tc>
          <w:tcPr>
            <w:tcW w:w="1595" w:type="dxa"/>
          </w:tcPr>
          <w:p w:rsidR="00267FCE" w:rsidRDefault="00267FCE" w:rsidP="00267FCE">
            <w:pPr>
              <w:jc w:val="center"/>
              <w:rPr>
                <w:rFonts w:asciiTheme="minorHAnsi" w:hAnsiTheme="minorHAnsi" w:cstheme="minorHAnsi"/>
                <w:b/>
                <w:sz w:val="22"/>
                <w:szCs w:val="22"/>
              </w:rPr>
            </w:pPr>
            <w:r>
              <w:rPr>
                <w:rFonts w:asciiTheme="minorHAnsi" w:hAnsiTheme="minorHAnsi" w:cstheme="minorHAnsi"/>
                <w:b/>
                <w:sz w:val="22"/>
                <w:szCs w:val="22"/>
              </w:rPr>
              <w:t>36-2</w:t>
            </w:r>
          </w:p>
        </w:tc>
        <w:tc>
          <w:tcPr>
            <w:tcW w:w="4979" w:type="dxa"/>
          </w:tcPr>
          <w:p w:rsidR="00267FCE" w:rsidRDefault="00267FCE" w:rsidP="00267FCE">
            <w:pPr>
              <w:rPr>
                <w:rFonts w:asciiTheme="minorHAnsi" w:hAnsiTheme="minorHAnsi" w:cstheme="minorHAnsi"/>
                <w:sz w:val="22"/>
                <w:szCs w:val="22"/>
              </w:rPr>
            </w:pPr>
            <w:r w:rsidRPr="00471A43">
              <w:rPr>
                <w:rFonts w:asciiTheme="minorHAnsi" w:hAnsiTheme="minorHAnsi" w:cstheme="minorHAnsi"/>
                <w:sz w:val="22"/>
                <w:szCs w:val="22"/>
              </w:rPr>
              <w:t>En cas d'erreur ou d'événement imprévu au cours de la procédure d'identification ou d'authentification ou lors de l'échan</w:t>
            </w:r>
            <w:r>
              <w:rPr>
                <w:rFonts w:asciiTheme="minorHAnsi" w:hAnsiTheme="minorHAnsi" w:cstheme="minorHAnsi"/>
                <w:sz w:val="22"/>
                <w:szCs w:val="22"/>
              </w:rPr>
              <w:t>ge d'éléments d'information, les procédures du PSP prévoient-elles l’</w:t>
            </w:r>
            <w:r w:rsidRPr="00471A43">
              <w:rPr>
                <w:rFonts w:asciiTheme="minorHAnsi" w:hAnsiTheme="minorHAnsi" w:cstheme="minorHAnsi"/>
                <w:sz w:val="22"/>
                <w:szCs w:val="22"/>
              </w:rPr>
              <w:t>envoi</w:t>
            </w:r>
            <w:r>
              <w:rPr>
                <w:rFonts w:asciiTheme="minorHAnsi" w:hAnsiTheme="minorHAnsi" w:cstheme="minorHAnsi"/>
                <w:sz w:val="22"/>
                <w:szCs w:val="22"/>
              </w:rPr>
              <w:t xml:space="preserve"> d’un message de notification aux PSP tiers, en </w:t>
            </w:r>
            <w:r w:rsidRPr="00471A43">
              <w:rPr>
                <w:rFonts w:asciiTheme="minorHAnsi" w:hAnsiTheme="minorHAnsi" w:cstheme="minorHAnsi"/>
                <w:sz w:val="22"/>
                <w:szCs w:val="22"/>
              </w:rPr>
              <w:t>indiquant les raisons de l'erreur ou de l'événement imprévu</w:t>
            </w:r>
            <w:r>
              <w:rPr>
                <w:rFonts w:asciiTheme="minorHAnsi" w:hAnsiTheme="minorHAnsi" w:cstheme="minorHAnsi"/>
                <w:sz w:val="22"/>
                <w:szCs w:val="22"/>
              </w:rPr>
              <w:t> ?</w:t>
            </w:r>
          </w:p>
        </w:tc>
        <w:tc>
          <w:tcPr>
            <w:tcW w:w="1465" w:type="dxa"/>
          </w:tcPr>
          <w:p w:rsidR="00267FCE" w:rsidRPr="00CC1AEF" w:rsidRDefault="00267FCE" w:rsidP="00267FCE">
            <w:pPr>
              <w:jc w:val="center"/>
              <w:rPr>
                <w:rFonts w:asciiTheme="minorHAnsi" w:hAnsiTheme="minorHAnsi" w:cstheme="minorHAnsi"/>
                <w:b/>
                <w:sz w:val="22"/>
                <w:szCs w:val="22"/>
              </w:rPr>
            </w:pPr>
          </w:p>
        </w:tc>
        <w:tc>
          <w:tcPr>
            <w:tcW w:w="6698" w:type="dxa"/>
          </w:tcPr>
          <w:p w:rsidR="00267FCE" w:rsidRPr="00CC1AEF" w:rsidRDefault="00267FCE" w:rsidP="00267FCE">
            <w:pPr>
              <w:jc w:val="left"/>
              <w:rPr>
                <w:rFonts w:asciiTheme="minorHAnsi" w:eastAsia="Calibri" w:hAnsiTheme="minorHAnsi" w:cstheme="minorHAnsi"/>
                <w:b/>
                <w:sz w:val="22"/>
                <w:szCs w:val="22"/>
                <w:lang w:eastAsia="en-US"/>
              </w:rPr>
            </w:pPr>
          </w:p>
        </w:tc>
      </w:tr>
    </w:tbl>
    <w:p w:rsidR="009973F6" w:rsidRPr="00CC1AEF" w:rsidRDefault="009973F6">
      <w:pPr>
        <w:jc w:val="left"/>
        <w:rPr>
          <w:rFonts w:asciiTheme="minorHAnsi" w:hAnsiTheme="minorHAnsi" w:cstheme="minorHAnsi"/>
          <w:b/>
          <w:smallCaps/>
          <w:color w:val="1F497D"/>
          <w:sz w:val="22"/>
          <w:szCs w:val="22"/>
        </w:rPr>
        <w:sectPr w:rsidR="009973F6" w:rsidRPr="00CC1AEF" w:rsidSect="009973F6">
          <w:headerReference w:type="default" r:id="rId18"/>
          <w:footerReference w:type="default" r:id="rId19"/>
          <w:pgSz w:w="16838" w:h="11906" w:orient="landscape"/>
          <w:pgMar w:top="1134" w:right="1134" w:bottom="1134" w:left="964" w:header="720" w:footer="720" w:gutter="0"/>
          <w:cols w:space="720"/>
          <w:docGrid w:linePitch="326"/>
        </w:sectPr>
      </w:pPr>
    </w:p>
    <w:p w:rsidR="005A28EA" w:rsidRDefault="00983B9E" w:rsidP="00A85C3C">
      <w:pPr>
        <w:jc w:val="left"/>
        <w:rPr>
          <w:b/>
          <w:smallCaps/>
          <w:color w:val="1F497D"/>
          <w:sz w:val="28"/>
        </w:rPr>
      </w:pPr>
      <w:r w:rsidRPr="00C0062E">
        <w:rPr>
          <w:b/>
          <w:smallCaps/>
          <w:color w:val="1F497D"/>
          <w:sz w:val="28"/>
        </w:rPr>
        <w:lastRenderedPageBreak/>
        <w:t>V- Annexes</w:t>
      </w:r>
    </w:p>
    <w:p w:rsidR="005E0170" w:rsidRPr="00460E3D" w:rsidRDefault="005E0170" w:rsidP="00A85C3C">
      <w:pPr>
        <w:jc w:val="left"/>
        <w:rPr>
          <w:rFonts w:eastAsia="Calibri"/>
          <w:sz w:val="22"/>
          <w:szCs w:val="22"/>
          <w:lang w:eastAsia="en-US"/>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5A28EA" w:rsidRPr="00C0062E" w:rsidTr="005A28EA">
        <w:tc>
          <w:tcPr>
            <w:tcW w:w="9212" w:type="dxa"/>
            <w:shd w:val="clear" w:color="auto" w:fill="FBD4B4" w:themeFill="accent6" w:themeFillTint="66"/>
          </w:tcPr>
          <w:p w:rsidR="005A28EA" w:rsidRPr="00460E3D" w:rsidRDefault="005A28EA" w:rsidP="005A28EA">
            <w:pPr>
              <w:numPr>
                <w:ilvl w:val="0"/>
                <w:numId w:val="78"/>
              </w:numPr>
              <w:contextualSpacing/>
              <w:jc w:val="left"/>
              <w:rPr>
                <w:rFonts w:ascii="Times New Roman" w:hAnsi="Times New Roman"/>
                <w:b/>
                <w:sz w:val="22"/>
              </w:rPr>
            </w:pPr>
            <w:r w:rsidRPr="00C0062E">
              <w:rPr>
                <w:b/>
                <w:sz w:val="22"/>
              </w:rPr>
              <w:t>Matrice de cotation des risques de fraude</w:t>
            </w:r>
          </w:p>
        </w:tc>
      </w:tr>
    </w:tbl>
    <w:p w:rsidR="005A28EA" w:rsidRPr="00460E3D" w:rsidRDefault="005A28EA" w:rsidP="005A28EA">
      <w:pPr>
        <w:jc w:val="left"/>
        <w:rPr>
          <w:rFonts w:eastAsia="Calibri"/>
          <w:szCs w:val="24"/>
          <w:lang w:eastAsia="en-US"/>
        </w:rPr>
      </w:pPr>
    </w:p>
    <w:p w:rsidR="005A28EA" w:rsidRPr="00460E3D" w:rsidRDefault="005A28EA" w:rsidP="00460E3D">
      <w:pPr>
        <w:tabs>
          <w:tab w:val="left" w:pos="9072"/>
        </w:tabs>
        <w:ind w:right="566"/>
        <w:rPr>
          <w:rFonts w:eastAsia="Calibri"/>
          <w:i/>
          <w:sz w:val="22"/>
          <w:szCs w:val="22"/>
          <w:lang w:eastAsia="en-US"/>
        </w:rPr>
      </w:pPr>
      <w:r w:rsidRPr="00460E3D">
        <w:rPr>
          <w:rFonts w:eastAsia="Calibri"/>
          <w:i/>
          <w:sz w:val="22"/>
          <w:szCs w:val="22"/>
          <w:lang w:eastAsia="en-US"/>
        </w:rPr>
        <w:t>Présenter la méthodologie de cotation des risques de fraude</w:t>
      </w:r>
      <w:r w:rsidRPr="00460E3D">
        <w:rPr>
          <w:rFonts w:eastAsia="Calibri"/>
          <w:szCs w:val="24"/>
          <w:lang w:eastAsia="en-US"/>
        </w:rPr>
        <w:t xml:space="preserve"> </w:t>
      </w:r>
      <w:r w:rsidRPr="00460E3D">
        <w:rPr>
          <w:rFonts w:eastAsia="Calibri"/>
          <w:i/>
          <w:sz w:val="22"/>
          <w:szCs w:val="22"/>
          <w:lang w:eastAsia="en-US"/>
        </w:rPr>
        <w:t xml:space="preserve">en indiquant en particulier la grille de cotation de la probabilité/fréquence de survenance et impact (financier/non financier (médiatique en particulier) et la grille de cotation globale faisant apparaître les niveaux de criticité. </w:t>
      </w:r>
    </w:p>
    <w:p w:rsidR="005A28EA" w:rsidRPr="00460E3D" w:rsidRDefault="005A28EA" w:rsidP="005A28EA">
      <w:pPr>
        <w:jc w:val="left"/>
        <w:rPr>
          <w:rFonts w:eastAsia="Calibri"/>
          <w:szCs w:val="24"/>
          <w:lang w:eastAsia="en-US"/>
        </w:rPr>
      </w:pPr>
    </w:p>
    <w:p w:rsidR="005A28EA" w:rsidRPr="00460E3D" w:rsidRDefault="005A28EA" w:rsidP="005A28EA">
      <w:pPr>
        <w:jc w:val="left"/>
        <w:rPr>
          <w:rFonts w:eastAsia="Calibri"/>
          <w:szCs w:val="24"/>
          <w:lang w:eastAsia="en-US"/>
        </w:rPr>
      </w:pPr>
    </w:p>
    <w:p w:rsidR="005A28EA" w:rsidRPr="00460E3D" w:rsidRDefault="005A28EA" w:rsidP="005A28EA">
      <w:pPr>
        <w:jc w:val="left"/>
        <w:rPr>
          <w:rFonts w:eastAsia="Calibri"/>
          <w:szCs w:val="24"/>
          <w:lang w:eastAsia="en-US"/>
        </w:rPr>
      </w:pPr>
    </w:p>
    <w:p w:rsidR="005A28EA" w:rsidRPr="00460E3D" w:rsidRDefault="005A28EA" w:rsidP="005A28EA">
      <w:pPr>
        <w:spacing w:after="200" w:line="276" w:lineRule="auto"/>
        <w:jc w:val="left"/>
        <w:rPr>
          <w:rFonts w:eastAsia="Calibri"/>
          <w:szCs w:val="24"/>
          <w:lang w:eastAsia="en-US"/>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5A28EA" w:rsidRPr="00C0062E" w:rsidTr="005A28EA">
        <w:tc>
          <w:tcPr>
            <w:tcW w:w="9212" w:type="dxa"/>
            <w:shd w:val="clear" w:color="auto" w:fill="FBD4B4" w:themeFill="accent6" w:themeFillTint="66"/>
          </w:tcPr>
          <w:p w:rsidR="005A28EA" w:rsidRPr="00460E3D" w:rsidRDefault="005A28EA" w:rsidP="005A28EA">
            <w:pPr>
              <w:numPr>
                <w:ilvl w:val="0"/>
                <w:numId w:val="78"/>
              </w:numPr>
              <w:contextualSpacing/>
              <w:jc w:val="left"/>
              <w:rPr>
                <w:rFonts w:ascii="Times New Roman" w:hAnsi="Times New Roman"/>
                <w:b/>
                <w:sz w:val="22"/>
              </w:rPr>
            </w:pPr>
            <w:r w:rsidRPr="00C0062E">
              <w:rPr>
                <w:b/>
                <w:sz w:val="22"/>
              </w:rPr>
              <w:t>Glossaire</w:t>
            </w:r>
          </w:p>
        </w:tc>
      </w:tr>
    </w:tbl>
    <w:p w:rsidR="005A28EA" w:rsidRPr="00460E3D" w:rsidRDefault="005A28EA" w:rsidP="005A28EA">
      <w:pPr>
        <w:jc w:val="left"/>
        <w:rPr>
          <w:rFonts w:eastAsia="Calibri"/>
          <w:i/>
          <w:sz w:val="22"/>
          <w:szCs w:val="22"/>
          <w:lang w:eastAsia="en-US"/>
        </w:rPr>
      </w:pPr>
    </w:p>
    <w:p w:rsidR="005A28EA" w:rsidRPr="00460E3D" w:rsidRDefault="005A28EA" w:rsidP="005A28EA">
      <w:pPr>
        <w:jc w:val="left"/>
        <w:rPr>
          <w:rFonts w:eastAsia="Calibri"/>
          <w:i/>
          <w:sz w:val="22"/>
          <w:szCs w:val="22"/>
          <w:lang w:eastAsia="en-US"/>
        </w:rPr>
      </w:pPr>
      <w:r w:rsidRPr="00460E3D">
        <w:rPr>
          <w:rFonts w:eastAsia="Calibri"/>
          <w:i/>
          <w:sz w:val="22"/>
          <w:szCs w:val="22"/>
          <w:lang w:eastAsia="en-US"/>
        </w:rPr>
        <w:t>Définir les termes techniques et acronymes utilisés dans l’annexe.</w:t>
      </w:r>
    </w:p>
    <w:p w:rsidR="00313FFD" w:rsidRPr="00460E3D" w:rsidRDefault="00313FFD" w:rsidP="00313FFD">
      <w:pPr>
        <w:jc w:val="center"/>
        <w:rPr>
          <w:rFonts w:eastAsia="Calibri"/>
          <w:b/>
          <w:sz w:val="28"/>
          <w:szCs w:val="22"/>
          <w:lang w:eastAsia="en-US"/>
        </w:rPr>
      </w:pPr>
    </w:p>
    <w:p w:rsidR="00313FFD" w:rsidRPr="0057011B" w:rsidRDefault="00313FFD" w:rsidP="00360906">
      <w:pPr>
        <w:pStyle w:val="SGACP-titrederubriqueniveau1"/>
        <w:numPr>
          <w:ilvl w:val="0"/>
          <w:numId w:val="0"/>
        </w:numPr>
        <w:rPr>
          <w:rFonts w:ascii="Times New Roman" w:hAnsi="Times New Roman"/>
          <w:bCs/>
          <w:i/>
          <w:sz w:val="22"/>
          <w:szCs w:val="22"/>
        </w:rPr>
      </w:pPr>
    </w:p>
    <w:p w:rsidR="00313FFD" w:rsidRDefault="00313FFD" w:rsidP="00360906">
      <w:pPr>
        <w:pStyle w:val="SGACP-titrederubriqueniveau1"/>
        <w:numPr>
          <w:ilvl w:val="0"/>
          <w:numId w:val="0"/>
        </w:numPr>
        <w:rPr>
          <w:rFonts w:ascii="Times New Roman" w:hAnsi="Times New Roman"/>
          <w:bCs/>
          <w:i/>
          <w:sz w:val="22"/>
          <w:szCs w:val="22"/>
        </w:rPr>
        <w:sectPr w:rsidR="00313FFD" w:rsidSect="00BB6AE4">
          <w:pgSz w:w="11906" w:h="16838"/>
          <w:pgMar w:top="1134" w:right="1134" w:bottom="964" w:left="1134" w:header="720" w:footer="720" w:gutter="0"/>
          <w:cols w:space="720"/>
          <w:docGrid w:linePitch="326"/>
        </w:sectPr>
      </w:pPr>
    </w:p>
    <w:p w:rsidR="0009005A" w:rsidRDefault="00F55976">
      <w:pPr>
        <w:pStyle w:val="StyleSGACP-titrederubriqueniveau1CouleurpersonnaliseRVB"/>
        <w:numPr>
          <w:ilvl w:val="0"/>
          <w:numId w:val="0"/>
        </w:numPr>
        <w:jc w:val="right"/>
      </w:pPr>
      <w:bookmarkStart w:id="253" w:name="_Toc340481806"/>
      <w:bookmarkStart w:id="254" w:name="_Toc340482201"/>
      <w:bookmarkStart w:id="255" w:name="_Toc366499609"/>
      <w:bookmarkStart w:id="256" w:name="_Toc137799895"/>
      <w:r w:rsidRPr="00F55976">
        <w:lastRenderedPageBreak/>
        <w:t xml:space="preserve">Annexe </w:t>
      </w:r>
      <w:r w:rsidR="007B14D8">
        <w:t>1</w:t>
      </w:r>
      <w:bookmarkEnd w:id="253"/>
      <w:bookmarkEnd w:id="254"/>
      <w:bookmarkEnd w:id="255"/>
      <w:bookmarkEnd w:id="256"/>
    </w:p>
    <w:p w:rsidR="00463A1C" w:rsidRDefault="00463A1C" w:rsidP="00463A1C"/>
    <w:p w:rsidR="00BB6AE4" w:rsidRPr="007F2900" w:rsidRDefault="00BB6AE4" w:rsidP="00463A1C"/>
    <w:p w:rsidR="00463A1C" w:rsidRPr="007F2900" w:rsidRDefault="00463A1C" w:rsidP="001643CF">
      <w:pPr>
        <w:pStyle w:val="SGACP-annexe-titre"/>
      </w:pPr>
      <w:r w:rsidRPr="007F2900">
        <w:t>Informations attendues dans l</w:t>
      </w:r>
      <w:r w:rsidR="001224E7">
        <w:t>’</w:t>
      </w:r>
      <w:r w:rsidRPr="007F2900">
        <w:t xml:space="preserve">annexe de présentation </w:t>
      </w:r>
      <w:r w:rsidR="001643CF">
        <w:br/>
      </w:r>
      <w:r w:rsidRPr="007F2900">
        <w:t>de l</w:t>
      </w:r>
      <w:r w:rsidR="001224E7">
        <w:t>’</w:t>
      </w:r>
      <w:r w:rsidRPr="007F2900">
        <w:t xml:space="preserve">organisation du dispositif de contrôle interne </w:t>
      </w:r>
      <w:r w:rsidR="001643CF">
        <w:br/>
      </w:r>
      <w:r w:rsidRPr="007F2900">
        <w:t>et de l</w:t>
      </w:r>
      <w:r w:rsidR="001224E7">
        <w:t>’</w:t>
      </w:r>
      <w:r w:rsidRPr="007F2900">
        <w:t>organisation comptable</w:t>
      </w:r>
    </w:p>
    <w:p w:rsidR="00463A1C" w:rsidRPr="005E141E" w:rsidRDefault="00463A1C" w:rsidP="00B36342">
      <w:pPr>
        <w:rPr>
          <w:sz w:val="22"/>
          <w:szCs w:val="22"/>
        </w:rPr>
      </w:pPr>
    </w:p>
    <w:p w:rsidR="00B36342" w:rsidRPr="005E141E" w:rsidRDefault="00B36342" w:rsidP="00B36342">
      <w:pPr>
        <w:rPr>
          <w:sz w:val="22"/>
          <w:szCs w:val="22"/>
        </w:rPr>
      </w:pPr>
    </w:p>
    <w:p w:rsidR="00B36342" w:rsidRPr="005E141E" w:rsidRDefault="00B36342" w:rsidP="00B36342">
      <w:pPr>
        <w:rPr>
          <w:sz w:val="22"/>
          <w:szCs w:val="22"/>
        </w:rPr>
      </w:pPr>
    </w:p>
    <w:p w:rsidR="00463A1C" w:rsidRPr="007F2900" w:rsidRDefault="00463A1C" w:rsidP="00460E3D">
      <w:pPr>
        <w:pStyle w:val="SGACP-titrederubriqueniveau1"/>
        <w:numPr>
          <w:ilvl w:val="0"/>
          <w:numId w:val="104"/>
        </w:numPr>
        <w:tabs>
          <w:tab w:val="left" w:pos="426"/>
        </w:tabs>
      </w:pPr>
      <w:bookmarkStart w:id="257" w:name="_Toc244576427"/>
      <w:bookmarkStart w:id="258" w:name="_Toc244938685"/>
      <w:bookmarkStart w:id="259" w:name="_Toc266969710"/>
      <w:r w:rsidRPr="007F2900">
        <w:t>Présentation synthétique du dispositif de contrôle interne</w:t>
      </w:r>
      <w:r w:rsidR="006333B9">
        <w:t> </w:t>
      </w:r>
      <w:r w:rsidRPr="006333B9">
        <w:rPr>
          <w:vertAlign w:val="superscript"/>
        </w:rPr>
        <w:footnoteReference w:id="17"/>
      </w:r>
      <w:bookmarkEnd w:id="257"/>
      <w:bookmarkEnd w:id="258"/>
      <w:bookmarkEnd w:id="259"/>
    </w:p>
    <w:p w:rsidR="00463A1C" w:rsidRPr="007F2900" w:rsidRDefault="00463A1C" w:rsidP="00463A1C">
      <w:bookmarkStart w:id="261" w:name="_Toc244576428"/>
    </w:p>
    <w:p w:rsidR="00463A1C" w:rsidRPr="007F2900" w:rsidRDefault="00463A1C" w:rsidP="00B36342">
      <w:pPr>
        <w:pStyle w:val="SGACP-sous-titrederubriquenivaeu2"/>
      </w:pPr>
      <w:r w:rsidRPr="007F2900">
        <w:t>1.1.</w:t>
      </w:r>
      <w:r w:rsidR="00B36342">
        <w:tab/>
      </w:r>
      <w:r w:rsidRPr="007F2900">
        <w:t xml:space="preserve"> Dispositif général de contrôle interne</w:t>
      </w:r>
      <w:bookmarkEnd w:id="261"/>
      <w:r w:rsidR="00932AF1">
        <w:t> :</w:t>
      </w:r>
    </w:p>
    <w:p w:rsidR="002A53BE" w:rsidRDefault="0093520A">
      <w:pPr>
        <w:pStyle w:val="SGACP-enumerationniveau1"/>
        <w:ind w:left="284" w:hanging="284"/>
      </w:pPr>
      <w:r w:rsidRPr="0093520A">
        <w:t>joindre un organigramme faisant apparaître les unités consacrées au(x) contrôle(s) permanent(s) et notamment au contrôle de la conformité, ainsi qu</w:t>
      </w:r>
      <w:r w:rsidR="001224E7">
        <w:t>’</w:t>
      </w:r>
      <w:r w:rsidRPr="0093520A">
        <w:t>au contrôle périodique et le positionnement hiérarchique de leurs responsables</w:t>
      </w:r>
      <w:r w:rsidR="00932AF1">
        <w:rPr>
          <w:i/>
        </w:rPr>
        <w:t> </w:t>
      </w:r>
      <w:r w:rsidRPr="0093520A">
        <w:t>;</w:t>
      </w:r>
    </w:p>
    <w:p w:rsidR="002A53BE" w:rsidRDefault="00932AF1">
      <w:pPr>
        <w:pStyle w:val="SGACP-enumerationniveau1"/>
        <w:ind w:left="284" w:hanging="284"/>
      </w:pPr>
      <w:r>
        <w:t>c</w:t>
      </w:r>
      <w:r w:rsidR="00463A1C" w:rsidRPr="007F2900">
        <w:t>oordination prévue entre les différents acteurs du contrôle interne</w:t>
      </w:r>
      <w:r>
        <w:t> ;</w:t>
      </w:r>
    </w:p>
    <w:p w:rsidR="002A53BE" w:rsidRDefault="00932AF1">
      <w:pPr>
        <w:pStyle w:val="SGACP-enumerationniveau1"/>
        <w:ind w:left="284" w:hanging="284"/>
      </w:pPr>
      <w:r>
        <w:t>m</w:t>
      </w:r>
      <w:r w:rsidR="00463A1C" w:rsidRPr="007F2900">
        <w:t>esures prises en cas d</w:t>
      </w:r>
      <w:r w:rsidR="001224E7">
        <w:t>’</w:t>
      </w:r>
      <w:r w:rsidR="00463A1C" w:rsidRPr="007F2900">
        <w:t>implantations dans des pays où la réglementation locale fait obstacle à l</w:t>
      </w:r>
      <w:r w:rsidR="001224E7">
        <w:t>’</w:t>
      </w:r>
      <w:r w:rsidR="00463A1C" w:rsidRPr="007F2900">
        <w:t>application des règles prévues par</w:t>
      </w:r>
      <w:r w:rsidR="000E6CFB">
        <w:t xml:space="preserve"> l’arrêté du 3 novembre 2014</w:t>
      </w:r>
      <w:r w:rsidR="00192F7C">
        <w:t xml:space="preserve"> modifié</w:t>
      </w:r>
      <w:r w:rsidR="000E6CFB">
        <w:t xml:space="preserve"> </w:t>
      </w:r>
      <w:r>
        <w:t>;</w:t>
      </w:r>
    </w:p>
    <w:p w:rsidR="002A53BE" w:rsidRDefault="00932AF1">
      <w:pPr>
        <w:pStyle w:val="SGACP-enumerationniveau1"/>
        <w:ind w:left="284" w:hanging="284"/>
      </w:pPr>
      <w:r>
        <w:t>m</w:t>
      </w:r>
      <w:r w:rsidR="00463A1C" w:rsidRPr="007F2900">
        <w:t>esures prises en cas de transfert de données (le cas échéant auprès de prestataires externes) dans un pays n</w:t>
      </w:r>
      <w:r w:rsidR="001224E7">
        <w:t>’</w:t>
      </w:r>
      <w:r w:rsidR="00463A1C" w:rsidRPr="007F2900">
        <w:t>offrant pas une protection considérée comme adéquate</w:t>
      </w:r>
      <w:r>
        <w:t> ;</w:t>
      </w:r>
    </w:p>
    <w:p w:rsidR="002A53BE" w:rsidRDefault="00932AF1">
      <w:pPr>
        <w:pStyle w:val="SGACP-enumerationniveau1"/>
        <w:ind w:left="284" w:hanging="284"/>
      </w:pPr>
      <w:r>
        <w:t>m</w:t>
      </w:r>
      <w:r w:rsidR="00463A1C" w:rsidRPr="007F2900">
        <w:t>odalités de suivi et de contrôle des opérations réalisées dans le cadre de la libre prestation de services</w:t>
      </w:r>
      <w:r>
        <w:t>.</w:t>
      </w:r>
      <w:r w:rsidR="00463A1C" w:rsidRPr="007F2900">
        <w:t xml:space="preserve"> </w:t>
      </w:r>
    </w:p>
    <w:p w:rsidR="00463A1C" w:rsidRPr="007F2900" w:rsidRDefault="00463A1C" w:rsidP="00463A1C"/>
    <w:p w:rsidR="00463A1C" w:rsidRPr="007F2900" w:rsidRDefault="00B36342" w:rsidP="00B36342">
      <w:pPr>
        <w:pStyle w:val="SGACP-sous-titrederubriquenivaeu2"/>
      </w:pPr>
      <w:bookmarkStart w:id="262" w:name="_Toc244576429"/>
      <w:r>
        <w:t>1.2.</w:t>
      </w:r>
      <w:r>
        <w:tab/>
      </w:r>
      <w:r w:rsidR="00463A1C" w:rsidRPr="007F2900">
        <w:t>Dispositif de contrôle permanent</w:t>
      </w:r>
      <w:bookmarkEnd w:id="262"/>
      <w:r w:rsidR="00463A1C" w:rsidRPr="007F2900">
        <w:t xml:space="preserve"> (y compris le dispositif de contrôle de la conformité)</w:t>
      </w:r>
      <w:r w:rsidR="00932AF1">
        <w:t> :</w:t>
      </w:r>
    </w:p>
    <w:p w:rsidR="002A53BE" w:rsidRDefault="00932AF1">
      <w:pPr>
        <w:pStyle w:val="SGACP-enumerationniveau1"/>
        <w:ind w:left="284" w:hanging="284"/>
      </w:pPr>
      <w:r>
        <w:t>d</w:t>
      </w:r>
      <w:r w:rsidR="00463A1C" w:rsidRPr="007F2900">
        <w:t>escription de l</w:t>
      </w:r>
      <w:r w:rsidR="001224E7">
        <w:t>’</w:t>
      </w:r>
      <w:r w:rsidR="00463A1C" w:rsidRPr="007F2900">
        <w:t>organisation des différents niveaux qui participent au contrôle permanent et au contrôle de la conformité</w:t>
      </w:r>
      <w:r>
        <w:t> ;</w:t>
      </w:r>
    </w:p>
    <w:p w:rsidR="002A53BE" w:rsidRDefault="00932AF1">
      <w:pPr>
        <w:pStyle w:val="SGACP-enumerationniveau1"/>
        <w:ind w:left="284" w:hanging="284"/>
      </w:pPr>
      <w:r>
        <w:t>c</w:t>
      </w:r>
      <w:r w:rsidR="00463A1C" w:rsidRPr="007F2900">
        <w:t>hamp d</w:t>
      </w:r>
      <w:r w:rsidR="001224E7">
        <w:t>’</w:t>
      </w:r>
      <w:r w:rsidR="00463A1C" w:rsidRPr="007F2900">
        <w:t>intervention du contrôle permanent et du contrôle de la conformité y compris pour l</w:t>
      </w:r>
      <w:r w:rsidR="001224E7">
        <w:t>’</w:t>
      </w:r>
      <w:r w:rsidR="00463A1C" w:rsidRPr="007F2900">
        <w:t>activité à l</w:t>
      </w:r>
      <w:r w:rsidR="001224E7">
        <w:t>’</w:t>
      </w:r>
      <w:r w:rsidR="00463A1C" w:rsidRPr="007F2900">
        <w:t xml:space="preserve">étranger </w:t>
      </w:r>
      <w:r w:rsidR="00463A1C" w:rsidRPr="00B36342">
        <w:rPr>
          <w:i/>
        </w:rPr>
        <w:t>(activités, processus et entités)</w:t>
      </w:r>
      <w:r w:rsidR="00E90797">
        <w:rPr>
          <w:i/>
        </w:rPr>
        <w:t xml:space="preserve"> </w:t>
      </w:r>
      <w:r w:rsidRPr="00935917">
        <w:t>;</w:t>
      </w:r>
    </w:p>
    <w:p w:rsidR="002A53BE" w:rsidRPr="00E90797" w:rsidRDefault="00932AF1">
      <w:pPr>
        <w:pStyle w:val="SGACP-enumerationniveau1"/>
        <w:ind w:left="284" w:hanging="284"/>
      </w:pPr>
      <w:r>
        <w:t>n</w:t>
      </w:r>
      <w:r w:rsidR="00463A1C" w:rsidRPr="007F2900">
        <w:t>ombre d</w:t>
      </w:r>
      <w:r w:rsidR="001224E7">
        <w:t>’</w:t>
      </w:r>
      <w:r w:rsidR="00463A1C" w:rsidRPr="007F2900">
        <w:t xml:space="preserve">agents affectés au dispositif de contrôle permanent et au contrôle de la conformité </w:t>
      </w:r>
      <w:r w:rsidR="00463A1C" w:rsidRPr="00B36342">
        <w:t>(</w:t>
      </w:r>
      <w:r w:rsidR="004A6527">
        <w:t xml:space="preserve">cf. </w:t>
      </w:r>
      <w:r w:rsidR="00463A1C" w:rsidRPr="00B36342">
        <w:t>article</w:t>
      </w:r>
      <w:r w:rsidR="001729B0">
        <w:t xml:space="preserve"> </w:t>
      </w:r>
      <w:r w:rsidR="000E6CFB">
        <w:t xml:space="preserve">13 </w:t>
      </w:r>
      <w:r w:rsidR="001729B0">
        <w:t>– </w:t>
      </w:r>
      <w:r w:rsidR="00463A1C" w:rsidRPr="00B36342">
        <w:t>1</w:t>
      </w:r>
      <w:r w:rsidR="007D0344" w:rsidRPr="007D0344">
        <w:rPr>
          <w:vertAlign w:val="superscript"/>
        </w:rPr>
        <w:t>er</w:t>
      </w:r>
      <w:r w:rsidR="00463A1C" w:rsidRPr="00B36342">
        <w:t> tiret</w:t>
      </w:r>
      <w:r w:rsidR="001729B0">
        <w:t> –</w:t>
      </w:r>
      <w:r w:rsidR="000E6CFB">
        <w:t xml:space="preserve"> de l’arrêté du 3 novembre 2014</w:t>
      </w:r>
      <w:r w:rsidR="00192F7C">
        <w:t xml:space="preserve"> modifié</w:t>
      </w:r>
      <w:r w:rsidR="00463A1C" w:rsidRPr="00B36342">
        <w:t>)</w:t>
      </w:r>
      <w:r w:rsidR="00B36342">
        <w:rPr>
          <w:i/>
        </w:rPr>
        <w:t xml:space="preserve"> </w:t>
      </w:r>
      <w:r w:rsidR="00463A1C" w:rsidRPr="00210431">
        <w:t>(effectif en équivalent temps plein par rapport à l</w:t>
      </w:r>
      <w:r w:rsidR="001224E7" w:rsidRPr="00210431">
        <w:t>’</w:t>
      </w:r>
      <w:r w:rsidR="00463A1C" w:rsidRPr="00210431">
        <w:t>effectif total de l</w:t>
      </w:r>
      <w:r w:rsidR="001224E7" w:rsidRPr="00210431">
        <w:t>’</w:t>
      </w:r>
      <w:r w:rsidR="00463A1C" w:rsidRPr="00210431">
        <w:t>établissement)</w:t>
      </w:r>
      <w:r w:rsidR="00E90797">
        <w:rPr>
          <w:i/>
        </w:rPr>
        <w:t xml:space="preserve"> </w:t>
      </w:r>
      <w:r w:rsidRPr="00935917">
        <w:t>;</w:t>
      </w:r>
    </w:p>
    <w:p w:rsidR="002A53BE" w:rsidRDefault="00932AF1">
      <w:pPr>
        <w:pStyle w:val="SGACP-enumerationniveau1"/>
        <w:ind w:left="284" w:hanging="284"/>
      </w:pPr>
      <w:r>
        <w:t>d</w:t>
      </w:r>
      <w:r w:rsidR="00463A1C" w:rsidRPr="007F2900">
        <w:t>escription, formalisation et date(s) de mise à jour des procédures sur lesquelles s</w:t>
      </w:r>
      <w:r w:rsidR="001224E7">
        <w:t>’</w:t>
      </w:r>
      <w:r w:rsidR="00463A1C" w:rsidRPr="007F2900">
        <w:t>appuie le contrôle permanent y compris pour l</w:t>
      </w:r>
      <w:r w:rsidR="001224E7">
        <w:t>’</w:t>
      </w:r>
      <w:r w:rsidR="00463A1C" w:rsidRPr="007F2900">
        <w:t>activité à l</w:t>
      </w:r>
      <w:r w:rsidR="001224E7">
        <w:t>’</w:t>
      </w:r>
      <w:r w:rsidR="00463A1C" w:rsidRPr="007F2900">
        <w:t>étranger (dont les procédures d</w:t>
      </w:r>
      <w:r w:rsidR="001224E7">
        <w:t>’</w:t>
      </w:r>
      <w:r w:rsidR="00463A1C" w:rsidRPr="007F2900">
        <w:t>examen de la conformité)</w:t>
      </w:r>
      <w:r>
        <w:t> ;</w:t>
      </w:r>
    </w:p>
    <w:p w:rsidR="002A53BE" w:rsidRDefault="00932AF1">
      <w:pPr>
        <w:pStyle w:val="SGACP-enumerationniveau1"/>
        <w:ind w:left="284" w:hanging="284"/>
      </w:pPr>
      <w:r>
        <w:t>m</w:t>
      </w:r>
      <w:r w:rsidR="00463A1C" w:rsidRPr="007F2900">
        <w:t>odalités d</w:t>
      </w:r>
      <w:r w:rsidR="001224E7">
        <w:t>’</w:t>
      </w:r>
      <w:r w:rsidR="00463A1C" w:rsidRPr="007F2900">
        <w:t>information du</w:t>
      </w:r>
      <w:r w:rsidR="00514BCE">
        <w:t xml:space="preserve"> ou des</w:t>
      </w:r>
      <w:r w:rsidR="00463A1C" w:rsidRPr="007F2900">
        <w:t xml:space="preserve"> responsable</w:t>
      </w:r>
      <w:r w:rsidR="00514BCE">
        <w:t>(s)</w:t>
      </w:r>
      <w:r w:rsidR="00463A1C" w:rsidRPr="007F2900">
        <w:t xml:space="preserve"> du contrôle permanent et </w:t>
      </w:r>
      <w:r w:rsidR="0003780F">
        <w:t>des dirigeants effectifs</w:t>
      </w:r>
      <w:r w:rsidR="00463A1C" w:rsidRPr="007F2900">
        <w:t xml:space="preserve"> en particulier sur l</w:t>
      </w:r>
      <w:r w:rsidR="001224E7">
        <w:t>’</w:t>
      </w:r>
      <w:r w:rsidR="00463A1C" w:rsidRPr="007F2900">
        <w:t>activité et les résultats du contrôle de la conformité</w:t>
      </w:r>
      <w:r>
        <w:t>.</w:t>
      </w:r>
    </w:p>
    <w:p w:rsidR="00463A1C" w:rsidRDefault="00463A1C" w:rsidP="00463A1C"/>
    <w:p w:rsidR="00684D15" w:rsidRDefault="00AF1AAC" w:rsidP="00684D15">
      <w:pPr>
        <w:pStyle w:val="SGACP-sous-titrederubriquenivaeu2"/>
      </w:pPr>
      <w:r>
        <w:t>1.</w:t>
      </w:r>
      <w:r w:rsidR="00FB5C0B">
        <w:t>3</w:t>
      </w:r>
      <w:r>
        <w:t>.</w:t>
      </w:r>
      <w:r>
        <w:tab/>
      </w:r>
      <w:r w:rsidR="00267206">
        <w:t xml:space="preserve">Fonction de gestion des </w:t>
      </w:r>
      <w:r>
        <w:t>risque</w:t>
      </w:r>
      <w:r w:rsidR="00804561">
        <w:t>s</w:t>
      </w:r>
      <w:r w:rsidR="007023B9">
        <w:t> :</w:t>
      </w:r>
    </w:p>
    <w:p w:rsidR="002A53BE" w:rsidRDefault="00AF1AAC">
      <w:pPr>
        <w:pStyle w:val="SGACP-enumerationniveau1"/>
        <w:ind w:left="284" w:hanging="284"/>
      </w:pPr>
      <w:r>
        <w:t>o</w:t>
      </w:r>
      <w:r w:rsidRPr="007F2900">
        <w:t xml:space="preserve">rganisation de la </w:t>
      </w:r>
      <w:r w:rsidR="00267206">
        <w:t>fonction de gestion des</w:t>
      </w:r>
      <w:r w:rsidRPr="007F2900">
        <w:t> risque</w:t>
      </w:r>
      <w:r w:rsidR="00267206">
        <w:t xml:space="preserve">s </w:t>
      </w:r>
      <w:r w:rsidRPr="00210431">
        <w:rPr>
          <w:i/>
        </w:rPr>
        <w:t>(champs d</w:t>
      </w:r>
      <w:r w:rsidR="001224E7" w:rsidRPr="00210431">
        <w:rPr>
          <w:i/>
        </w:rPr>
        <w:t>’</w:t>
      </w:r>
      <w:r w:rsidRPr="00210431">
        <w:rPr>
          <w:i/>
        </w:rPr>
        <w:t>intervention, effectifs des unités en charge de la mesure, de la surveillance et de la maîtrise des risques et moyens techniques à disposition)</w:t>
      </w:r>
      <w:r>
        <w:t> ;</w:t>
      </w:r>
    </w:p>
    <w:p w:rsidR="002A53BE" w:rsidRDefault="00AF1AAC">
      <w:pPr>
        <w:pStyle w:val="SGACP-enumerationniveau1"/>
        <w:ind w:left="284" w:hanging="284"/>
      </w:pPr>
      <w:r>
        <w:t>p</w:t>
      </w:r>
      <w:r w:rsidRPr="007F2900">
        <w:t>our un groupe, organis</w:t>
      </w:r>
      <w:r>
        <w:t xml:space="preserve">ation de la </w:t>
      </w:r>
      <w:r w:rsidR="00267206">
        <w:t>fonction de gestion des risques</w:t>
      </w:r>
      <w:r>
        <w:t> ;</w:t>
      </w:r>
    </w:p>
    <w:p w:rsidR="002A53BE" w:rsidRDefault="00AF1AAC">
      <w:pPr>
        <w:pStyle w:val="SGACP-enumerationniveau1"/>
        <w:ind w:left="284" w:hanging="284"/>
      </w:pPr>
      <w:r>
        <w:t>d</w:t>
      </w:r>
      <w:r w:rsidRPr="007F2900">
        <w:t>escription des procédures et systèmes mis en place pour le suivi des risques dans le cadre des opérations sur des nouveaux produits</w:t>
      </w:r>
      <w:r w:rsidR="008B524B">
        <w:t xml:space="preserve"> et services</w:t>
      </w:r>
      <w:r w:rsidRPr="007F2900">
        <w:t>, des modifications significatives apportées à un produit</w:t>
      </w:r>
      <w:r w:rsidR="00874870">
        <w:t xml:space="preserve">, </w:t>
      </w:r>
      <w:r w:rsidR="008B524B">
        <w:t>service</w:t>
      </w:r>
      <w:r w:rsidRPr="007F2900">
        <w:t xml:space="preserve"> </w:t>
      </w:r>
      <w:r w:rsidR="00874870">
        <w:t xml:space="preserve">ou process </w:t>
      </w:r>
      <w:r w:rsidRPr="007F2900">
        <w:t>préexistant, des opérations de croissance interne et externe et des transactions exceptionnelles</w:t>
      </w:r>
      <w:r w:rsidR="00F82DFA">
        <w:t xml:space="preserve"> </w:t>
      </w:r>
      <w:r w:rsidR="007632E0">
        <w:t>(</w:t>
      </w:r>
      <w:r w:rsidR="004A6527">
        <w:t xml:space="preserve">cf. </w:t>
      </w:r>
      <w:r w:rsidR="007632E0">
        <w:t>article 221 de l’arrêté du 3 novembre 2014</w:t>
      </w:r>
      <w:r w:rsidR="00192F7C">
        <w:t xml:space="preserve"> modifié</w:t>
      </w:r>
      <w:r w:rsidR="007632E0">
        <w:t>)</w:t>
      </w:r>
      <w:r>
        <w:t> ;</w:t>
      </w:r>
    </w:p>
    <w:p w:rsidR="0062242B" w:rsidRDefault="00996815">
      <w:pPr>
        <w:pStyle w:val="SGACP-enumerationniveau1"/>
        <w:ind w:left="284" w:hanging="284"/>
      </w:pPr>
      <w:r>
        <w:t>d</w:t>
      </w:r>
      <w:r w:rsidRPr="007F2900">
        <w:t xml:space="preserve">escription synthétique </w:t>
      </w:r>
      <w:r>
        <w:t>de l’</w:t>
      </w:r>
      <w:r w:rsidR="0062242B">
        <w:t>évaluation</w:t>
      </w:r>
      <w:r>
        <w:t xml:space="preserve"> des risques</w:t>
      </w:r>
      <w:r w:rsidR="0062242B">
        <w:t xml:space="preserve"> faite par la fonction </w:t>
      </w:r>
      <w:r>
        <w:t xml:space="preserve">de </w:t>
      </w:r>
      <w:r w:rsidR="0062242B">
        <w:t xml:space="preserve">gestion des risques selon des scénarios appropriés au regard de la significativité des risques induits par </w:t>
      </w:r>
      <w:r>
        <w:t>c</w:t>
      </w:r>
      <w:r w:rsidR="0062242B">
        <w:t>es nouveaux produits</w:t>
      </w:r>
      <w:r>
        <w:t xml:space="preserve"> et opérations</w:t>
      </w:r>
      <w:r w:rsidR="0062242B">
        <w:t xml:space="preserve"> ; </w:t>
      </w:r>
    </w:p>
    <w:p w:rsidR="00331B88" w:rsidRDefault="00331B88" w:rsidP="002F6550">
      <w:pPr>
        <w:pStyle w:val="SGACP-enumerationniveau1"/>
        <w:numPr>
          <w:ilvl w:val="0"/>
          <w:numId w:val="0"/>
        </w:numPr>
        <w:ind w:left="284"/>
        <w:rPr>
          <w:szCs w:val="24"/>
        </w:rPr>
      </w:pPr>
    </w:p>
    <w:p w:rsidR="00463A1C" w:rsidRPr="007F2900" w:rsidRDefault="00B36342" w:rsidP="00932AF1">
      <w:pPr>
        <w:pStyle w:val="SGACP-sous-titrederubriquenivaeu2"/>
        <w:keepNext/>
        <w:keepLines/>
      </w:pPr>
      <w:bookmarkStart w:id="263" w:name="_Toc244576430"/>
      <w:r>
        <w:t>1.</w:t>
      </w:r>
      <w:r w:rsidR="00FB5C0B">
        <w:t>4</w:t>
      </w:r>
      <w:r>
        <w:t>.</w:t>
      </w:r>
      <w:r>
        <w:tab/>
      </w:r>
      <w:r w:rsidR="00463A1C" w:rsidRPr="007F2900">
        <w:t>Dispositif de contrôle périodique</w:t>
      </w:r>
      <w:bookmarkEnd w:id="263"/>
      <w:r w:rsidR="00932AF1">
        <w:t> :</w:t>
      </w:r>
    </w:p>
    <w:p w:rsidR="002A53BE" w:rsidRPr="00267206" w:rsidRDefault="00932AF1">
      <w:pPr>
        <w:pStyle w:val="SGACP-enumerationniveau1"/>
        <w:ind w:left="284" w:hanging="284"/>
      </w:pPr>
      <w:r w:rsidRPr="00267206">
        <w:t>d</w:t>
      </w:r>
      <w:r w:rsidR="00463A1C" w:rsidRPr="00267206">
        <w:t>escription de l</w:t>
      </w:r>
      <w:r w:rsidR="001224E7" w:rsidRPr="00267206">
        <w:t>’</w:t>
      </w:r>
      <w:r w:rsidR="00463A1C" w:rsidRPr="00267206">
        <w:t>organisation de</w:t>
      </w:r>
      <w:r w:rsidR="00291E2F">
        <w:t xml:space="preserve"> la fonction d’audit interne </w:t>
      </w:r>
      <w:r w:rsidR="00463A1C" w:rsidRPr="00267206">
        <w:t>et</w:t>
      </w:r>
      <w:r w:rsidR="00291E2F">
        <w:t xml:space="preserve"> de son</w:t>
      </w:r>
      <w:r w:rsidR="00463A1C" w:rsidRPr="00267206">
        <w:t xml:space="preserve"> champ d</w:t>
      </w:r>
      <w:r w:rsidR="001224E7" w:rsidRPr="00267206">
        <w:t>’</w:t>
      </w:r>
      <w:r w:rsidR="00463A1C" w:rsidRPr="00267206">
        <w:t>intervention y compris pour l</w:t>
      </w:r>
      <w:r w:rsidR="001224E7" w:rsidRPr="00267206">
        <w:t>’</w:t>
      </w:r>
      <w:r w:rsidR="00463A1C" w:rsidRPr="00267206">
        <w:t>activité à l</w:t>
      </w:r>
      <w:r w:rsidR="001224E7" w:rsidRPr="00267206">
        <w:t>’</w:t>
      </w:r>
      <w:r w:rsidR="00463A1C" w:rsidRPr="00267206">
        <w:t xml:space="preserve">étranger </w:t>
      </w:r>
      <w:r w:rsidR="00463A1C" w:rsidRPr="00267206">
        <w:rPr>
          <w:i/>
        </w:rPr>
        <w:t>(activités, processus et entités)</w:t>
      </w:r>
      <w:r w:rsidRPr="00267206">
        <w:rPr>
          <w:i/>
        </w:rPr>
        <w:t> </w:t>
      </w:r>
      <w:r w:rsidRPr="00935917">
        <w:t>;</w:t>
      </w:r>
    </w:p>
    <w:p w:rsidR="002A53BE" w:rsidRDefault="00463A1C">
      <w:pPr>
        <w:pStyle w:val="SGACP-enumerationniveau1"/>
        <w:ind w:left="284" w:hanging="284"/>
      </w:pPr>
      <w:r w:rsidRPr="00267206">
        <w:t xml:space="preserve"> </w:t>
      </w:r>
      <w:r w:rsidR="0032751C">
        <w:t xml:space="preserve">moyens humains </w:t>
      </w:r>
      <w:r w:rsidRPr="00267206">
        <w:t xml:space="preserve">affectés </w:t>
      </w:r>
      <w:r w:rsidR="00291E2F">
        <w:t>à la fonction d’audit interne</w:t>
      </w:r>
      <w:r w:rsidR="00B36342" w:rsidRPr="00267206">
        <w:t xml:space="preserve"> (</w:t>
      </w:r>
      <w:r w:rsidR="004A6527">
        <w:t xml:space="preserve">cf. </w:t>
      </w:r>
      <w:r w:rsidR="00A31294">
        <w:t>article 25 de l’arrêté du 3 novembre 2014</w:t>
      </w:r>
      <w:r w:rsidR="00192F7C">
        <w:t xml:space="preserve"> modifié</w:t>
      </w:r>
      <w:r w:rsidR="00A31294">
        <w:t>)</w:t>
      </w:r>
      <w:r w:rsidR="00B36342" w:rsidRPr="00267206">
        <w:t xml:space="preserve"> </w:t>
      </w:r>
      <w:r w:rsidRPr="00210431">
        <w:t>(effectif en équivalent temps plein par rapport à l</w:t>
      </w:r>
      <w:r w:rsidR="001224E7" w:rsidRPr="00210431">
        <w:t>’</w:t>
      </w:r>
      <w:r w:rsidRPr="00210431">
        <w:t>effectif total de l</w:t>
      </w:r>
      <w:r w:rsidR="001224E7" w:rsidRPr="00210431">
        <w:t>’</w:t>
      </w:r>
      <w:r w:rsidRPr="00210431">
        <w:t>établissement)</w:t>
      </w:r>
      <w:r w:rsidR="00932AF1" w:rsidRPr="00267206">
        <w:rPr>
          <w:i/>
        </w:rPr>
        <w:t> </w:t>
      </w:r>
      <w:r w:rsidR="00932AF1" w:rsidRPr="00935917">
        <w:t>;</w:t>
      </w:r>
    </w:p>
    <w:p w:rsidR="00A85C3C" w:rsidRPr="00267206" w:rsidRDefault="00A85C3C">
      <w:pPr>
        <w:pStyle w:val="SGACP-enumerationniveau1"/>
        <w:ind w:left="284" w:hanging="284"/>
      </w:pPr>
      <w:r>
        <w:t>si recours à un prestataire externe : fréquence d’intervention et dimension de l’équipe ;</w:t>
      </w:r>
    </w:p>
    <w:p w:rsidR="00495B6F" w:rsidRDefault="00932AF1">
      <w:pPr>
        <w:pStyle w:val="SGACP-enumerationniveau1"/>
        <w:ind w:left="284" w:hanging="284"/>
      </w:pPr>
      <w:r w:rsidRPr="00267206">
        <w:t>d</w:t>
      </w:r>
      <w:r w:rsidR="00463A1C" w:rsidRPr="00267206">
        <w:t>escription, formalisation et date(s) de mise à jour des procédures sur lesquelles s</w:t>
      </w:r>
      <w:r w:rsidR="001224E7" w:rsidRPr="00267206">
        <w:t>’</w:t>
      </w:r>
      <w:r w:rsidR="00463A1C" w:rsidRPr="00267206">
        <w:t>appuie l</w:t>
      </w:r>
      <w:r w:rsidR="00291E2F">
        <w:t>a fonction d’audit interne</w:t>
      </w:r>
      <w:r w:rsidR="00463A1C" w:rsidRPr="00267206">
        <w:t xml:space="preserve"> y compris pour l</w:t>
      </w:r>
      <w:r w:rsidR="001224E7" w:rsidRPr="00267206">
        <w:t>’</w:t>
      </w:r>
      <w:r w:rsidR="00463A1C" w:rsidRPr="00267206">
        <w:t>activité à l</w:t>
      </w:r>
      <w:r w:rsidR="001224E7" w:rsidRPr="00267206">
        <w:t>’</w:t>
      </w:r>
      <w:r w:rsidR="00463A1C" w:rsidRPr="00267206">
        <w:t>étranger (dont les procédures d</w:t>
      </w:r>
      <w:r w:rsidR="001224E7" w:rsidRPr="00267206">
        <w:t>’</w:t>
      </w:r>
      <w:r w:rsidR="00463A1C" w:rsidRPr="00267206">
        <w:t>examen de la conformité) en faisant ressortir les modifications significatives intervenues au cours de l</w:t>
      </w:r>
      <w:r w:rsidR="001224E7" w:rsidRPr="00267206">
        <w:t>’</w:t>
      </w:r>
      <w:r w:rsidR="00463A1C" w:rsidRPr="00267206">
        <w:t>exercice</w:t>
      </w:r>
      <w:bookmarkStart w:id="264" w:name="_Toc244576434"/>
      <w:bookmarkStart w:id="265" w:name="_Toc244938689"/>
      <w:r w:rsidR="00495B6F">
        <w:t> ;</w:t>
      </w:r>
    </w:p>
    <w:p w:rsidR="002B7ACF" w:rsidRDefault="002B7ACF" w:rsidP="002B7ACF">
      <w:pPr>
        <w:pStyle w:val="SGACP-enumerationniveau1"/>
        <w:ind w:left="284" w:hanging="284"/>
      </w:pPr>
      <w:r w:rsidRPr="002B7ACF">
        <w:t>modalités de définition de la fréquence et des priorités des cycles d'audit notamment en fonction des risques identifiés au sein de l’établissement</w:t>
      </w:r>
      <w:r w:rsidR="00652017">
        <w:t>.</w:t>
      </w:r>
    </w:p>
    <w:bookmarkEnd w:id="264"/>
    <w:bookmarkEnd w:id="265"/>
    <w:p w:rsidR="00463A1C" w:rsidRDefault="00463A1C" w:rsidP="002F6550">
      <w:pPr>
        <w:pStyle w:val="Paragraphedeliste"/>
      </w:pPr>
    </w:p>
    <w:p w:rsidR="00401F2D" w:rsidRPr="007F2900" w:rsidRDefault="00401F2D" w:rsidP="00463A1C"/>
    <w:p w:rsidR="00463A1C" w:rsidRPr="007F2900" w:rsidRDefault="00463A1C" w:rsidP="00460E3D">
      <w:pPr>
        <w:pStyle w:val="SGACP-titrederubriqueniveau1"/>
        <w:numPr>
          <w:ilvl w:val="0"/>
          <w:numId w:val="104"/>
        </w:numPr>
      </w:pPr>
      <w:bookmarkStart w:id="266" w:name="_Toc266969711"/>
      <w:r w:rsidRPr="007F2900">
        <w:t>Présentation synthétique de l</w:t>
      </w:r>
      <w:r w:rsidR="001224E7">
        <w:t>’</w:t>
      </w:r>
      <w:r w:rsidRPr="007F2900">
        <w:t>organisation comptable</w:t>
      </w:r>
      <w:bookmarkEnd w:id="266"/>
    </w:p>
    <w:p w:rsidR="002A53BE" w:rsidRDefault="00932AF1">
      <w:pPr>
        <w:pStyle w:val="SGACP-enumerationniveau1"/>
        <w:ind w:left="284" w:hanging="284"/>
      </w:pPr>
      <w:r>
        <w:t>d</w:t>
      </w:r>
      <w:r w:rsidR="00463A1C" w:rsidRPr="007F2900">
        <w:t>escription, formalisation et date(s) de mise à jour des procédures relatives à la piste d</w:t>
      </w:r>
      <w:r w:rsidR="001224E7">
        <w:t>’</w:t>
      </w:r>
      <w:r w:rsidR="00463A1C" w:rsidRPr="007F2900">
        <w:t>audit en ce qui concerne l</w:t>
      </w:r>
      <w:r w:rsidR="001224E7">
        <w:t>’</w:t>
      </w:r>
      <w:r w:rsidR="00463A1C" w:rsidRPr="007F2900">
        <w:t>information comprise dans les documents comptables ainsi que celles figurant dans les situations destinées à l</w:t>
      </w:r>
      <w:r w:rsidR="001224E7">
        <w:t>’</w:t>
      </w:r>
      <w:r w:rsidR="00463A1C" w:rsidRPr="007F2900">
        <w:t xml:space="preserve">Autorité de </w:t>
      </w:r>
      <w:r>
        <w:t>c</w:t>
      </w:r>
      <w:r w:rsidR="00463A1C" w:rsidRPr="007F2900">
        <w:t xml:space="preserve">ontrôle prudentiel </w:t>
      </w:r>
      <w:r w:rsidR="001909D5">
        <w:t>et de résolution</w:t>
      </w:r>
      <w:r w:rsidR="00E7222B">
        <w:t>, ou à la B</w:t>
      </w:r>
      <w:r w:rsidR="00C37B0D">
        <w:t>CE</w:t>
      </w:r>
      <w:r w:rsidR="00E7222B">
        <w:t xml:space="preserve"> selon les cas,</w:t>
      </w:r>
      <w:r w:rsidR="001909D5">
        <w:t xml:space="preserve"> </w:t>
      </w:r>
      <w:r w:rsidR="00463A1C" w:rsidRPr="007F2900">
        <w:t xml:space="preserve">et celles nécessaires </w:t>
      </w:r>
      <w:r>
        <w:t>au calcul des normes de gestion ;</w:t>
      </w:r>
    </w:p>
    <w:p w:rsidR="002A53BE" w:rsidRDefault="00932AF1">
      <w:pPr>
        <w:pStyle w:val="SGACP-enumerationniveau1"/>
        <w:ind w:left="284" w:hanging="284"/>
      </w:pPr>
      <w:r>
        <w:t>o</w:t>
      </w:r>
      <w:r w:rsidR="00463A1C" w:rsidRPr="007F2900">
        <w:t>rganisation mise en place afin de garantir la qualité et la fiabilité de la piste d</w:t>
      </w:r>
      <w:r w:rsidR="001224E7">
        <w:t>’</w:t>
      </w:r>
      <w:r w:rsidR="00463A1C" w:rsidRPr="007F2900">
        <w:t>audit</w:t>
      </w:r>
      <w:r>
        <w:t> ;</w:t>
      </w:r>
    </w:p>
    <w:p w:rsidR="002A53BE" w:rsidRDefault="00932AF1">
      <w:pPr>
        <w:pStyle w:val="SGACP-enumerationniveau1"/>
        <w:ind w:left="284" w:hanging="284"/>
      </w:pPr>
      <w:r>
        <w:t>m</w:t>
      </w:r>
      <w:r w:rsidR="00463A1C" w:rsidRPr="007F2900">
        <w:t>odalités d</w:t>
      </w:r>
      <w:r w:rsidR="001224E7">
        <w:t>’</w:t>
      </w:r>
      <w:r w:rsidR="00463A1C" w:rsidRPr="007F2900">
        <w:t>isolement et de suivi des avoirs détenus pour le compte de tiers (cf.</w:t>
      </w:r>
      <w:r w:rsidR="00EF16B3">
        <w:t xml:space="preserve"> </w:t>
      </w:r>
      <w:r w:rsidR="00463A1C" w:rsidRPr="007F2900">
        <w:t>art</w:t>
      </w:r>
      <w:r w:rsidR="00EF16B3">
        <w:t>icle </w:t>
      </w:r>
      <w:r w:rsidR="000E6CFB">
        <w:t>92 de l’arrêté du 3 novembre 2014</w:t>
      </w:r>
      <w:r w:rsidR="00192F7C">
        <w:t xml:space="preserve"> modifié</w:t>
      </w:r>
      <w:r w:rsidR="00463A1C" w:rsidRPr="007F2900">
        <w:t>)</w:t>
      </w:r>
      <w:r>
        <w:t> ;</w:t>
      </w:r>
    </w:p>
    <w:p w:rsidR="0060140D" w:rsidRDefault="00932AF1">
      <w:pPr>
        <w:pStyle w:val="SGACP-enumerationniveau1"/>
        <w:ind w:left="284" w:hanging="284"/>
      </w:pPr>
      <w:r>
        <w:t>m</w:t>
      </w:r>
      <w:r w:rsidR="00463A1C" w:rsidRPr="007F2900">
        <w:t>odalités de suivi et de traitement des écarts entre le système d</w:t>
      </w:r>
      <w:r w:rsidR="001224E7">
        <w:t>’</w:t>
      </w:r>
      <w:r w:rsidR="00463A1C" w:rsidRPr="007F2900">
        <w:t>information comptable et le système d</w:t>
      </w:r>
      <w:r w:rsidR="001224E7">
        <w:t>’</w:t>
      </w:r>
      <w:r w:rsidR="00463A1C" w:rsidRPr="007F2900">
        <w:t>information de gestion</w:t>
      </w:r>
      <w:r>
        <w:t>.</w:t>
      </w:r>
      <w:r w:rsidR="0060140D">
        <w:t xml:space="preserve"> </w:t>
      </w:r>
      <w:r w:rsidR="0060140D">
        <w:br w:type="page"/>
      </w:r>
    </w:p>
    <w:p w:rsidR="002A53BE" w:rsidRDefault="0060140D" w:rsidP="001D505C">
      <w:pPr>
        <w:pStyle w:val="StyleSGACP-titrederubriqueniveau1CouleurpersonnaliseRVB"/>
        <w:numPr>
          <w:ilvl w:val="0"/>
          <w:numId w:val="0"/>
        </w:numPr>
        <w:jc w:val="right"/>
      </w:pPr>
      <w:bookmarkStart w:id="267" w:name="_Toc137799896"/>
      <w:r>
        <w:lastRenderedPageBreak/>
        <w:t xml:space="preserve">Annexe </w:t>
      </w:r>
      <w:r w:rsidR="007B14D8">
        <w:t>2</w:t>
      </w:r>
      <w:bookmarkEnd w:id="267"/>
    </w:p>
    <w:p w:rsidR="007A15AF" w:rsidRDefault="007A15AF" w:rsidP="00C544BA"/>
    <w:p w:rsidR="0060140D" w:rsidRDefault="0060140D" w:rsidP="00C544BA"/>
    <w:p w:rsidR="0060140D" w:rsidRDefault="0060140D" w:rsidP="001D505C">
      <w:pPr>
        <w:pStyle w:val="SGACP-annexe-titre"/>
      </w:pPr>
      <w:r>
        <w:t>Mesures mises en œuvre en faveur des clients en situation de fragilité</w:t>
      </w:r>
      <w:r w:rsidR="00962893">
        <w:t xml:space="preserve"> financière</w:t>
      </w:r>
      <w:r>
        <w:t xml:space="preserve"> (arrêté du </w:t>
      </w:r>
      <w:r w:rsidR="00322544">
        <w:t>16 septembre 2020</w:t>
      </w:r>
      <w:r>
        <w:t xml:space="preserve"> portant homologation de la charte d’inclusion bancaire et de prévention du surendettement) </w:t>
      </w:r>
    </w:p>
    <w:p w:rsidR="0060140D" w:rsidRPr="001D505C" w:rsidRDefault="0060140D" w:rsidP="001D505C">
      <w:pPr>
        <w:pStyle w:val="SGACP-annexe-titre"/>
        <w:rPr>
          <w:sz w:val="22"/>
          <w:szCs w:val="22"/>
        </w:rPr>
      </w:pPr>
    </w:p>
    <w:p w:rsidR="0060140D" w:rsidRPr="001D505C" w:rsidRDefault="0060140D" w:rsidP="001D505C">
      <w:pPr>
        <w:pStyle w:val="SGACP-annexe-titre"/>
        <w:rPr>
          <w:sz w:val="22"/>
          <w:szCs w:val="22"/>
        </w:rPr>
      </w:pPr>
    </w:p>
    <w:p w:rsidR="0060140D" w:rsidRPr="001D505C" w:rsidRDefault="0060140D" w:rsidP="001D505C">
      <w:pPr>
        <w:pStyle w:val="SGACP-annexe-titre"/>
        <w:rPr>
          <w:sz w:val="22"/>
          <w:szCs w:val="22"/>
        </w:rPr>
      </w:pPr>
    </w:p>
    <w:p w:rsidR="00372438" w:rsidRPr="0097056B" w:rsidRDefault="00372438" w:rsidP="00460E3D">
      <w:pPr>
        <w:pStyle w:val="Paragraphedeliste"/>
        <w:numPr>
          <w:ilvl w:val="0"/>
          <w:numId w:val="35"/>
        </w:numPr>
        <w:ind w:left="426" w:hanging="284"/>
        <w:jc w:val="left"/>
        <w:rPr>
          <w:rFonts w:ascii="Arial" w:hAnsi="Arial"/>
          <w:b/>
          <w:sz w:val="24"/>
        </w:rPr>
      </w:pPr>
      <w:r w:rsidRPr="0097056B">
        <w:rPr>
          <w:rFonts w:ascii="Arial" w:hAnsi="Arial"/>
          <w:b/>
          <w:sz w:val="24"/>
        </w:rPr>
        <w:t>Formation :</w:t>
      </w:r>
    </w:p>
    <w:p w:rsidR="00372438" w:rsidRDefault="00372438" w:rsidP="00372438"/>
    <w:p w:rsidR="00372438" w:rsidRPr="0097056B" w:rsidRDefault="00372438" w:rsidP="00460E3D">
      <w:pPr>
        <w:pStyle w:val="Paragraphedeliste"/>
        <w:numPr>
          <w:ilvl w:val="1"/>
          <w:numId w:val="36"/>
        </w:numPr>
        <w:ind w:left="567" w:hanging="567"/>
        <w:rPr>
          <w:rFonts w:ascii="Arial" w:hAnsi="Arial"/>
        </w:rPr>
      </w:pPr>
      <w:r w:rsidRPr="0097056B">
        <w:rPr>
          <w:rFonts w:ascii="Arial" w:hAnsi="Arial"/>
        </w:rPr>
        <w:t xml:space="preserve">Pourcentage des conseillers clientèle ayant suivi, </w:t>
      </w:r>
      <w:r w:rsidRPr="0097056B">
        <w:rPr>
          <w:rFonts w:ascii="Arial" w:hAnsi="Arial"/>
          <w:u w:val="single"/>
        </w:rPr>
        <w:t>au cours de l’année sous revue</w:t>
      </w:r>
      <w:r w:rsidRPr="0097056B">
        <w:rPr>
          <w:rFonts w:ascii="Arial" w:hAnsi="Arial"/>
        </w:rPr>
        <w:t xml:space="preserve">, une formation adaptée sur l'offre spécifique, la clientèle à laquelle elle est destinée et le suivi des clients bénéficiant des </w:t>
      </w:r>
      <w:r>
        <w:rPr>
          <w:rFonts w:ascii="Arial" w:hAnsi="Arial"/>
        </w:rPr>
        <w:t>services bancaires de base (</w:t>
      </w:r>
      <w:r w:rsidRPr="0097056B">
        <w:rPr>
          <w:rFonts w:ascii="Arial" w:hAnsi="Arial"/>
        </w:rPr>
        <w:t>SBB</w:t>
      </w:r>
      <w:r>
        <w:rPr>
          <w:rFonts w:ascii="Arial" w:hAnsi="Arial"/>
        </w:rPr>
        <w:t>)</w:t>
      </w:r>
      <w:r w:rsidRPr="0097056B">
        <w:rPr>
          <w:rFonts w:ascii="Arial" w:hAnsi="Arial"/>
        </w:rPr>
        <w:t xml:space="preserve"> : </w:t>
      </w:r>
      <w:r w:rsidR="006E7256">
        <w:rPr>
          <w:rFonts w:ascii="Arial" w:hAnsi="Arial"/>
        </w:rPr>
        <w:t xml:space="preserve">  </w:t>
      </w:r>
      <w:r w:rsidR="006E7256" w:rsidRPr="006E7256">
        <w:rPr>
          <w:rFonts w:ascii="Arial" w:hAnsi="Arial"/>
        </w:rPr>
        <w:t>%</w:t>
      </w:r>
    </w:p>
    <w:p w:rsidR="00372438" w:rsidRPr="0097056B" w:rsidRDefault="00372438" w:rsidP="00460E3D">
      <w:pPr>
        <w:pStyle w:val="Paragraphedeliste"/>
        <w:numPr>
          <w:ilvl w:val="1"/>
          <w:numId w:val="36"/>
        </w:numPr>
        <w:ind w:left="567" w:hanging="567"/>
        <w:rPr>
          <w:rFonts w:ascii="Arial" w:hAnsi="Arial"/>
        </w:rPr>
      </w:pPr>
      <w:r w:rsidRPr="0097056B">
        <w:rPr>
          <w:rFonts w:ascii="Arial" w:hAnsi="Arial"/>
        </w:rPr>
        <w:t>Rappel de formation systématique prévu pour les conseillers ayant déjà suivi la formation : Oui/Non   </w:t>
      </w:r>
    </w:p>
    <w:p w:rsidR="00372438" w:rsidRPr="0097056B" w:rsidRDefault="00372438" w:rsidP="00460E3D">
      <w:pPr>
        <w:pStyle w:val="Paragraphedeliste"/>
        <w:numPr>
          <w:ilvl w:val="1"/>
          <w:numId w:val="36"/>
        </w:numPr>
        <w:ind w:left="567" w:hanging="567"/>
        <w:rPr>
          <w:rFonts w:ascii="Arial" w:hAnsi="Arial"/>
        </w:rPr>
      </w:pPr>
      <w:r w:rsidRPr="0097056B">
        <w:rPr>
          <w:rFonts w:ascii="Arial" w:hAnsi="Arial"/>
        </w:rPr>
        <w:t xml:space="preserve">Pourcentage des personnels salariés en contact avec la clientèle ayant suivi, </w:t>
      </w:r>
      <w:r w:rsidRPr="0097056B">
        <w:rPr>
          <w:rFonts w:ascii="Arial" w:hAnsi="Arial"/>
          <w:u w:val="single"/>
        </w:rPr>
        <w:t>au cours de l’année sous revue</w:t>
      </w:r>
      <w:r w:rsidRPr="0097056B">
        <w:rPr>
          <w:rFonts w:ascii="Arial" w:hAnsi="Arial"/>
        </w:rPr>
        <w:t>, une formation sur les dispositifs spécifiques dédiés aux clients en situation de fragilité en place au sein de leur entreprise :</w:t>
      </w:r>
      <w:r w:rsidR="006E7256">
        <w:rPr>
          <w:rFonts w:ascii="Arial" w:hAnsi="Arial"/>
        </w:rPr>
        <w:t xml:space="preserve">   %</w:t>
      </w:r>
    </w:p>
    <w:p w:rsidR="00372438" w:rsidRPr="0097056B" w:rsidRDefault="00372438" w:rsidP="00460E3D">
      <w:pPr>
        <w:pStyle w:val="Paragraphedeliste"/>
        <w:numPr>
          <w:ilvl w:val="1"/>
          <w:numId w:val="36"/>
        </w:numPr>
        <w:ind w:left="567" w:hanging="567"/>
        <w:rPr>
          <w:rFonts w:ascii="Arial" w:hAnsi="Arial"/>
        </w:rPr>
      </w:pPr>
      <w:r w:rsidRPr="0097056B">
        <w:rPr>
          <w:rFonts w:ascii="Arial" w:hAnsi="Arial"/>
        </w:rPr>
        <w:t>Rappel de formation systématique prévu pour les personnes visées au 1.3 ci-dessus ayant déjà suivi la formation : Oui/Non  </w:t>
      </w:r>
    </w:p>
    <w:p w:rsidR="00180AAC" w:rsidRDefault="00372438" w:rsidP="00460E3D">
      <w:pPr>
        <w:pStyle w:val="Paragraphedeliste"/>
        <w:numPr>
          <w:ilvl w:val="1"/>
          <w:numId w:val="36"/>
        </w:numPr>
        <w:ind w:left="567" w:hanging="567"/>
        <w:rPr>
          <w:rFonts w:ascii="Arial" w:hAnsi="Arial"/>
        </w:rPr>
      </w:pPr>
      <w:r w:rsidRPr="0097056B">
        <w:rPr>
          <w:rFonts w:ascii="Arial" w:hAnsi="Arial"/>
        </w:rPr>
        <w:t xml:space="preserve">Pourcentage de personnes agissant pour le compte de l’entreprise (hors personnel salarié) ayant suivi, </w:t>
      </w:r>
      <w:r w:rsidRPr="0097056B">
        <w:rPr>
          <w:rFonts w:ascii="Arial" w:hAnsi="Arial"/>
          <w:u w:val="single"/>
        </w:rPr>
        <w:t>au cours de l’année sous revue</w:t>
      </w:r>
      <w:r w:rsidRPr="0097056B">
        <w:rPr>
          <w:rFonts w:ascii="Arial" w:hAnsi="Arial"/>
        </w:rPr>
        <w:t xml:space="preserve">, une formation sur les dispositifs spécifiques dédiés aux clients en situation de fragilité mis en place : </w:t>
      </w:r>
      <w:r w:rsidR="006E7256">
        <w:rPr>
          <w:rFonts w:ascii="Arial" w:hAnsi="Arial"/>
        </w:rPr>
        <w:t xml:space="preserve">  %</w:t>
      </w:r>
    </w:p>
    <w:p w:rsidR="00372438" w:rsidRPr="0097056B" w:rsidRDefault="00372438" w:rsidP="00460E3D">
      <w:pPr>
        <w:pStyle w:val="Paragraphedeliste"/>
        <w:numPr>
          <w:ilvl w:val="1"/>
          <w:numId w:val="36"/>
        </w:numPr>
        <w:ind w:left="567" w:hanging="567"/>
        <w:rPr>
          <w:rFonts w:ascii="Arial" w:hAnsi="Arial"/>
        </w:rPr>
      </w:pPr>
      <w:r w:rsidRPr="0097056B">
        <w:rPr>
          <w:rFonts w:ascii="Arial" w:hAnsi="Arial"/>
        </w:rPr>
        <w:t>Rappel de formation systématique prévu pour les personnes visées au 1.5 ci-dessus ayant déjà suivi la formation : Oui/Non  </w:t>
      </w:r>
    </w:p>
    <w:p w:rsidR="00372438" w:rsidRDefault="00372438" w:rsidP="00372438">
      <w:pPr>
        <w:pStyle w:val="Paragraphedeliste"/>
        <w:ind w:left="1440"/>
      </w:pPr>
    </w:p>
    <w:p w:rsidR="00372438" w:rsidRPr="0097056B" w:rsidRDefault="00372438" w:rsidP="00460E3D">
      <w:pPr>
        <w:pStyle w:val="Paragraphedeliste"/>
        <w:numPr>
          <w:ilvl w:val="0"/>
          <w:numId w:val="35"/>
        </w:numPr>
        <w:ind w:left="426" w:hanging="284"/>
        <w:jc w:val="left"/>
        <w:rPr>
          <w:rFonts w:ascii="Arial" w:hAnsi="Arial"/>
          <w:b/>
          <w:sz w:val="24"/>
        </w:rPr>
      </w:pPr>
      <w:r w:rsidRPr="0097056B">
        <w:rPr>
          <w:rFonts w:ascii="Arial" w:hAnsi="Arial"/>
          <w:b/>
          <w:sz w:val="24"/>
        </w:rPr>
        <w:t>Contrôle interne</w:t>
      </w:r>
      <w:r w:rsidR="004E4C3B">
        <w:rPr>
          <w:rStyle w:val="Appelnotedebasdep"/>
        </w:rPr>
        <w:footnoteReference w:id="18"/>
      </w:r>
      <w:r w:rsidRPr="0097056B">
        <w:rPr>
          <w:rFonts w:ascii="Arial" w:hAnsi="Arial"/>
          <w:b/>
          <w:sz w:val="24"/>
        </w:rPr>
        <w:t xml:space="preserve"> </w:t>
      </w:r>
    </w:p>
    <w:p w:rsidR="00372438" w:rsidRDefault="00372438" w:rsidP="00372438">
      <w:pPr>
        <w:pStyle w:val="Paragraphedeliste"/>
      </w:pPr>
    </w:p>
    <w:p w:rsidR="004347DF" w:rsidRPr="007A2855" w:rsidRDefault="00372438" w:rsidP="007A2855">
      <w:pPr>
        <w:pStyle w:val="Paragraphedeliste"/>
        <w:numPr>
          <w:ilvl w:val="1"/>
          <w:numId w:val="78"/>
        </w:numPr>
        <w:ind w:left="567" w:hanging="567"/>
        <w:rPr>
          <w:rFonts w:ascii="Arial" w:hAnsi="Arial"/>
        </w:rPr>
      </w:pPr>
      <w:r w:rsidRPr="007A2855">
        <w:rPr>
          <w:rFonts w:ascii="Arial" w:hAnsi="Arial"/>
        </w:rPr>
        <w:t>Le dispositif de contrôle permanent (1</w:t>
      </w:r>
      <w:r w:rsidRPr="007A2855">
        <w:rPr>
          <w:rFonts w:ascii="Arial" w:hAnsi="Arial"/>
          <w:vertAlign w:val="superscript"/>
        </w:rPr>
        <w:t>er</w:t>
      </w:r>
      <w:r w:rsidRPr="007A2855">
        <w:rPr>
          <w:rFonts w:ascii="Arial" w:hAnsi="Arial"/>
        </w:rPr>
        <w:t xml:space="preserve"> et 2</w:t>
      </w:r>
      <w:r w:rsidRPr="007A2855">
        <w:rPr>
          <w:rFonts w:ascii="Arial" w:hAnsi="Arial"/>
          <w:vertAlign w:val="superscript"/>
        </w:rPr>
        <w:t>ème</w:t>
      </w:r>
      <w:r w:rsidRPr="007A2855">
        <w:rPr>
          <w:rFonts w:ascii="Arial" w:hAnsi="Arial"/>
        </w:rPr>
        <w:t xml:space="preserve"> niveau) couvre-t-il </w:t>
      </w:r>
      <w:r w:rsidR="00D04485" w:rsidRPr="007A2855">
        <w:rPr>
          <w:rFonts w:ascii="Arial" w:hAnsi="Arial"/>
        </w:rPr>
        <w:t xml:space="preserve">l’ensemble des mesures relatives : </w:t>
      </w:r>
    </w:p>
    <w:p w:rsidR="004347DF" w:rsidRPr="007A2855" w:rsidRDefault="00D04485" w:rsidP="007A2855">
      <w:pPr>
        <w:pStyle w:val="Paragraphedeliste"/>
        <w:numPr>
          <w:ilvl w:val="2"/>
          <w:numId w:val="78"/>
        </w:numPr>
        <w:ind w:left="1560" w:hanging="709"/>
        <w:rPr>
          <w:rFonts w:ascii="Arial" w:hAnsi="Arial"/>
        </w:rPr>
      </w:pPr>
      <w:r w:rsidRPr="007A2855">
        <w:rPr>
          <w:rFonts w:ascii="Arial" w:hAnsi="Arial"/>
        </w:rPr>
        <w:t>- a</w:t>
      </w:r>
      <w:r w:rsidR="004347DF" w:rsidRPr="007A2855">
        <w:rPr>
          <w:rFonts w:ascii="Arial" w:hAnsi="Arial"/>
        </w:rPr>
        <w:t>u renforcement de l’accès aux services bancaires et services de paiement et à la</w:t>
      </w:r>
      <w:r w:rsidR="004E4C3B" w:rsidRPr="007A2855">
        <w:rPr>
          <w:rFonts w:ascii="Arial" w:hAnsi="Arial"/>
        </w:rPr>
        <w:t xml:space="preserve"> </w:t>
      </w:r>
      <w:r w:rsidR="004347DF" w:rsidRPr="007A2855">
        <w:rPr>
          <w:rFonts w:ascii="Arial" w:hAnsi="Arial"/>
        </w:rPr>
        <w:t xml:space="preserve">facilitation de leur usage ? </w:t>
      </w:r>
      <w:r w:rsidRPr="007A2855">
        <w:rPr>
          <w:rFonts w:ascii="Arial" w:hAnsi="Arial"/>
        </w:rPr>
        <w:t>Oui / Non</w:t>
      </w:r>
    </w:p>
    <w:p w:rsidR="00D04485" w:rsidRDefault="00D04485" w:rsidP="007A2855">
      <w:pPr>
        <w:pStyle w:val="Paragraphedeliste"/>
        <w:numPr>
          <w:ilvl w:val="2"/>
          <w:numId w:val="78"/>
        </w:numPr>
        <w:ind w:left="1560" w:hanging="709"/>
        <w:rPr>
          <w:rFonts w:ascii="Arial" w:hAnsi="Arial"/>
        </w:rPr>
      </w:pPr>
      <w:r>
        <w:rPr>
          <w:rFonts w:ascii="Arial" w:hAnsi="Arial"/>
        </w:rPr>
        <w:t xml:space="preserve">- à </w:t>
      </w:r>
      <w:r w:rsidR="004347DF">
        <w:rPr>
          <w:rFonts w:ascii="Arial" w:hAnsi="Arial"/>
        </w:rPr>
        <w:t xml:space="preserve">la prévention du surendettement / détection ? </w:t>
      </w:r>
      <w:r>
        <w:rPr>
          <w:rFonts w:ascii="Arial" w:hAnsi="Arial"/>
        </w:rPr>
        <w:t>Oui / Non</w:t>
      </w:r>
    </w:p>
    <w:p w:rsidR="004347DF" w:rsidRPr="00D04485" w:rsidRDefault="00D04485" w:rsidP="007A2855">
      <w:pPr>
        <w:pStyle w:val="Paragraphedeliste"/>
        <w:numPr>
          <w:ilvl w:val="2"/>
          <w:numId w:val="78"/>
        </w:numPr>
        <w:ind w:left="1560" w:hanging="709"/>
        <w:rPr>
          <w:rFonts w:ascii="Arial" w:hAnsi="Arial"/>
        </w:rPr>
      </w:pPr>
      <w:r>
        <w:rPr>
          <w:rFonts w:ascii="Arial" w:hAnsi="Arial"/>
        </w:rPr>
        <w:t xml:space="preserve">- </w:t>
      </w:r>
      <w:r w:rsidR="004347DF" w:rsidRPr="00D04485">
        <w:rPr>
          <w:rFonts w:ascii="Arial" w:hAnsi="Arial"/>
        </w:rPr>
        <w:t xml:space="preserve">à la prévention du surendettement / accompagnement ? </w:t>
      </w:r>
      <w:r>
        <w:rPr>
          <w:rFonts w:ascii="Arial" w:hAnsi="Arial"/>
        </w:rPr>
        <w:t>Oui / Non</w:t>
      </w:r>
    </w:p>
    <w:p w:rsidR="00372438" w:rsidRPr="007A2855" w:rsidRDefault="00D04485" w:rsidP="007A2855">
      <w:pPr>
        <w:pStyle w:val="Paragraphedeliste"/>
        <w:numPr>
          <w:ilvl w:val="2"/>
          <w:numId w:val="78"/>
        </w:numPr>
        <w:ind w:left="1560" w:hanging="709"/>
        <w:rPr>
          <w:rFonts w:ascii="Arial" w:hAnsi="Arial"/>
        </w:rPr>
      </w:pPr>
      <w:r>
        <w:rPr>
          <w:rFonts w:ascii="Arial" w:hAnsi="Arial"/>
        </w:rPr>
        <w:t xml:space="preserve">- </w:t>
      </w:r>
      <w:r w:rsidR="004347DF">
        <w:rPr>
          <w:rFonts w:ascii="Arial" w:hAnsi="Arial"/>
        </w:rPr>
        <w:t xml:space="preserve">à la formation des personnels et plus particulièrement aux points 1.1 à 1.6 ci-dessus ? </w:t>
      </w:r>
      <w:r w:rsidRPr="007A2855">
        <w:rPr>
          <w:rFonts w:ascii="Arial" w:hAnsi="Arial"/>
        </w:rPr>
        <w:t>Oui / Non</w:t>
      </w:r>
      <w:r w:rsidRPr="007A2855" w:rsidDel="00D04485">
        <w:rPr>
          <w:rFonts w:ascii="Arial" w:hAnsi="Arial"/>
        </w:rPr>
        <w:t xml:space="preserve"> </w:t>
      </w:r>
    </w:p>
    <w:p w:rsidR="00372438" w:rsidRPr="0097056B" w:rsidRDefault="00372438" w:rsidP="007A2855">
      <w:pPr>
        <w:pStyle w:val="Paragraphedeliste"/>
        <w:numPr>
          <w:ilvl w:val="1"/>
          <w:numId w:val="78"/>
        </w:numPr>
        <w:ind w:left="567" w:hanging="567"/>
        <w:rPr>
          <w:rFonts w:ascii="Arial" w:hAnsi="Arial"/>
        </w:rPr>
      </w:pPr>
      <w:r w:rsidRPr="0097056B">
        <w:rPr>
          <w:rFonts w:ascii="Arial" w:hAnsi="Arial"/>
        </w:rPr>
        <w:t>L</w:t>
      </w:r>
      <w:r w:rsidR="00D04485">
        <w:rPr>
          <w:rFonts w:ascii="Arial" w:hAnsi="Arial"/>
        </w:rPr>
        <w:t>’ensemble d</w:t>
      </w:r>
      <w:r w:rsidRPr="0097056B">
        <w:rPr>
          <w:rFonts w:ascii="Arial" w:hAnsi="Arial"/>
        </w:rPr>
        <w:t xml:space="preserve">es points </w:t>
      </w:r>
      <w:r w:rsidR="004347DF">
        <w:rPr>
          <w:rFonts w:ascii="Arial" w:hAnsi="Arial"/>
        </w:rPr>
        <w:t>2.</w:t>
      </w:r>
      <w:r w:rsidR="00D04485">
        <w:rPr>
          <w:rFonts w:ascii="Arial" w:hAnsi="Arial"/>
        </w:rPr>
        <w:t>1.1</w:t>
      </w:r>
      <w:r w:rsidR="004347DF">
        <w:rPr>
          <w:rFonts w:ascii="Arial" w:hAnsi="Arial"/>
        </w:rPr>
        <w:t xml:space="preserve"> à 2.</w:t>
      </w:r>
      <w:r w:rsidR="00D04485">
        <w:rPr>
          <w:rFonts w:ascii="Arial" w:hAnsi="Arial"/>
        </w:rPr>
        <w:t>1.</w:t>
      </w:r>
      <w:r w:rsidR="004347DF">
        <w:rPr>
          <w:rFonts w:ascii="Arial" w:hAnsi="Arial"/>
        </w:rPr>
        <w:t>4</w:t>
      </w:r>
      <w:r w:rsidRPr="0097056B">
        <w:rPr>
          <w:rFonts w:ascii="Arial" w:hAnsi="Arial"/>
        </w:rPr>
        <w:t xml:space="preserve"> sont-ils couverts sur le cycle de contrôle périodique ? </w:t>
      </w:r>
      <w:r w:rsidR="004E4C3B">
        <w:rPr>
          <w:rFonts w:ascii="Arial" w:hAnsi="Arial"/>
        </w:rPr>
        <w:t>Oui / Non</w:t>
      </w:r>
    </w:p>
    <w:p w:rsidR="00380936" w:rsidRPr="007A2855" w:rsidRDefault="00372438" w:rsidP="007A2855">
      <w:pPr>
        <w:pStyle w:val="Paragraphedeliste"/>
        <w:numPr>
          <w:ilvl w:val="1"/>
          <w:numId w:val="78"/>
        </w:numPr>
        <w:ind w:left="567" w:hanging="567"/>
        <w:rPr>
          <w:rFonts w:ascii="Arial" w:hAnsi="Arial"/>
        </w:rPr>
      </w:pPr>
      <w:r w:rsidRPr="0097056B">
        <w:rPr>
          <w:rFonts w:ascii="Arial" w:hAnsi="Arial"/>
        </w:rPr>
        <w:t>Des anomalies significatives ont-elles été détectées à l’occasion des contrôles permanents et le cas échéant périodiques au cours de l’année sous revue ? Oui</w:t>
      </w:r>
      <w:r w:rsidR="004E4C3B">
        <w:rPr>
          <w:rFonts w:ascii="Arial" w:hAnsi="Arial"/>
        </w:rPr>
        <w:t xml:space="preserve"> </w:t>
      </w:r>
      <w:r w:rsidRPr="0097056B">
        <w:rPr>
          <w:rFonts w:ascii="Arial" w:hAnsi="Arial"/>
        </w:rPr>
        <w:t>/</w:t>
      </w:r>
      <w:r w:rsidR="004E4C3B">
        <w:rPr>
          <w:rFonts w:ascii="Arial" w:hAnsi="Arial"/>
        </w:rPr>
        <w:t xml:space="preserve"> </w:t>
      </w:r>
      <w:r w:rsidRPr="0097056B">
        <w:rPr>
          <w:rFonts w:ascii="Arial" w:hAnsi="Arial"/>
        </w:rPr>
        <w:t xml:space="preserve">Non. </w:t>
      </w:r>
    </w:p>
    <w:p w:rsidR="00372438" w:rsidRPr="0097056B" w:rsidRDefault="00380936" w:rsidP="0097056B">
      <w:pPr>
        <w:pStyle w:val="Paragraphedeliste"/>
        <w:ind w:left="567"/>
        <w:rPr>
          <w:rFonts w:ascii="Arial" w:hAnsi="Arial"/>
          <w:i/>
        </w:rPr>
      </w:pPr>
      <w:r w:rsidRPr="0097056B">
        <w:rPr>
          <w:rFonts w:ascii="Arial" w:hAnsi="Arial"/>
          <w:i/>
        </w:rPr>
        <w:t>L</w:t>
      </w:r>
      <w:r w:rsidR="00372438" w:rsidRPr="0097056B">
        <w:rPr>
          <w:rFonts w:ascii="Arial" w:hAnsi="Arial"/>
          <w:i/>
        </w:rPr>
        <w:t xml:space="preserve">a réponse </w:t>
      </w:r>
      <w:r w:rsidRPr="0097056B">
        <w:rPr>
          <w:rFonts w:ascii="Arial" w:hAnsi="Arial"/>
          <w:i/>
        </w:rPr>
        <w:t>« </w:t>
      </w:r>
      <w:r w:rsidR="00372438" w:rsidRPr="0097056B">
        <w:rPr>
          <w:rFonts w:ascii="Arial" w:hAnsi="Arial"/>
          <w:i/>
        </w:rPr>
        <w:t>Non</w:t>
      </w:r>
      <w:r w:rsidRPr="0097056B">
        <w:rPr>
          <w:rFonts w:ascii="Arial" w:hAnsi="Arial"/>
          <w:i/>
        </w:rPr>
        <w:t> »</w:t>
      </w:r>
      <w:r w:rsidR="00372438" w:rsidRPr="0097056B">
        <w:rPr>
          <w:rFonts w:ascii="Arial" w:hAnsi="Arial"/>
          <w:i/>
        </w:rPr>
        <w:t xml:space="preserve"> dispense de répondre aux questions </w:t>
      </w:r>
      <w:r w:rsidRPr="0097056B">
        <w:rPr>
          <w:rFonts w:ascii="Arial" w:hAnsi="Arial"/>
          <w:i/>
        </w:rPr>
        <w:t>2</w:t>
      </w:r>
      <w:r w:rsidR="00372438" w:rsidRPr="0097056B">
        <w:rPr>
          <w:rFonts w:ascii="Arial" w:hAnsi="Arial"/>
          <w:i/>
        </w:rPr>
        <w:t xml:space="preserve">.4 et </w:t>
      </w:r>
      <w:r w:rsidRPr="0097056B">
        <w:rPr>
          <w:rFonts w:ascii="Arial" w:hAnsi="Arial"/>
          <w:i/>
        </w:rPr>
        <w:t>2</w:t>
      </w:r>
      <w:r w:rsidR="00372438" w:rsidRPr="0097056B">
        <w:rPr>
          <w:rFonts w:ascii="Arial" w:hAnsi="Arial"/>
          <w:i/>
        </w:rPr>
        <w:t>.5</w:t>
      </w:r>
    </w:p>
    <w:p w:rsidR="00372438" w:rsidRPr="0097056B" w:rsidRDefault="00372438" w:rsidP="007A2855">
      <w:pPr>
        <w:pStyle w:val="Paragraphedeliste"/>
        <w:numPr>
          <w:ilvl w:val="1"/>
          <w:numId w:val="78"/>
        </w:numPr>
        <w:ind w:left="567" w:hanging="567"/>
        <w:rPr>
          <w:rFonts w:ascii="Arial" w:hAnsi="Arial"/>
        </w:rPr>
      </w:pPr>
      <w:r w:rsidRPr="0097056B">
        <w:rPr>
          <w:rFonts w:ascii="Arial" w:hAnsi="Arial"/>
        </w:rPr>
        <w:t>Si oui, indiquez les principales (dans la limite de 3)</w:t>
      </w:r>
    </w:p>
    <w:p w:rsidR="00372438" w:rsidRPr="0097056B" w:rsidRDefault="00372438" w:rsidP="007A2855">
      <w:pPr>
        <w:pStyle w:val="Paragraphedeliste"/>
        <w:numPr>
          <w:ilvl w:val="1"/>
          <w:numId w:val="78"/>
        </w:numPr>
        <w:ind w:left="567" w:hanging="567"/>
        <w:rPr>
          <w:rFonts w:ascii="Arial" w:hAnsi="Arial"/>
        </w:rPr>
      </w:pPr>
      <w:r w:rsidRPr="0097056B">
        <w:rPr>
          <w:rFonts w:ascii="Arial" w:hAnsi="Arial"/>
        </w:rPr>
        <w:t>Les actions correctives nécessaires ont-elles été mises en œuvre ? Oui/</w:t>
      </w:r>
      <w:r w:rsidR="004E4C3B">
        <w:rPr>
          <w:rFonts w:ascii="Arial" w:hAnsi="Arial"/>
        </w:rPr>
        <w:t xml:space="preserve"> </w:t>
      </w:r>
      <w:r w:rsidRPr="0097056B">
        <w:rPr>
          <w:rFonts w:ascii="Arial" w:hAnsi="Arial"/>
        </w:rPr>
        <w:t xml:space="preserve">Non </w:t>
      </w:r>
    </w:p>
    <w:p w:rsidR="00372438" w:rsidRPr="0097056B" w:rsidRDefault="00372438" w:rsidP="0097056B">
      <w:pPr>
        <w:pStyle w:val="Paragraphedeliste"/>
        <w:ind w:left="426"/>
        <w:jc w:val="left"/>
        <w:rPr>
          <w:rFonts w:ascii="Arial" w:hAnsi="Arial"/>
          <w:b/>
          <w:sz w:val="24"/>
        </w:rPr>
      </w:pPr>
    </w:p>
    <w:p w:rsidR="00115EF0" w:rsidRDefault="00372438" w:rsidP="00460E3D">
      <w:pPr>
        <w:pStyle w:val="Paragraphedeliste"/>
        <w:numPr>
          <w:ilvl w:val="0"/>
          <w:numId w:val="35"/>
        </w:numPr>
        <w:ind w:left="426" w:hanging="284"/>
        <w:jc w:val="left"/>
        <w:rPr>
          <w:rFonts w:ascii="Arial" w:hAnsi="Arial"/>
          <w:b/>
          <w:sz w:val="24"/>
        </w:rPr>
        <w:sectPr w:rsidR="00115EF0" w:rsidSect="00BB6AE4">
          <w:headerReference w:type="default" r:id="rId20"/>
          <w:footerReference w:type="even" r:id="rId21"/>
          <w:footerReference w:type="default" r:id="rId22"/>
          <w:footerReference w:type="first" r:id="rId23"/>
          <w:pgSz w:w="11906" w:h="16838"/>
          <w:pgMar w:top="1134" w:right="1134" w:bottom="964" w:left="1134" w:header="720" w:footer="720" w:gutter="0"/>
          <w:cols w:space="720"/>
          <w:docGrid w:linePitch="326"/>
        </w:sectPr>
      </w:pPr>
      <w:r w:rsidRPr="0097056B">
        <w:rPr>
          <w:rFonts w:ascii="Arial" w:hAnsi="Arial"/>
          <w:b/>
          <w:sz w:val="24"/>
        </w:rPr>
        <w:t xml:space="preserve">Commentaires ou remarques sur la mise en œuvre du dispositif d’inclusion bancaire et de prévention du surendettement (facultatif) </w:t>
      </w:r>
    </w:p>
    <w:p w:rsidR="00C77633" w:rsidRDefault="00C77633" w:rsidP="001544D6">
      <w:pPr>
        <w:pStyle w:val="StyleSGACP-titrederubriqueniveau1CouleurpersonnaliseRVB"/>
        <w:numPr>
          <w:ilvl w:val="0"/>
          <w:numId w:val="0"/>
        </w:numPr>
        <w:jc w:val="right"/>
      </w:pPr>
      <w:bookmarkStart w:id="268" w:name="_Toc137799897"/>
      <w:r>
        <w:lastRenderedPageBreak/>
        <w:t xml:space="preserve">Annexe </w:t>
      </w:r>
      <w:r w:rsidR="007B14D8">
        <w:t>3</w:t>
      </w:r>
      <w:bookmarkEnd w:id="268"/>
    </w:p>
    <w:p w:rsidR="00115EF0" w:rsidRDefault="00115EF0" w:rsidP="001544D6">
      <w:pPr>
        <w:pStyle w:val="StyleSGACP-titrederubriqueniveau1CouleurpersonnaliseRVB"/>
        <w:numPr>
          <w:ilvl w:val="0"/>
          <w:numId w:val="0"/>
        </w:numPr>
        <w:ind w:left="7185"/>
      </w:pPr>
    </w:p>
    <w:p w:rsidR="00115EF0" w:rsidRDefault="00115EF0" w:rsidP="00115EF0">
      <w:pPr>
        <w:jc w:val="center"/>
        <w:rPr>
          <w:rFonts w:ascii="Arial" w:hAnsi="Arial"/>
          <w:b/>
          <w:sz w:val="28"/>
        </w:rPr>
      </w:pPr>
      <w:r w:rsidRPr="001544D6">
        <w:rPr>
          <w:rFonts w:ascii="Arial" w:hAnsi="Arial"/>
          <w:b/>
          <w:sz w:val="28"/>
        </w:rPr>
        <w:t>Tableau récapitulatif des facteurs K</w:t>
      </w:r>
    </w:p>
    <w:p w:rsidR="00115EF0" w:rsidRPr="001544D6" w:rsidRDefault="00115EF0" w:rsidP="00115EF0">
      <w:pPr>
        <w:jc w:val="center"/>
        <w:rPr>
          <w:rFonts w:ascii="Arial" w:hAnsi="Arial"/>
          <w:b/>
          <w:sz w:val="28"/>
        </w:rPr>
      </w:pPr>
    </w:p>
    <w:tbl>
      <w:tblPr>
        <w:tblW w:w="13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6"/>
        <w:gridCol w:w="1069"/>
        <w:gridCol w:w="1866"/>
        <w:gridCol w:w="4711"/>
        <w:gridCol w:w="4802"/>
      </w:tblGrid>
      <w:tr w:rsidR="00115EF0" w:rsidRPr="001544D6" w:rsidTr="0029217F">
        <w:trPr>
          <w:trHeight w:val="562"/>
          <w:jc w:val="center"/>
        </w:trPr>
        <w:tc>
          <w:tcPr>
            <w:tcW w:w="1206" w:type="dxa"/>
            <w:shd w:val="clear" w:color="5B9BD5" w:fill="5B9BD5"/>
            <w:vAlign w:val="center"/>
            <w:hideMark/>
          </w:tcPr>
          <w:p w:rsidR="00115EF0" w:rsidRPr="001544D6" w:rsidRDefault="00115EF0" w:rsidP="001544D6">
            <w:pPr>
              <w:jc w:val="center"/>
              <w:rPr>
                <w:rFonts w:ascii="Calibri" w:hAnsi="Calibri" w:cs="Calibri"/>
                <w:b/>
                <w:bCs/>
                <w:color w:val="FFFFFF"/>
                <w:sz w:val="22"/>
                <w:szCs w:val="22"/>
              </w:rPr>
            </w:pPr>
            <w:r w:rsidRPr="001544D6">
              <w:rPr>
                <w:rFonts w:ascii="Calibri" w:hAnsi="Calibri" w:cs="Calibri"/>
                <w:b/>
                <w:bCs/>
                <w:color w:val="FFFFFF"/>
                <w:sz w:val="22"/>
                <w:szCs w:val="22"/>
              </w:rPr>
              <w:t>Risk to</w:t>
            </w:r>
          </w:p>
        </w:tc>
        <w:tc>
          <w:tcPr>
            <w:tcW w:w="1069" w:type="dxa"/>
            <w:shd w:val="clear" w:color="5B9BD5" w:fill="5B9BD5"/>
            <w:vAlign w:val="center"/>
            <w:hideMark/>
          </w:tcPr>
          <w:p w:rsidR="00115EF0" w:rsidRPr="001544D6" w:rsidRDefault="00115EF0" w:rsidP="001544D6">
            <w:pPr>
              <w:jc w:val="center"/>
              <w:rPr>
                <w:rFonts w:ascii="Calibri" w:hAnsi="Calibri" w:cs="Calibri"/>
                <w:b/>
                <w:bCs/>
                <w:color w:val="FFFFFF"/>
                <w:sz w:val="22"/>
                <w:szCs w:val="22"/>
              </w:rPr>
            </w:pPr>
            <w:r w:rsidRPr="001544D6">
              <w:rPr>
                <w:rFonts w:ascii="Calibri" w:hAnsi="Calibri" w:cs="Calibri"/>
                <w:b/>
                <w:bCs/>
                <w:color w:val="FFFFFF"/>
                <w:sz w:val="22"/>
                <w:szCs w:val="22"/>
              </w:rPr>
              <w:t>Facteur K</w:t>
            </w:r>
          </w:p>
        </w:tc>
        <w:tc>
          <w:tcPr>
            <w:tcW w:w="1866" w:type="dxa"/>
            <w:shd w:val="clear" w:color="5B9BD5" w:fill="5B9BD5"/>
            <w:vAlign w:val="center"/>
            <w:hideMark/>
          </w:tcPr>
          <w:p w:rsidR="00115EF0" w:rsidRPr="001544D6" w:rsidRDefault="00115EF0" w:rsidP="001544D6">
            <w:pPr>
              <w:jc w:val="center"/>
              <w:rPr>
                <w:rFonts w:ascii="Calibri" w:hAnsi="Calibri" w:cs="Calibri"/>
                <w:b/>
                <w:bCs/>
                <w:color w:val="FFFFFF"/>
                <w:sz w:val="22"/>
                <w:szCs w:val="22"/>
              </w:rPr>
            </w:pPr>
            <w:r w:rsidRPr="001544D6">
              <w:rPr>
                <w:rFonts w:ascii="Calibri" w:hAnsi="Calibri" w:cs="Calibri"/>
                <w:b/>
                <w:bCs/>
                <w:color w:val="FFFFFF"/>
                <w:sz w:val="22"/>
                <w:szCs w:val="22"/>
              </w:rPr>
              <w:t>Définition</w:t>
            </w:r>
          </w:p>
        </w:tc>
        <w:tc>
          <w:tcPr>
            <w:tcW w:w="4711" w:type="dxa"/>
            <w:shd w:val="clear" w:color="5B9BD5" w:fill="5B9BD5"/>
            <w:vAlign w:val="center"/>
            <w:hideMark/>
          </w:tcPr>
          <w:p w:rsidR="00115EF0" w:rsidRPr="001544D6" w:rsidRDefault="00115EF0" w:rsidP="001544D6">
            <w:pPr>
              <w:jc w:val="center"/>
              <w:rPr>
                <w:rFonts w:ascii="Calibri" w:hAnsi="Calibri" w:cs="Calibri"/>
                <w:b/>
                <w:bCs/>
                <w:color w:val="FFFFFF"/>
                <w:sz w:val="22"/>
                <w:szCs w:val="22"/>
              </w:rPr>
            </w:pPr>
            <w:r w:rsidRPr="001544D6">
              <w:rPr>
                <w:rFonts w:ascii="Calibri" w:hAnsi="Calibri" w:cs="Calibri"/>
                <w:b/>
                <w:bCs/>
                <w:color w:val="FFFFFF"/>
                <w:sz w:val="22"/>
                <w:szCs w:val="22"/>
              </w:rPr>
              <w:t>Définition IFR (art 4)</w:t>
            </w:r>
          </w:p>
        </w:tc>
        <w:tc>
          <w:tcPr>
            <w:tcW w:w="4802" w:type="dxa"/>
            <w:shd w:val="clear" w:color="5B9BD5" w:fill="5B9BD5"/>
            <w:vAlign w:val="center"/>
            <w:hideMark/>
          </w:tcPr>
          <w:p w:rsidR="00115EF0" w:rsidRPr="001544D6" w:rsidRDefault="00115EF0" w:rsidP="001544D6">
            <w:pPr>
              <w:jc w:val="center"/>
              <w:rPr>
                <w:rFonts w:ascii="Calibri" w:hAnsi="Calibri" w:cs="Calibri"/>
                <w:b/>
                <w:bCs/>
                <w:color w:val="FFFFFF"/>
                <w:sz w:val="22"/>
                <w:szCs w:val="22"/>
              </w:rPr>
            </w:pPr>
            <w:r w:rsidRPr="001544D6">
              <w:rPr>
                <w:rFonts w:ascii="Calibri" w:hAnsi="Calibri" w:cs="Calibri"/>
                <w:b/>
                <w:bCs/>
                <w:color w:val="FFFFFF"/>
                <w:sz w:val="22"/>
                <w:szCs w:val="22"/>
              </w:rPr>
              <w:t>Référence règlementaire</w:t>
            </w:r>
          </w:p>
        </w:tc>
      </w:tr>
      <w:tr w:rsidR="00115EF0" w:rsidRPr="001544D6" w:rsidTr="001544D6">
        <w:trPr>
          <w:trHeight w:val="1757"/>
          <w:jc w:val="center"/>
        </w:trPr>
        <w:tc>
          <w:tcPr>
            <w:tcW w:w="1206" w:type="dxa"/>
            <w:shd w:val="clear" w:color="DDEBF7" w:fill="FFFFFF"/>
            <w:vAlign w:val="center"/>
            <w:hideMark/>
          </w:tcPr>
          <w:p w:rsidR="00115EF0" w:rsidRPr="001544D6" w:rsidRDefault="00115EF0" w:rsidP="0029217F">
            <w:pPr>
              <w:rPr>
                <w:rFonts w:ascii="Calibri" w:hAnsi="Calibri" w:cs="Calibri"/>
                <w:b/>
                <w:bCs/>
                <w:sz w:val="22"/>
                <w:szCs w:val="22"/>
              </w:rPr>
            </w:pPr>
            <w:r w:rsidRPr="001544D6">
              <w:rPr>
                <w:rFonts w:ascii="Calibri" w:hAnsi="Calibri" w:cs="Calibri"/>
                <w:b/>
                <w:bCs/>
                <w:sz w:val="22"/>
                <w:szCs w:val="22"/>
              </w:rPr>
              <w:t>Client</w:t>
            </w:r>
          </w:p>
        </w:tc>
        <w:tc>
          <w:tcPr>
            <w:tcW w:w="1069" w:type="dxa"/>
            <w:shd w:val="clear" w:color="DDEBF7" w:fill="FFFFFF"/>
            <w:vAlign w:val="center"/>
            <w:hideMark/>
          </w:tcPr>
          <w:p w:rsidR="00115EF0" w:rsidRPr="001544D6" w:rsidRDefault="00115EF0" w:rsidP="0029217F">
            <w:pPr>
              <w:rPr>
                <w:rFonts w:ascii="Calibri" w:hAnsi="Calibri" w:cs="Calibri"/>
                <w:b/>
                <w:bCs/>
                <w:sz w:val="22"/>
                <w:szCs w:val="22"/>
              </w:rPr>
            </w:pPr>
            <w:r w:rsidRPr="001544D6">
              <w:rPr>
                <w:rFonts w:ascii="Calibri" w:hAnsi="Calibri" w:cs="Calibri"/>
                <w:b/>
                <w:bCs/>
                <w:sz w:val="22"/>
                <w:szCs w:val="22"/>
              </w:rPr>
              <w:t>AUM</w:t>
            </w:r>
          </w:p>
        </w:tc>
        <w:tc>
          <w:tcPr>
            <w:tcW w:w="1866" w:type="dxa"/>
            <w:shd w:val="clear" w:color="DDEBF7" w:fill="FFFFFF"/>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Actifs sous gestion</w:t>
            </w:r>
          </w:p>
        </w:tc>
        <w:tc>
          <w:tcPr>
            <w:tcW w:w="4711" w:type="dxa"/>
            <w:shd w:val="clear" w:color="DDEBF7" w:fill="FFFFFF"/>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Valeur des actifs qu’une entreprise d’investissement gère pour ses clients, que ce soit dans le cadre d’une</w:t>
            </w:r>
            <w:r w:rsidRPr="001544D6">
              <w:rPr>
                <w:rFonts w:ascii="Calibri" w:hAnsi="Calibri" w:cs="Calibri"/>
                <w:b/>
                <w:bCs/>
                <w:color w:val="000000"/>
                <w:sz w:val="22"/>
                <w:szCs w:val="22"/>
              </w:rPr>
              <w:t xml:space="preserve"> gestion discrétionnaire de portefeuille</w:t>
            </w:r>
            <w:r w:rsidRPr="001544D6">
              <w:rPr>
                <w:rFonts w:ascii="Calibri" w:hAnsi="Calibri" w:cs="Calibri"/>
                <w:color w:val="000000"/>
                <w:sz w:val="22"/>
                <w:szCs w:val="22"/>
              </w:rPr>
              <w:t xml:space="preserve"> ou dans le cadre de dispositifs non discrétionnaires relevant du </w:t>
            </w:r>
            <w:r w:rsidRPr="001544D6">
              <w:rPr>
                <w:rFonts w:ascii="Calibri" w:hAnsi="Calibri" w:cs="Calibri"/>
                <w:b/>
                <w:bCs/>
                <w:color w:val="000000"/>
                <w:sz w:val="22"/>
                <w:szCs w:val="22"/>
              </w:rPr>
              <w:t>conseil en investissement de nature continue</w:t>
            </w:r>
          </w:p>
        </w:tc>
        <w:tc>
          <w:tcPr>
            <w:tcW w:w="4802" w:type="dxa"/>
            <w:shd w:val="clear" w:color="DDEBF7" w:fill="FFFFFF"/>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Art 4, § 1, point 27) d'IFR (définition) ; Art 17 d'IFR (modalités de calcul)</w:t>
            </w:r>
          </w:p>
        </w:tc>
      </w:tr>
      <w:tr w:rsidR="00115EF0" w:rsidRPr="001544D6" w:rsidTr="001544D6">
        <w:trPr>
          <w:trHeight w:val="1839"/>
          <w:jc w:val="center"/>
        </w:trPr>
        <w:tc>
          <w:tcPr>
            <w:tcW w:w="1206" w:type="dxa"/>
            <w:shd w:val="clear" w:color="DDEBF7" w:fill="DDEBF7"/>
            <w:vAlign w:val="center"/>
            <w:hideMark/>
          </w:tcPr>
          <w:p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Client</w:t>
            </w:r>
          </w:p>
        </w:tc>
        <w:tc>
          <w:tcPr>
            <w:tcW w:w="1069" w:type="dxa"/>
            <w:shd w:val="clear" w:color="DDEBF7" w:fill="DDEBF7"/>
            <w:vAlign w:val="center"/>
            <w:hideMark/>
          </w:tcPr>
          <w:p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CMH</w:t>
            </w:r>
          </w:p>
        </w:tc>
        <w:tc>
          <w:tcPr>
            <w:tcW w:w="1866" w:type="dxa"/>
            <w:shd w:val="clear" w:color="DDEBF7" w:fill="DDEBF7"/>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Fonds de clients détenus</w:t>
            </w:r>
            <w:r w:rsidRPr="001544D6">
              <w:rPr>
                <w:sz w:val="22"/>
                <w:szCs w:val="22"/>
              </w:rPr>
              <w:t xml:space="preserve"> (comptes ségrégués ou non)</w:t>
            </w:r>
          </w:p>
        </w:tc>
        <w:tc>
          <w:tcPr>
            <w:tcW w:w="4711" w:type="dxa"/>
            <w:shd w:val="clear" w:color="DDEBF7" w:fill="DDEBF7"/>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 xml:space="preserve">Montant des </w:t>
            </w:r>
            <w:r w:rsidRPr="001544D6">
              <w:rPr>
                <w:rFonts w:ascii="Calibri" w:hAnsi="Calibri" w:cs="Calibri"/>
                <w:b/>
                <w:bCs/>
                <w:color w:val="000000"/>
                <w:sz w:val="22"/>
                <w:szCs w:val="22"/>
              </w:rPr>
              <w:t>fonds de clients</w:t>
            </w:r>
            <w:r w:rsidRPr="001544D6">
              <w:rPr>
                <w:rFonts w:ascii="Calibri" w:hAnsi="Calibri" w:cs="Calibri"/>
                <w:color w:val="000000"/>
                <w:sz w:val="22"/>
                <w:szCs w:val="22"/>
              </w:rPr>
              <w:t xml:space="preserve"> qu’une entreprise d’investissement détient, compte tenu des dispositifs juridiques en ce qui concerne la ségrégation des actifs et quel que soit le régime comptable national applicable aux fonds de clients détenus par l’entreprise d’investissement</w:t>
            </w:r>
          </w:p>
        </w:tc>
        <w:tc>
          <w:tcPr>
            <w:tcW w:w="4802" w:type="dxa"/>
            <w:shd w:val="clear" w:color="DDEBF7" w:fill="DDEBF7"/>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Art 4, § 1, points 28) et 49) d'IFR (définition), Art 18 d'IFR (modalités de calcul) ;  Art 1 du RTS IFR sur la définition des comptes ségrégués</w:t>
            </w:r>
          </w:p>
        </w:tc>
      </w:tr>
      <w:tr w:rsidR="00115EF0" w:rsidRPr="001544D6" w:rsidTr="0029217F">
        <w:trPr>
          <w:trHeight w:val="1758"/>
          <w:jc w:val="center"/>
        </w:trPr>
        <w:tc>
          <w:tcPr>
            <w:tcW w:w="1206" w:type="dxa"/>
            <w:shd w:val="clear" w:color="auto" w:fill="auto"/>
            <w:vAlign w:val="center"/>
            <w:hideMark/>
          </w:tcPr>
          <w:p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Client</w:t>
            </w:r>
          </w:p>
        </w:tc>
        <w:tc>
          <w:tcPr>
            <w:tcW w:w="1069" w:type="dxa"/>
            <w:shd w:val="clear" w:color="auto" w:fill="auto"/>
            <w:vAlign w:val="center"/>
            <w:hideMark/>
          </w:tcPr>
          <w:p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ASA</w:t>
            </w:r>
          </w:p>
        </w:tc>
        <w:tc>
          <w:tcPr>
            <w:tcW w:w="1866" w:type="dxa"/>
            <w:shd w:val="clear" w:color="auto" w:fill="auto"/>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Actifs administrés et conservés</w:t>
            </w:r>
          </w:p>
        </w:tc>
        <w:tc>
          <w:tcPr>
            <w:tcW w:w="4711" w:type="dxa"/>
            <w:shd w:val="clear" w:color="auto" w:fill="auto"/>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 xml:space="preserve">Valeur des actifs qu’une entreprise d’investissement </w:t>
            </w:r>
            <w:r w:rsidRPr="001544D6">
              <w:rPr>
                <w:rFonts w:ascii="Calibri" w:hAnsi="Calibri" w:cs="Calibri"/>
                <w:b/>
                <w:bCs/>
                <w:color w:val="000000"/>
                <w:sz w:val="22"/>
                <w:szCs w:val="22"/>
              </w:rPr>
              <w:t>conserve et administre pour des clients</w:t>
            </w:r>
            <w:r w:rsidRPr="001544D6">
              <w:rPr>
                <w:rFonts w:ascii="Calibri" w:hAnsi="Calibri" w:cs="Calibri"/>
                <w:color w:val="000000"/>
                <w:sz w:val="22"/>
                <w:szCs w:val="22"/>
              </w:rPr>
              <w:t>, indépendamment de la question de savoir si les actifs figurent au bilan de l’entreprise d’investissement elle-même ou sont dans des comptes de tiers</w:t>
            </w:r>
          </w:p>
        </w:tc>
        <w:tc>
          <w:tcPr>
            <w:tcW w:w="4802" w:type="dxa"/>
            <w:shd w:val="clear" w:color="auto" w:fill="auto"/>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Art 4, § 1, point 29) d'IFR(définition) ; Art 19 d'IFR (modalités de calcul)</w:t>
            </w:r>
          </w:p>
        </w:tc>
      </w:tr>
      <w:tr w:rsidR="00115EF0" w:rsidRPr="001544D6" w:rsidTr="0029217F">
        <w:trPr>
          <w:trHeight w:val="1406"/>
          <w:jc w:val="center"/>
        </w:trPr>
        <w:tc>
          <w:tcPr>
            <w:tcW w:w="1206" w:type="dxa"/>
            <w:shd w:val="clear" w:color="DDEBF7" w:fill="DDEBF7"/>
            <w:vAlign w:val="center"/>
            <w:hideMark/>
          </w:tcPr>
          <w:p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Client</w:t>
            </w:r>
          </w:p>
        </w:tc>
        <w:tc>
          <w:tcPr>
            <w:tcW w:w="1069" w:type="dxa"/>
            <w:shd w:val="clear" w:color="DDEBF7" w:fill="DDEBF7"/>
            <w:vAlign w:val="center"/>
            <w:hideMark/>
          </w:tcPr>
          <w:p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COH</w:t>
            </w:r>
          </w:p>
        </w:tc>
        <w:tc>
          <w:tcPr>
            <w:tcW w:w="1866" w:type="dxa"/>
            <w:shd w:val="clear" w:color="DDEBF7" w:fill="DDEBF7"/>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Ordres des clients traités (opérations cash et produits dérivés)</w:t>
            </w:r>
          </w:p>
        </w:tc>
        <w:tc>
          <w:tcPr>
            <w:tcW w:w="4711" w:type="dxa"/>
            <w:shd w:val="clear" w:color="DDEBF7" w:fill="DDEBF7"/>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 xml:space="preserve">Valeur des ordres qu’une entreprise d’investissement traite pour des clients en </w:t>
            </w:r>
            <w:r w:rsidRPr="001544D6">
              <w:rPr>
                <w:rFonts w:ascii="Calibri" w:hAnsi="Calibri" w:cs="Calibri"/>
                <w:b/>
                <w:bCs/>
                <w:color w:val="000000"/>
                <w:sz w:val="22"/>
                <w:szCs w:val="22"/>
              </w:rPr>
              <w:t>réceptionnant et transmettant les ordres</w:t>
            </w:r>
            <w:r w:rsidRPr="001544D6">
              <w:rPr>
                <w:rFonts w:ascii="Calibri" w:hAnsi="Calibri" w:cs="Calibri"/>
                <w:color w:val="000000"/>
                <w:sz w:val="22"/>
                <w:szCs w:val="22"/>
              </w:rPr>
              <w:t xml:space="preserve"> de clients et en e</w:t>
            </w:r>
            <w:r w:rsidRPr="001544D6">
              <w:rPr>
                <w:rFonts w:ascii="Calibri" w:hAnsi="Calibri" w:cs="Calibri"/>
                <w:b/>
                <w:bCs/>
                <w:color w:val="000000"/>
                <w:sz w:val="22"/>
                <w:szCs w:val="22"/>
              </w:rPr>
              <w:t>xécutant des ordres</w:t>
            </w:r>
            <w:r w:rsidRPr="001544D6">
              <w:rPr>
                <w:rFonts w:ascii="Calibri" w:hAnsi="Calibri" w:cs="Calibri"/>
                <w:color w:val="000000"/>
                <w:sz w:val="22"/>
                <w:szCs w:val="22"/>
              </w:rPr>
              <w:t xml:space="preserve"> pour le compte de clients</w:t>
            </w:r>
          </w:p>
        </w:tc>
        <w:tc>
          <w:tcPr>
            <w:tcW w:w="4802" w:type="dxa"/>
            <w:shd w:val="clear" w:color="DDEBF7" w:fill="DDEBF7"/>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Art 4, § 1, point 30) d'IFR (définition) ; Art 20 d'IFR (modalités de calcul) ; Service d'EO défini à l'art 4 § 1, point 5) de MiFID II</w:t>
            </w:r>
          </w:p>
        </w:tc>
      </w:tr>
      <w:tr w:rsidR="00115EF0" w:rsidRPr="001544D6" w:rsidTr="001544D6">
        <w:trPr>
          <w:trHeight w:val="1278"/>
          <w:jc w:val="center"/>
        </w:trPr>
        <w:tc>
          <w:tcPr>
            <w:tcW w:w="1206" w:type="dxa"/>
            <w:shd w:val="clear" w:color="auto" w:fill="auto"/>
            <w:vAlign w:val="center"/>
            <w:hideMark/>
          </w:tcPr>
          <w:p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lastRenderedPageBreak/>
              <w:t>Firm</w:t>
            </w:r>
          </w:p>
        </w:tc>
        <w:tc>
          <w:tcPr>
            <w:tcW w:w="1069" w:type="dxa"/>
            <w:shd w:val="clear" w:color="auto" w:fill="auto"/>
            <w:vAlign w:val="center"/>
            <w:hideMark/>
          </w:tcPr>
          <w:p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TCD</w:t>
            </w:r>
          </w:p>
        </w:tc>
        <w:tc>
          <w:tcPr>
            <w:tcW w:w="1866" w:type="dxa"/>
            <w:shd w:val="clear" w:color="auto" w:fill="auto"/>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Risque de défaut d'une contrepartie</w:t>
            </w:r>
          </w:p>
        </w:tc>
        <w:tc>
          <w:tcPr>
            <w:tcW w:w="4711" w:type="dxa"/>
            <w:shd w:val="clear" w:color="auto" w:fill="auto"/>
            <w:vAlign w:val="center"/>
            <w:hideMark/>
          </w:tcPr>
          <w:p w:rsidR="00115EF0" w:rsidRPr="001544D6" w:rsidRDefault="00115EF0" w:rsidP="0029217F">
            <w:pPr>
              <w:rPr>
                <w:rFonts w:ascii="Calibri" w:hAnsi="Calibri" w:cs="Calibri"/>
                <w:sz w:val="22"/>
                <w:szCs w:val="22"/>
              </w:rPr>
            </w:pPr>
            <w:r w:rsidRPr="001544D6">
              <w:rPr>
                <w:rFonts w:ascii="Calibri" w:hAnsi="Calibri" w:cs="Calibri"/>
                <w:sz w:val="22"/>
                <w:szCs w:val="22"/>
              </w:rPr>
              <w:t xml:space="preserve">Expositions, dans le </w:t>
            </w:r>
            <w:r w:rsidRPr="001544D6">
              <w:rPr>
                <w:rFonts w:ascii="Calibri" w:hAnsi="Calibri" w:cs="Calibri"/>
                <w:b/>
                <w:bCs/>
                <w:sz w:val="22"/>
                <w:szCs w:val="22"/>
              </w:rPr>
              <w:t>portefeuille de négociation</w:t>
            </w:r>
            <w:r w:rsidRPr="001544D6">
              <w:rPr>
                <w:rFonts w:ascii="Calibri" w:hAnsi="Calibri" w:cs="Calibri"/>
                <w:sz w:val="22"/>
                <w:szCs w:val="22"/>
              </w:rPr>
              <w:t xml:space="preserve"> d’une entreprise d’investissement, à des </w:t>
            </w:r>
            <w:r w:rsidRPr="001544D6">
              <w:rPr>
                <w:rFonts w:ascii="Calibri" w:hAnsi="Calibri" w:cs="Calibri"/>
                <w:b/>
                <w:bCs/>
                <w:sz w:val="22"/>
                <w:szCs w:val="22"/>
              </w:rPr>
              <w:t xml:space="preserve">instruments et opérations </w:t>
            </w:r>
            <w:r w:rsidRPr="001544D6">
              <w:rPr>
                <w:rFonts w:ascii="Calibri" w:hAnsi="Calibri" w:cs="Calibri"/>
                <w:sz w:val="22"/>
                <w:szCs w:val="22"/>
              </w:rPr>
              <w:t xml:space="preserve">visés à </w:t>
            </w:r>
            <w:r w:rsidRPr="001544D6">
              <w:rPr>
                <w:rFonts w:ascii="Calibri" w:hAnsi="Calibri" w:cs="Calibri"/>
                <w:b/>
                <w:bCs/>
                <w:sz w:val="22"/>
                <w:szCs w:val="22"/>
              </w:rPr>
              <w:t xml:space="preserve">l’article 25 d'IFR </w:t>
            </w:r>
            <w:r w:rsidRPr="001544D6">
              <w:rPr>
                <w:rFonts w:ascii="Calibri" w:hAnsi="Calibri" w:cs="Calibri"/>
                <w:sz w:val="22"/>
                <w:szCs w:val="22"/>
              </w:rPr>
              <w:t>qui génèrent un risque de défaut de la contrepartie</w:t>
            </w:r>
          </w:p>
        </w:tc>
        <w:tc>
          <w:tcPr>
            <w:tcW w:w="4802" w:type="dxa"/>
            <w:shd w:val="clear" w:color="auto" w:fill="auto"/>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Art 4 §1 point 35) d'IFR (définition) ; Art 25 (opérations et contrats concernés) ; Art 26 à 32 (modalités de calcul et modèles applicables)</w:t>
            </w:r>
          </w:p>
        </w:tc>
      </w:tr>
      <w:tr w:rsidR="00115EF0" w:rsidRPr="001544D6" w:rsidTr="0029217F">
        <w:trPr>
          <w:trHeight w:val="2532"/>
          <w:jc w:val="center"/>
        </w:trPr>
        <w:tc>
          <w:tcPr>
            <w:tcW w:w="1206" w:type="dxa"/>
            <w:shd w:val="clear" w:color="DDEBF7" w:fill="DDEBF7"/>
            <w:vAlign w:val="center"/>
            <w:hideMark/>
          </w:tcPr>
          <w:p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Firm</w:t>
            </w:r>
          </w:p>
        </w:tc>
        <w:tc>
          <w:tcPr>
            <w:tcW w:w="1069" w:type="dxa"/>
            <w:shd w:val="clear" w:color="DDEBF7" w:fill="DDEBF7"/>
            <w:vAlign w:val="center"/>
            <w:hideMark/>
          </w:tcPr>
          <w:p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DTF</w:t>
            </w:r>
          </w:p>
        </w:tc>
        <w:tc>
          <w:tcPr>
            <w:tcW w:w="1866" w:type="dxa"/>
            <w:shd w:val="clear" w:color="DDEBF7" w:fill="DDEBF7"/>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Risque opérationnel</w:t>
            </w:r>
            <w:r w:rsidRPr="001544D6">
              <w:rPr>
                <w:rStyle w:val="Appelnotedebasdep"/>
                <w:rFonts w:ascii="Calibri" w:hAnsi="Calibri" w:cs="Calibri"/>
                <w:color w:val="000000"/>
                <w:sz w:val="22"/>
                <w:szCs w:val="22"/>
              </w:rPr>
              <w:footnoteReference w:id="19"/>
            </w:r>
          </w:p>
        </w:tc>
        <w:tc>
          <w:tcPr>
            <w:tcW w:w="4711" w:type="dxa"/>
            <w:shd w:val="clear" w:color="DDEBF7" w:fill="DDEBF7"/>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 xml:space="preserve">Valeur quotidienne des opérations qu’une entreprise d’investissement effectue en </w:t>
            </w:r>
            <w:r w:rsidRPr="001544D6">
              <w:rPr>
                <w:rFonts w:ascii="Calibri" w:hAnsi="Calibri" w:cs="Calibri"/>
                <w:b/>
                <w:bCs/>
                <w:color w:val="000000"/>
                <w:sz w:val="22"/>
                <w:szCs w:val="22"/>
              </w:rPr>
              <w:t>négociant pour compte propre</w:t>
            </w:r>
            <w:r w:rsidRPr="001544D6">
              <w:rPr>
                <w:rFonts w:ascii="Calibri" w:hAnsi="Calibri" w:cs="Calibri"/>
                <w:color w:val="000000"/>
                <w:sz w:val="22"/>
                <w:szCs w:val="22"/>
              </w:rPr>
              <w:t xml:space="preserve"> ou en </w:t>
            </w:r>
            <w:r w:rsidRPr="001544D6">
              <w:rPr>
                <w:rFonts w:ascii="Calibri" w:hAnsi="Calibri" w:cs="Calibri"/>
                <w:b/>
                <w:bCs/>
                <w:color w:val="000000"/>
                <w:sz w:val="22"/>
                <w:szCs w:val="22"/>
              </w:rPr>
              <w:t>exécutant des ordres pour le compte de clients en son propre nom</w:t>
            </w:r>
            <w:r w:rsidRPr="001544D6">
              <w:rPr>
                <w:rFonts w:ascii="Calibri" w:hAnsi="Calibri" w:cs="Calibri"/>
                <w:color w:val="000000"/>
                <w:sz w:val="22"/>
                <w:szCs w:val="22"/>
              </w:rPr>
              <w:t>, à l’exclusion de la valeur des ordres qu’une entreprise d’investissement traite pour des clients en réceptionnant et transmettant leurs ordres et en exécutant des ordres pour leur compte, qui sont déjà pris en compte dans le cadre des ordres de clients traités</w:t>
            </w:r>
          </w:p>
        </w:tc>
        <w:tc>
          <w:tcPr>
            <w:tcW w:w="4802" w:type="dxa"/>
            <w:shd w:val="clear" w:color="DDEBF7" w:fill="DDEBF7"/>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Art 4 §1 point 33) d'IFR (définition) ; Art 33 d'IFR (modalités de calcul)</w:t>
            </w:r>
          </w:p>
        </w:tc>
      </w:tr>
      <w:tr w:rsidR="00115EF0" w:rsidRPr="001544D6" w:rsidTr="0029217F">
        <w:trPr>
          <w:trHeight w:val="2250"/>
          <w:jc w:val="center"/>
        </w:trPr>
        <w:tc>
          <w:tcPr>
            <w:tcW w:w="1206" w:type="dxa"/>
            <w:shd w:val="clear" w:color="auto" w:fill="auto"/>
            <w:vAlign w:val="center"/>
            <w:hideMark/>
          </w:tcPr>
          <w:p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Firm</w:t>
            </w:r>
          </w:p>
        </w:tc>
        <w:tc>
          <w:tcPr>
            <w:tcW w:w="1069" w:type="dxa"/>
            <w:shd w:val="clear" w:color="auto" w:fill="auto"/>
            <w:vAlign w:val="center"/>
            <w:hideMark/>
          </w:tcPr>
          <w:p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CON</w:t>
            </w:r>
          </w:p>
        </w:tc>
        <w:tc>
          <w:tcPr>
            <w:tcW w:w="1866" w:type="dxa"/>
            <w:shd w:val="clear" w:color="auto" w:fill="auto"/>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Risque de concentration (dépassement des grands risques)</w:t>
            </w:r>
          </w:p>
        </w:tc>
        <w:tc>
          <w:tcPr>
            <w:tcW w:w="4711" w:type="dxa"/>
            <w:shd w:val="clear" w:color="auto" w:fill="auto"/>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 xml:space="preserve">Expositions, dans le </w:t>
            </w:r>
            <w:r w:rsidRPr="001544D6">
              <w:rPr>
                <w:rFonts w:ascii="Calibri" w:hAnsi="Calibri" w:cs="Calibri"/>
                <w:b/>
                <w:bCs/>
                <w:color w:val="000000"/>
                <w:sz w:val="22"/>
                <w:szCs w:val="22"/>
              </w:rPr>
              <w:t xml:space="preserve">portefeuille de négociation </w:t>
            </w:r>
            <w:r w:rsidRPr="001544D6">
              <w:rPr>
                <w:rFonts w:ascii="Calibri" w:hAnsi="Calibri" w:cs="Calibri"/>
                <w:color w:val="000000"/>
                <w:sz w:val="22"/>
                <w:szCs w:val="22"/>
              </w:rPr>
              <w:t>d’une entreprise d’investissement, à un client ou à un groupe de clients liés dont la valeur dépasse les limites prévues à l’article 37, paragraphe 1 et qui concerne les instruments listés à l'art 25;</w:t>
            </w:r>
          </w:p>
        </w:tc>
        <w:tc>
          <w:tcPr>
            <w:tcW w:w="4802" w:type="dxa"/>
            <w:shd w:val="clear" w:color="auto" w:fill="auto"/>
            <w:vAlign w:val="center"/>
            <w:hideMark/>
          </w:tcPr>
          <w:p w:rsidR="00115EF0" w:rsidRPr="001544D6" w:rsidRDefault="00115EF0" w:rsidP="0029217F">
            <w:pPr>
              <w:rPr>
                <w:rFonts w:ascii="Calibri" w:hAnsi="Calibri" w:cs="Calibri"/>
                <w:sz w:val="22"/>
                <w:szCs w:val="22"/>
              </w:rPr>
            </w:pPr>
            <w:r w:rsidRPr="001544D6">
              <w:rPr>
                <w:rFonts w:ascii="Calibri" w:hAnsi="Calibri" w:cs="Calibri"/>
                <w:sz w:val="22"/>
                <w:szCs w:val="22"/>
              </w:rPr>
              <w:t>Art 4 §1 point 31) d'IFR (définition) ;</w:t>
            </w:r>
            <w:r w:rsidRPr="001544D6">
              <w:rPr>
                <w:rFonts w:ascii="Calibri" w:hAnsi="Calibri" w:cs="Calibri"/>
                <w:sz w:val="22"/>
                <w:szCs w:val="22"/>
                <w:u w:val="single"/>
              </w:rPr>
              <w:t xml:space="preserve"> Art 37 d'IFR (seuils)</w:t>
            </w:r>
            <w:r w:rsidRPr="001544D6">
              <w:rPr>
                <w:rFonts w:ascii="Calibri" w:hAnsi="Calibri" w:cs="Calibri"/>
                <w:sz w:val="22"/>
                <w:szCs w:val="22"/>
              </w:rPr>
              <w:t xml:space="preserve"> ; Art 36 et 37 d'IFR (modalités de calcul); Art 38 d'IFR (obligation de notification en cas de dépassement des seuils) ; Art 39 d'IFR (nouvelles exigences de FP en cas de dépassement des seuils) ;</w:t>
            </w:r>
            <w:r w:rsidRPr="001544D6">
              <w:rPr>
                <w:rFonts w:ascii="Calibri" w:hAnsi="Calibri" w:cs="Calibri"/>
                <w:sz w:val="22"/>
                <w:szCs w:val="22"/>
                <w:u w:val="single"/>
              </w:rPr>
              <w:t xml:space="preserve"> i</w:t>
            </w:r>
            <w:r w:rsidRPr="001544D6">
              <w:rPr>
                <w:rFonts w:ascii="Calibri" w:hAnsi="Calibri" w:cs="Calibri"/>
                <w:b/>
                <w:bCs/>
                <w:sz w:val="22"/>
                <w:szCs w:val="22"/>
                <w:u w:val="single"/>
              </w:rPr>
              <w:t xml:space="preserve">nstruments listés à l'Art 25 </w:t>
            </w:r>
            <w:r w:rsidRPr="001544D6">
              <w:rPr>
                <w:rFonts w:ascii="Calibri" w:hAnsi="Calibri" w:cs="Calibri"/>
                <w:sz w:val="22"/>
                <w:szCs w:val="22"/>
                <w:u w:val="single"/>
              </w:rPr>
              <w:t>(opérations et contrats concernés, voir K-TCD)</w:t>
            </w:r>
            <w:r w:rsidRPr="001544D6">
              <w:rPr>
                <w:rFonts w:ascii="Calibri" w:hAnsi="Calibri" w:cs="Calibri"/>
                <w:sz w:val="22"/>
                <w:szCs w:val="22"/>
              </w:rPr>
              <w:t xml:space="preserve"> et tous les </w:t>
            </w:r>
            <w:r w:rsidRPr="001544D6">
              <w:rPr>
                <w:rFonts w:ascii="Calibri" w:hAnsi="Calibri" w:cs="Calibri"/>
                <w:b/>
                <w:bCs/>
                <w:sz w:val="22"/>
                <w:szCs w:val="22"/>
              </w:rPr>
              <w:t>instruments du portefeuille de négociation</w:t>
            </w:r>
            <w:r w:rsidRPr="001544D6">
              <w:rPr>
                <w:rFonts w:ascii="Calibri" w:hAnsi="Calibri" w:cs="Calibri"/>
                <w:sz w:val="22"/>
                <w:szCs w:val="22"/>
              </w:rPr>
              <w:t xml:space="preserve"> ; Art 22 (calcul de la position nette pour chaque instrument)</w:t>
            </w:r>
          </w:p>
        </w:tc>
      </w:tr>
      <w:tr w:rsidR="00115EF0" w:rsidRPr="001544D6" w:rsidTr="001544D6">
        <w:trPr>
          <w:trHeight w:val="2271"/>
          <w:jc w:val="center"/>
        </w:trPr>
        <w:tc>
          <w:tcPr>
            <w:tcW w:w="1206" w:type="dxa"/>
            <w:shd w:val="clear" w:color="auto" w:fill="auto"/>
            <w:vAlign w:val="center"/>
            <w:hideMark/>
          </w:tcPr>
          <w:p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Market</w:t>
            </w:r>
          </w:p>
        </w:tc>
        <w:tc>
          <w:tcPr>
            <w:tcW w:w="1069" w:type="dxa"/>
            <w:shd w:val="clear" w:color="auto" w:fill="auto"/>
            <w:vAlign w:val="center"/>
            <w:hideMark/>
          </w:tcPr>
          <w:p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NPR</w:t>
            </w:r>
          </w:p>
        </w:tc>
        <w:tc>
          <w:tcPr>
            <w:tcW w:w="1866" w:type="dxa"/>
            <w:shd w:val="clear" w:color="auto" w:fill="auto"/>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Risque de position nette (Marges nettes)</w:t>
            </w:r>
          </w:p>
        </w:tc>
        <w:tc>
          <w:tcPr>
            <w:tcW w:w="4711" w:type="dxa"/>
            <w:shd w:val="clear" w:color="auto" w:fill="auto"/>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 xml:space="preserve">Valeur des opérations enregistrées dans le </w:t>
            </w:r>
            <w:r w:rsidRPr="001544D6">
              <w:rPr>
                <w:rFonts w:ascii="Calibri" w:hAnsi="Calibri" w:cs="Calibri"/>
                <w:b/>
                <w:bCs/>
                <w:color w:val="000000"/>
                <w:sz w:val="22"/>
                <w:szCs w:val="22"/>
              </w:rPr>
              <w:t>portefeuille de négociation</w:t>
            </w:r>
            <w:r w:rsidRPr="001544D6">
              <w:rPr>
                <w:rFonts w:ascii="Calibri" w:hAnsi="Calibri" w:cs="Calibri"/>
                <w:color w:val="000000"/>
                <w:sz w:val="22"/>
                <w:szCs w:val="22"/>
              </w:rPr>
              <w:t xml:space="preserve"> d’une entreprise d’investissement</w:t>
            </w:r>
          </w:p>
        </w:tc>
        <w:tc>
          <w:tcPr>
            <w:tcW w:w="4802" w:type="dxa"/>
            <w:shd w:val="clear" w:color="auto" w:fill="auto"/>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 xml:space="preserve">Art 4 §1 point 34) d'IFR (définition) ; Art 22, point a) d'IFR (modalités de calcul) ; 3 approches : </w:t>
            </w:r>
            <w:r w:rsidRPr="001544D6">
              <w:rPr>
                <w:rFonts w:ascii="Calibri" w:hAnsi="Calibri" w:cs="Calibri"/>
                <w:color w:val="000000"/>
                <w:sz w:val="22"/>
                <w:szCs w:val="22"/>
                <w:u w:val="single"/>
              </w:rPr>
              <w:t>standard</w:t>
            </w:r>
            <w:r w:rsidRPr="001544D6">
              <w:rPr>
                <w:rFonts w:ascii="Calibri" w:hAnsi="Calibri" w:cs="Calibri"/>
                <w:color w:val="000000"/>
                <w:sz w:val="22"/>
                <w:szCs w:val="22"/>
              </w:rPr>
              <w:t xml:space="preserve"> TSA (3ème partie, titre IV, chap 2, 3 et 4 de CRR), </w:t>
            </w:r>
            <w:r w:rsidRPr="001544D6">
              <w:rPr>
                <w:rFonts w:ascii="Calibri" w:hAnsi="Calibri" w:cs="Calibri"/>
                <w:color w:val="000000"/>
                <w:sz w:val="22"/>
                <w:szCs w:val="22"/>
                <w:u w:val="single"/>
              </w:rPr>
              <w:t>standard alternative</w:t>
            </w:r>
            <w:r w:rsidRPr="001544D6">
              <w:rPr>
                <w:rFonts w:ascii="Calibri" w:hAnsi="Calibri" w:cs="Calibri"/>
                <w:color w:val="000000"/>
                <w:sz w:val="22"/>
                <w:szCs w:val="22"/>
              </w:rPr>
              <w:t xml:space="preserve"> ASA (3ème partie, titre IV, chap 1 bis de CRR) et méthodes alternatives fondées sur des </w:t>
            </w:r>
            <w:r w:rsidRPr="001544D6">
              <w:rPr>
                <w:rFonts w:ascii="Calibri" w:hAnsi="Calibri" w:cs="Calibri"/>
                <w:color w:val="000000"/>
                <w:sz w:val="22"/>
                <w:szCs w:val="22"/>
                <w:u w:val="single"/>
              </w:rPr>
              <w:t>modèles internes</w:t>
            </w:r>
            <w:r w:rsidRPr="001544D6">
              <w:rPr>
                <w:rFonts w:ascii="Calibri" w:hAnsi="Calibri" w:cs="Calibri"/>
                <w:color w:val="000000"/>
                <w:sz w:val="22"/>
                <w:szCs w:val="22"/>
              </w:rPr>
              <w:t xml:space="preserve"> AMA (3ème partie, titre IV, chap 1 ter de CRR)</w:t>
            </w:r>
          </w:p>
        </w:tc>
      </w:tr>
      <w:tr w:rsidR="00115EF0" w:rsidRPr="001544D6" w:rsidTr="001544D6">
        <w:trPr>
          <w:trHeight w:val="2428"/>
          <w:jc w:val="center"/>
        </w:trPr>
        <w:tc>
          <w:tcPr>
            <w:tcW w:w="1206" w:type="dxa"/>
            <w:shd w:val="clear" w:color="DDEBF7" w:fill="DDEBF7"/>
            <w:vAlign w:val="center"/>
            <w:hideMark/>
          </w:tcPr>
          <w:p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lastRenderedPageBreak/>
              <w:t>Market</w:t>
            </w:r>
          </w:p>
        </w:tc>
        <w:tc>
          <w:tcPr>
            <w:tcW w:w="1069" w:type="dxa"/>
            <w:shd w:val="clear" w:color="DDEBF7" w:fill="DDEBF7"/>
            <w:vAlign w:val="center"/>
            <w:hideMark/>
          </w:tcPr>
          <w:p w:rsidR="00115EF0" w:rsidRPr="001544D6" w:rsidRDefault="00115EF0" w:rsidP="0029217F">
            <w:pPr>
              <w:rPr>
                <w:rFonts w:ascii="Calibri" w:hAnsi="Calibri" w:cs="Calibri"/>
                <w:b/>
                <w:bCs/>
                <w:color w:val="000000"/>
                <w:sz w:val="22"/>
                <w:szCs w:val="22"/>
              </w:rPr>
            </w:pPr>
            <w:r w:rsidRPr="001544D6">
              <w:rPr>
                <w:rFonts w:ascii="Calibri" w:hAnsi="Calibri" w:cs="Calibri"/>
                <w:b/>
                <w:bCs/>
                <w:color w:val="000000"/>
                <w:sz w:val="22"/>
                <w:szCs w:val="22"/>
              </w:rPr>
              <w:t>CMG</w:t>
            </w:r>
          </w:p>
        </w:tc>
        <w:tc>
          <w:tcPr>
            <w:tcW w:w="1866" w:type="dxa"/>
            <w:shd w:val="clear" w:color="DDEBF7" w:fill="DDEBF7"/>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Marge totale requise par un membre compensateur ou une contrepartie centrale éligible</w:t>
            </w:r>
          </w:p>
        </w:tc>
        <w:tc>
          <w:tcPr>
            <w:tcW w:w="4711" w:type="dxa"/>
            <w:shd w:val="clear" w:color="DDEBF7" w:fill="DDEBF7"/>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 xml:space="preserve">Montant de la </w:t>
            </w:r>
            <w:r w:rsidRPr="001544D6">
              <w:rPr>
                <w:rFonts w:ascii="Calibri" w:hAnsi="Calibri" w:cs="Calibri"/>
                <w:b/>
                <w:bCs/>
                <w:color w:val="000000"/>
                <w:sz w:val="22"/>
                <w:szCs w:val="22"/>
              </w:rPr>
              <w:t>marge totale</w:t>
            </w:r>
            <w:r w:rsidRPr="001544D6">
              <w:rPr>
                <w:rFonts w:ascii="Calibri" w:hAnsi="Calibri" w:cs="Calibri"/>
                <w:color w:val="000000"/>
                <w:sz w:val="22"/>
                <w:szCs w:val="22"/>
              </w:rPr>
              <w:t xml:space="preserve"> requise par un membre compensateur ou une contrepartie centrale éligible, lorsque l’exécution et le règlement des opérations d’une entreprise d’investissement qui </w:t>
            </w:r>
            <w:r w:rsidRPr="001544D6">
              <w:rPr>
                <w:rFonts w:ascii="Calibri" w:hAnsi="Calibri" w:cs="Calibri"/>
                <w:b/>
                <w:bCs/>
                <w:color w:val="000000"/>
                <w:sz w:val="22"/>
                <w:szCs w:val="22"/>
              </w:rPr>
              <w:t>négocie pour compte propre</w:t>
            </w:r>
            <w:r w:rsidRPr="001544D6">
              <w:rPr>
                <w:rFonts w:ascii="Calibri" w:hAnsi="Calibri" w:cs="Calibri"/>
                <w:color w:val="000000"/>
                <w:sz w:val="22"/>
                <w:szCs w:val="22"/>
              </w:rPr>
              <w:t xml:space="preserve"> ont lieu sous la responsabilité d’un </w:t>
            </w:r>
            <w:r w:rsidRPr="001544D6">
              <w:rPr>
                <w:rFonts w:ascii="Calibri" w:hAnsi="Calibri" w:cs="Calibri"/>
                <w:b/>
                <w:bCs/>
                <w:color w:val="000000"/>
                <w:sz w:val="22"/>
                <w:szCs w:val="22"/>
              </w:rPr>
              <w:t xml:space="preserve">membre compensateur </w:t>
            </w:r>
            <w:r w:rsidRPr="001544D6">
              <w:rPr>
                <w:rFonts w:ascii="Calibri" w:hAnsi="Calibri" w:cs="Calibri"/>
                <w:color w:val="000000"/>
                <w:sz w:val="22"/>
                <w:szCs w:val="22"/>
              </w:rPr>
              <w:t>ou d’</w:t>
            </w:r>
            <w:r w:rsidRPr="001544D6">
              <w:rPr>
                <w:rFonts w:ascii="Calibri" w:hAnsi="Calibri" w:cs="Calibri"/>
                <w:b/>
                <w:bCs/>
                <w:color w:val="000000"/>
                <w:sz w:val="22"/>
                <w:szCs w:val="22"/>
              </w:rPr>
              <w:t>une contrepartie centrale éligible</w:t>
            </w:r>
          </w:p>
        </w:tc>
        <w:tc>
          <w:tcPr>
            <w:tcW w:w="4802" w:type="dxa"/>
            <w:shd w:val="clear" w:color="DDEBF7" w:fill="DDEBF7"/>
            <w:vAlign w:val="center"/>
            <w:hideMark/>
          </w:tcPr>
          <w:p w:rsidR="00115EF0" w:rsidRPr="001544D6" w:rsidRDefault="00115EF0" w:rsidP="0029217F">
            <w:pPr>
              <w:rPr>
                <w:rFonts w:ascii="Calibri" w:hAnsi="Calibri" w:cs="Calibri"/>
                <w:color w:val="000000"/>
                <w:sz w:val="22"/>
                <w:szCs w:val="22"/>
              </w:rPr>
            </w:pPr>
            <w:r w:rsidRPr="001544D6">
              <w:rPr>
                <w:rFonts w:ascii="Calibri" w:hAnsi="Calibri" w:cs="Calibri"/>
                <w:color w:val="000000"/>
                <w:sz w:val="22"/>
                <w:szCs w:val="22"/>
              </w:rPr>
              <w:t>Art 4 §1 point 31) d'IFR (définition) ; Art 23 d'IFR (modalités de calcul)</w:t>
            </w:r>
          </w:p>
        </w:tc>
      </w:tr>
    </w:tbl>
    <w:p w:rsidR="00115EF0" w:rsidRPr="001544D6" w:rsidRDefault="00115EF0" w:rsidP="00115EF0">
      <w:pPr>
        <w:rPr>
          <w:rFonts w:ascii="Arial" w:hAnsi="Arial" w:cs="Arial"/>
          <w:sz w:val="22"/>
          <w:szCs w:val="22"/>
        </w:rPr>
      </w:pPr>
    </w:p>
    <w:p w:rsidR="0060140D" w:rsidRPr="001544D6" w:rsidRDefault="0060140D" w:rsidP="00372438">
      <w:pPr>
        <w:pStyle w:val="SGACP-annexe-titre"/>
        <w:jc w:val="left"/>
        <w:rPr>
          <w:sz w:val="22"/>
          <w:szCs w:val="22"/>
        </w:rPr>
      </w:pPr>
    </w:p>
    <w:sectPr w:rsidR="0060140D" w:rsidRPr="001544D6" w:rsidSect="001544D6">
      <w:pgSz w:w="16838" w:h="11906" w:orient="landscape"/>
      <w:pgMar w:top="1134" w:right="1134" w:bottom="1134" w:left="96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488" w:rsidRDefault="00B21488" w:rsidP="00463A1C">
      <w:r>
        <w:separator/>
      </w:r>
    </w:p>
  </w:endnote>
  <w:endnote w:type="continuationSeparator" w:id="0">
    <w:p w:rsidR="00B21488" w:rsidRDefault="00B21488" w:rsidP="0046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88" w:rsidRDefault="00B21488" w:rsidP="00463A1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rsidR="00B21488" w:rsidRDefault="00B21488" w:rsidP="00463A1C">
    <w:pPr>
      <w:pStyle w:val="Pieddepage"/>
      <w:pBdr>
        <w:top w:val="single" w:sz="4" w:space="5" w:color="auto"/>
      </w:pBdr>
      <w:ind w:right="360"/>
      <w:jc w:val="center"/>
    </w:pPr>
    <w:r>
      <w:t xml:space="preserve">-  /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89</w:t>
    </w:r>
    <w:r>
      <w:rPr>
        <w:rStyle w:val="Numrodepag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88" w:rsidRDefault="00B21488" w:rsidP="00D1728C">
    <w:pPr>
      <w:pStyle w:val="Pieddepage"/>
      <w:pBdr>
        <w:top w:val="single" w:sz="4" w:space="1" w:color="000000"/>
      </w:pBdr>
      <w:tabs>
        <w:tab w:val="clear" w:pos="8222"/>
        <w:tab w:val="left" w:pos="8789"/>
      </w:tabs>
      <w:jc w:val="left"/>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Pr>
        <w:rFonts w:cs="Arial"/>
        <w:szCs w:val="18"/>
      </w:rPr>
      <w:t xml:space="preserve"> et de résolution</w:t>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3B20EE">
      <w:rPr>
        <w:rFonts w:cs="Arial"/>
        <w:noProof/>
        <w:szCs w:val="18"/>
      </w:rPr>
      <w:t>1</w:t>
    </w:r>
    <w:r>
      <w:rPr>
        <w:rFonts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88" w:rsidRDefault="00B21488" w:rsidP="00460E3D">
    <w:pPr>
      <w:pStyle w:val="Pieddepage"/>
      <w:pBdr>
        <w:top w:val="single" w:sz="4" w:space="1" w:color="000000"/>
      </w:pBdr>
      <w:tabs>
        <w:tab w:val="clear" w:pos="8222"/>
        <w:tab w:val="left" w:pos="9072"/>
      </w:tabs>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Pr>
        <w:rFonts w:cs="Arial"/>
        <w:szCs w:val="18"/>
      </w:rPr>
      <w:t xml:space="preserve"> et de résolution</w:t>
    </w:r>
    <w:r>
      <w:rPr>
        <w:rFonts w:cs="Arial"/>
        <w:szCs w:val="18"/>
      </w:rPr>
      <w:tab/>
    </w:r>
    <w:r>
      <w:rPr>
        <w:rFonts w:cs="Arial"/>
        <w:szCs w:val="18"/>
      </w:rPr>
      <w:tab/>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3B20EE">
      <w:rPr>
        <w:rFonts w:cs="Arial"/>
        <w:noProof/>
        <w:szCs w:val="18"/>
      </w:rPr>
      <w:t>70</w:t>
    </w:r>
    <w:r>
      <w:rPr>
        <w:rFonts w:cs="Arial"/>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88" w:rsidRDefault="00B21488" w:rsidP="009F110B">
    <w:pPr>
      <w:pStyle w:val="Pieddepage"/>
      <w:pBdr>
        <w:top w:val="single" w:sz="4" w:space="1" w:color="000000"/>
      </w:pBdr>
      <w:tabs>
        <w:tab w:val="right" w:pos="9639"/>
      </w:tabs>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Pr>
        <w:rFonts w:cs="Arial"/>
        <w:szCs w:val="18"/>
      </w:rPr>
      <w:t xml:space="preserve"> et de résolution</w:t>
    </w:r>
    <w:r>
      <w:rPr>
        <w:rFonts w:cs="Arial"/>
        <w:szCs w:val="18"/>
      </w:rPr>
      <w:tab/>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3B20EE">
      <w:rPr>
        <w:rFonts w:cs="Arial"/>
        <w:noProof/>
        <w:szCs w:val="18"/>
      </w:rPr>
      <w:t>94</w:t>
    </w:r>
    <w:r>
      <w:rPr>
        <w:rFonts w:cs="Arial"/>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88" w:rsidRDefault="00B21488" w:rsidP="00463A1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rsidR="00B21488" w:rsidRDefault="00B21488" w:rsidP="00463A1C">
    <w:pPr>
      <w:pStyle w:val="Pieddepage"/>
      <w:pBdr>
        <w:top w:val="single" w:sz="4" w:space="5" w:color="auto"/>
      </w:pBdr>
      <w:ind w:right="360"/>
      <w:jc w:val="center"/>
    </w:pPr>
    <w:r>
      <w:t xml:space="preserve">-  /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89</w:t>
    </w:r>
    <w:r>
      <w:rPr>
        <w:rStyle w:val="Numrodepage"/>
      </w:rP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88" w:rsidRPr="00010F0F" w:rsidRDefault="00B21488" w:rsidP="00010F0F">
    <w:pPr>
      <w:pStyle w:val="Pieddepage"/>
      <w:pBdr>
        <w:top w:val="single" w:sz="4" w:space="1" w:color="000000"/>
      </w:pBdr>
      <w:tabs>
        <w:tab w:val="clear" w:pos="8222"/>
        <w:tab w:val="right" w:pos="9639"/>
      </w:tabs>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Pr>
        <w:rFonts w:cs="Arial"/>
        <w:szCs w:val="18"/>
      </w:rPr>
      <w:t xml:space="preserve"> et de résolution</w:t>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3B20EE">
      <w:rPr>
        <w:rFonts w:cs="Arial"/>
        <w:noProof/>
        <w:szCs w:val="18"/>
      </w:rPr>
      <w:t>100</w:t>
    </w:r>
    <w:r>
      <w:rPr>
        <w:rFonts w:cs="Arial"/>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88" w:rsidRPr="005612E1" w:rsidRDefault="00B21488" w:rsidP="00463A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488" w:rsidRDefault="00B21488" w:rsidP="00463A1C">
      <w:r>
        <w:separator/>
      </w:r>
    </w:p>
  </w:footnote>
  <w:footnote w:type="continuationSeparator" w:id="0">
    <w:p w:rsidR="00B21488" w:rsidRDefault="00B21488" w:rsidP="00463A1C">
      <w:r>
        <w:continuationSeparator/>
      </w:r>
    </w:p>
  </w:footnote>
  <w:footnote w:id="1">
    <w:p w:rsidR="00B21488" w:rsidRDefault="00B21488" w:rsidP="00890013">
      <w:pPr>
        <w:pStyle w:val="Notedebasdepage"/>
        <w:spacing w:before="0" w:after="0"/>
        <w:ind w:right="0"/>
      </w:pPr>
      <w:r>
        <w:rPr>
          <w:rStyle w:val="Appelnotedebasdep"/>
        </w:rPr>
        <w:footnoteRef/>
      </w:r>
      <w:r>
        <w:t xml:space="preserve"> Il est rappelé que les EI de classe 2 et 3 sont tenues de décrire les systèmes de surveillance et de maîtrise des risques auxquels elles sont exposées, </w:t>
      </w:r>
      <w:r w:rsidRPr="00F703DC">
        <w:t xml:space="preserve">notamment </w:t>
      </w:r>
      <w:r>
        <w:t xml:space="preserve">concernant </w:t>
      </w:r>
      <w:r w:rsidRPr="00F703DC">
        <w:t>les risques de crédit et de contrepartie, résidue</w:t>
      </w:r>
      <w:r>
        <w:t>l, de concentration, de marché</w:t>
      </w:r>
      <w:r w:rsidRPr="00F703DC">
        <w:t>, d'intermédiation, de règ</w:t>
      </w:r>
      <w:r>
        <w:t xml:space="preserve">lement-livraison, de liquidité, </w:t>
      </w:r>
      <w:r w:rsidRPr="00F703DC">
        <w:t>le risque opérationnel</w:t>
      </w:r>
      <w:r>
        <w:t xml:space="preserve">, </w:t>
      </w:r>
      <w:r w:rsidRPr="00F703DC">
        <w:t xml:space="preserve">le risque de sécurité </w:t>
      </w:r>
      <w:r>
        <w:t xml:space="preserve">et </w:t>
      </w:r>
      <w:r w:rsidRPr="00F703DC">
        <w:t>les risques pour les clients, les risques pour le marché et les risques pour l'entreprise au sens du règlement (UE) n° 2019/2033 du Parlement européen et</w:t>
      </w:r>
      <w:r>
        <w:t xml:space="preserve"> du Conseil du 27 novembre 2019.</w:t>
      </w:r>
    </w:p>
  </w:footnote>
  <w:footnote w:id="2">
    <w:p w:rsidR="00B21488" w:rsidRDefault="00B21488" w:rsidP="00B13BB1">
      <w:pPr>
        <w:pStyle w:val="Notedebasdepage"/>
        <w:ind w:right="0"/>
      </w:pPr>
      <w:r>
        <w:rPr>
          <w:rStyle w:val="Appelnotedebasdep"/>
        </w:rPr>
        <w:footnoteRef/>
      </w:r>
      <w:r>
        <w:t xml:space="preserve"> À savoir les preneurs de risque, à l'exclusion des membres de l'organe de direction, les membres de l'organe de direction dans sa fonction exécutive, les membres de l’organe de surveillance et les autres membres du personnel (cf. paragraphe 101 des Orientations ABE n°2021/05 ou paragraphe 92 des Orientations ABE n°2021/14).</w:t>
      </w:r>
    </w:p>
  </w:footnote>
  <w:footnote w:id="3">
    <w:p w:rsidR="00B21488" w:rsidRDefault="00B21488" w:rsidP="004A229A">
      <w:pPr>
        <w:pStyle w:val="SGACP-notedebasdepages"/>
        <w:ind w:left="284" w:hanging="284"/>
        <w:rPr>
          <w:szCs w:val="16"/>
        </w:rPr>
      </w:pPr>
      <w:r w:rsidRPr="004A229A">
        <w:rPr>
          <w:rStyle w:val="Appelnotedebasdep"/>
          <w:position w:val="0"/>
          <w:sz w:val="16"/>
          <w:szCs w:val="16"/>
        </w:rPr>
        <w:footnoteRef/>
      </w:r>
      <w:r>
        <w:rPr>
          <w:szCs w:val="16"/>
        </w:rPr>
        <w:t>.</w:t>
      </w:r>
      <w:r>
        <w:rPr>
          <w:szCs w:val="16"/>
        </w:rPr>
        <w:tab/>
      </w:r>
      <w:r w:rsidRPr="00063939">
        <w:rPr>
          <w:szCs w:val="16"/>
        </w:rPr>
        <w:t xml:space="preserve">Le risque de crédit intra-journalier recouvre également le risque de crédit </w:t>
      </w:r>
      <w:r w:rsidRPr="004A229A">
        <w:rPr>
          <w:i/>
          <w:szCs w:val="16"/>
        </w:rPr>
        <w:t>overnight</w:t>
      </w:r>
      <w:r w:rsidRPr="00063939">
        <w:rPr>
          <w:szCs w:val="16"/>
        </w:rPr>
        <w:t xml:space="preserve"> pour les opérations dont le règlement intervient pendant la nuit.</w:t>
      </w:r>
    </w:p>
  </w:footnote>
  <w:footnote w:id="4">
    <w:p w:rsidR="00B21488" w:rsidRDefault="00B21488" w:rsidP="009F04CF">
      <w:pPr>
        <w:pStyle w:val="Notedebasdepage"/>
      </w:pPr>
      <w:r>
        <w:rPr>
          <w:rStyle w:val="Appelnotedebasdep"/>
        </w:rPr>
        <w:footnoteRef/>
      </w:r>
      <w:r>
        <w:t xml:space="preserve"> Notamment ceux de la fonction informatique.</w:t>
      </w:r>
    </w:p>
  </w:footnote>
  <w:footnote w:id="5">
    <w:p w:rsidR="00B21488" w:rsidRDefault="00B21488" w:rsidP="009F04CF">
      <w:pPr>
        <w:pStyle w:val="Notedebasdepage"/>
      </w:pPr>
      <w:r>
        <w:rPr>
          <w:rStyle w:val="Appelnotedebasdep"/>
        </w:rPr>
        <w:footnoteRef/>
      </w:r>
      <w:r>
        <w:t xml:space="preserve"> Joindre le dernier tableau de bord destiné à les informer.</w:t>
      </w:r>
    </w:p>
  </w:footnote>
  <w:footnote w:id="6">
    <w:p w:rsidR="00B21488" w:rsidRDefault="00B21488" w:rsidP="009430F9">
      <w:pPr>
        <w:pStyle w:val="Notedebasdepage"/>
      </w:pPr>
      <w:r>
        <w:rPr>
          <w:rStyle w:val="Appelnotedebasdep"/>
        </w:rPr>
        <w:footnoteRef/>
      </w:r>
      <w:r>
        <w:t xml:space="preserve"> En particulier, préciser si l’établissement est exposé à des risques particuliers et les mesures spécifiques prises pour les gérer.</w:t>
      </w:r>
    </w:p>
  </w:footnote>
  <w:footnote w:id="7">
    <w:p w:rsidR="00B21488" w:rsidRDefault="00B21488" w:rsidP="00A46A69">
      <w:pPr>
        <w:pStyle w:val="Notedebasdepage"/>
        <w:ind w:right="0"/>
      </w:pPr>
      <w:r>
        <w:rPr>
          <w:rStyle w:val="Appelnotedebasdep"/>
        </w:rPr>
        <w:footnoteRef/>
      </w:r>
      <w:r>
        <w:t xml:space="preserve"> C’est-à-dire ceux dont l’impact financier dépasse soit 25 millions d’euros soit 0,5% du CET1 de l’établissement. Par exemple, une cyber-attaque.</w:t>
      </w:r>
    </w:p>
  </w:footnote>
  <w:footnote w:id="8">
    <w:p w:rsidR="00B21488" w:rsidRDefault="00B21488">
      <w:pPr>
        <w:pStyle w:val="Notedebasdepage"/>
      </w:pPr>
      <w:r>
        <w:rPr>
          <w:rStyle w:val="Appelnotedebasdep"/>
        </w:rPr>
        <w:footnoteRef/>
      </w:r>
      <w:r>
        <w:t xml:space="preserve"> Sauf les sections 4.5 et 4.6 des Orientations qui s’appliquent au 31 décembre 2023.</w:t>
      </w:r>
    </w:p>
  </w:footnote>
  <w:footnote w:id="9">
    <w:p w:rsidR="00B21488" w:rsidRDefault="00B21488" w:rsidP="00A46A69">
      <w:pPr>
        <w:pStyle w:val="Notedebasdepage"/>
        <w:tabs>
          <w:tab w:val="left" w:pos="9072"/>
        </w:tabs>
        <w:ind w:right="0"/>
      </w:pPr>
      <w:r>
        <w:rPr>
          <w:rStyle w:val="Appelnotedebasdep"/>
        </w:rPr>
        <w:footnoteRef/>
      </w:r>
      <w:r>
        <w:t xml:space="preserve"> Comme précisé dans le paragraphe 23 des Orientations ABE (</w:t>
      </w:r>
      <w:r w:rsidRPr="00593678">
        <w:t>ABE/GL/20</w:t>
      </w:r>
      <w:r>
        <w:t>22</w:t>
      </w:r>
      <w:r w:rsidRPr="00593678">
        <w:t>/</w:t>
      </w:r>
      <w:r>
        <w:t xml:space="preserve">14), les deux mesures doivent être prises en compte dans le processus d’allocation de capital interne, cependant les établissements ne sont pas censés capitaliser deux fois – au titre de chaque mesure (produits d’intérêts nets et valeur économique) </w:t>
      </w:r>
    </w:p>
  </w:footnote>
  <w:footnote w:id="10">
    <w:p w:rsidR="00B21488" w:rsidRDefault="00B21488">
      <w:pPr>
        <w:pStyle w:val="Notedebasdepage"/>
      </w:pPr>
      <w:r w:rsidRPr="00433237">
        <w:rPr>
          <w:rStyle w:val="Appelnotedebasdep"/>
        </w:rPr>
        <w:footnoteRef/>
      </w:r>
      <w:r w:rsidRPr="00433237">
        <w:t xml:space="preserve"> Les sections des Orientations ABE/GL/2022/14 concernant le CSRBB ne s’appliquent qu’à compter du 31 décembre 2023.</w:t>
      </w:r>
      <w:r>
        <w:t xml:space="preserve"> </w:t>
      </w:r>
    </w:p>
  </w:footnote>
  <w:footnote w:id="11">
    <w:p w:rsidR="00B21488" w:rsidRDefault="00B21488">
      <w:pPr>
        <w:pStyle w:val="Notedebasdepage"/>
      </w:pPr>
      <w:r>
        <w:rPr>
          <w:rStyle w:val="Appelnotedebasdep"/>
        </w:rPr>
        <w:footnoteRef/>
      </w:r>
      <w:r>
        <w:t xml:space="preserve"> </w:t>
      </w:r>
      <w:r w:rsidRPr="003333DA">
        <w:t>au sens de l'article 111 du règlement délégué n° 231/2013 de la Commission du 19 décembre 2012</w:t>
      </w:r>
    </w:p>
  </w:footnote>
  <w:footnote w:id="12">
    <w:p w:rsidR="00B21488" w:rsidRDefault="00B21488">
      <w:pPr>
        <w:pStyle w:val="Notedebasdepage"/>
      </w:pPr>
      <w:r>
        <w:rPr>
          <w:rStyle w:val="Appelnotedebasdep"/>
        </w:rPr>
        <w:footnoteRef/>
      </w:r>
      <w:r>
        <w:t xml:space="preserve"> </w:t>
      </w:r>
      <w:r w:rsidRPr="003333DA">
        <w:t>au-delà du seuil de l'article 7 de l'arrêté du 9 septembre 2014</w:t>
      </w:r>
    </w:p>
  </w:footnote>
  <w:footnote w:id="13">
    <w:p w:rsidR="00B21488" w:rsidRPr="003632D1" w:rsidRDefault="00B21488">
      <w:pPr>
        <w:pStyle w:val="Notedebasdepage"/>
      </w:pPr>
      <w:r>
        <w:rPr>
          <w:rStyle w:val="Appelnotedebasdep"/>
        </w:rPr>
        <w:footnoteRef/>
      </w:r>
      <w:r>
        <w:t xml:space="preserve"> En précisant celles qui le sont par recours à un prestataire de services en nuage (</w:t>
      </w:r>
      <w:r w:rsidRPr="003632D1">
        <w:rPr>
          <w:i/>
        </w:rPr>
        <w:t>cloud computing</w:t>
      </w:r>
      <w:r>
        <w:t>)</w:t>
      </w:r>
    </w:p>
  </w:footnote>
  <w:footnote w:id="14">
    <w:p w:rsidR="00B21488" w:rsidRDefault="00B21488" w:rsidP="003D2E0B">
      <w:pPr>
        <w:pStyle w:val="Notedebasdepage"/>
        <w:ind w:right="0"/>
      </w:pPr>
      <w:r>
        <w:rPr>
          <w:rStyle w:val="Appelnotedebasdep"/>
        </w:rPr>
        <w:footnoteRef/>
      </w:r>
      <w:r>
        <w:t xml:space="preserve"> </w:t>
      </w:r>
      <w:r w:rsidRPr="009616A9">
        <w:t>Pour les prestataires de services de paiement ayant leur siège social dans une Collectivité française du Pacifique (Nouvelle-Calédonie, Polynésie française, îles Wallis-et-Futuna), la mention « Banque de France » doit être remplacée par celle de « IEOM » dans la présente annexe</w:t>
      </w:r>
      <w:r w:rsidRPr="008F4461">
        <w:t xml:space="preserve"> et les références </w:t>
      </w:r>
      <w:r>
        <w:t>au « territoire français » par « Collectivités françaises du Pacifique ».  </w:t>
      </w:r>
    </w:p>
  </w:footnote>
  <w:footnote w:id="15">
    <w:p w:rsidR="00B21488" w:rsidRDefault="00B21488" w:rsidP="0029217F">
      <w:pPr>
        <w:pStyle w:val="Notedebasdepage"/>
        <w:ind w:right="0"/>
      </w:pPr>
      <w:r>
        <w:rPr>
          <w:rStyle w:val="Appelnotedebasdep"/>
        </w:rPr>
        <w:footnoteRef/>
      </w:r>
      <w:r>
        <w:t xml:space="preserve"> Règlement délégué (UE) 2018/389 de la Commission du 27 novembre 2017 complétant la directive (UE) 2015/2366 du Parlement européen et du Conseil par des normes techniques de réglementation relatives à l’authentification forte du client et à des normes ouvertes communes et sécurisées de communication</w:t>
      </w:r>
    </w:p>
  </w:footnote>
  <w:footnote w:id="16">
    <w:p w:rsidR="00B21488" w:rsidRDefault="00B21488" w:rsidP="00460E3D">
      <w:pPr>
        <w:pStyle w:val="Notedebasdepage"/>
        <w:ind w:right="0"/>
      </w:pPr>
      <w:r w:rsidRPr="00C87168">
        <w:rPr>
          <w:rStyle w:val="Appelnotedebasdep"/>
          <w:rFonts w:cstheme="minorHAnsi"/>
        </w:rPr>
        <w:footnoteRef/>
      </w:r>
      <w:r w:rsidRPr="00C87168">
        <w:rPr>
          <w:rFonts w:cstheme="minorHAnsi"/>
        </w:rPr>
        <w:t xml:space="preserve"> Cf. Gu</w:t>
      </w:r>
      <w:r>
        <w:rPr>
          <w:rFonts w:cstheme="minorHAnsi"/>
        </w:rPr>
        <w:t xml:space="preserve">ide de remplissage de la fraude : </w:t>
      </w:r>
      <w:hyperlink r:id="rId1" w:history="1">
        <w:r>
          <w:rPr>
            <w:rStyle w:val="Lienhypertexte"/>
          </w:rPr>
          <w:t>https://www.banque-france.fr/stabilite-financiere/securite-des-moyens-de-paiement-scripturaux/collectes-statistiques-reglementaires-espace-declarants</w:t>
        </w:r>
      </w:hyperlink>
      <w:r>
        <w:t xml:space="preserve"> </w:t>
      </w:r>
      <w:r>
        <w:rPr>
          <w:rFonts w:cstheme="minorHAnsi"/>
        </w:rPr>
        <w:t xml:space="preserve"> </w:t>
      </w:r>
    </w:p>
  </w:footnote>
  <w:footnote w:id="17">
    <w:p w:rsidR="00B21488" w:rsidRDefault="00B21488" w:rsidP="004A229A">
      <w:pPr>
        <w:pStyle w:val="Notedebasdepage"/>
        <w:spacing w:before="0" w:after="0"/>
        <w:ind w:left="284" w:right="0" w:hanging="284"/>
        <w:rPr>
          <w:szCs w:val="16"/>
        </w:rPr>
      </w:pPr>
      <w:r w:rsidRPr="004A229A">
        <w:rPr>
          <w:rStyle w:val="Appelnotedebasdep"/>
          <w:position w:val="0"/>
          <w:sz w:val="16"/>
          <w:szCs w:val="16"/>
        </w:rPr>
        <w:footnoteRef/>
      </w:r>
      <w:r>
        <w:rPr>
          <w:szCs w:val="16"/>
        </w:rPr>
        <w:t>.</w:t>
      </w:r>
      <w:r>
        <w:rPr>
          <w:szCs w:val="16"/>
        </w:rPr>
        <w:tab/>
      </w:r>
      <w:bookmarkStart w:id="260" w:name="Nbp4"/>
      <w:bookmarkEnd w:id="260"/>
      <w:r w:rsidRPr="004A229A">
        <w:rPr>
          <w:szCs w:val="16"/>
        </w:rPr>
        <w:t xml:space="preserve">Cette partie peut être adaptée par les établissements en fonction de leur taille, de leur organisation, de la nature et du volume de leurs activités, de leurs implantations et des risques de différentes natures auxquels ils sont exposés (notamment lorsque les responsabilités du contrôle permanent et du contrôle périodique sont confiées, soit à une seule personne, soit </w:t>
      </w:r>
      <w:r>
        <w:rPr>
          <w:szCs w:val="16"/>
        </w:rPr>
        <w:t>aux dirigeants effectifs</w:t>
      </w:r>
      <w:r w:rsidRPr="004A229A">
        <w:rPr>
          <w:szCs w:val="16"/>
        </w:rPr>
        <w:t>)</w:t>
      </w:r>
    </w:p>
  </w:footnote>
  <w:footnote w:id="18">
    <w:p w:rsidR="00B21488" w:rsidRDefault="00B21488" w:rsidP="004E4C3B">
      <w:pPr>
        <w:pStyle w:val="Notedebasdepage"/>
      </w:pPr>
      <w:r>
        <w:rPr>
          <w:rStyle w:val="Appelnotedebasdep"/>
        </w:rPr>
        <w:footnoteRef/>
      </w:r>
      <w:r>
        <w:t xml:space="preserve"> Commentaires explicatifs à apporter en partie III en cas de réponse « non » à l’une des questions ci-dessous.</w:t>
      </w:r>
    </w:p>
  </w:footnote>
  <w:footnote w:id="19">
    <w:p w:rsidR="00B21488" w:rsidRDefault="00B21488" w:rsidP="00115EF0">
      <w:pPr>
        <w:pStyle w:val="Notedebasdepage"/>
      </w:pPr>
      <w:r>
        <w:rPr>
          <w:rStyle w:val="Appelnotedebasdep"/>
        </w:rPr>
        <w:footnoteRef/>
      </w:r>
      <w:r>
        <w:t xml:space="preserve"> Sur les flux d’échanges quotidiens (opérations cash et produits dérivés)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88" w:rsidRPr="00FC763A" w:rsidRDefault="00B21488" w:rsidP="00010F0F">
    <w:pPr>
      <w:pStyle w:val="SGACP-en-tte"/>
      <w:rPr>
        <w:rFonts w:ascii="Arial Narrow" w:hAnsi="Arial Narrow"/>
      </w:rPr>
    </w:pPr>
    <w:r w:rsidRPr="00434191">
      <w:rPr>
        <w:rFonts w:ascii="Arial Narrow" w:hAnsi="Arial Narrow"/>
      </w:rPr>
      <w:t xml:space="preserve">Rapport sur le contrôle interne </w:t>
    </w:r>
    <w:r w:rsidRPr="00434191">
      <w:rPr>
        <w:rFonts w:ascii="Arial Narrow" w:hAnsi="Arial Narrow" w:cs="Arial"/>
      </w:rPr>
      <w:t>–</w:t>
    </w:r>
    <w:r w:rsidRPr="00434191">
      <w:rPr>
        <w:rFonts w:ascii="Arial Narrow" w:hAnsi="Arial Narrow"/>
      </w:rPr>
      <w:t xml:space="preserve"> 20</w:t>
    </w:r>
    <w:r>
      <w:rPr>
        <w:rFonts w:ascii="Arial Narrow" w:hAnsi="Arial Narrow"/>
      </w:rPr>
      <w:t>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88" w:rsidRDefault="00B21488" w:rsidP="000B3D13">
    <w:pPr>
      <w:pStyle w:val="SGACP-en-tte"/>
      <w:rPr>
        <w:rFonts w:ascii="Arial Narrow" w:hAnsi="Arial Narrow"/>
      </w:rPr>
    </w:pPr>
    <w:r w:rsidRPr="00A02798">
      <w:rPr>
        <w:rFonts w:ascii="Arial Narrow" w:hAnsi="Arial Narrow"/>
      </w:rPr>
      <w:t>Rapport sur le contrôle interne</w:t>
    </w:r>
    <w:r>
      <w:rPr>
        <w:rFonts w:ascii="Arial Narrow" w:hAnsi="Arial Narrow"/>
      </w:rPr>
      <w:t xml:space="preserve"> –</w:t>
    </w:r>
    <w:r w:rsidRPr="00A02798">
      <w:rPr>
        <w:rFonts w:ascii="Arial Narrow" w:hAnsi="Arial Narrow"/>
      </w:rPr>
      <w:t xml:space="preserve"> 20</w:t>
    </w:r>
    <w:r>
      <w:rPr>
        <w:rFonts w:ascii="Arial Narrow" w:hAnsi="Arial Narrow"/>
      </w:rPr>
      <w:t>2</w:t>
    </w:r>
    <w:r w:rsidR="002D4E1E">
      <w:rPr>
        <w:rFonts w:ascii="Arial Narrow" w:hAnsi="Arial Narrow"/>
      </w:rPr>
      <w:t>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88" w:rsidRPr="00A02798" w:rsidRDefault="00B21488" w:rsidP="00010F0F">
    <w:pPr>
      <w:pStyle w:val="SGACP-en-tte"/>
      <w:rPr>
        <w:rFonts w:ascii="Arial Narrow" w:hAnsi="Arial Narrow"/>
      </w:rPr>
    </w:pPr>
    <w:r w:rsidRPr="00A02798">
      <w:rPr>
        <w:rFonts w:ascii="Arial Narrow" w:hAnsi="Arial Narrow"/>
      </w:rPr>
      <w:t>Rapport sur le contrôle interne</w:t>
    </w:r>
    <w:r>
      <w:rPr>
        <w:rFonts w:ascii="Arial Narrow" w:hAnsi="Arial Narrow"/>
      </w:rPr>
      <w:t xml:space="preserve"> –</w:t>
    </w:r>
    <w:r w:rsidRPr="00A02798">
      <w:rPr>
        <w:rFonts w:ascii="Arial Narrow" w:hAnsi="Arial Narrow"/>
      </w:rPr>
      <w:t xml:space="preserve"> 20</w:t>
    </w:r>
    <w:r>
      <w:rPr>
        <w:rFonts w:ascii="Arial Narrow" w:hAnsi="Arial Narrow"/>
      </w:rPr>
      <w:t>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18"/>
    <w:lvl w:ilvl="0">
      <w:start w:val="1"/>
      <w:numFmt w:val="bullet"/>
      <w:lvlText w:val="-"/>
      <w:lvlJc w:val="left"/>
      <w:pPr>
        <w:tabs>
          <w:tab w:val="num" w:pos="227"/>
        </w:tabs>
        <w:ind w:left="227" w:hanging="227"/>
      </w:pPr>
      <w:rPr>
        <w:rFonts w:ascii="Helv" w:hAnsi="Helv" w:cs="Helv"/>
        <w:color w:val="auto"/>
      </w:rPr>
    </w:lvl>
  </w:abstractNum>
  <w:abstractNum w:abstractNumId="1" w15:restartNumberingAfterBreak="0">
    <w:nsid w:val="01217B36"/>
    <w:multiLevelType w:val="hybridMultilevel"/>
    <w:tmpl w:val="9AE02716"/>
    <w:name w:val="WW8Num11"/>
    <w:lvl w:ilvl="0" w:tplc="9F669D38">
      <w:start w:val="1"/>
      <w:numFmt w:val="bullet"/>
      <w:lvlText w:val=""/>
      <w:lvlJc w:val="left"/>
      <w:pPr>
        <w:ind w:left="720" w:hanging="360"/>
      </w:pPr>
      <w:rPr>
        <w:rFonts w:ascii="Symbol" w:hAnsi="Symbol" w:hint="default"/>
        <w:color w:val="auto"/>
      </w:rPr>
    </w:lvl>
    <w:lvl w:ilvl="1" w:tplc="E40066DE" w:tentative="1">
      <w:start w:val="1"/>
      <w:numFmt w:val="bullet"/>
      <w:lvlText w:val="o"/>
      <w:lvlJc w:val="left"/>
      <w:pPr>
        <w:ind w:left="1440" w:hanging="360"/>
      </w:pPr>
      <w:rPr>
        <w:rFonts w:ascii="Courier New" w:hAnsi="Courier New" w:cs="Courier New" w:hint="default"/>
      </w:rPr>
    </w:lvl>
    <w:lvl w:ilvl="2" w:tplc="AF3C2904" w:tentative="1">
      <w:start w:val="1"/>
      <w:numFmt w:val="bullet"/>
      <w:lvlText w:val=""/>
      <w:lvlJc w:val="left"/>
      <w:pPr>
        <w:ind w:left="2160" w:hanging="360"/>
      </w:pPr>
      <w:rPr>
        <w:rFonts w:ascii="Wingdings" w:hAnsi="Wingdings" w:hint="default"/>
      </w:rPr>
    </w:lvl>
    <w:lvl w:ilvl="3" w:tplc="E69EFE60" w:tentative="1">
      <w:start w:val="1"/>
      <w:numFmt w:val="bullet"/>
      <w:lvlText w:val=""/>
      <w:lvlJc w:val="left"/>
      <w:pPr>
        <w:ind w:left="2880" w:hanging="360"/>
      </w:pPr>
      <w:rPr>
        <w:rFonts w:ascii="Symbol" w:hAnsi="Symbol" w:hint="default"/>
      </w:rPr>
    </w:lvl>
    <w:lvl w:ilvl="4" w:tplc="534278A8" w:tentative="1">
      <w:start w:val="1"/>
      <w:numFmt w:val="bullet"/>
      <w:lvlText w:val="o"/>
      <w:lvlJc w:val="left"/>
      <w:pPr>
        <w:ind w:left="3600" w:hanging="360"/>
      </w:pPr>
      <w:rPr>
        <w:rFonts w:ascii="Courier New" w:hAnsi="Courier New" w:cs="Courier New" w:hint="default"/>
      </w:rPr>
    </w:lvl>
    <w:lvl w:ilvl="5" w:tplc="2CE47116" w:tentative="1">
      <w:start w:val="1"/>
      <w:numFmt w:val="bullet"/>
      <w:lvlText w:val=""/>
      <w:lvlJc w:val="left"/>
      <w:pPr>
        <w:ind w:left="4320" w:hanging="360"/>
      </w:pPr>
      <w:rPr>
        <w:rFonts w:ascii="Wingdings" w:hAnsi="Wingdings" w:hint="default"/>
      </w:rPr>
    </w:lvl>
    <w:lvl w:ilvl="6" w:tplc="FC0AA8D8" w:tentative="1">
      <w:start w:val="1"/>
      <w:numFmt w:val="bullet"/>
      <w:lvlText w:val=""/>
      <w:lvlJc w:val="left"/>
      <w:pPr>
        <w:ind w:left="5040" w:hanging="360"/>
      </w:pPr>
      <w:rPr>
        <w:rFonts w:ascii="Symbol" w:hAnsi="Symbol" w:hint="default"/>
      </w:rPr>
    </w:lvl>
    <w:lvl w:ilvl="7" w:tplc="F5D48F54" w:tentative="1">
      <w:start w:val="1"/>
      <w:numFmt w:val="bullet"/>
      <w:lvlText w:val="o"/>
      <w:lvlJc w:val="left"/>
      <w:pPr>
        <w:ind w:left="5760" w:hanging="360"/>
      </w:pPr>
      <w:rPr>
        <w:rFonts w:ascii="Courier New" w:hAnsi="Courier New" w:cs="Courier New" w:hint="default"/>
      </w:rPr>
    </w:lvl>
    <w:lvl w:ilvl="8" w:tplc="23B65DF2" w:tentative="1">
      <w:start w:val="1"/>
      <w:numFmt w:val="bullet"/>
      <w:lvlText w:val=""/>
      <w:lvlJc w:val="left"/>
      <w:pPr>
        <w:ind w:left="6480" w:hanging="360"/>
      </w:pPr>
      <w:rPr>
        <w:rFonts w:ascii="Wingdings" w:hAnsi="Wingdings" w:hint="default"/>
      </w:rPr>
    </w:lvl>
  </w:abstractNum>
  <w:abstractNum w:abstractNumId="2" w15:restartNumberingAfterBreak="0">
    <w:nsid w:val="027147A4"/>
    <w:multiLevelType w:val="hybridMultilevel"/>
    <w:tmpl w:val="220C90E4"/>
    <w:lvl w:ilvl="0" w:tplc="040C0001">
      <w:start w:val="1"/>
      <w:numFmt w:val="bullet"/>
      <w:lvlText w:val=""/>
      <w:lvlJc w:val="left"/>
      <w:pPr>
        <w:ind w:left="1353" w:hanging="360"/>
      </w:pPr>
      <w:rPr>
        <w:rFonts w:ascii="Symbol" w:hAnsi="Symbol"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 w15:restartNumberingAfterBreak="0">
    <w:nsid w:val="03AC1A58"/>
    <w:multiLevelType w:val="hybridMultilevel"/>
    <w:tmpl w:val="8EE215F2"/>
    <w:lvl w:ilvl="0" w:tplc="CA244984">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 w15:restartNumberingAfterBreak="0">
    <w:nsid w:val="042230D5"/>
    <w:multiLevelType w:val="hybridMultilevel"/>
    <w:tmpl w:val="CA2EC592"/>
    <w:lvl w:ilvl="0" w:tplc="096E0D7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6B87E61"/>
    <w:multiLevelType w:val="hybridMultilevel"/>
    <w:tmpl w:val="9AD8FE16"/>
    <w:lvl w:ilvl="0" w:tplc="0D0E41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7DE7226"/>
    <w:multiLevelType w:val="hybridMultilevel"/>
    <w:tmpl w:val="C80CF914"/>
    <w:lvl w:ilvl="0" w:tplc="8E2E0EA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B503950"/>
    <w:multiLevelType w:val="hybridMultilevel"/>
    <w:tmpl w:val="E87ECA5E"/>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5C63DE"/>
    <w:multiLevelType w:val="hybridMultilevel"/>
    <w:tmpl w:val="179869FE"/>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2D28CD"/>
    <w:multiLevelType w:val="hybridMultilevel"/>
    <w:tmpl w:val="016E41F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0676DA0"/>
    <w:multiLevelType w:val="hybridMultilevel"/>
    <w:tmpl w:val="E7401E8C"/>
    <w:lvl w:ilvl="0" w:tplc="B08C75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815636"/>
    <w:multiLevelType w:val="hybridMultilevel"/>
    <w:tmpl w:val="5D5CF946"/>
    <w:lvl w:ilvl="0" w:tplc="9A6A681A">
      <w:start w:val="4"/>
      <w:numFmt w:val="bullet"/>
      <w:pStyle w:val="SGACP-enumerationniveau1"/>
      <w:lvlText w:val="–"/>
      <w:lvlJc w:val="left"/>
      <w:pPr>
        <w:ind w:left="1069" w:hanging="360"/>
      </w:pPr>
      <w:rPr>
        <w:rFonts w:ascii="Times New Roman" w:eastAsia="Times New Roman" w:hAnsi="Times New Roman" w:cs="Times New Roman" w:hint="default"/>
      </w:rPr>
    </w:lvl>
    <w:lvl w:ilvl="1" w:tplc="040C0001">
      <w:start w:val="1"/>
      <w:numFmt w:val="bullet"/>
      <w:lvlText w:val=""/>
      <w:lvlJc w:val="left"/>
      <w:pPr>
        <w:ind w:left="2357" w:hanging="360"/>
      </w:pPr>
      <w:rPr>
        <w:rFonts w:ascii="Symbol" w:hAnsi="Symbol" w:hint="default"/>
      </w:rPr>
    </w:lvl>
    <w:lvl w:ilvl="2" w:tplc="78A24F44">
      <w:start w:val="1"/>
      <w:numFmt w:val="bullet"/>
      <w:lvlText w:val=""/>
      <w:lvlJc w:val="left"/>
      <w:pPr>
        <w:ind w:left="2912" w:hanging="195"/>
      </w:pPr>
      <w:rPr>
        <w:rFonts w:ascii="Symbol" w:hAnsi="Symbol"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12" w15:restartNumberingAfterBreak="0">
    <w:nsid w:val="1088660A"/>
    <w:multiLevelType w:val="hybridMultilevel"/>
    <w:tmpl w:val="39DE88E0"/>
    <w:lvl w:ilvl="0" w:tplc="E6EC95C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0960362"/>
    <w:multiLevelType w:val="hybridMultilevel"/>
    <w:tmpl w:val="C5B094D0"/>
    <w:lvl w:ilvl="0" w:tplc="91A62C34">
      <w:start w:val="1"/>
      <w:numFmt w:val="bullet"/>
      <w:lvlText w:val=""/>
      <w:lvlJc w:val="left"/>
      <w:pPr>
        <w:ind w:left="1080" w:hanging="360"/>
      </w:pPr>
      <w:rPr>
        <w:rFonts w:ascii="Symbol" w:hAnsi="Symbol" w:hint="default"/>
        <w:color w:val="auto"/>
        <w:sz w:val="1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117F75AD"/>
    <w:multiLevelType w:val="hybridMultilevel"/>
    <w:tmpl w:val="5DC499E4"/>
    <w:lvl w:ilvl="0" w:tplc="3734562C">
      <w:numFmt w:val="bullet"/>
      <w:lvlText w:val="-"/>
      <w:lvlJc w:val="left"/>
      <w:pPr>
        <w:ind w:left="1004" w:hanging="360"/>
      </w:pPr>
      <w:rPr>
        <w:rFonts w:ascii="Times New Roman" w:eastAsia="Calibri" w:hAnsi="Times New Roman"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15" w15:restartNumberingAfterBreak="0">
    <w:nsid w:val="11F47173"/>
    <w:multiLevelType w:val="hybridMultilevel"/>
    <w:tmpl w:val="4322E6CC"/>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3734F72"/>
    <w:multiLevelType w:val="hybridMultilevel"/>
    <w:tmpl w:val="6E50822C"/>
    <w:lvl w:ilvl="0" w:tplc="1346B8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4047EC8"/>
    <w:multiLevelType w:val="hybridMultilevel"/>
    <w:tmpl w:val="7A7C86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44E1957"/>
    <w:multiLevelType w:val="hybridMultilevel"/>
    <w:tmpl w:val="2FDA354E"/>
    <w:lvl w:ilvl="0" w:tplc="FEACA4DC">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775169F"/>
    <w:multiLevelType w:val="hybridMultilevel"/>
    <w:tmpl w:val="0804DB00"/>
    <w:lvl w:ilvl="0" w:tplc="040C0003">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0" w15:restartNumberingAfterBreak="0">
    <w:nsid w:val="185C3D4C"/>
    <w:multiLevelType w:val="hybridMultilevel"/>
    <w:tmpl w:val="07B2A678"/>
    <w:lvl w:ilvl="0" w:tplc="EAC40E9C">
      <w:start w:val="1"/>
      <w:numFmt w:val="upperRoman"/>
      <w:lvlText w:val="%1."/>
      <w:lvlJc w:val="righ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1B6644AD"/>
    <w:multiLevelType w:val="multilevel"/>
    <w:tmpl w:val="59BCF65C"/>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2" w15:restartNumberingAfterBreak="0">
    <w:nsid w:val="1B827EAF"/>
    <w:multiLevelType w:val="singleLevel"/>
    <w:tmpl w:val="5DB2F3D2"/>
    <w:lvl w:ilvl="0">
      <w:start w:val="13"/>
      <w:numFmt w:val="bullet"/>
      <w:lvlText w:val="-"/>
      <w:lvlJc w:val="left"/>
      <w:pPr>
        <w:tabs>
          <w:tab w:val="num" w:pos="360"/>
        </w:tabs>
        <w:ind w:left="360" w:hanging="360"/>
      </w:pPr>
      <w:rPr>
        <w:rFonts w:hint="default"/>
      </w:rPr>
    </w:lvl>
  </w:abstractNum>
  <w:abstractNum w:abstractNumId="23" w15:restartNumberingAfterBreak="0">
    <w:nsid w:val="1BC8728B"/>
    <w:multiLevelType w:val="hybridMultilevel"/>
    <w:tmpl w:val="E3C226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DFC099F"/>
    <w:multiLevelType w:val="hybridMultilevel"/>
    <w:tmpl w:val="6DD4E00E"/>
    <w:lvl w:ilvl="0" w:tplc="1346B8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E985A9B"/>
    <w:multiLevelType w:val="hybridMultilevel"/>
    <w:tmpl w:val="820A551E"/>
    <w:lvl w:ilvl="0" w:tplc="040C0001">
      <w:start w:val="1"/>
      <w:numFmt w:val="bullet"/>
      <w:lvlText w:val=""/>
      <w:lvlJc w:val="left"/>
      <w:pPr>
        <w:ind w:left="720" w:hanging="360"/>
      </w:pPr>
      <w:rPr>
        <w:rFonts w:ascii="Symbol" w:hAnsi="Symbol" w:hint="default"/>
        <w:color w:val="auto"/>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F357702"/>
    <w:multiLevelType w:val="hybridMultilevel"/>
    <w:tmpl w:val="CECCF534"/>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FB473CA"/>
    <w:multiLevelType w:val="hybridMultilevel"/>
    <w:tmpl w:val="C3E22926"/>
    <w:lvl w:ilvl="0" w:tplc="00000003">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8" w15:restartNumberingAfterBreak="0">
    <w:nsid w:val="2216597B"/>
    <w:multiLevelType w:val="hybridMultilevel"/>
    <w:tmpl w:val="F4ECB776"/>
    <w:lvl w:ilvl="0" w:tplc="5D66A722">
      <w:start w:val="1"/>
      <w:numFmt w:val="decimal"/>
      <w:pStyle w:val="SGACP-numerotationpartie20"/>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37440C8"/>
    <w:multiLevelType w:val="hybridMultilevel"/>
    <w:tmpl w:val="08F27256"/>
    <w:lvl w:ilvl="0" w:tplc="00000003">
      <w:start w:val="1"/>
      <w:numFmt w:val="bullet"/>
      <w:pStyle w:val="SGACP-enumerationniveau3"/>
      <w:lvlText w:val="○"/>
      <w:lvlJc w:val="left"/>
      <w:pPr>
        <w:ind w:left="720" w:hanging="360"/>
      </w:pPr>
      <w:rPr>
        <w:rFonts w:ascii="Arial" w:hAnsi="Aria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4DA7B46"/>
    <w:multiLevelType w:val="hybridMultilevel"/>
    <w:tmpl w:val="11AC5A12"/>
    <w:lvl w:ilvl="0" w:tplc="DF6E180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4DE1F7A"/>
    <w:multiLevelType w:val="hybridMultilevel"/>
    <w:tmpl w:val="9AEE4C9C"/>
    <w:lvl w:ilvl="0" w:tplc="0934793C">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2" w15:restartNumberingAfterBreak="0">
    <w:nsid w:val="258050D5"/>
    <w:multiLevelType w:val="hybridMultilevel"/>
    <w:tmpl w:val="E7648BA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6C93079"/>
    <w:multiLevelType w:val="hybridMultilevel"/>
    <w:tmpl w:val="FA74DA28"/>
    <w:lvl w:ilvl="0" w:tplc="7BDE570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75D632D"/>
    <w:multiLevelType w:val="multilevel"/>
    <w:tmpl w:val="F5520D92"/>
    <w:lvl w:ilvl="0">
      <w:start w:val="1"/>
      <w:numFmt w:val="decimal"/>
      <w:pStyle w:val="critres"/>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9317064"/>
    <w:multiLevelType w:val="hybridMultilevel"/>
    <w:tmpl w:val="FBA6A248"/>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971003C"/>
    <w:multiLevelType w:val="hybridMultilevel"/>
    <w:tmpl w:val="5AA4B364"/>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B2A1890"/>
    <w:multiLevelType w:val="hybridMultilevel"/>
    <w:tmpl w:val="F8DC9B1A"/>
    <w:lvl w:ilvl="0" w:tplc="040C0003">
      <w:start w:val="1"/>
      <w:numFmt w:val="bullet"/>
      <w:lvlText w:val="o"/>
      <w:lvlJc w:val="left"/>
      <w:pPr>
        <w:ind w:left="720" w:hanging="360"/>
      </w:pPr>
      <w:rPr>
        <w:rFonts w:ascii="Courier New" w:hAnsi="Courier New" w:cs="Courier New" w:hint="default"/>
      </w:rPr>
    </w:lvl>
    <w:lvl w:ilvl="1" w:tplc="040C0001">
      <w:start w:val="1"/>
      <w:numFmt w:val="bullet"/>
      <w:lvlText w:val=""/>
      <w:lvlJc w:val="left"/>
      <w:pPr>
        <w:ind w:left="1440" w:hanging="360"/>
      </w:pPr>
      <w:rPr>
        <w:rFonts w:ascii="Symbol" w:hAnsi="Symbol" w:hint="default"/>
        <w:sz w:val="16"/>
        <w:szCs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C492B1F"/>
    <w:multiLevelType w:val="hybridMultilevel"/>
    <w:tmpl w:val="7A7C86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E32799F"/>
    <w:multiLevelType w:val="hybridMultilevel"/>
    <w:tmpl w:val="54B4D2DE"/>
    <w:lvl w:ilvl="0" w:tplc="F84E9274">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0" w15:restartNumberingAfterBreak="0">
    <w:nsid w:val="2F772028"/>
    <w:multiLevelType w:val="hybridMultilevel"/>
    <w:tmpl w:val="D6868B20"/>
    <w:lvl w:ilvl="0" w:tplc="E6EC95C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0A57735"/>
    <w:multiLevelType w:val="hybridMultilevel"/>
    <w:tmpl w:val="12F82AAE"/>
    <w:lvl w:ilvl="0" w:tplc="B40A9BAA">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1B93420"/>
    <w:multiLevelType w:val="hybridMultilevel"/>
    <w:tmpl w:val="BED20F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3C30D26"/>
    <w:multiLevelType w:val="hybridMultilevel"/>
    <w:tmpl w:val="C03415BA"/>
    <w:lvl w:ilvl="0" w:tplc="AFA8369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41C5D56"/>
    <w:multiLevelType w:val="hybridMultilevel"/>
    <w:tmpl w:val="2FECB54A"/>
    <w:lvl w:ilvl="0" w:tplc="C7D0EA9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5" w15:restartNumberingAfterBreak="0">
    <w:nsid w:val="34567CC6"/>
    <w:multiLevelType w:val="hybridMultilevel"/>
    <w:tmpl w:val="160ACC3A"/>
    <w:lvl w:ilvl="0" w:tplc="5DB2F3D2">
      <w:start w:val="13"/>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366E5B14"/>
    <w:multiLevelType w:val="hybridMultilevel"/>
    <w:tmpl w:val="69E625E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67D2118"/>
    <w:multiLevelType w:val="hybridMultilevel"/>
    <w:tmpl w:val="AD48211A"/>
    <w:lvl w:ilvl="0" w:tplc="040C0003">
      <w:start w:val="1"/>
      <w:numFmt w:val="bullet"/>
      <w:lvlText w:val="o"/>
      <w:lvlJc w:val="left"/>
      <w:pPr>
        <w:ind w:left="1004" w:hanging="360"/>
      </w:pPr>
      <w:rPr>
        <w:rFonts w:ascii="Courier New" w:hAnsi="Courier New" w:cs="Courier New"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48" w15:restartNumberingAfterBreak="0">
    <w:nsid w:val="37C95FE2"/>
    <w:multiLevelType w:val="multilevel"/>
    <w:tmpl w:val="F77842CA"/>
    <w:lvl w:ilvl="0">
      <w:start w:val="1"/>
      <w:numFmt w:val="decimal"/>
      <w:pStyle w:val="SGACP-titrederubriqueniveau1"/>
      <w:lvlText w:val="%1."/>
      <w:lvlJc w:val="left"/>
      <w:pPr>
        <w:ind w:left="36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8182429"/>
    <w:multiLevelType w:val="hybridMultilevel"/>
    <w:tmpl w:val="566004C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0" w15:restartNumberingAfterBreak="0">
    <w:nsid w:val="395F2294"/>
    <w:multiLevelType w:val="multilevel"/>
    <w:tmpl w:val="97702B5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99E168A"/>
    <w:multiLevelType w:val="hybridMultilevel"/>
    <w:tmpl w:val="C7F45E6A"/>
    <w:lvl w:ilvl="0" w:tplc="5DB2F3D2">
      <w:start w:val="13"/>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3A340C87"/>
    <w:multiLevelType w:val="hybridMultilevel"/>
    <w:tmpl w:val="78CA759A"/>
    <w:lvl w:ilvl="0" w:tplc="F0965CD2">
      <w:numFmt w:val="bullet"/>
      <w:lvlText w:val="-"/>
      <w:lvlJc w:val="left"/>
      <w:pPr>
        <w:ind w:left="284" w:hanging="171"/>
      </w:pPr>
      <w:rPr>
        <w:rFonts w:ascii="Calibri" w:eastAsiaTheme="minorHAns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 w15:restartNumberingAfterBreak="0">
    <w:nsid w:val="3B8A4A63"/>
    <w:multiLevelType w:val="hybridMultilevel"/>
    <w:tmpl w:val="DCC623D0"/>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4" w15:restartNumberingAfterBreak="0">
    <w:nsid w:val="410E6D60"/>
    <w:multiLevelType w:val="hybridMultilevel"/>
    <w:tmpl w:val="B62640F2"/>
    <w:lvl w:ilvl="0" w:tplc="CD26A8F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14E1C59"/>
    <w:multiLevelType w:val="hybridMultilevel"/>
    <w:tmpl w:val="00FAE93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1A065DF"/>
    <w:multiLevelType w:val="hybridMultilevel"/>
    <w:tmpl w:val="5DA04B5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33F7A55"/>
    <w:multiLevelType w:val="hybridMultilevel"/>
    <w:tmpl w:val="65166544"/>
    <w:lvl w:ilvl="0" w:tplc="06227FC6">
      <w:numFmt w:val="bullet"/>
      <w:lvlText w:val="-"/>
      <w:lvlJc w:val="left"/>
      <w:pPr>
        <w:ind w:left="720" w:hanging="360"/>
      </w:pPr>
      <w:rPr>
        <w:rFonts w:ascii="Calibri" w:eastAsiaTheme="minorHAnsi" w:hAnsi="Calibri" w:cs="Calibri" w:hint="default"/>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8" w15:restartNumberingAfterBreak="0">
    <w:nsid w:val="43C63B10"/>
    <w:multiLevelType w:val="hybridMultilevel"/>
    <w:tmpl w:val="378E93B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6027E4F"/>
    <w:multiLevelType w:val="hybridMultilevel"/>
    <w:tmpl w:val="DA6AD32E"/>
    <w:lvl w:ilvl="0" w:tplc="040C0019">
      <w:start w:val="1"/>
      <w:numFmt w:val="lowerLetter"/>
      <w:lvlText w:val="%1."/>
      <w:lvlJc w:val="left"/>
      <w:pPr>
        <w:ind w:left="1364" w:hanging="360"/>
      </w:p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60" w15:restartNumberingAfterBreak="0">
    <w:nsid w:val="47030436"/>
    <w:multiLevelType w:val="hybridMultilevel"/>
    <w:tmpl w:val="75BC26E2"/>
    <w:lvl w:ilvl="0" w:tplc="0BEA55F2">
      <w:numFmt w:val="bullet"/>
      <w:lvlText w:val="-"/>
      <w:lvlJc w:val="left"/>
      <w:pPr>
        <w:ind w:left="1080" w:hanging="796"/>
      </w:pPr>
      <w:rPr>
        <w:rFonts w:ascii="Calibri" w:eastAsiaTheme="minorHAns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1" w15:restartNumberingAfterBreak="0">
    <w:nsid w:val="48396DC4"/>
    <w:multiLevelType w:val="hybridMultilevel"/>
    <w:tmpl w:val="999A2950"/>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87B4DA7"/>
    <w:multiLevelType w:val="hybridMultilevel"/>
    <w:tmpl w:val="004A995A"/>
    <w:lvl w:ilvl="0" w:tplc="040C0003">
      <w:start w:val="1"/>
      <w:numFmt w:val="bullet"/>
      <w:lvlText w:val="o"/>
      <w:lvlJc w:val="left"/>
      <w:pPr>
        <w:ind w:left="720" w:hanging="360"/>
      </w:pPr>
      <w:rPr>
        <w:rFonts w:ascii="Courier New" w:hAnsi="Courier New" w:cs="Courier New" w:hint="default"/>
      </w:rPr>
    </w:lvl>
    <w:lvl w:ilvl="1" w:tplc="AFF8695A">
      <w:start w:val="1"/>
      <w:numFmt w:val="bullet"/>
      <w:lvlText w:val="o"/>
      <w:lvlJc w:val="left"/>
      <w:pPr>
        <w:ind w:left="1440" w:hanging="360"/>
      </w:pPr>
      <w:rPr>
        <w:rFonts w:ascii="Courier New" w:hAnsi="Courier New" w:cs="Courier New" w:hint="default"/>
        <w:sz w:val="16"/>
        <w:szCs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90511C8"/>
    <w:multiLevelType w:val="hybridMultilevel"/>
    <w:tmpl w:val="0D48DEBA"/>
    <w:lvl w:ilvl="0" w:tplc="040C0005">
      <w:start w:val="1"/>
      <w:numFmt w:val="bullet"/>
      <w:lvlText w:val=""/>
      <w:lvlJc w:val="left"/>
      <w:pPr>
        <w:ind w:left="720" w:hanging="360"/>
      </w:pPr>
      <w:rPr>
        <w:rFonts w:ascii="Wingdings" w:hAnsi="Wingdings" w:hint="default"/>
      </w:rPr>
    </w:lvl>
    <w:lvl w:ilvl="1" w:tplc="14A8E7D6">
      <w:start w:val="1"/>
      <w:numFmt w:val="bullet"/>
      <w:lvlText w:val="-"/>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15:restartNumberingAfterBreak="0">
    <w:nsid w:val="4A184305"/>
    <w:multiLevelType w:val="multilevel"/>
    <w:tmpl w:val="515EF250"/>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3180" w:hanging="720"/>
      </w:pPr>
    </w:lvl>
    <w:lvl w:ilvl="3">
      <w:start w:val="1"/>
      <w:numFmt w:val="decimal"/>
      <w:isLgl/>
      <w:lvlText w:val="%1.%2.%3.%4"/>
      <w:lvlJc w:val="left"/>
      <w:pPr>
        <w:ind w:left="4230" w:hanging="720"/>
      </w:pPr>
    </w:lvl>
    <w:lvl w:ilvl="4">
      <w:start w:val="1"/>
      <w:numFmt w:val="decimal"/>
      <w:isLgl/>
      <w:lvlText w:val="%1.%2.%3.%4.%5"/>
      <w:lvlJc w:val="left"/>
      <w:pPr>
        <w:ind w:left="5640" w:hanging="1080"/>
      </w:pPr>
    </w:lvl>
    <w:lvl w:ilvl="5">
      <w:start w:val="1"/>
      <w:numFmt w:val="decimal"/>
      <w:isLgl/>
      <w:lvlText w:val="%1.%2.%3.%4.%5.%6"/>
      <w:lvlJc w:val="left"/>
      <w:pPr>
        <w:ind w:left="6690" w:hanging="1080"/>
      </w:pPr>
    </w:lvl>
    <w:lvl w:ilvl="6">
      <w:start w:val="1"/>
      <w:numFmt w:val="decimal"/>
      <w:isLgl/>
      <w:lvlText w:val="%1.%2.%3.%4.%5.%6.%7"/>
      <w:lvlJc w:val="left"/>
      <w:pPr>
        <w:ind w:left="8100" w:hanging="1440"/>
      </w:pPr>
    </w:lvl>
    <w:lvl w:ilvl="7">
      <w:start w:val="1"/>
      <w:numFmt w:val="decimal"/>
      <w:isLgl/>
      <w:lvlText w:val="%1.%2.%3.%4.%5.%6.%7.%8"/>
      <w:lvlJc w:val="left"/>
      <w:pPr>
        <w:ind w:left="9150" w:hanging="1440"/>
      </w:pPr>
    </w:lvl>
    <w:lvl w:ilvl="8">
      <w:start w:val="1"/>
      <w:numFmt w:val="decimal"/>
      <w:isLgl/>
      <w:lvlText w:val="%1.%2.%3.%4.%5.%6.%7.%8.%9"/>
      <w:lvlJc w:val="left"/>
      <w:pPr>
        <w:ind w:left="10200" w:hanging="1440"/>
      </w:pPr>
    </w:lvl>
  </w:abstractNum>
  <w:abstractNum w:abstractNumId="65" w15:restartNumberingAfterBreak="0">
    <w:nsid w:val="4C48225D"/>
    <w:multiLevelType w:val="hybridMultilevel"/>
    <w:tmpl w:val="65225FCE"/>
    <w:lvl w:ilvl="0" w:tplc="78B679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C9072A9"/>
    <w:multiLevelType w:val="hybridMultilevel"/>
    <w:tmpl w:val="3D845222"/>
    <w:lvl w:ilvl="0" w:tplc="B7C8EA8C">
      <w:start w:val="1"/>
      <w:numFmt w:val="bullet"/>
      <w:pStyle w:val="SGACP-enumerationniveau4"/>
      <w:lvlText w:val=""/>
      <w:lvlJc w:val="left"/>
      <w:pPr>
        <w:ind w:left="720" w:hanging="360"/>
      </w:pPr>
      <w:rPr>
        <w:rFonts w:ascii="Symbol" w:hAnsi="Symbol" w:hint="default"/>
      </w:rPr>
    </w:lvl>
    <w:lvl w:ilvl="1" w:tplc="B9161A2A">
      <w:start w:val="1"/>
      <w:numFmt w:val="bullet"/>
      <w:lvlText w:val="o"/>
      <w:lvlJc w:val="left"/>
      <w:pPr>
        <w:ind w:left="1440" w:hanging="360"/>
      </w:pPr>
      <w:rPr>
        <w:rFonts w:ascii="Courier New" w:hAnsi="Courier New" w:cs="Courier New" w:hint="default"/>
      </w:rPr>
    </w:lvl>
    <w:lvl w:ilvl="2" w:tplc="3FD654B8">
      <w:start w:val="1"/>
      <w:numFmt w:val="bullet"/>
      <w:lvlText w:val=""/>
      <w:lvlJc w:val="left"/>
      <w:pPr>
        <w:ind w:left="2160" w:hanging="360"/>
      </w:pPr>
      <w:rPr>
        <w:rFonts w:ascii="Wingdings" w:hAnsi="Wingdings" w:hint="default"/>
      </w:rPr>
    </w:lvl>
    <w:lvl w:ilvl="3" w:tplc="756C3C0E" w:tentative="1">
      <w:start w:val="1"/>
      <w:numFmt w:val="bullet"/>
      <w:lvlText w:val=""/>
      <w:lvlJc w:val="left"/>
      <w:pPr>
        <w:ind w:left="2880" w:hanging="360"/>
      </w:pPr>
      <w:rPr>
        <w:rFonts w:ascii="Symbol" w:hAnsi="Symbol" w:hint="default"/>
      </w:rPr>
    </w:lvl>
    <w:lvl w:ilvl="4" w:tplc="4F303346" w:tentative="1">
      <w:start w:val="1"/>
      <w:numFmt w:val="bullet"/>
      <w:lvlText w:val="o"/>
      <w:lvlJc w:val="left"/>
      <w:pPr>
        <w:ind w:left="3600" w:hanging="360"/>
      </w:pPr>
      <w:rPr>
        <w:rFonts w:ascii="Courier New" w:hAnsi="Courier New" w:cs="Courier New" w:hint="default"/>
      </w:rPr>
    </w:lvl>
    <w:lvl w:ilvl="5" w:tplc="83EA14A4" w:tentative="1">
      <w:start w:val="1"/>
      <w:numFmt w:val="bullet"/>
      <w:lvlText w:val=""/>
      <w:lvlJc w:val="left"/>
      <w:pPr>
        <w:ind w:left="4320" w:hanging="360"/>
      </w:pPr>
      <w:rPr>
        <w:rFonts w:ascii="Wingdings" w:hAnsi="Wingdings" w:hint="default"/>
      </w:rPr>
    </w:lvl>
    <w:lvl w:ilvl="6" w:tplc="59684454" w:tentative="1">
      <w:start w:val="1"/>
      <w:numFmt w:val="bullet"/>
      <w:lvlText w:val=""/>
      <w:lvlJc w:val="left"/>
      <w:pPr>
        <w:ind w:left="5040" w:hanging="360"/>
      </w:pPr>
      <w:rPr>
        <w:rFonts w:ascii="Symbol" w:hAnsi="Symbol" w:hint="default"/>
      </w:rPr>
    </w:lvl>
    <w:lvl w:ilvl="7" w:tplc="9CD637E8" w:tentative="1">
      <w:start w:val="1"/>
      <w:numFmt w:val="bullet"/>
      <w:lvlText w:val="o"/>
      <w:lvlJc w:val="left"/>
      <w:pPr>
        <w:ind w:left="5760" w:hanging="360"/>
      </w:pPr>
      <w:rPr>
        <w:rFonts w:ascii="Courier New" w:hAnsi="Courier New" w:cs="Courier New" w:hint="default"/>
      </w:rPr>
    </w:lvl>
    <w:lvl w:ilvl="8" w:tplc="4E7ECCC6" w:tentative="1">
      <w:start w:val="1"/>
      <w:numFmt w:val="bullet"/>
      <w:lvlText w:val=""/>
      <w:lvlJc w:val="left"/>
      <w:pPr>
        <w:ind w:left="6480" w:hanging="360"/>
      </w:pPr>
      <w:rPr>
        <w:rFonts w:ascii="Wingdings" w:hAnsi="Wingdings" w:hint="default"/>
      </w:rPr>
    </w:lvl>
  </w:abstractNum>
  <w:abstractNum w:abstractNumId="67" w15:restartNumberingAfterBreak="0">
    <w:nsid w:val="4D631AD2"/>
    <w:multiLevelType w:val="hybridMultilevel"/>
    <w:tmpl w:val="461871D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DA318EA"/>
    <w:multiLevelType w:val="hybridMultilevel"/>
    <w:tmpl w:val="D72E93A8"/>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47C68A5"/>
    <w:multiLevelType w:val="hybridMultilevel"/>
    <w:tmpl w:val="66FC33CC"/>
    <w:lvl w:ilvl="0" w:tplc="78A24F44">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0" w15:restartNumberingAfterBreak="0">
    <w:nsid w:val="54B20603"/>
    <w:multiLevelType w:val="hybridMultilevel"/>
    <w:tmpl w:val="993C37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6B70128"/>
    <w:multiLevelType w:val="hybridMultilevel"/>
    <w:tmpl w:val="37B2F82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7117BA4"/>
    <w:multiLevelType w:val="hybridMultilevel"/>
    <w:tmpl w:val="01AEB48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58EB7D33"/>
    <w:multiLevelType w:val="hybridMultilevel"/>
    <w:tmpl w:val="B672AF9C"/>
    <w:lvl w:ilvl="0" w:tplc="D11E2228">
      <w:start w:val="1"/>
      <w:numFmt w:val="bullet"/>
      <w:pStyle w:val="SGACP-enumerationniveau2"/>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B534AC4"/>
    <w:multiLevelType w:val="hybridMultilevel"/>
    <w:tmpl w:val="AA4246D6"/>
    <w:lvl w:ilvl="0" w:tplc="F52AD74C">
      <w:start w:val="1"/>
      <w:numFmt w:val="upperRoman"/>
      <w:lvlText w:val="%1."/>
      <w:lvlJc w:val="right"/>
      <w:pPr>
        <w:ind w:left="720" w:hanging="360"/>
      </w:pPr>
      <w:rPr>
        <w:sz w:val="24"/>
        <w:szCs w:val="24"/>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75" w15:restartNumberingAfterBreak="0">
    <w:nsid w:val="5C075446"/>
    <w:multiLevelType w:val="hybridMultilevel"/>
    <w:tmpl w:val="BBA63FD4"/>
    <w:lvl w:ilvl="0" w:tplc="8E2E0EA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5C3F2EA0"/>
    <w:multiLevelType w:val="hybridMultilevel"/>
    <w:tmpl w:val="0B1A470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5C671CF8"/>
    <w:multiLevelType w:val="hybridMultilevel"/>
    <w:tmpl w:val="17B4A75E"/>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5D17105F"/>
    <w:multiLevelType w:val="hybridMultilevel"/>
    <w:tmpl w:val="8042D0C6"/>
    <w:lvl w:ilvl="0" w:tplc="040C0003">
      <w:start w:val="1"/>
      <w:numFmt w:val="bullet"/>
      <w:lvlText w:val="o"/>
      <w:lvlJc w:val="left"/>
      <w:pPr>
        <w:ind w:left="2160" w:hanging="360"/>
      </w:pPr>
      <w:rPr>
        <w:rFonts w:ascii="Courier New" w:hAnsi="Courier New" w:cs="Courier New"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9" w15:restartNumberingAfterBreak="0">
    <w:nsid w:val="5E7A34F2"/>
    <w:multiLevelType w:val="hybridMultilevel"/>
    <w:tmpl w:val="C05069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5E995DA3"/>
    <w:multiLevelType w:val="multilevel"/>
    <w:tmpl w:val="07D85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5F48081D"/>
    <w:multiLevelType w:val="hybridMultilevel"/>
    <w:tmpl w:val="7AE41F58"/>
    <w:lvl w:ilvl="0" w:tplc="8162087A">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60F31739"/>
    <w:multiLevelType w:val="hybridMultilevel"/>
    <w:tmpl w:val="EB0CD4F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61385F82"/>
    <w:multiLevelType w:val="hybridMultilevel"/>
    <w:tmpl w:val="80DCE7E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4" w15:restartNumberingAfterBreak="0">
    <w:nsid w:val="61960DB1"/>
    <w:multiLevelType w:val="hybridMultilevel"/>
    <w:tmpl w:val="138E9228"/>
    <w:lvl w:ilvl="0" w:tplc="040C0001">
      <w:start w:val="1"/>
      <w:numFmt w:val="bullet"/>
      <w:lvlText w:val=""/>
      <w:lvlJc w:val="left"/>
      <w:pPr>
        <w:ind w:left="720" w:hanging="360"/>
      </w:pPr>
      <w:rPr>
        <w:rFonts w:ascii="Symbol" w:hAnsi="Symbol"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85" w15:restartNumberingAfterBreak="0">
    <w:nsid w:val="62B6243C"/>
    <w:multiLevelType w:val="hybridMultilevel"/>
    <w:tmpl w:val="F8EC0A6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675F7110"/>
    <w:multiLevelType w:val="hybridMultilevel"/>
    <w:tmpl w:val="7EB0BCF4"/>
    <w:lvl w:ilvl="0" w:tplc="78A24F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8462387"/>
    <w:multiLevelType w:val="hybridMultilevel"/>
    <w:tmpl w:val="3B662834"/>
    <w:lvl w:ilvl="0" w:tplc="CC405A50">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8D329E9"/>
    <w:multiLevelType w:val="multilevel"/>
    <w:tmpl w:val="20ACB392"/>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567"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9" w15:restartNumberingAfterBreak="0">
    <w:nsid w:val="6AD54BDD"/>
    <w:multiLevelType w:val="hybridMultilevel"/>
    <w:tmpl w:val="551CA8E6"/>
    <w:lvl w:ilvl="0" w:tplc="00000003">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90" w15:restartNumberingAfterBreak="0">
    <w:nsid w:val="6B0454D7"/>
    <w:multiLevelType w:val="hybridMultilevel"/>
    <w:tmpl w:val="549AF5CC"/>
    <w:lvl w:ilvl="0" w:tplc="040C0019">
      <w:start w:val="1"/>
      <w:numFmt w:val="lowerLetter"/>
      <w:lvlText w:val="%1."/>
      <w:lvlJc w:val="left"/>
      <w:pPr>
        <w:ind w:left="720" w:hanging="360"/>
      </w:pPr>
      <w:rPr>
        <w:rFonts w:hint="default"/>
      </w:rPr>
    </w:lvl>
    <w:lvl w:ilvl="1" w:tplc="1F50C746">
      <w:start w:val="1"/>
      <w:numFmt w:val="lowerRoman"/>
      <w:lvlText w:val="%2."/>
      <w:lvlJc w:val="righ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6B1E3473"/>
    <w:multiLevelType w:val="hybridMultilevel"/>
    <w:tmpl w:val="C76E82EA"/>
    <w:lvl w:ilvl="0" w:tplc="9266BAFC">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92" w15:restartNumberingAfterBreak="0">
    <w:nsid w:val="6CC45807"/>
    <w:multiLevelType w:val="hybridMultilevel"/>
    <w:tmpl w:val="AD50405A"/>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E0632AC"/>
    <w:multiLevelType w:val="hybridMultilevel"/>
    <w:tmpl w:val="75A24BD4"/>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6E7B2DFE"/>
    <w:multiLevelType w:val="hybridMultilevel"/>
    <w:tmpl w:val="BF2C8E96"/>
    <w:lvl w:ilvl="0" w:tplc="812876EC">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736C40D9"/>
    <w:multiLevelType w:val="hybridMultilevel"/>
    <w:tmpl w:val="57B07B1A"/>
    <w:lvl w:ilvl="0" w:tplc="14A8E7D6">
      <w:start w:val="1"/>
      <w:numFmt w:val="bullet"/>
      <w:lvlText w:val="-"/>
      <w:lvlJc w:val="left"/>
      <w:pPr>
        <w:ind w:left="360" w:hanging="360"/>
      </w:pPr>
      <w:rPr>
        <w:rFonts w:ascii="Courier New" w:hAnsi="Courier New"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6" w15:restartNumberingAfterBreak="0">
    <w:nsid w:val="74077BC2"/>
    <w:multiLevelType w:val="hybridMultilevel"/>
    <w:tmpl w:val="E7DC8B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745D71FF"/>
    <w:multiLevelType w:val="hybridMultilevel"/>
    <w:tmpl w:val="3F26EA12"/>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75200B1E"/>
    <w:multiLevelType w:val="hybridMultilevel"/>
    <w:tmpl w:val="48ECD1B6"/>
    <w:lvl w:ilvl="0" w:tplc="0EEE37D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9B27248"/>
    <w:multiLevelType w:val="hybridMultilevel"/>
    <w:tmpl w:val="B68A45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7A667D01"/>
    <w:multiLevelType w:val="hybridMultilevel"/>
    <w:tmpl w:val="72220232"/>
    <w:lvl w:ilvl="0" w:tplc="FA0A027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7AEB4B51"/>
    <w:multiLevelType w:val="hybridMultilevel"/>
    <w:tmpl w:val="4E1018E6"/>
    <w:lvl w:ilvl="0" w:tplc="2FB49C84">
      <w:numFmt w:val="bullet"/>
      <w:lvlText w:val="-"/>
      <w:lvlJc w:val="left"/>
      <w:pPr>
        <w:ind w:left="284" w:hanging="171"/>
      </w:pPr>
      <w:rPr>
        <w:rFonts w:ascii="Calibri" w:eastAsiaTheme="minorHAns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2" w15:restartNumberingAfterBreak="0">
    <w:nsid w:val="7BD57BC3"/>
    <w:multiLevelType w:val="hybridMultilevel"/>
    <w:tmpl w:val="9C8EA0A0"/>
    <w:lvl w:ilvl="0" w:tplc="040C0019">
      <w:start w:val="1"/>
      <w:numFmt w:val="lowerLetter"/>
      <w:lvlText w:val="%1."/>
      <w:lvlJc w:val="left"/>
      <w:pPr>
        <w:ind w:left="720" w:hanging="360"/>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7FDB3A14"/>
    <w:multiLevelType w:val="hybridMultilevel"/>
    <w:tmpl w:val="A68AAC2A"/>
    <w:lvl w:ilvl="0" w:tplc="91A62C34">
      <w:start w:val="1"/>
      <w:numFmt w:val="bullet"/>
      <w:lvlText w:val=""/>
      <w:lvlJc w:val="left"/>
      <w:pPr>
        <w:ind w:left="720" w:hanging="360"/>
      </w:pPr>
      <w:rPr>
        <w:rFonts w:ascii="Symbol" w:hAnsi="Symbol" w:hint="default"/>
        <w:color w:val="auto"/>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8"/>
  </w:num>
  <w:num w:numId="2">
    <w:abstractNumId w:val="48"/>
  </w:num>
  <w:num w:numId="3">
    <w:abstractNumId w:val="11"/>
  </w:num>
  <w:num w:numId="4">
    <w:abstractNumId w:val="73"/>
  </w:num>
  <w:num w:numId="5">
    <w:abstractNumId w:val="29"/>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num>
  <w:num w:numId="8">
    <w:abstractNumId w:val="28"/>
  </w:num>
  <w:num w:numId="9">
    <w:abstractNumId w:val="84"/>
  </w:num>
  <w:num w:numId="10">
    <w:abstractNumId w:val="74"/>
  </w:num>
  <w:num w:numId="11">
    <w:abstractNumId w:val="41"/>
  </w:num>
  <w:num w:numId="12">
    <w:abstractNumId w:val="27"/>
  </w:num>
  <w:num w:numId="13">
    <w:abstractNumId w:val="3"/>
  </w:num>
  <w:num w:numId="14">
    <w:abstractNumId w:val="30"/>
  </w:num>
  <w:num w:numId="15">
    <w:abstractNumId w:val="89"/>
  </w:num>
  <w:num w:numId="16">
    <w:abstractNumId w:val="39"/>
  </w:num>
  <w:num w:numId="17">
    <w:abstractNumId w:val="19"/>
  </w:num>
  <w:num w:numId="18">
    <w:abstractNumId w:val="34"/>
  </w:num>
  <w:num w:numId="19">
    <w:abstractNumId w:val="35"/>
  </w:num>
  <w:num w:numId="20">
    <w:abstractNumId w:val="10"/>
  </w:num>
  <w:num w:numId="21">
    <w:abstractNumId w:val="93"/>
  </w:num>
  <w:num w:numId="22">
    <w:abstractNumId w:val="68"/>
  </w:num>
  <w:num w:numId="23">
    <w:abstractNumId w:val="7"/>
  </w:num>
  <w:num w:numId="24">
    <w:abstractNumId w:val="36"/>
  </w:num>
  <w:num w:numId="25">
    <w:abstractNumId w:val="97"/>
  </w:num>
  <w:num w:numId="26">
    <w:abstractNumId w:val="71"/>
  </w:num>
  <w:num w:numId="27">
    <w:abstractNumId w:val="77"/>
  </w:num>
  <w:num w:numId="28">
    <w:abstractNumId w:val="67"/>
  </w:num>
  <w:num w:numId="29">
    <w:abstractNumId w:val="15"/>
  </w:num>
  <w:num w:numId="30">
    <w:abstractNumId w:val="58"/>
  </w:num>
  <w:num w:numId="31">
    <w:abstractNumId w:val="13"/>
  </w:num>
  <w:num w:numId="32">
    <w:abstractNumId w:val="103"/>
  </w:num>
  <w:num w:numId="33">
    <w:abstractNumId w:val="98"/>
  </w:num>
  <w:num w:numId="34">
    <w:abstractNumId w:val="50"/>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3"/>
  </w:num>
  <w:num w:numId="38">
    <w:abstractNumId w:val="69"/>
  </w:num>
  <w:num w:numId="39">
    <w:abstractNumId w:val="63"/>
  </w:num>
  <w:num w:numId="40">
    <w:abstractNumId w:val="49"/>
  </w:num>
  <w:num w:numId="41">
    <w:abstractNumId w:val="80"/>
  </w:num>
  <w:num w:numId="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lvlOverride w:ilvl="1">
      <w:startOverride w:val="1"/>
    </w:lvlOverride>
    <w:lvlOverride w:ilvl="2"/>
    <w:lvlOverride w:ilvl="3"/>
    <w:lvlOverride w:ilvl="4"/>
    <w:lvlOverride w:ilvl="5"/>
    <w:lvlOverride w:ilvl="6"/>
    <w:lvlOverride w:ilvl="7"/>
    <w:lvlOverride w:ilvl="8"/>
  </w:num>
  <w:num w:numId="64">
    <w:abstractNumId w:val="14"/>
  </w:num>
  <w:num w:numId="65">
    <w:abstractNumId w:val="20"/>
  </w:num>
  <w:num w:numId="66">
    <w:abstractNumId w:val="95"/>
  </w:num>
  <w:num w:numId="67">
    <w:abstractNumId w:val="22"/>
  </w:num>
  <w:num w:numId="68">
    <w:abstractNumId w:val="87"/>
  </w:num>
  <w:num w:numId="69">
    <w:abstractNumId w:val="31"/>
  </w:num>
  <w:num w:numId="70">
    <w:abstractNumId w:val="44"/>
  </w:num>
  <w:num w:numId="71">
    <w:abstractNumId w:val="5"/>
  </w:num>
  <w:num w:numId="72">
    <w:abstractNumId w:val="23"/>
  </w:num>
  <w:num w:numId="73">
    <w:abstractNumId w:val="79"/>
  </w:num>
  <w:num w:numId="74">
    <w:abstractNumId w:val="96"/>
  </w:num>
  <w:num w:numId="75">
    <w:abstractNumId w:val="42"/>
  </w:num>
  <w:num w:numId="76">
    <w:abstractNumId w:val="17"/>
  </w:num>
  <w:num w:numId="77">
    <w:abstractNumId w:val="99"/>
  </w:num>
  <w:num w:numId="78">
    <w:abstractNumId w:val="21"/>
  </w:num>
  <w:num w:numId="79">
    <w:abstractNumId w:val="85"/>
  </w:num>
  <w:num w:numId="80">
    <w:abstractNumId w:val="70"/>
  </w:num>
  <w:num w:numId="81">
    <w:abstractNumId w:val="56"/>
  </w:num>
  <w:num w:numId="82">
    <w:abstractNumId w:val="55"/>
  </w:num>
  <w:num w:numId="83">
    <w:abstractNumId w:val="76"/>
  </w:num>
  <w:num w:numId="84">
    <w:abstractNumId w:val="102"/>
  </w:num>
  <w:num w:numId="85">
    <w:abstractNumId w:val="90"/>
  </w:num>
  <w:num w:numId="86">
    <w:abstractNumId w:val="51"/>
  </w:num>
  <w:num w:numId="87">
    <w:abstractNumId w:val="6"/>
  </w:num>
  <w:num w:numId="88">
    <w:abstractNumId w:val="45"/>
  </w:num>
  <w:num w:numId="89">
    <w:abstractNumId w:val="12"/>
  </w:num>
  <w:num w:numId="90">
    <w:abstractNumId w:val="91"/>
  </w:num>
  <w:num w:numId="91">
    <w:abstractNumId w:val="24"/>
  </w:num>
  <w:num w:numId="92">
    <w:abstractNumId w:val="46"/>
  </w:num>
  <w:num w:numId="93">
    <w:abstractNumId w:val="82"/>
  </w:num>
  <w:num w:numId="94">
    <w:abstractNumId w:val="72"/>
  </w:num>
  <w:num w:numId="95">
    <w:abstractNumId w:val="75"/>
  </w:num>
  <w:num w:numId="96">
    <w:abstractNumId w:val="40"/>
  </w:num>
  <w:num w:numId="97">
    <w:abstractNumId w:val="16"/>
  </w:num>
  <w:num w:numId="98">
    <w:abstractNumId w:val="38"/>
  </w:num>
  <w:num w:numId="99">
    <w:abstractNumId w:val="33"/>
  </w:num>
  <w:num w:numId="100">
    <w:abstractNumId w:val="8"/>
  </w:num>
  <w:num w:numId="101">
    <w:abstractNumId w:val="43"/>
  </w:num>
  <w:num w:numId="102">
    <w:abstractNumId w:val="26"/>
  </w:num>
  <w:num w:numId="103">
    <w:abstractNumId w:val="2"/>
  </w:num>
  <w:num w:numId="104">
    <w:abstractNumId w:val="9"/>
  </w:num>
  <w:num w:numId="105">
    <w:abstractNumId w:val="11"/>
    <w:lvlOverride w:ilvl="0"/>
    <w:lvlOverride w:ilvl="1">
      <w:startOverride w:val="1"/>
    </w:lvlOverride>
    <w:lvlOverride w:ilvl="2"/>
    <w:lvlOverride w:ilvl="3"/>
    <w:lvlOverride w:ilvl="4"/>
    <w:lvlOverride w:ilvl="5"/>
    <w:lvlOverride w:ilvl="6"/>
    <w:lvlOverride w:ilvl="7"/>
    <w:lvlOverride w:ilvl="8"/>
  </w:num>
  <w:num w:numId="106">
    <w:abstractNumId w:val="11"/>
  </w:num>
  <w:num w:numId="107">
    <w:abstractNumId w:val="11"/>
  </w:num>
  <w:num w:numId="108">
    <w:abstractNumId w:val="11"/>
  </w:num>
  <w:num w:numId="109">
    <w:abstractNumId w:val="25"/>
  </w:num>
  <w:num w:numId="110">
    <w:abstractNumId w:val="4"/>
  </w:num>
  <w:num w:numId="111">
    <w:abstractNumId w:val="59"/>
  </w:num>
  <w:num w:numId="112">
    <w:abstractNumId w:val="81"/>
  </w:num>
  <w:num w:numId="113">
    <w:abstractNumId w:val="11"/>
  </w:num>
  <w:num w:numId="114">
    <w:abstractNumId w:val="65"/>
  </w:num>
  <w:num w:numId="115">
    <w:abstractNumId w:val="11"/>
  </w:num>
  <w:num w:numId="116">
    <w:abstractNumId w:val="32"/>
  </w:num>
  <w:num w:numId="117">
    <w:abstractNumId w:val="60"/>
  </w:num>
  <w:num w:numId="118">
    <w:abstractNumId w:val="101"/>
  </w:num>
  <w:num w:numId="119">
    <w:abstractNumId w:val="52"/>
  </w:num>
  <w:num w:numId="120">
    <w:abstractNumId w:val="11"/>
  </w:num>
  <w:num w:numId="121">
    <w:abstractNumId w:val="86"/>
  </w:num>
  <w:num w:numId="122">
    <w:abstractNumId w:val="11"/>
  </w:num>
  <w:num w:numId="123">
    <w:abstractNumId w:val="11"/>
  </w:num>
  <w:num w:numId="124">
    <w:abstractNumId w:val="11"/>
  </w:num>
  <w:num w:numId="125">
    <w:abstractNumId w:val="11"/>
  </w:num>
  <w:num w:numId="126">
    <w:abstractNumId w:val="61"/>
  </w:num>
  <w:num w:numId="127">
    <w:abstractNumId w:val="11"/>
  </w:num>
  <w:num w:numId="128">
    <w:abstractNumId w:val="47"/>
  </w:num>
  <w:num w:numId="129">
    <w:abstractNumId w:val="11"/>
  </w:num>
  <w:num w:numId="130">
    <w:abstractNumId w:val="11"/>
  </w:num>
  <w:num w:numId="131">
    <w:abstractNumId w:val="78"/>
  </w:num>
  <w:num w:numId="132">
    <w:abstractNumId w:val="62"/>
  </w:num>
  <w:num w:numId="133">
    <w:abstractNumId w:val="37"/>
  </w:num>
  <w:num w:numId="134">
    <w:abstractNumId w:val="11"/>
  </w:num>
  <w:num w:numId="135">
    <w:abstractNumId w:val="11"/>
  </w:num>
  <w:num w:numId="136">
    <w:abstractNumId w:val="11"/>
  </w:num>
  <w:num w:numId="137">
    <w:abstractNumId w:val="11"/>
  </w:num>
  <w:num w:numId="138">
    <w:abstractNumId w:val="11"/>
  </w:num>
  <w:num w:numId="139">
    <w:abstractNumId w:val="11"/>
  </w:num>
  <w:num w:numId="140">
    <w:abstractNumId w:val="11"/>
  </w:num>
  <w:num w:numId="141">
    <w:abstractNumId w:val="73"/>
  </w:num>
  <w:num w:numId="142">
    <w:abstractNumId w:val="71"/>
  </w:num>
  <w:num w:numId="143">
    <w:abstractNumId w:val="53"/>
  </w:num>
  <w:num w:numId="144">
    <w:abstractNumId w:val="94"/>
  </w:num>
  <w:num w:numId="145">
    <w:abstractNumId w:val="92"/>
  </w:num>
  <w:num w:numId="146">
    <w:abstractNumId w:val="48"/>
  </w:num>
  <w:num w:numId="147">
    <w:abstractNumId w:val="11"/>
  </w:num>
  <w:num w:numId="148">
    <w:abstractNumId w:val="57"/>
  </w:num>
  <w:num w:numId="149">
    <w:abstractNumId w:val="100"/>
  </w:num>
  <w:num w:numId="150">
    <w:abstractNumId w:val="18"/>
  </w:num>
  <w:num w:numId="151">
    <w:abstractNumId w:val="54"/>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5"/>
  <w:hyphenationZone w:val="425"/>
  <w:drawingGridHorizontalSpacing w:val="120"/>
  <w:displayHorizontalDrawingGridEvery w:val="0"/>
  <w:displayVerticalDrawingGridEvery w:val="0"/>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712A17"/>
    <w:rsid w:val="000001E8"/>
    <w:rsid w:val="00000212"/>
    <w:rsid w:val="000003DE"/>
    <w:rsid w:val="0000299A"/>
    <w:rsid w:val="00002DF0"/>
    <w:rsid w:val="00002F5C"/>
    <w:rsid w:val="00004C1E"/>
    <w:rsid w:val="00005FB1"/>
    <w:rsid w:val="00007435"/>
    <w:rsid w:val="000076E8"/>
    <w:rsid w:val="000108D0"/>
    <w:rsid w:val="00010F0F"/>
    <w:rsid w:val="00015F28"/>
    <w:rsid w:val="000202BD"/>
    <w:rsid w:val="0002312D"/>
    <w:rsid w:val="00023B27"/>
    <w:rsid w:val="00024EC2"/>
    <w:rsid w:val="00026A01"/>
    <w:rsid w:val="000271A0"/>
    <w:rsid w:val="00027D79"/>
    <w:rsid w:val="00030CB2"/>
    <w:rsid w:val="000319CD"/>
    <w:rsid w:val="000338FE"/>
    <w:rsid w:val="00035488"/>
    <w:rsid w:val="00035A01"/>
    <w:rsid w:val="00036807"/>
    <w:rsid w:val="00036F86"/>
    <w:rsid w:val="0003780F"/>
    <w:rsid w:val="00040EA3"/>
    <w:rsid w:val="000421FE"/>
    <w:rsid w:val="00045D2D"/>
    <w:rsid w:val="00052B4E"/>
    <w:rsid w:val="00055D51"/>
    <w:rsid w:val="00057D83"/>
    <w:rsid w:val="00061399"/>
    <w:rsid w:val="000623EE"/>
    <w:rsid w:val="00063939"/>
    <w:rsid w:val="0006478D"/>
    <w:rsid w:val="00065BBD"/>
    <w:rsid w:val="00065E47"/>
    <w:rsid w:val="00066305"/>
    <w:rsid w:val="0006646A"/>
    <w:rsid w:val="000709B0"/>
    <w:rsid w:val="000714AC"/>
    <w:rsid w:val="00072003"/>
    <w:rsid w:val="00073AA7"/>
    <w:rsid w:val="0007431B"/>
    <w:rsid w:val="00076A02"/>
    <w:rsid w:val="00077D88"/>
    <w:rsid w:val="00080007"/>
    <w:rsid w:val="0008128C"/>
    <w:rsid w:val="000818A0"/>
    <w:rsid w:val="0008212F"/>
    <w:rsid w:val="000821BD"/>
    <w:rsid w:val="000830A2"/>
    <w:rsid w:val="000845E4"/>
    <w:rsid w:val="00085FF6"/>
    <w:rsid w:val="000862BD"/>
    <w:rsid w:val="000871E3"/>
    <w:rsid w:val="00087359"/>
    <w:rsid w:val="00087B84"/>
    <w:rsid w:val="0009005A"/>
    <w:rsid w:val="000904B6"/>
    <w:rsid w:val="000907F4"/>
    <w:rsid w:val="00091CBC"/>
    <w:rsid w:val="00092995"/>
    <w:rsid w:val="0009412D"/>
    <w:rsid w:val="00095155"/>
    <w:rsid w:val="000955A0"/>
    <w:rsid w:val="00096096"/>
    <w:rsid w:val="00096542"/>
    <w:rsid w:val="000A0FB6"/>
    <w:rsid w:val="000A1220"/>
    <w:rsid w:val="000A32B4"/>
    <w:rsid w:val="000A7596"/>
    <w:rsid w:val="000B0226"/>
    <w:rsid w:val="000B0FFE"/>
    <w:rsid w:val="000B1005"/>
    <w:rsid w:val="000B2FB6"/>
    <w:rsid w:val="000B31DF"/>
    <w:rsid w:val="000B3D13"/>
    <w:rsid w:val="000B4FF0"/>
    <w:rsid w:val="000B5084"/>
    <w:rsid w:val="000B5A93"/>
    <w:rsid w:val="000C0763"/>
    <w:rsid w:val="000C32D1"/>
    <w:rsid w:val="000C3928"/>
    <w:rsid w:val="000C45F5"/>
    <w:rsid w:val="000C7A4A"/>
    <w:rsid w:val="000C7C6C"/>
    <w:rsid w:val="000D1BED"/>
    <w:rsid w:val="000D598E"/>
    <w:rsid w:val="000D5C68"/>
    <w:rsid w:val="000D6889"/>
    <w:rsid w:val="000D6C84"/>
    <w:rsid w:val="000D716D"/>
    <w:rsid w:val="000D7511"/>
    <w:rsid w:val="000E06F0"/>
    <w:rsid w:val="000E1688"/>
    <w:rsid w:val="000E1D57"/>
    <w:rsid w:val="000E2349"/>
    <w:rsid w:val="000E2922"/>
    <w:rsid w:val="000E29C7"/>
    <w:rsid w:val="000E3BD9"/>
    <w:rsid w:val="000E3C71"/>
    <w:rsid w:val="000E6CFB"/>
    <w:rsid w:val="000E6E9F"/>
    <w:rsid w:val="000F0DE6"/>
    <w:rsid w:val="000F1221"/>
    <w:rsid w:val="000F1568"/>
    <w:rsid w:val="000F67F4"/>
    <w:rsid w:val="000F6A5C"/>
    <w:rsid w:val="000F6D01"/>
    <w:rsid w:val="000F7286"/>
    <w:rsid w:val="000F7795"/>
    <w:rsid w:val="0010109B"/>
    <w:rsid w:val="001027D2"/>
    <w:rsid w:val="00104225"/>
    <w:rsid w:val="001060EB"/>
    <w:rsid w:val="00107C50"/>
    <w:rsid w:val="00110755"/>
    <w:rsid w:val="00111000"/>
    <w:rsid w:val="001118FC"/>
    <w:rsid w:val="00111D78"/>
    <w:rsid w:val="00112009"/>
    <w:rsid w:val="0011204C"/>
    <w:rsid w:val="00112214"/>
    <w:rsid w:val="00112E0C"/>
    <w:rsid w:val="0011461F"/>
    <w:rsid w:val="00114699"/>
    <w:rsid w:val="0011503B"/>
    <w:rsid w:val="00115C0E"/>
    <w:rsid w:val="00115EF0"/>
    <w:rsid w:val="001166A6"/>
    <w:rsid w:val="0011691E"/>
    <w:rsid w:val="00117AC4"/>
    <w:rsid w:val="00117D71"/>
    <w:rsid w:val="0012088A"/>
    <w:rsid w:val="00122345"/>
    <w:rsid w:val="0012249E"/>
    <w:rsid w:val="001224E7"/>
    <w:rsid w:val="00123989"/>
    <w:rsid w:val="001258AA"/>
    <w:rsid w:val="00126708"/>
    <w:rsid w:val="00127747"/>
    <w:rsid w:val="00131209"/>
    <w:rsid w:val="00133046"/>
    <w:rsid w:val="00133BB2"/>
    <w:rsid w:val="00133BB7"/>
    <w:rsid w:val="00133F0B"/>
    <w:rsid w:val="00134277"/>
    <w:rsid w:val="001345AA"/>
    <w:rsid w:val="001356BB"/>
    <w:rsid w:val="0013615B"/>
    <w:rsid w:val="00136213"/>
    <w:rsid w:val="001362AD"/>
    <w:rsid w:val="001363D4"/>
    <w:rsid w:val="0013740F"/>
    <w:rsid w:val="00140451"/>
    <w:rsid w:val="00143730"/>
    <w:rsid w:val="0014493E"/>
    <w:rsid w:val="001462A6"/>
    <w:rsid w:val="00146E0C"/>
    <w:rsid w:val="00150521"/>
    <w:rsid w:val="001505E4"/>
    <w:rsid w:val="00150CF1"/>
    <w:rsid w:val="001511E1"/>
    <w:rsid w:val="00151B8C"/>
    <w:rsid w:val="001534B1"/>
    <w:rsid w:val="001544D6"/>
    <w:rsid w:val="00154A06"/>
    <w:rsid w:val="00154A9A"/>
    <w:rsid w:val="00156279"/>
    <w:rsid w:val="00156BD6"/>
    <w:rsid w:val="0015764F"/>
    <w:rsid w:val="001601B6"/>
    <w:rsid w:val="00162B47"/>
    <w:rsid w:val="001643CF"/>
    <w:rsid w:val="001645F5"/>
    <w:rsid w:val="0016549D"/>
    <w:rsid w:val="001659F0"/>
    <w:rsid w:val="0016696D"/>
    <w:rsid w:val="00166E08"/>
    <w:rsid w:val="0017165A"/>
    <w:rsid w:val="001729B0"/>
    <w:rsid w:val="00174248"/>
    <w:rsid w:val="0017657F"/>
    <w:rsid w:val="001766BE"/>
    <w:rsid w:val="00177C3C"/>
    <w:rsid w:val="00180156"/>
    <w:rsid w:val="00180AAC"/>
    <w:rsid w:val="00181012"/>
    <w:rsid w:val="00182A38"/>
    <w:rsid w:val="001839DC"/>
    <w:rsid w:val="00185B20"/>
    <w:rsid w:val="00185BB4"/>
    <w:rsid w:val="00186B7C"/>
    <w:rsid w:val="00187F7B"/>
    <w:rsid w:val="00190072"/>
    <w:rsid w:val="001909D5"/>
    <w:rsid w:val="00192789"/>
    <w:rsid w:val="00192F7C"/>
    <w:rsid w:val="00194731"/>
    <w:rsid w:val="00197F2E"/>
    <w:rsid w:val="001A0E62"/>
    <w:rsid w:val="001A1A27"/>
    <w:rsid w:val="001A1C5F"/>
    <w:rsid w:val="001A37BC"/>
    <w:rsid w:val="001A4318"/>
    <w:rsid w:val="001A5BD8"/>
    <w:rsid w:val="001A5F8B"/>
    <w:rsid w:val="001B1459"/>
    <w:rsid w:val="001B27AD"/>
    <w:rsid w:val="001B346C"/>
    <w:rsid w:val="001B388A"/>
    <w:rsid w:val="001B43FF"/>
    <w:rsid w:val="001B546B"/>
    <w:rsid w:val="001B67AB"/>
    <w:rsid w:val="001B7141"/>
    <w:rsid w:val="001C3282"/>
    <w:rsid w:val="001C5B1C"/>
    <w:rsid w:val="001C64D2"/>
    <w:rsid w:val="001C79CB"/>
    <w:rsid w:val="001D240A"/>
    <w:rsid w:val="001D2468"/>
    <w:rsid w:val="001D505C"/>
    <w:rsid w:val="001D579A"/>
    <w:rsid w:val="001D5C70"/>
    <w:rsid w:val="001D7641"/>
    <w:rsid w:val="001E0D5C"/>
    <w:rsid w:val="001E10F9"/>
    <w:rsid w:val="001E50C6"/>
    <w:rsid w:val="001E5643"/>
    <w:rsid w:val="001E6030"/>
    <w:rsid w:val="001E636A"/>
    <w:rsid w:val="001E6D19"/>
    <w:rsid w:val="001E75C1"/>
    <w:rsid w:val="001E781C"/>
    <w:rsid w:val="001E7E44"/>
    <w:rsid w:val="001F03C7"/>
    <w:rsid w:val="001F0CE4"/>
    <w:rsid w:val="001F19C0"/>
    <w:rsid w:val="001F3CE2"/>
    <w:rsid w:val="001F4FEF"/>
    <w:rsid w:val="001F56D3"/>
    <w:rsid w:val="001F6E5F"/>
    <w:rsid w:val="001F786C"/>
    <w:rsid w:val="0020400A"/>
    <w:rsid w:val="002040C6"/>
    <w:rsid w:val="00204266"/>
    <w:rsid w:val="00204AC7"/>
    <w:rsid w:val="00205046"/>
    <w:rsid w:val="0020599E"/>
    <w:rsid w:val="00206583"/>
    <w:rsid w:val="00210431"/>
    <w:rsid w:val="00212738"/>
    <w:rsid w:val="00212758"/>
    <w:rsid w:val="00212C15"/>
    <w:rsid w:val="002143B5"/>
    <w:rsid w:val="002202FC"/>
    <w:rsid w:val="0022034D"/>
    <w:rsid w:val="00220929"/>
    <w:rsid w:val="00220E17"/>
    <w:rsid w:val="00223533"/>
    <w:rsid w:val="002251F0"/>
    <w:rsid w:val="00225787"/>
    <w:rsid w:val="00225EDD"/>
    <w:rsid w:val="002266BC"/>
    <w:rsid w:val="00230745"/>
    <w:rsid w:val="00230D10"/>
    <w:rsid w:val="002312BD"/>
    <w:rsid w:val="00231890"/>
    <w:rsid w:val="00232A13"/>
    <w:rsid w:val="00233A9A"/>
    <w:rsid w:val="00234078"/>
    <w:rsid w:val="002349D7"/>
    <w:rsid w:val="00237305"/>
    <w:rsid w:val="002375A3"/>
    <w:rsid w:val="002411DC"/>
    <w:rsid w:val="0024125E"/>
    <w:rsid w:val="002416E6"/>
    <w:rsid w:val="00242E9D"/>
    <w:rsid w:val="002435AD"/>
    <w:rsid w:val="00244480"/>
    <w:rsid w:val="00244B74"/>
    <w:rsid w:val="00245C3E"/>
    <w:rsid w:val="00246B1F"/>
    <w:rsid w:val="00246EC8"/>
    <w:rsid w:val="00247AE5"/>
    <w:rsid w:val="00253611"/>
    <w:rsid w:val="00253DF7"/>
    <w:rsid w:val="00253E9E"/>
    <w:rsid w:val="00254858"/>
    <w:rsid w:val="002553B4"/>
    <w:rsid w:val="00256294"/>
    <w:rsid w:val="002564E8"/>
    <w:rsid w:val="00257766"/>
    <w:rsid w:val="00257D84"/>
    <w:rsid w:val="0026150B"/>
    <w:rsid w:val="00262482"/>
    <w:rsid w:val="002634EB"/>
    <w:rsid w:val="00264109"/>
    <w:rsid w:val="0026421C"/>
    <w:rsid w:val="002642C4"/>
    <w:rsid w:val="00265878"/>
    <w:rsid w:val="00266335"/>
    <w:rsid w:val="00266D56"/>
    <w:rsid w:val="00267206"/>
    <w:rsid w:val="002672D3"/>
    <w:rsid w:val="00267FCE"/>
    <w:rsid w:val="0027022A"/>
    <w:rsid w:val="0027027B"/>
    <w:rsid w:val="0027104F"/>
    <w:rsid w:val="002725D9"/>
    <w:rsid w:val="0027635B"/>
    <w:rsid w:val="00277210"/>
    <w:rsid w:val="00280CD2"/>
    <w:rsid w:val="00281A45"/>
    <w:rsid w:val="002823BE"/>
    <w:rsid w:val="00283769"/>
    <w:rsid w:val="00283800"/>
    <w:rsid w:val="00286F75"/>
    <w:rsid w:val="00287633"/>
    <w:rsid w:val="00290219"/>
    <w:rsid w:val="0029051C"/>
    <w:rsid w:val="002906E2"/>
    <w:rsid w:val="00291E2F"/>
    <w:rsid w:val="0029217F"/>
    <w:rsid w:val="00292843"/>
    <w:rsid w:val="00294FD8"/>
    <w:rsid w:val="0029587D"/>
    <w:rsid w:val="00295E2C"/>
    <w:rsid w:val="00295EB6"/>
    <w:rsid w:val="002962DE"/>
    <w:rsid w:val="00297686"/>
    <w:rsid w:val="00297D2B"/>
    <w:rsid w:val="002A0667"/>
    <w:rsid w:val="002A10D4"/>
    <w:rsid w:val="002A12B3"/>
    <w:rsid w:val="002A15AE"/>
    <w:rsid w:val="002A2680"/>
    <w:rsid w:val="002A2A6E"/>
    <w:rsid w:val="002A2AEB"/>
    <w:rsid w:val="002A53BE"/>
    <w:rsid w:val="002A54BD"/>
    <w:rsid w:val="002A65C7"/>
    <w:rsid w:val="002A6A83"/>
    <w:rsid w:val="002A7A2A"/>
    <w:rsid w:val="002B0677"/>
    <w:rsid w:val="002B1091"/>
    <w:rsid w:val="002B1416"/>
    <w:rsid w:val="002B1BE9"/>
    <w:rsid w:val="002B1E7B"/>
    <w:rsid w:val="002B4164"/>
    <w:rsid w:val="002B5522"/>
    <w:rsid w:val="002B67AC"/>
    <w:rsid w:val="002B7399"/>
    <w:rsid w:val="002B7ACF"/>
    <w:rsid w:val="002C0F9D"/>
    <w:rsid w:val="002C1BF5"/>
    <w:rsid w:val="002C2870"/>
    <w:rsid w:val="002C3FC7"/>
    <w:rsid w:val="002C4E10"/>
    <w:rsid w:val="002C6CC7"/>
    <w:rsid w:val="002D358E"/>
    <w:rsid w:val="002D390B"/>
    <w:rsid w:val="002D394F"/>
    <w:rsid w:val="002D40A2"/>
    <w:rsid w:val="002D4196"/>
    <w:rsid w:val="002D4552"/>
    <w:rsid w:val="002D4E1E"/>
    <w:rsid w:val="002D5085"/>
    <w:rsid w:val="002D5EEC"/>
    <w:rsid w:val="002D742A"/>
    <w:rsid w:val="002E2F5A"/>
    <w:rsid w:val="002F066C"/>
    <w:rsid w:val="002F2687"/>
    <w:rsid w:val="002F4AE5"/>
    <w:rsid w:val="002F4D61"/>
    <w:rsid w:val="002F4D76"/>
    <w:rsid w:val="002F6550"/>
    <w:rsid w:val="002F7254"/>
    <w:rsid w:val="00301248"/>
    <w:rsid w:val="00301F2E"/>
    <w:rsid w:val="00305DD9"/>
    <w:rsid w:val="00307745"/>
    <w:rsid w:val="003077D0"/>
    <w:rsid w:val="00310BE7"/>
    <w:rsid w:val="00310E2B"/>
    <w:rsid w:val="00311018"/>
    <w:rsid w:val="00311083"/>
    <w:rsid w:val="00313369"/>
    <w:rsid w:val="00313FFD"/>
    <w:rsid w:val="00316148"/>
    <w:rsid w:val="00316D0F"/>
    <w:rsid w:val="00320DBE"/>
    <w:rsid w:val="00321F49"/>
    <w:rsid w:val="0032229F"/>
    <w:rsid w:val="00322544"/>
    <w:rsid w:val="00322AAC"/>
    <w:rsid w:val="00323C56"/>
    <w:rsid w:val="00324FF6"/>
    <w:rsid w:val="003256B8"/>
    <w:rsid w:val="003257DC"/>
    <w:rsid w:val="0032595D"/>
    <w:rsid w:val="00326ED7"/>
    <w:rsid w:val="00327018"/>
    <w:rsid w:val="003271BC"/>
    <w:rsid w:val="003274DB"/>
    <w:rsid w:val="0032751C"/>
    <w:rsid w:val="0032768B"/>
    <w:rsid w:val="00330247"/>
    <w:rsid w:val="0033036E"/>
    <w:rsid w:val="00330E90"/>
    <w:rsid w:val="00331B88"/>
    <w:rsid w:val="003333DA"/>
    <w:rsid w:val="00333649"/>
    <w:rsid w:val="00341AC9"/>
    <w:rsid w:val="00343A0C"/>
    <w:rsid w:val="00343D92"/>
    <w:rsid w:val="003446DF"/>
    <w:rsid w:val="003463F8"/>
    <w:rsid w:val="003514B7"/>
    <w:rsid w:val="003517F4"/>
    <w:rsid w:val="003519AA"/>
    <w:rsid w:val="00351DDC"/>
    <w:rsid w:val="00351FE3"/>
    <w:rsid w:val="00352B71"/>
    <w:rsid w:val="00353C2D"/>
    <w:rsid w:val="00354A4C"/>
    <w:rsid w:val="003554F5"/>
    <w:rsid w:val="00355FD2"/>
    <w:rsid w:val="00356912"/>
    <w:rsid w:val="00356A20"/>
    <w:rsid w:val="0036002E"/>
    <w:rsid w:val="00360906"/>
    <w:rsid w:val="00361F6E"/>
    <w:rsid w:val="0036317D"/>
    <w:rsid w:val="003632D1"/>
    <w:rsid w:val="003637E1"/>
    <w:rsid w:val="003678D6"/>
    <w:rsid w:val="00370A27"/>
    <w:rsid w:val="00371C45"/>
    <w:rsid w:val="00372438"/>
    <w:rsid w:val="003743C8"/>
    <w:rsid w:val="00375F43"/>
    <w:rsid w:val="00376224"/>
    <w:rsid w:val="00380936"/>
    <w:rsid w:val="00380ED2"/>
    <w:rsid w:val="0038265A"/>
    <w:rsid w:val="00383F29"/>
    <w:rsid w:val="003841D2"/>
    <w:rsid w:val="00386970"/>
    <w:rsid w:val="00386F42"/>
    <w:rsid w:val="00387823"/>
    <w:rsid w:val="00387A3C"/>
    <w:rsid w:val="00390721"/>
    <w:rsid w:val="00390A57"/>
    <w:rsid w:val="00391450"/>
    <w:rsid w:val="00392789"/>
    <w:rsid w:val="00394460"/>
    <w:rsid w:val="00394986"/>
    <w:rsid w:val="00395224"/>
    <w:rsid w:val="003976AC"/>
    <w:rsid w:val="0039794C"/>
    <w:rsid w:val="003A0B34"/>
    <w:rsid w:val="003A2252"/>
    <w:rsid w:val="003A2A93"/>
    <w:rsid w:val="003A2F26"/>
    <w:rsid w:val="003A4420"/>
    <w:rsid w:val="003A51C1"/>
    <w:rsid w:val="003A6487"/>
    <w:rsid w:val="003A6C0A"/>
    <w:rsid w:val="003B0563"/>
    <w:rsid w:val="003B1156"/>
    <w:rsid w:val="003B1165"/>
    <w:rsid w:val="003B20EE"/>
    <w:rsid w:val="003B3DA5"/>
    <w:rsid w:val="003B4658"/>
    <w:rsid w:val="003B4A79"/>
    <w:rsid w:val="003B61B4"/>
    <w:rsid w:val="003B6539"/>
    <w:rsid w:val="003B7357"/>
    <w:rsid w:val="003B7539"/>
    <w:rsid w:val="003C010E"/>
    <w:rsid w:val="003C020D"/>
    <w:rsid w:val="003C47B2"/>
    <w:rsid w:val="003C4D7C"/>
    <w:rsid w:val="003C7C8E"/>
    <w:rsid w:val="003C7DE2"/>
    <w:rsid w:val="003C7FF8"/>
    <w:rsid w:val="003D060E"/>
    <w:rsid w:val="003D086F"/>
    <w:rsid w:val="003D1AFF"/>
    <w:rsid w:val="003D2401"/>
    <w:rsid w:val="003D2E0B"/>
    <w:rsid w:val="003D38A3"/>
    <w:rsid w:val="003D4335"/>
    <w:rsid w:val="003D5996"/>
    <w:rsid w:val="003D6747"/>
    <w:rsid w:val="003D6753"/>
    <w:rsid w:val="003D796E"/>
    <w:rsid w:val="003E1688"/>
    <w:rsid w:val="003E1F58"/>
    <w:rsid w:val="003E38A0"/>
    <w:rsid w:val="003E4058"/>
    <w:rsid w:val="003E428E"/>
    <w:rsid w:val="003E6100"/>
    <w:rsid w:val="003E6617"/>
    <w:rsid w:val="003E722C"/>
    <w:rsid w:val="003F01DE"/>
    <w:rsid w:val="003F2E71"/>
    <w:rsid w:val="003F2EE8"/>
    <w:rsid w:val="003F396B"/>
    <w:rsid w:val="003F41B3"/>
    <w:rsid w:val="003F41DE"/>
    <w:rsid w:val="003F4BC4"/>
    <w:rsid w:val="003F5BA4"/>
    <w:rsid w:val="003F5CC3"/>
    <w:rsid w:val="003F6C1B"/>
    <w:rsid w:val="003F7374"/>
    <w:rsid w:val="00400F0B"/>
    <w:rsid w:val="00401942"/>
    <w:rsid w:val="00401F2D"/>
    <w:rsid w:val="00402307"/>
    <w:rsid w:val="00403459"/>
    <w:rsid w:val="004038D3"/>
    <w:rsid w:val="00404A3A"/>
    <w:rsid w:val="004059B0"/>
    <w:rsid w:val="00406390"/>
    <w:rsid w:val="00410C4D"/>
    <w:rsid w:val="00410CA7"/>
    <w:rsid w:val="00413EC0"/>
    <w:rsid w:val="0041661B"/>
    <w:rsid w:val="00420696"/>
    <w:rsid w:val="00426540"/>
    <w:rsid w:val="00426D2E"/>
    <w:rsid w:val="00427813"/>
    <w:rsid w:val="00427A32"/>
    <w:rsid w:val="004320BA"/>
    <w:rsid w:val="004321F1"/>
    <w:rsid w:val="00433237"/>
    <w:rsid w:val="00434191"/>
    <w:rsid w:val="004347DF"/>
    <w:rsid w:val="00435247"/>
    <w:rsid w:val="00435930"/>
    <w:rsid w:val="004400EF"/>
    <w:rsid w:val="00440703"/>
    <w:rsid w:val="00440972"/>
    <w:rsid w:val="00440EC0"/>
    <w:rsid w:val="00443C71"/>
    <w:rsid w:val="004444DE"/>
    <w:rsid w:val="00444BDE"/>
    <w:rsid w:val="00445BEF"/>
    <w:rsid w:val="00445F76"/>
    <w:rsid w:val="00450314"/>
    <w:rsid w:val="00450D36"/>
    <w:rsid w:val="00452F29"/>
    <w:rsid w:val="00455EAA"/>
    <w:rsid w:val="0046009F"/>
    <w:rsid w:val="00460510"/>
    <w:rsid w:val="00460E3D"/>
    <w:rsid w:val="004615FD"/>
    <w:rsid w:val="004629BE"/>
    <w:rsid w:val="00462A8D"/>
    <w:rsid w:val="00462DED"/>
    <w:rsid w:val="00463A1C"/>
    <w:rsid w:val="00463C8E"/>
    <w:rsid w:val="004653C4"/>
    <w:rsid w:val="00466524"/>
    <w:rsid w:val="00466F07"/>
    <w:rsid w:val="0046759D"/>
    <w:rsid w:val="00467899"/>
    <w:rsid w:val="00471A43"/>
    <w:rsid w:val="004725B5"/>
    <w:rsid w:val="004732C4"/>
    <w:rsid w:val="00474936"/>
    <w:rsid w:val="0047516D"/>
    <w:rsid w:val="00476B0A"/>
    <w:rsid w:val="00476F40"/>
    <w:rsid w:val="00477B99"/>
    <w:rsid w:val="00480DCD"/>
    <w:rsid w:val="00481D58"/>
    <w:rsid w:val="0048449C"/>
    <w:rsid w:val="0048495A"/>
    <w:rsid w:val="0048659B"/>
    <w:rsid w:val="00486972"/>
    <w:rsid w:val="00487700"/>
    <w:rsid w:val="00487961"/>
    <w:rsid w:val="0049058F"/>
    <w:rsid w:val="00490C88"/>
    <w:rsid w:val="00492EAD"/>
    <w:rsid w:val="00493072"/>
    <w:rsid w:val="00495B6F"/>
    <w:rsid w:val="00495F15"/>
    <w:rsid w:val="00496DB0"/>
    <w:rsid w:val="004A229A"/>
    <w:rsid w:val="004A235A"/>
    <w:rsid w:val="004A238E"/>
    <w:rsid w:val="004A28A3"/>
    <w:rsid w:val="004A2D15"/>
    <w:rsid w:val="004A3C15"/>
    <w:rsid w:val="004A3FB7"/>
    <w:rsid w:val="004A44CA"/>
    <w:rsid w:val="004A4BC8"/>
    <w:rsid w:val="004A4FE0"/>
    <w:rsid w:val="004A6527"/>
    <w:rsid w:val="004A6E50"/>
    <w:rsid w:val="004A7D5C"/>
    <w:rsid w:val="004B071A"/>
    <w:rsid w:val="004B0BE5"/>
    <w:rsid w:val="004B0ECF"/>
    <w:rsid w:val="004B2AC4"/>
    <w:rsid w:val="004B2F7A"/>
    <w:rsid w:val="004B377C"/>
    <w:rsid w:val="004B3EB9"/>
    <w:rsid w:val="004B5012"/>
    <w:rsid w:val="004B6385"/>
    <w:rsid w:val="004B7DB5"/>
    <w:rsid w:val="004B7FC2"/>
    <w:rsid w:val="004C065E"/>
    <w:rsid w:val="004C3A78"/>
    <w:rsid w:val="004C54E5"/>
    <w:rsid w:val="004C57CA"/>
    <w:rsid w:val="004C66F5"/>
    <w:rsid w:val="004C6A48"/>
    <w:rsid w:val="004C6EB7"/>
    <w:rsid w:val="004D375D"/>
    <w:rsid w:val="004D40E0"/>
    <w:rsid w:val="004D43B3"/>
    <w:rsid w:val="004D45EC"/>
    <w:rsid w:val="004D5622"/>
    <w:rsid w:val="004D7458"/>
    <w:rsid w:val="004E3E42"/>
    <w:rsid w:val="004E4994"/>
    <w:rsid w:val="004E4C3B"/>
    <w:rsid w:val="004E7222"/>
    <w:rsid w:val="004F074D"/>
    <w:rsid w:val="004F2CE1"/>
    <w:rsid w:val="004F2EBD"/>
    <w:rsid w:val="004F3941"/>
    <w:rsid w:val="004F3BB8"/>
    <w:rsid w:val="00500AFB"/>
    <w:rsid w:val="0050160F"/>
    <w:rsid w:val="00503D15"/>
    <w:rsid w:val="005046DC"/>
    <w:rsid w:val="00506854"/>
    <w:rsid w:val="00506F68"/>
    <w:rsid w:val="00513033"/>
    <w:rsid w:val="00513AF4"/>
    <w:rsid w:val="00513AFD"/>
    <w:rsid w:val="00514BCE"/>
    <w:rsid w:val="00514CF7"/>
    <w:rsid w:val="00515B87"/>
    <w:rsid w:val="005204F5"/>
    <w:rsid w:val="00521065"/>
    <w:rsid w:val="005219B3"/>
    <w:rsid w:val="005223A7"/>
    <w:rsid w:val="005238D3"/>
    <w:rsid w:val="00526D34"/>
    <w:rsid w:val="005270C9"/>
    <w:rsid w:val="00527103"/>
    <w:rsid w:val="005309F3"/>
    <w:rsid w:val="00532C12"/>
    <w:rsid w:val="00532E8F"/>
    <w:rsid w:val="00536A71"/>
    <w:rsid w:val="0054173A"/>
    <w:rsid w:val="00543FA0"/>
    <w:rsid w:val="00544124"/>
    <w:rsid w:val="0054426A"/>
    <w:rsid w:val="0054559D"/>
    <w:rsid w:val="00545B0F"/>
    <w:rsid w:val="00545BB8"/>
    <w:rsid w:val="00546474"/>
    <w:rsid w:val="0055134A"/>
    <w:rsid w:val="00552EA9"/>
    <w:rsid w:val="00552ED7"/>
    <w:rsid w:val="005538EF"/>
    <w:rsid w:val="00555B33"/>
    <w:rsid w:val="00556DF3"/>
    <w:rsid w:val="005609B3"/>
    <w:rsid w:val="005609F5"/>
    <w:rsid w:val="005616B0"/>
    <w:rsid w:val="0056414E"/>
    <w:rsid w:val="0057011B"/>
    <w:rsid w:val="005702DC"/>
    <w:rsid w:val="0057048D"/>
    <w:rsid w:val="00571175"/>
    <w:rsid w:val="00571764"/>
    <w:rsid w:val="00571797"/>
    <w:rsid w:val="00571E32"/>
    <w:rsid w:val="005726A0"/>
    <w:rsid w:val="00572BA8"/>
    <w:rsid w:val="00573E75"/>
    <w:rsid w:val="00575B1D"/>
    <w:rsid w:val="005765A0"/>
    <w:rsid w:val="0057714C"/>
    <w:rsid w:val="00577E9A"/>
    <w:rsid w:val="0058043E"/>
    <w:rsid w:val="00580E30"/>
    <w:rsid w:val="005813F0"/>
    <w:rsid w:val="00581446"/>
    <w:rsid w:val="00581A96"/>
    <w:rsid w:val="00584119"/>
    <w:rsid w:val="00584FC3"/>
    <w:rsid w:val="0058554F"/>
    <w:rsid w:val="005858AE"/>
    <w:rsid w:val="00586CA5"/>
    <w:rsid w:val="0058734D"/>
    <w:rsid w:val="00587D08"/>
    <w:rsid w:val="0059006F"/>
    <w:rsid w:val="005909C5"/>
    <w:rsid w:val="005913D8"/>
    <w:rsid w:val="00591A97"/>
    <w:rsid w:val="0059239D"/>
    <w:rsid w:val="005926A9"/>
    <w:rsid w:val="00593318"/>
    <w:rsid w:val="00593678"/>
    <w:rsid w:val="0059669F"/>
    <w:rsid w:val="00596A5F"/>
    <w:rsid w:val="005A1316"/>
    <w:rsid w:val="005A28EA"/>
    <w:rsid w:val="005A2C08"/>
    <w:rsid w:val="005A65D0"/>
    <w:rsid w:val="005A749E"/>
    <w:rsid w:val="005B074D"/>
    <w:rsid w:val="005B0B45"/>
    <w:rsid w:val="005B10C3"/>
    <w:rsid w:val="005B28BF"/>
    <w:rsid w:val="005B2FBD"/>
    <w:rsid w:val="005B36EC"/>
    <w:rsid w:val="005B3E9B"/>
    <w:rsid w:val="005B528C"/>
    <w:rsid w:val="005B6A3E"/>
    <w:rsid w:val="005B70E0"/>
    <w:rsid w:val="005B744B"/>
    <w:rsid w:val="005B76B6"/>
    <w:rsid w:val="005B7CC5"/>
    <w:rsid w:val="005C32DD"/>
    <w:rsid w:val="005C333C"/>
    <w:rsid w:val="005C7862"/>
    <w:rsid w:val="005C7ECC"/>
    <w:rsid w:val="005D0B6B"/>
    <w:rsid w:val="005D29C1"/>
    <w:rsid w:val="005D3389"/>
    <w:rsid w:val="005D3AE1"/>
    <w:rsid w:val="005D5B71"/>
    <w:rsid w:val="005D61C2"/>
    <w:rsid w:val="005D72BD"/>
    <w:rsid w:val="005E0170"/>
    <w:rsid w:val="005E141E"/>
    <w:rsid w:val="005E1D46"/>
    <w:rsid w:val="005E2EF3"/>
    <w:rsid w:val="005E3077"/>
    <w:rsid w:val="005E330A"/>
    <w:rsid w:val="005E3783"/>
    <w:rsid w:val="005E4A09"/>
    <w:rsid w:val="005E4C08"/>
    <w:rsid w:val="005E4D12"/>
    <w:rsid w:val="005E52C6"/>
    <w:rsid w:val="005E616C"/>
    <w:rsid w:val="005E7CAB"/>
    <w:rsid w:val="005F01BC"/>
    <w:rsid w:val="005F18C8"/>
    <w:rsid w:val="005F347F"/>
    <w:rsid w:val="005F398B"/>
    <w:rsid w:val="005F3E79"/>
    <w:rsid w:val="005F4463"/>
    <w:rsid w:val="005F5578"/>
    <w:rsid w:val="005F7717"/>
    <w:rsid w:val="00600231"/>
    <w:rsid w:val="0060083C"/>
    <w:rsid w:val="0060140D"/>
    <w:rsid w:val="0060243F"/>
    <w:rsid w:val="006028DC"/>
    <w:rsid w:val="00602F51"/>
    <w:rsid w:val="00603097"/>
    <w:rsid w:val="006036AB"/>
    <w:rsid w:val="00603B07"/>
    <w:rsid w:val="00603B86"/>
    <w:rsid w:val="00603E9D"/>
    <w:rsid w:val="00604087"/>
    <w:rsid w:val="006065F2"/>
    <w:rsid w:val="006109E3"/>
    <w:rsid w:val="006116C0"/>
    <w:rsid w:val="00611735"/>
    <w:rsid w:val="0061247F"/>
    <w:rsid w:val="00612513"/>
    <w:rsid w:val="00612E3E"/>
    <w:rsid w:val="00612F7B"/>
    <w:rsid w:val="0061504F"/>
    <w:rsid w:val="00616E1C"/>
    <w:rsid w:val="00617350"/>
    <w:rsid w:val="00617EE1"/>
    <w:rsid w:val="00620DC0"/>
    <w:rsid w:val="0062242B"/>
    <w:rsid w:val="00622E90"/>
    <w:rsid w:val="006239A2"/>
    <w:rsid w:val="00623C7E"/>
    <w:rsid w:val="00623D81"/>
    <w:rsid w:val="006242B3"/>
    <w:rsid w:val="00624447"/>
    <w:rsid w:val="006247AB"/>
    <w:rsid w:val="00625CFE"/>
    <w:rsid w:val="00626965"/>
    <w:rsid w:val="006270B8"/>
    <w:rsid w:val="00627604"/>
    <w:rsid w:val="00627647"/>
    <w:rsid w:val="00630AF9"/>
    <w:rsid w:val="006311AA"/>
    <w:rsid w:val="0063259A"/>
    <w:rsid w:val="00632CBF"/>
    <w:rsid w:val="00633360"/>
    <w:rsid w:val="006333B9"/>
    <w:rsid w:val="0063503A"/>
    <w:rsid w:val="006352F2"/>
    <w:rsid w:val="0063584C"/>
    <w:rsid w:val="00640BF4"/>
    <w:rsid w:val="006417EF"/>
    <w:rsid w:val="00643390"/>
    <w:rsid w:val="006434B7"/>
    <w:rsid w:val="00646DB1"/>
    <w:rsid w:val="00647E74"/>
    <w:rsid w:val="00652017"/>
    <w:rsid w:val="0065230A"/>
    <w:rsid w:val="0065269F"/>
    <w:rsid w:val="006538C4"/>
    <w:rsid w:val="006542B4"/>
    <w:rsid w:val="0065457E"/>
    <w:rsid w:val="00654D69"/>
    <w:rsid w:val="0065536A"/>
    <w:rsid w:val="00656394"/>
    <w:rsid w:val="006570FF"/>
    <w:rsid w:val="00660A65"/>
    <w:rsid w:val="0066143C"/>
    <w:rsid w:val="006614FF"/>
    <w:rsid w:val="006652B4"/>
    <w:rsid w:val="006653E9"/>
    <w:rsid w:val="006667BE"/>
    <w:rsid w:val="00666EB2"/>
    <w:rsid w:val="0066766D"/>
    <w:rsid w:val="00667D60"/>
    <w:rsid w:val="00671D63"/>
    <w:rsid w:val="00672195"/>
    <w:rsid w:val="00672F40"/>
    <w:rsid w:val="00676039"/>
    <w:rsid w:val="00676255"/>
    <w:rsid w:val="00676303"/>
    <w:rsid w:val="00681F94"/>
    <w:rsid w:val="00682AC0"/>
    <w:rsid w:val="00683723"/>
    <w:rsid w:val="00683E60"/>
    <w:rsid w:val="0068478B"/>
    <w:rsid w:val="00684D15"/>
    <w:rsid w:val="00686728"/>
    <w:rsid w:val="00686792"/>
    <w:rsid w:val="0068699A"/>
    <w:rsid w:val="0068777A"/>
    <w:rsid w:val="006914B8"/>
    <w:rsid w:val="00692700"/>
    <w:rsid w:val="00692F38"/>
    <w:rsid w:val="00693483"/>
    <w:rsid w:val="00693B91"/>
    <w:rsid w:val="006949BE"/>
    <w:rsid w:val="00695D1D"/>
    <w:rsid w:val="006A0132"/>
    <w:rsid w:val="006A4739"/>
    <w:rsid w:val="006A48F2"/>
    <w:rsid w:val="006A7495"/>
    <w:rsid w:val="006A74E0"/>
    <w:rsid w:val="006B425D"/>
    <w:rsid w:val="006B483B"/>
    <w:rsid w:val="006B5451"/>
    <w:rsid w:val="006B5A41"/>
    <w:rsid w:val="006B633A"/>
    <w:rsid w:val="006B6ABB"/>
    <w:rsid w:val="006B6DD8"/>
    <w:rsid w:val="006B7D1E"/>
    <w:rsid w:val="006C0670"/>
    <w:rsid w:val="006C0D86"/>
    <w:rsid w:val="006C13FF"/>
    <w:rsid w:val="006C1CCC"/>
    <w:rsid w:val="006C2F17"/>
    <w:rsid w:val="006C3CF2"/>
    <w:rsid w:val="006C423E"/>
    <w:rsid w:val="006C443B"/>
    <w:rsid w:val="006C6680"/>
    <w:rsid w:val="006C6762"/>
    <w:rsid w:val="006C6F52"/>
    <w:rsid w:val="006C735A"/>
    <w:rsid w:val="006C76E3"/>
    <w:rsid w:val="006D02D2"/>
    <w:rsid w:val="006D0E96"/>
    <w:rsid w:val="006D1AEB"/>
    <w:rsid w:val="006D24F8"/>
    <w:rsid w:val="006D50A1"/>
    <w:rsid w:val="006D5418"/>
    <w:rsid w:val="006D576A"/>
    <w:rsid w:val="006D7456"/>
    <w:rsid w:val="006E087A"/>
    <w:rsid w:val="006E29E8"/>
    <w:rsid w:val="006E4F7E"/>
    <w:rsid w:val="006E5ABB"/>
    <w:rsid w:val="006E7256"/>
    <w:rsid w:val="006F0521"/>
    <w:rsid w:val="006F29AA"/>
    <w:rsid w:val="006F30C1"/>
    <w:rsid w:val="006F69BC"/>
    <w:rsid w:val="006F7287"/>
    <w:rsid w:val="00700F94"/>
    <w:rsid w:val="0070105F"/>
    <w:rsid w:val="00701FE3"/>
    <w:rsid w:val="007023B9"/>
    <w:rsid w:val="0070299C"/>
    <w:rsid w:val="00702B9C"/>
    <w:rsid w:val="00703C4B"/>
    <w:rsid w:val="0070407A"/>
    <w:rsid w:val="00704BBA"/>
    <w:rsid w:val="007051F8"/>
    <w:rsid w:val="007054F8"/>
    <w:rsid w:val="00705F53"/>
    <w:rsid w:val="0070603D"/>
    <w:rsid w:val="007065AC"/>
    <w:rsid w:val="00707138"/>
    <w:rsid w:val="00710008"/>
    <w:rsid w:val="00710131"/>
    <w:rsid w:val="0071051B"/>
    <w:rsid w:val="007111DC"/>
    <w:rsid w:val="00712A17"/>
    <w:rsid w:val="00713EF7"/>
    <w:rsid w:val="00715AF3"/>
    <w:rsid w:val="00715D1A"/>
    <w:rsid w:val="00716930"/>
    <w:rsid w:val="00716DB6"/>
    <w:rsid w:val="00716F19"/>
    <w:rsid w:val="007175AE"/>
    <w:rsid w:val="0071777E"/>
    <w:rsid w:val="00717A06"/>
    <w:rsid w:val="00721A40"/>
    <w:rsid w:val="00722E93"/>
    <w:rsid w:val="00723714"/>
    <w:rsid w:val="00724D63"/>
    <w:rsid w:val="00724EA6"/>
    <w:rsid w:val="00726098"/>
    <w:rsid w:val="00727BF8"/>
    <w:rsid w:val="00731E41"/>
    <w:rsid w:val="0073387B"/>
    <w:rsid w:val="00736E18"/>
    <w:rsid w:val="007408A7"/>
    <w:rsid w:val="00741822"/>
    <w:rsid w:val="007422BC"/>
    <w:rsid w:val="00742B49"/>
    <w:rsid w:val="00743803"/>
    <w:rsid w:val="00743C3A"/>
    <w:rsid w:val="00743D9E"/>
    <w:rsid w:val="0074471E"/>
    <w:rsid w:val="00744F1D"/>
    <w:rsid w:val="00745F89"/>
    <w:rsid w:val="007461CE"/>
    <w:rsid w:val="007464B1"/>
    <w:rsid w:val="00747FB0"/>
    <w:rsid w:val="00751A49"/>
    <w:rsid w:val="007520FD"/>
    <w:rsid w:val="007521B4"/>
    <w:rsid w:val="007531F6"/>
    <w:rsid w:val="00753B18"/>
    <w:rsid w:val="00754560"/>
    <w:rsid w:val="007564B0"/>
    <w:rsid w:val="007571A9"/>
    <w:rsid w:val="00761F73"/>
    <w:rsid w:val="007632E0"/>
    <w:rsid w:val="0076346D"/>
    <w:rsid w:val="007655D3"/>
    <w:rsid w:val="007665F5"/>
    <w:rsid w:val="00766E64"/>
    <w:rsid w:val="007676DA"/>
    <w:rsid w:val="00767D78"/>
    <w:rsid w:val="00767E72"/>
    <w:rsid w:val="0077000F"/>
    <w:rsid w:val="007701EF"/>
    <w:rsid w:val="0077037E"/>
    <w:rsid w:val="00770518"/>
    <w:rsid w:val="00770ABF"/>
    <w:rsid w:val="00771441"/>
    <w:rsid w:val="00772B48"/>
    <w:rsid w:val="007739AB"/>
    <w:rsid w:val="00774D94"/>
    <w:rsid w:val="007752FC"/>
    <w:rsid w:val="00775F01"/>
    <w:rsid w:val="00776180"/>
    <w:rsid w:val="0077640B"/>
    <w:rsid w:val="00776985"/>
    <w:rsid w:val="007805D6"/>
    <w:rsid w:val="007828F3"/>
    <w:rsid w:val="00783340"/>
    <w:rsid w:val="007836FB"/>
    <w:rsid w:val="00783E32"/>
    <w:rsid w:val="00784B1C"/>
    <w:rsid w:val="00785726"/>
    <w:rsid w:val="00786101"/>
    <w:rsid w:val="007868C6"/>
    <w:rsid w:val="00787544"/>
    <w:rsid w:val="007877BE"/>
    <w:rsid w:val="0079137D"/>
    <w:rsid w:val="00792615"/>
    <w:rsid w:val="00793249"/>
    <w:rsid w:val="007952FB"/>
    <w:rsid w:val="007A0515"/>
    <w:rsid w:val="007A1460"/>
    <w:rsid w:val="007A15AF"/>
    <w:rsid w:val="007A2855"/>
    <w:rsid w:val="007A3855"/>
    <w:rsid w:val="007A3873"/>
    <w:rsid w:val="007A52AA"/>
    <w:rsid w:val="007A632C"/>
    <w:rsid w:val="007A6B58"/>
    <w:rsid w:val="007A72CC"/>
    <w:rsid w:val="007A7524"/>
    <w:rsid w:val="007B0510"/>
    <w:rsid w:val="007B0C26"/>
    <w:rsid w:val="007B14D8"/>
    <w:rsid w:val="007B2029"/>
    <w:rsid w:val="007B208A"/>
    <w:rsid w:val="007B31E8"/>
    <w:rsid w:val="007B33D9"/>
    <w:rsid w:val="007B41D1"/>
    <w:rsid w:val="007B4FDB"/>
    <w:rsid w:val="007B6919"/>
    <w:rsid w:val="007B6E6E"/>
    <w:rsid w:val="007B746A"/>
    <w:rsid w:val="007B770A"/>
    <w:rsid w:val="007B779D"/>
    <w:rsid w:val="007B7C5E"/>
    <w:rsid w:val="007C05CF"/>
    <w:rsid w:val="007C3015"/>
    <w:rsid w:val="007C38CC"/>
    <w:rsid w:val="007C443C"/>
    <w:rsid w:val="007C451B"/>
    <w:rsid w:val="007C480A"/>
    <w:rsid w:val="007C679C"/>
    <w:rsid w:val="007C6D98"/>
    <w:rsid w:val="007C7262"/>
    <w:rsid w:val="007C7F16"/>
    <w:rsid w:val="007D0344"/>
    <w:rsid w:val="007D12DD"/>
    <w:rsid w:val="007D2D09"/>
    <w:rsid w:val="007D333D"/>
    <w:rsid w:val="007D3EEC"/>
    <w:rsid w:val="007D55EF"/>
    <w:rsid w:val="007D5AEF"/>
    <w:rsid w:val="007D7320"/>
    <w:rsid w:val="007D7872"/>
    <w:rsid w:val="007E2D70"/>
    <w:rsid w:val="007E771D"/>
    <w:rsid w:val="007E7F4E"/>
    <w:rsid w:val="007F0242"/>
    <w:rsid w:val="007F03B1"/>
    <w:rsid w:val="007F067C"/>
    <w:rsid w:val="007F2DE2"/>
    <w:rsid w:val="007F3C6C"/>
    <w:rsid w:val="007F45C1"/>
    <w:rsid w:val="007F594C"/>
    <w:rsid w:val="007F59F5"/>
    <w:rsid w:val="007F65CD"/>
    <w:rsid w:val="007F750C"/>
    <w:rsid w:val="00801F7A"/>
    <w:rsid w:val="00804561"/>
    <w:rsid w:val="008046DC"/>
    <w:rsid w:val="00804A8D"/>
    <w:rsid w:val="008068E3"/>
    <w:rsid w:val="0080756A"/>
    <w:rsid w:val="00810050"/>
    <w:rsid w:val="00811C61"/>
    <w:rsid w:val="00813951"/>
    <w:rsid w:val="00817290"/>
    <w:rsid w:val="00820175"/>
    <w:rsid w:val="00820CDB"/>
    <w:rsid w:val="00821A23"/>
    <w:rsid w:val="00821BB0"/>
    <w:rsid w:val="00822141"/>
    <w:rsid w:val="00823148"/>
    <w:rsid w:val="00823F9E"/>
    <w:rsid w:val="00825584"/>
    <w:rsid w:val="00826E80"/>
    <w:rsid w:val="00827186"/>
    <w:rsid w:val="008276E1"/>
    <w:rsid w:val="00827D7A"/>
    <w:rsid w:val="0083192D"/>
    <w:rsid w:val="00832DBE"/>
    <w:rsid w:val="00833546"/>
    <w:rsid w:val="008335E0"/>
    <w:rsid w:val="008345CA"/>
    <w:rsid w:val="00840FC6"/>
    <w:rsid w:val="00843797"/>
    <w:rsid w:val="008437D8"/>
    <w:rsid w:val="00845032"/>
    <w:rsid w:val="0084636D"/>
    <w:rsid w:val="00846FAA"/>
    <w:rsid w:val="00847115"/>
    <w:rsid w:val="008473F6"/>
    <w:rsid w:val="00847799"/>
    <w:rsid w:val="0085040E"/>
    <w:rsid w:val="00850621"/>
    <w:rsid w:val="00850A5F"/>
    <w:rsid w:val="00852089"/>
    <w:rsid w:val="00852218"/>
    <w:rsid w:val="0085358B"/>
    <w:rsid w:val="00853E1E"/>
    <w:rsid w:val="00862D96"/>
    <w:rsid w:val="008633E7"/>
    <w:rsid w:val="00863E7C"/>
    <w:rsid w:val="00864B7D"/>
    <w:rsid w:val="00866790"/>
    <w:rsid w:val="008679E8"/>
    <w:rsid w:val="008702C4"/>
    <w:rsid w:val="008723BD"/>
    <w:rsid w:val="00873542"/>
    <w:rsid w:val="00874628"/>
    <w:rsid w:val="00874870"/>
    <w:rsid w:val="0087651D"/>
    <w:rsid w:val="008774F4"/>
    <w:rsid w:val="00880D31"/>
    <w:rsid w:val="008810C5"/>
    <w:rsid w:val="00881584"/>
    <w:rsid w:val="00890013"/>
    <w:rsid w:val="008915E7"/>
    <w:rsid w:val="00891A7D"/>
    <w:rsid w:val="0089222E"/>
    <w:rsid w:val="008922F6"/>
    <w:rsid w:val="00892CE3"/>
    <w:rsid w:val="00892F05"/>
    <w:rsid w:val="00894855"/>
    <w:rsid w:val="00894B2E"/>
    <w:rsid w:val="00895A06"/>
    <w:rsid w:val="00895B72"/>
    <w:rsid w:val="008960B0"/>
    <w:rsid w:val="00897A4F"/>
    <w:rsid w:val="008A03CF"/>
    <w:rsid w:val="008A0698"/>
    <w:rsid w:val="008A317D"/>
    <w:rsid w:val="008A3679"/>
    <w:rsid w:val="008A370B"/>
    <w:rsid w:val="008A40C5"/>
    <w:rsid w:val="008A4881"/>
    <w:rsid w:val="008A646D"/>
    <w:rsid w:val="008A68A4"/>
    <w:rsid w:val="008A72FA"/>
    <w:rsid w:val="008A778A"/>
    <w:rsid w:val="008A77E9"/>
    <w:rsid w:val="008A7A6E"/>
    <w:rsid w:val="008B0DF6"/>
    <w:rsid w:val="008B1B1D"/>
    <w:rsid w:val="008B3435"/>
    <w:rsid w:val="008B38CA"/>
    <w:rsid w:val="008B3DA6"/>
    <w:rsid w:val="008B4669"/>
    <w:rsid w:val="008B49EC"/>
    <w:rsid w:val="008B4B21"/>
    <w:rsid w:val="008B524B"/>
    <w:rsid w:val="008B5870"/>
    <w:rsid w:val="008B7082"/>
    <w:rsid w:val="008C04C9"/>
    <w:rsid w:val="008C04E1"/>
    <w:rsid w:val="008C0AF0"/>
    <w:rsid w:val="008C0E80"/>
    <w:rsid w:val="008C4037"/>
    <w:rsid w:val="008C41E3"/>
    <w:rsid w:val="008C475F"/>
    <w:rsid w:val="008C7612"/>
    <w:rsid w:val="008D0126"/>
    <w:rsid w:val="008D114C"/>
    <w:rsid w:val="008D1A92"/>
    <w:rsid w:val="008D40A3"/>
    <w:rsid w:val="008D475D"/>
    <w:rsid w:val="008E03C1"/>
    <w:rsid w:val="008E0707"/>
    <w:rsid w:val="008E0BA2"/>
    <w:rsid w:val="008E23CF"/>
    <w:rsid w:val="008E33A5"/>
    <w:rsid w:val="008E378B"/>
    <w:rsid w:val="008E3894"/>
    <w:rsid w:val="008E47C3"/>
    <w:rsid w:val="008E6042"/>
    <w:rsid w:val="008E631B"/>
    <w:rsid w:val="008E6FF1"/>
    <w:rsid w:val="008E7285"/>
    <w:rsid w:val="008F277D"/>
    <w:rsid w:val="008F37E8"/>
    <w:rsid w:val="008F3AF1"/>
    <w:rsid w:val="008F54D5"/>
    <w:rsid w:val="008F6534"/>
    <w:rsid w:val="008F76A4"/>
    <w:rsid w:val="008F76DA"/>
    <w:rsid w:val="00902903"/>
    <w:rsid w:val="00902A14"/>
    <w:rsid w:val="00902B3F"/>
    <w:rsid w:val="00903140"/>
    <w:rsid w:val="00905E1F"/>
    <w:rsid w:val="00910362"/>
    <w:rsid w:val="00912CF5"/>
    <w:rsid w:val="00913CDB"/>
    <w:rsid w:val="0091502A"/>
    <w:rsid w:val="0091511E"/>
    <w:rsid w:val="00915132"/>
    <w:rsid w:val="00916D7E"/>
    <w:rsid w:val="00916E92"/>
    <w:rsid w:val="0091788E"/>
    <w:rsid w:val="00917BC6"/>
    <w:rsid w:val="00920A0C"/>
    <w:rsid w:val="009221DD"/>
    <w:rsid w:val="00922D48"/>
    <w:rsid w:val="009231A6"/>
    <w:rsid w:val="00923F3B"/>
    <w:rsid w:val="009241F0"/>
    <w:rsid w:val="00924745"/>
    <w:rsid w:val="00924B59"/>
    <w:rsid w:val="00924F3B"/>
    <w:rsid w:val="0092562C"/>
    <w:rsid w:val="009256B0"/>
    <w:rsid w:val="00925BC4"/>
    <w:rsid w:val="00925E38"/>
    <w:rsid w:val="00926328"/>
    <w:rsid w:val="00927162"/>
    <w:rsid w:val="00927E1C"/>
    <w:rsid w:val="00931CD3"/>
    <w:rsid w:val="00932AF1"/>
    <w:rsid w:val="00932DC4"/>
    <w:rsid w:val="00933438"/>
    <w:rsid w:val="00934639"/>
    <w:rsid w:val="00934975"/>
    <w:rsid w:val="00934DD8"/>
    <w:rsid w:val="00934F60"/>
    <w:rsid w:val="0093520A"/>
    <w:rsid w:val="00935917"/>
    <w:rsid w:val="00936EC9"/>
    <w:rsid w:val="0093721C"/>
    <w:rsid w:val="00937489"/>
    <w:rsid w:val="00937AE6"/>
    <w:rsid w:val="009402B5"/>
    <w:rsid w:val="00941637"/>
    <w:rsid w:val="0094273B"/>
    <w:rsid w:val="009430F9"/>
    <w:rsid w:val="00943C86"/>
    <w:rsid w:val="00943FA1"/>
    <w:rsid w:val="00945963"/>
    <w:rsid w:val="00945FE7"/>
    <w:rsid w:val="00946378"/>
    <w:rsid w:val="0094780D"/>
    <w:rsid w:val="0095022E"/>
    <w:rsid w:val="00950469"/>
    <w:rsid w:val="009514F6"/>
    <w:rsid w:val="009516A5"/>
    <w:rsid w:val="009527F3"/>
    <w:rsid w:val="00952F3C"/>
    <w:rsid w:val="009531B4"/>
    <w:rsid w:val="009549F4"/>
    <w:rsid w:val="00955364"/>
    <w:rsid w:val="00956953"/>
    <w:rsid w:val="00956BA7"/>
    <w:rsid w:val="00956C62"/>
    <w:rsid w:val="00957EC2"/>
    <w:rsid w:val="009606D4"/>
    <w:rsid w:val="009626B3"/>
    <w:rsid w:val="00962893"/>
    <w:rsid w:val="00963432"/>
    <w:rsid w:val="00963E0D"/>
    <w:rsid w:val="009644F4"/>
    <w:rsid w:val="00965B51"/>
    <w:rsid w:val="00966588"/>
    <w:rsid w:val="00966ACE"/>
    <w:rsid w:val="00967BE5"/>
    <w:rsid w:val="00970454"/>
    <w:rsid w:val="0097056B"/>
    <w:rsid w:val="009706B9"/>
    <w:rsid w:val="009707B2"/>
    <w:rsid w:val="0097434A"/>
    <w:rsid w:val="00975981"/>
    <w:rsid w:val="00975E06"/>
    <w:rsid w:val="009767B5"/>
    <w:rsid w:val="0098291B"/>
    <w:rsid w:val="00983B9E"/>
    <w:rsid w:val="00985306"/>
    <w:rsid w:val="0098552F"/>
    <w:rsid w:val="0098677A"/>
    <w:rsid w:val="00990316"/>
    <w:rsid w:val="00990A79"/>
    <w:rsid w:val="00990E9C"/>
    <w:rsid w:val="00991B88"/>
    <w:rsid w:val="00991DE0"/>
    <w:rsid w:val="00992066"/>
    <w:rsid w:val="00992823"/>
    <w:rsid w:val="00993BF4"/>
    <w:rsid w:val="00994382"/>
    <w:rsid w:val="0099579F"/>
    <w:rsid w:val="00996815"/>
    <w:rsid w:val="009973F6"/>
    <w:rsid w:val="00997F0E"/>
    <w:rsid w:val="009A107B"/>
    <w:rsid w:val="009A1A14"/>
    <w:rsid w:val="009A2266"/>
    <w:rsid w:val="009A4651"/>
    <w:rsid w:val="009A6BCE"/>
    <w:rsid w:val="009A6F5A"/>
    <w:rsid w:val="009A74E1"/>
    <w:rsid w:val="009B0846"/>
    <w:rsid w:val="009B1441"/>
    <w:rsid w:val="009B2203"/>
    <w:rsid w:val="009B2C75"/>
    <w:rsid w:val="009B3D35"/>
    <w:rsid w:val="009B3ECA"/>
    <w:rsid w:val="009B5133"/>
    <w:rsid w:val="009B54CF"/>
    <w:rsid w:val="009B66E4"/>
    <w:rsid w:val="009B6AD1"/>
    <w:rsid w:val="009B7368"/>
    <w:rsid w:val="009B75DA"/>
    <w:rsid w:val="009B775A"/>
    <w:rsid w:val="009B7F0B"/>
    <w:rsid w:val="009C44C2"/>
    <w:rsid w:val="009C4CD8"/>
    <w:rsid w:val="009C7011"/>
    <w:rsid w:val="009C7DED"/>
    <w:rsid w:val="009D3E45"/>
    <w:rsid w:val="009D5AE7"/>
    <w:rsid w:val="009E0A47"/>
    <w:rsid w:val="009E21B7"/>
    <w:rsid w:val="009E2959"/>
    <w:rsid w:val="009E3996"/>
    <w:rsid w:val="009E3FDA"/>
    <w:rsid w:val="009E54C4"/>
    <w:rsid w:val="009E5533"/>
    <w:rsid w:val="009E6572"/>
    <w:rsid w:val="009E7223"/>
    <w:rsid w:val="009F04CF"/>
    <w:rsid w:val="009F0E96"/>
    <w:rsid w:val="009F110B"/>
    <w:rsid w:val="009F4339"/>
    <w:rsid w:val="009F4CB6"/>
    <w:rsid w:val="009F51EB"/>
    <w:rsid w:val="009F54C7"/>
    <w:rsid w:val="009F5C2E"/>
    <w:rsid w:val="009F6EC3"/>
    <w:rsid w:val="009F7FD9"/>
    <w:rsid w:val="00A0034F"/>
    <w:rsid w:val="00A00C38"/>
    <w:rsid w:val="00A0114C"/>
    <w:rsid w:val="00A02492"/>
    <w:rsid w:val="00A02798"/>
    <w:rsid w:val="00A02CF0"/>
    <w:rsid w:val="00A02E95"/>
    <w:rsid w:val="00A02FCD"/>
    <w:rsid w:val="00A03D91"/>
    <w:rsid w:val="00A06A55"/>
    <w:rsid w:val="00A072CD"/>
    <w:rsid w:val="00A07F4B"/>
    <w:rsid w:val="00A10221"/>
    <w:rsid w:val="00A12393"/>
    <w:rsid w:val="00A12CD3"/>
    <w:rsid w:val="00A142DC"/>
    <w:rsid w:val="00A162D5"/>
    <w:rsid w:val="00A16A94"/>
    <w:rsid w:val="00A20330"/>
    <w:rsid w:val="00A20879"/>
    <w:rsid w:val="00A21062"/>
    <w:rsid w:val="00A21F8C"/>
    <w:rsid w:val="00A23DB2"/>
    <w:rsid w:val="00A2451B"/>
    <w:rsid w:val="00A24685"/>
    <w:rsid w:val="00A24A18"/>
    <w:rsid w:val="00A2647D"/>
    <w:rsid w:val="00A264FD"/>
    <w:rsid w:val="00A26D8E"/>
    <w:rsid w:val="00A27DEA"/>
    <w:rsid w:val="00A3046A"/>
    <w:rsid w:val="00A31294"/>
    <w:rsid w:val="00A3135B"/>
    <w:rsid w:val="00A34019"/>
    <w:rsid w:val="00A342F6"/>
    <w:rsid w:val="00A35EB4"/>
    <w:rsid w:val="00A36997"/>
    <w:rsid w:val="00A3726A"/>
    <w:rsid w:val="00A42E8A"/>
    <w:rsid w:val="00A4317D"/>
    <w:rsid w:val="00A43D0D"/>
    <w:rsid w:val="00A448B9"/>
    <w:rsid w:val="00A45176"/>
    <w:rsid w:val="00A46A69"/>
    <w:rsid w:val="00A509C0"/>
    <w:rsid w:val="00A5438B"/>
    <w:rsid w:val="00A55458"/>
    <w:rsid w:val="00A561D8"/>
    <w:rsid w:val="00A56FF4"/>
    <w:rsid w:val="00A57B2C"/>
    <w:rsid w:val="00A57FEE"/>
    <w:rsid w:val="00A60B35"/>
    <w:rsid w:val="00A61041"/>
    <w:rsid w:val="00A616F6"/>
    <w:rsid w:val="00A62132"/>
    <w:rsid w:val="00A62657"/>
    <w:rsid w:val="00A6270D"/>
    <w:rsid w:val="00A62C06"/>
    <w:rsid w:val="00A63042"/>
    <w:rsid w:val="00A631B9"/>
    <w:rsid w:val="00A632BF"/>
    <w:rsid w:val="00A63BCE"/>
    <w:rsid w:val="00A71021"/>
    <w:rsid w:val="00A721C6"/>
    <w:rsid w:val="00A72BE1"/>
    <w:rsid w:val="00A73147"/>
    <w:rsid w:val="00A735BD"/>
    <w:rsid w:val="00A74048"/>
    <w:rsid w:val="00A74297"/>
    <w:rsid w:val="00A779F2"/>
    <w:rsid w:val="00A804D5"/>
    <w:rsid w:val="00A81A1E"/>
    <w:rsid w:val="00A8282F"/>
    <w:rsid w:val="00A82A47"/>
    <w:rsid w:val="00A8434B"/>
    <w:rsid w:val="00A84EBD"/>
    <w:rsid w:val="00A85C3C"/>
    <w:rsid w:val="00A86334"/>
    <w:rsid w:val="00A87CB5"/>
    <w:rsid w:val="00A90212"/>
    <w:rsid w:val="00A90A6A"/>
    <w:rsid w:val="00A90C30"/>
    <w:rsid w:val="00A9179A"/>
    <w:rsid w:val="00A95449"/>
    <w:rsid w:val="00A96683"/>
    <w:rsid w:val="00A97143"/>
    <w:rsid w:val="00AA3B66"/>
    <w:rsid w:val="00AA4575"/>
    <w:rsid w:val="00AA52F2"/>
    <w:rsid w:val="00AA53A6"/>
    <w:rsid w:val="00AA61B8"/>
    <w:rsid w:val="00AA68F9"/>
    <w:rsid w:val="00AB0EF2"/>
    <w:rsid w:val="00AB5C5A"/>
    <w:rsid w:val="00AB70E1"/>
    <w:rsid w:val="00AB71EC"/>
    <w:rsid w:val="00AB7BAE"/>
    <w:rsid w:val="00AC03A7"/>
    <w:rsid w:val="00AC07EF"/>
    <w:rsid w:val="00AC0AB4"/>
    <w:rsid w:val="00AC3E8B"/>
    <w:rsid w:val="00AC4100"/>
    <w:rsid w:val="00AC5BE5"/>
    <w:rsid w:val="00AC6424"/>
    <w:rsid w:val="00AC6589"/>
    <w:rsid w:val="00AC72C6"/>
    <w:rsid w:val="00AC73A6"/>
    <w:rsid w:val="00AD0859"/>
    <w:rsid w:val="00AD1255"/>
    <w:rsid w:val="00AD393A"/>
    <w:rsid w:val="00AD3D3D"/>
    <w:rsid w:val="00AD44ED"/>
    <w:rsid w:val="00AD7E02"/>
    <w:rsid w:val="00AE30E7"/>
    <w:rsid w:val="00AE33C3"/>
    <w:rsid w:val="00AE4A1D"/>
    <w:rsid w:val="00AE5683"/>
    <w:rsid w:val="00AE5689"/>
    <w:rsid w:val="00AE603D"/>
    <w:rsid w:val="00AF1AAC"/>
    <w:rsid w:val="00AF5897"/>
    <w:rsid w:val="00AF5BCD"/>
    <w:rsid w:val="00AF707A"/>
    <w:rsid w:val="00B008C6"/>
    <w:rsid w:val="00B019F8"/>
    <w:rsid w:val="00B02CF7"/>
    <w:rsid w:val="00B03696"/>
    <w:rsid w:val="00B04881"/>
    <w:rsid w:val="00B05F72"/>
    <w:rsid w:val="00B0742D"/>
    <w:rsid w:val="00B07975"/>
    <w:rsid w:val="00B07E9C"/>
    <w:rsid w:val="00B10047"/>
    <w:rsid w:val="00B10572"/>
    <w:rsid w:val="00B11B3D"/>
    <w:rsid w:val="00B11EC8"/>
    <w:rsid w:val="00B1279E"/>
    <w:rsid w:val="00B13BB1"/>
    <w:rsid w:val="00B14077"/>
    <w:rsid w:val="00B1448D"/>
    <w:rsid w:val="00B144F1"/>
    <w:rsid w:val="00B14613"/>
    <w:rsid w:val="00B14BE8"/>
    <w:rsid w:val="00B14CA7"/>
    <w:rsid w:val="00B15F0F"/>
    <w:rsid w:val="00B165B5"/>
    <w:rsid w:val="00B16A28"/>
    <w:rsid w:val="00B16EFB"/>
    <w:rsid w:val="00B179FC"/>
    <w:rsid w:val="00B20931"/>
    <w:rsid w:val="00B21488"/>
    <w:rsid w:val="00B214B3"/>
    <w:rsid w:val="00B224CC"/>
    <w:rsid w:val="00B22C4B"/>
    <w:rsid w:val="00B23180"/>
    <w:rsid w:val="00B2333C"/>
    <w:rsid w:val="00B23710"/>
    <w:rsid w:val="00B23D5B"/>
    <w:rsid w:val="00B24D1A"/>
    <w:rsid w:val="00B26686"/>
    <w:rsid w:val="00B27463"/>
    <w:rsid w:val="00B276BE"/>
    <w:rsid w:val="00B27BC4"/>
    <w:rsid w:val="00B30AD8"/>
    <w:rsid w:val="00B326D1"/>
    <w:rsid w:val="00B32B3A"/>
    <w:rsid w:val="00B338A2"/>
    <w:rsid w:val="00B341B3"/>
    <w:rsid w:val="00B35ADD"/>
    <w:rsid w:val="00B36342"/>
    <w:rsid w:val="00B36346"/>
    <w:rsid w:val="00B40286"/>
    <w:rsid w:val="00B40CBC"/>
    <w:rsid w:val="00B43DDC"/>
    <w:rsid w:val="00B44C8A"/>
    <w:rsid w:val="00B4521E"/>
    <w:rsid w:val="00B461C3"/>
    <w:rsid w:val="00B47A09"/>
    <w:rsid w:val="00B5028B"/>
    <w:rsid w:val="00B50C0C"/>
    <w:rsid w:val="00B51467"/>
    <w:rsid w:val="00B60BA1"/>
    <w:rsid w:val="00B624C0"/>
    <w:rsid w:val="00B64F1E"/>
    <w:rsid w:val="00B71413"/>
    <w:rsid w:val="00B7243C"/>
    <w:rsid w:val="00B72721"/>
    <w:rsid w:val="00B736D1"/>
    <w:rsid w:val="00B74BB3"/>
    <w:rsid w:val="00B7563D"/>
    <w:rsid w:val="00B77234"/>
    <w:rsid w:val="00B777C0"/>
    <w:rsid w:val="00B779ED"/>
    <w:rsid w:val="00B77ADC"/>
    <w:rsid w:val="00B80FD9"/>
    <w:rsid w:val="00B834DC"/>
    <w:rsid w:val="00B837C3"/>
    <w:rsid w:val="00B83E66"/>
    <w:rsid w:val="00B84C1D"/>
    <w:rsid w:val="00B86DB2"/>
    <w:rsid w:val="00B905A7"/>
    <w:rsid w:val="00B90E53"/>
    <w:rsid w:val="00B91BA8"/>
    <w:rsid w:val="00B938B9"/>
    <w:rsid w:val="00B95431"/>
    <w:rsid w:val="00B95718"/>
    <w:rsid w:val="00B962DF"/>
    <w:rsid w:val="00B97991"/>
    <w:rsid w:val="00BA073B"/>
    <w:rsid w:val="00BA07CA"/>
    <w:rsid w:val="00BA1BE9"/>
    <w:rsid w:val="00BA335C"/>
    <w:rsid w:val="00BA4F45"/>
    <w:rsid w:val="00BB0752"/>
    <w:rsid w:val="00BB0EC2"/>
    <w:rsid w:val="00BB101F"/>
    <w:rsid w:val="00BB34B2"/>
    <w:rsid w:val="00BB41B0"/>
    <w:rsid w:val="00BB5031"/>
    <w:rsid w:val="00BB5356"/>
    <w:rsid w:val="00BB535B"/>
    <w:rsid w:val="00BB6AE4"/>
    <w:rsid w:val="00BC036C"/>
    <w:rsid w:val="00BC1D0A"/>
    <w:rsid w:val="00BC22AB"/>
    <w:rsid w:val="00BC232F"/>
    <w:rsid w:val="00BC4A45"/>
    <w:rsid w:val="00BC60B3"/>
    <w:rsid w:val="00BC6619"/>
    <w:rsid w:val="00BC773D"/>
    <w:rsid w:val="00BC7973"/>
    <w:rsid w:val="00BC7C55"/>
    <w:rsid w:val="00BD006D"/>
    <w:rsid w:val="00BD1DB7"/>
    <w:rsid w:val="00BD25F2"/>
    <w:rsid w:val="00BD2E78"/>
    <w:rsid w:val="00BD4C10"/>
    <w:rsid w:val="00BD4E69"/>
    <w:rsid w:val="00BD6439"/>
    <w:rsid w:val="00BD7632"/>
    <w:rsid w:val="00BD7E87"/>
    <w:rsid w:val="00BE0108"/>
    <w:rsid w:val="00BE47E5"/>
    <w:rsid w:val="00BE4BC6"/>
    <w:rsid w:val="00BE53FD"/>
    <w:rsid w:val="00BE7328"/>
    <w:rsid w:val="00BE7815"/>
    <w:rsid w:val="00BE7E77"/>
    <w:rsid w:val="00BF0D27"/>
    <w:rsid w:val="00BF1837"/>
    <w:rsid w:val="00BF1D95"/>
    <w:rsid w:val="00BF1FEF"/>
    <w:rsid w:val="00BF314C"/>
    <w:rsid w:val="00BF3BC1"/>
    <w:rsid w:val="00BF4186"/>
    <w:rsid w:val="00BF66C6"/>
    <w:rsid w:val="00BF7BBC"/>
    <w:rsid w:val="00C0062E"/>
    <w:rsid w:val="00C059DE"/>
    <w:rsid w:val="00C068ED"/>
    <w:rsid w:val="00C06C53"/>
    <w:rsid w:val="00C107F3"/>
    <w:rsid w:val="00C10B99"/>
    <w:rsid w:val="00C1119A"/>
    <w:rsid w:val="00C11245"/>
    <w:rsid w:val="00C127C3"/>
    <w:rsid w:val="00C13F08"/>
    <w:rsid w:val="00C14F97"/>
    <w:rsid w:val="00C1509C"/>
    <w:rsid w:val="00C15E39"/>
    <w:rsid w:val="00C16374"/>
    <w:rsid w:val="00C17657"/>
    <w:rsid w:val="00C17676"/>
    <w:rsid w:val="00C17CE0"/>
    <w:rsid w:val="00C17F5F"/>
    <w:rsid w:val="00C20DB2"/>
    <w:rsid w:val="00C210A1"/>
    <w:rsid w:val="00C234E5"/>
    <w:rsid w:val="00C2397A"/>
    <w:rsid w:val="00C23D44"/>
    <w:rsid w:val="00C23EF9"/>
    <w:rsid w:val="00C244B3"/>
    <w:rsid w:val="00C24B7C"/>
    <w:rsid w:val="00C26799"/>
    <w:rsid w:val="00C26DE4"/>
    <w:rsid w:val="00C27CA4"/>
    <w:rsid w:val="00C27D44"/>
    <w:rsid w:val="00C30879"/>
    <w:rsid w:val="00C30A7D"/>
    <w:rsid w:val="00C32098"/>
    <w:rsid w:val="00C35A9E"/>
    <w:rsid w:val="00C36301"/>
    <w:rsid w:val="00C36FD0"/>
    <w:rsid w:val="00C37B0D"/>
    <w:rsid w:val="00C41CD2"/>
    <w:rsid w:val="00C41F21"/>
    <w:rsid w:val="00C440CB"/>
    <w:rsid w:val="00C50329"/>
    <w:rsid w:val="00C50541"/>
    <w:rsid w:val="00C5440D"/>
    <w:rsid w:val="00C544BA"/>
    <w:rsid w:val="00C5461D"/>
    <w:rsid w:val="00C54F2D"/>
    <w:rsid w:val="00C552E9"/>
    <w:rsid w:val="00C56366"/>
    <w:rsid w:val="00C56A5F"/>
    <w:rsid w:val="00C5773F"/>
    <w:rsid w:val="00C57A44"/>
    <w:rsid w:val="00C6015F"/>
    <w:rsid w:val="00C6135D"/>
    <w:rsid w:val="00C61E3E"/>
    <w:rsid w:val="00C62203"/>
    <w:rsid w:val="00C625DB"/>
    <w:rsid w:val="00C63DA5"/>
    <w:rsid w:val="00C640F3"/>
    <w:rsid w:val="00C64D32"/>
    <w:rsid w:val="00C651EF"/>
    <w:rsid w:val="00C658B7"/>
    <w:rsid w:val="00C66532"/>
    <w:rsid w:val="00C705AE"/>
    <w:rsid w:val="00C72ECA"/>
    <w:rsid w:val="00C7339F"/>
    <w:rsid w:val="00C734FE"/>
    <w:rsid w:val="00C7376C"/>
    <w:rsid w:val="00C76971"/>
    <w:rsid w:val="00C77633"/>
    <w:rsid w:val="00C80DDC"/>
    <w:rsid w:val="00C81104"/>
    <w:rsid w:val="00C8170B"/>
    <w:rsid w:val="00C81FA0"/>
    <w:rsid w:val="00C823B5"/>
    <w:rsid w:val="00C832E3"/>
    <w:rsid w:val="00C83C84"/>
    <w:rsid w:val="00C843F6"/>
    <w:rsid w:val="00C84A38"/>
    <w:rsid w:val="00C84B0B"/>
    <w:rsid w:val="00C85D89"/>
    <w:rsid w:val="00C86CE7"/>
    <w:rsid w:val="00C872FF"/>
    <w:rsid w:val="00C900CE"/>
    <w:rsid w:val="00C90DD5"/>
    <w:rsid w:val="00C94ADA"/>
    <w:rsid w:val="00C95AFE"/>
    <w:rsid w:val="00C95F7E"/>
    <w:rsid w:val="00C96B52"/>
    <w:rsid w:val="00C97443"/>
    <w:rsid w:val="00C97F9B"/>
    <w:rsid w:val="00CA2B80"/>
    <w:rsid w:val="00CA37C0"/>
    <w:rsid w:val="00CA4A6A"/>
    <w:rsid w:val="00CB40D0"/>
    <w:rsid w:val="00CB417B"/>
    <w:rsid w:val="00CB4192"/>
    <w:rsid w:val="00CB4420"/>
    <w:rsid w:val="00CB490E"/>
    <w:rsid w:val="00CB654E"/>
    <w:rsid w:val="00CB6DB7"/>
    <w:rsid w:val="00CB73C9"/>
    <w:rsid w:val="00CB7ACD"/>
    <w:rsid w:val="00CC1AEF"/>
    <w:rsid w:val="00CC264B"/>
    <w:rsid w:val="00CC5748"/>
    <w:rsid w:val="00CC5847"/>
    <w:rsid w:val="00CC5EB8"/>
    <w:rsid w:val="00CC750C"/>
    <w:rsid w:val="00CD0A87"/>
    <w:rsid w:val="00CD42E0"/>
    <w:rsid w:val="00CD46C0"/>
    <w:rsid w:val="00CD4D90"/>
    <w:rsid w:val="00CD5F54"/>
    <w:rsid w:val="00CD63A7"/>
    <w:rsid w:val="00CD6D4E"/>
    <w:rsid w:val="00CD7490"/>
    <w:rsid w:val="00CE20E3"/>
    <w:rsid w:val="00CE2147"/>
    <w:rsid w:val="00CE33E8"/>
    <w:rsid w:val="00CE43D6"/>
    <w:rsid w:val="00CE522C"/>
    <w:rsid w:val="00CE54CC"/>
    <w:rsid w:val="00CE5AA0"/>
    <w:rsid w:val="00CE5FA3"/>
    <w:rsid w:val="00CE66B9"/>
    <w:rsid w:val="00CE7CEC"/>
    <w:rsid w:val="00CF03DC"/>
    <w:rsid w:val="00CF04A0"/>
    <w:rsid w:val="00CF05CC"/>
    <w:rsid w:val="00CF12C2"/>
    <w:rsid w:val="00CF4CCE"/>
    <w:rsid w:val="00CF5342"/>
    <w:rsid w:val="00CF70AC"/>
    <w:rsid w:val="00D0080A"/>
    <w:rsid w:val="00D01AE7"/>
    <w:rsid w:val="00D02EE7"/>
    <w:rsid w:val="00D04485"/>
    <w:rsid w:val="00D06773"/>
    <w:rsid w:val="00D07349"/>
    <w:rsid w:val="00D108BB"/>
    <w:rsid w:val="00D10B4B"/>
    <w:rsid w:val="00D12D75"/>
    <w:rsid w:val="00D16197"/>
    <w:rsid w:val="00D17233"/>
    <w:rsid w:val="00D1728C"/>
    <w:rsid w:val="00D17C61"/>
    <w:rsid w:val="00D2038F"/>
    <w:rsid w:val="00D21707"/>
    <w:rsid w:val="00D21E38"/>
    <w:rsid w:val="00D22790"/>
    <w:rsid w:val="00D26F95"/>
    <w:rsid w:val="00D27902"/>
    <w:rsid w:val="00D30821"/>
    <w:rsid w:val="00D30BB4"/>
    <w:rsid w:val="00D316E5"/>
    <w:rsid w:val="00D32155"/>
    <w:rsid w:val="00D32383"/>
    <w:rsid w:val="00D3403D"/>
    <w:rsid w:val="00D34141"/>
    <w:rsid w:val="00D34BA2"/>
    <w:rsid w:val="00D34FDE"/>
    <w:rsid w:val="00D3575C"/>
    <w:rsid w:val="00D3620E"/>
    <w:rsid w:val="00D401F3"/>
    <w:rsid w:val="00D4232F"/>
    <w:rsid w:val="00D431A6"/>
    <w:rsid w:val="00D442AC"/>
    <w:rsid w:val="00D44900"/>
    <w:rsid w:val="00D466BA"/>
    <w:rsid w:val="00D46CE0"/>
    <w:rsid w:val="00D47F13"/>
    <w:rsid w:val="00D50195"/>
    <w:rsid w:val="00D50807"/>
    <w:rsid w:val="00D5081D"/>
    <w:rsid w:val="00D50AAD"/>
    <w:rsid w:val="00D520C8"/>
    <w:rsid w:val="00D52530"/>
    <w:rsid w:val="00D53452"/>
    <w:rsid w:val="00D54327"/>
    <w:rsid w:val="00D544E7"/>
    <w:rsid w:val="00D5659E"/>
    <w:rsid w:val="00D56A10"/>
    <w:rsid w:val="00D605A5"/>
    <w:rsid w:val="00D614ED"/>
    <w:rsid w:val="00D6291B"/>
    <w:rsid w:val="00D63121"/>
    <w:rsid w:val="00D63D99"/>
    <w:rsid w:val="00D64B72"/>
    <w:rsid w:val="00D66932"/>
    <w:rsid w:val="00D67CC1"/>
    <w:rsid w:val="00D7060F"/>
    <w:rsid w:val="00D7076D"/>
    <w:rsid w:val="00D731E1"/>
    <w:rsid w:val="00D748BB"/>
    <w:rsid w:val="00D754A6"/>
    <w:rsid w:val="00D7615F"/>
    <w:rsid w:val="00D8024F"/>
    <w:rsid w:val="00D8097D"/>
    <w:rsid w:val="00D811CA"/>
    <w:rsid w:val="00D826E1"/>
    <w:rsid w:val="00D82DEF"/>
    <w:rsid w:val="00D82F7B"/>
    <w:rsid w:val="00D8301F"/>
    <w:rsid w:val="00D83159"/>
    <w:rsid w:val="00D83873"/>
    <w:rsid w:val="00D838C9"/>
    <w:rsid w:val="00D84999"/>
    <w:rsid w:val="00D84D7E"/>
    <w:rsid w:val="00D84D9D"/>
    <w:rsid w:val="00D86434"/>
    <w:rsid w:val="00D8780D"/>
    <w:rsid w:val="00D91E59"/>
    <w:rsid w:val="00D93852"/>
    <w:rsid w:val="00D97DF0"/>
    <w:rsid w:val="00DA18C9"/>
    <w:rsid w:val="00DA1E95"/>
    <w:rsid w:val="00DA2593"/>
    <w:rsid w:val="00DA32EF"/>
    <w:rsid w:val="00DA3FC8"/>
    <w:rsid w:val="00DA5D0A"/>
    <w:rsid w:val="00DA741E"/>
    <w:rsid w:val="00DB1318"/>
    <w:rsid w:val="00DB1774"/>
    <w:rsid w:val="00DB3714"/>
    <w:rsid w:val="00DB556E"/>
    <w:rsid w:val="00DB65AA"/>
    <w:rsid w:val="00DB6F95"/>
    <w:rsid w:val="00DB70B1"/>
    <w:rsid w:val="00DB7FE0"/>
    <w:rsid w:val="00DC0250"/>
    <w:rsid w:val="00DC285D"/>
    <w:rsid w:val="00DC5F8A"/>
    <w:rsid w:val="00DC6FB0"/>
    <w:rsid w:val="00DC7CAF"/>
    <w:rsid w:val="00DD0E61"/>
    <w:rsid w:val="00DD1663"/>
    <w:rsid w:val="00DD194F"/>
    <w:rsid w:val="00DD2E13"/>
    <w:rsid w:val="00DD34F3"/>
    <w:rsid w:val="00DD61ED"/>
    <w:rsid w:val="00DD69B2"/>
    <w:rsid w:val="00DD7449"/>
    <w:rsid w:val="00DE0DC1"/>
    <w:rsid w:val="00DE0FD5"/>
    <w:rsid w:val="00DE2210"/>
    <w:rsid w:val="00DE285A"/>
    <w:rsid w:val="00DE3F11"/>
    <w:rsid w:val="00DE44F8"/>
    <w:rsid w:val="00DE47CE"/>
    <w:rsid w:val="00DE493F"/>
    <w:rsid w:val="00DE4B91"/>
    <w:rsid w:val="00DE53B2"/>
    <w:rsid w:val="00DF0A5B"/>
    <w:rsid w:val="00DF0A81"/>
    <w:rsid w:val="00DF0CE8"/>
    <w:rsid w:val="00DF15E6"/>
    <w:rsid w:val="00DF21EF"/>
    <w:rsid w:val="00DF224F"/>
    <w:rsid w:val="00DF2700"/>
    <w:rsid w:val="00DF291A"/>
    <w:rsid w:val="00DF3175"/>
    <w:rsid w:val="00DF4260"/>
    <w:rsid w:val="00DF566F"/>
    <w:rsid w:val="00DF5746"/>
    <w:rsid w:val="00DF7CB1"/>
    <w:rsid w:val="00DF7DD5"/>
    <w:rsid w:val="00E003D8"/>
    <w:rsid w:val="00E00E6F"/>
    <w:rsid w:val="00E01CE0"/>
    <w:rsid w:val="00E04ACD"/>
    <w:rsid w:val="00E05685"/>
    <w:rsid w:val="00E05D9A"/>
    <w:rsid w:val="00E067C6"/>
    <w:rsid w:val="00E1070B"/>
    <w:rsid w:val="00E11824"/>
    <w:rsid w:val="00E12CF4"/>
    <w:rsid w:val="00E15624"/>
    <w:rsid w:val="00E1593F"/>
    <w:rsid w:val="00E166EB"/>
    <w:rsid w:val="00E2059A"/>
    <w:rsid w:val="00E20BB0"/>
    <w:rsid w:val="00E220C0"/>
    <w:rsid w:val="00E233CB"/>
    <w:rsid w:val="00E23663"/>
    <w:rsid w:val="00E2473F"/>
    <w:rsid w:val="00E261C3"/>
    <w:rsid w:val="00E319E1"/>
    <w:rsid w:val="00E32A51"/>
    <w:rsid w:val="00E32AD6"/>
    <w:rsid w:val="00E33E9A"/>
    <w:rsid w:val="00E34538"/>
    <w:rsid w:val="00E35702"/>
    <w:rsid w:val="00E35E8B"/>
    <w:rsid w:val="00E37BD1"/>
    <w:rsid w:val="00E37C6E"/>
    <w:rsid w:val="00E40A8F"/>
    <w:rsid w:val="00E40DCA"/>
    <w:rsid w:val="00E43C30"/>
    <w:rsid w:val="00E449CC"/>
    <w:rsid w:val="00E450D4"/>
    <w:rsid w:val="00E4514E"/>
    <w:rsid w:val="00E46411"/>
    <w:rsid w:val="00E4698D"/>
    <w:rsid w:val="00E47067"/>
    <w:rsid w:val="00E50B14"/>
    <w:rsid w:val="00E510F3"/>
    <w:rsid w:val="00E51556"/>
    <w:rsid w:val="00E53C6F"/>
    <w:rsid w:val="00E55A05"/>
    <w:rsid w:val="00E55A5D"/>
    <w:rsid w:val="00E57890"/>
    <w:rsid w:val="00E608ED"/>
    <w:rsid w:val="00E61E94"/>
    <w:rsid w:val="00E62B01"/>
    <w:rsid w:val="00E62E5D"/>
    <w:rsid w:val="00E63469"/>
    <w:rsid w:val="00E635D2"/>
    <w:rsid w:val="00E63ECD"/>
    <w:rsid w:val="00E65B1A"/>
    <w:rsid w:val="00E65F80"/>
    <w:rsid w:val="00E6722A"/>
    <w:rsid w:val="00E67CC2"/>
    <w:rsid w:val="00E70F86"/>
    <w:rsid w:val="00E71DDB"/>
    <w:rsid w:val="00E7222B"/>
    <w:rsid w:val="00E72B15"/>
    <w:rsid w:val="00E749F2"/>
    <w:rsid w:val="00E75EFB"/>
    <w:rsid w:val="00E76908"/>
    <w:rsid w:val="00E76AEA"/>
    <w:rsid w:val="00E77850"/>
    <w:rsid w:val="00E77C19"/>
    <w:rsid w:val="00E77F35"/>
    <w:rsid w:val="00E81565"/>
    <w:rsid w:val="00E817DF"/>
    <w:rsid w:val="00E81B84"/>
    <w:rsid w:val="00E82239"/>
    <w:rsid w:val="00E824BF"/>
    <w:rsid w:val="00E84ACD"/>
    <w:rsid w:val="00E85F9D"/>
    <w:rsid w:val="00E875DD"/>
    <w:rsid w:val="00E87C42"/>
    <w:rsid w:val="00E90797"/>
    <w:rsid w:val="00E914A0"/>
    <w:rsid w:val="00E931FD"/>
    <w:rsid w:val="00E94236"/>
    <w:rsid w:val="00E9551C"/>
    <w:rsid w:val="00E96114"/>
    <w:rsid w:val="00E9686C"/>
    <w:rsid w:val="00E96F4F"/>
    <w:rsid w:val="00EA1A9E"/>
    <w:rsid w:val="00EA6D5F"/>
    <w:rsid w:val="00EA6E5D"/>
    <w:rsid w:val="00EB01DB"/>
    <w:rsid w:val="00EB2887"/>
    <w:rsid w:val="00EB2BEE"/>
    <w:rsid w:val="00EB30BF"/>
    <w:rsid w:val="00EB3548"/>
    <w:rsid w:val="00EB38C6"/>
    <w:rsid w:val="00EB3B16"/>
    <w:rsid w:val="00EB586F"/>
    <w:rsid w:val="00EB5F66"/>
    <w:rsid w:val="00EB5FAA"/>
    <w:rsid w:val="00EB7A5E"/>
    <w:rsid w:val="00EC0AAE"/>
    <w:rsid w:val="00EC119D"/>
    <w:rsid w:val="00EC1AA9"/>
    <w:rsid w:val="00EC5DF9"/>
    <w:rsid w:val="00EC7B19"/>
    <w:rsid w:val="00ED0EDF"/>
    <w:rsid w:val="00ED1022"/>
    <w:rsid w:val="00ED19EF"/>
    <w:rsid w:val="00ED207A"/>
    <w:rsid w:val="00ED224A"/>
    <w:rsid w:val="00ED286C"/>
    <w:rsid w:val="00ED2BAE"/>
    <w:rsid w:val="00ED6B07"/>
    <w:rsid w:val="00ED72B0"/>
    <w:rsid w:val="00EE1F90"/>
    <w:rsid w:val="00EE2088"/>
    <w:rsid w:val="00EE2CAF"/>
    <w:rsid w:val="00EE4380"/>
    <w:rsid w:val="00EE4B8D"/>
    <w:rsid w:val="00EE534C"/>
    <w:rsid w:val="00EE5F57"/>
    <w:rsid w:val="00EF0BF6"/>
    <w:rsid w:val="00EF16B3"/>
    <w:rsid w:val="00EF3AFA"/>
    <w:rsid w:val="00EF49AB"/>
    <w:rsid w:val="00EF675F"/>
    <w:rsid w:val="00F00764"/>
    <w:rsid w:val="00F0077D"/>
    <w:rsid w:val="00F01AFB"/>
    <w:rsid w:val="00F01CCC"/>
    <w:rsid w:val="00F0480B"/>
    <w:rsid w:val="00F053EE"/>
    <w:rsid w:val="00F056CD"/>
    <w:rsid w:val="00F071D3"/>
    <w:rsid w:val="00F07371"/>
    <w:rsid w:val="00F07F21"/>
    <w:rsid w:val="00F107F1"/>
    <w:rsid w:val="00F11B34"/>
    <w:rsid w:val="00F11C5F"/>
    <w:rsid w:val="00F11F24"/>
    <w:rsid w:val="00F127FE"/>
    <w:rsid w:val="00F13733"/>
    <w:rsid w:val="00F14EC1"/>
    <w:rsid w:val="00F14F13"/>
    <w:rsid w:val="00F16070"/>
    <w:rsid w:val="00F17C6E"/>
    <w:rsid w:val="00F21573"/>
    <w:rsid w:val="00F22CC1"/>
    <w:rsid w:val="00F22FF8"/>
    <w:rsid w:val="00F239E2"/>
    <w:rsid w:val="00F23D03"/>
    <w:rsid w:val="00F23D5A"/>
    <w:rsid w:val="00F2624B"/>
    <w:rsid w:val="00F26BD5"/>
    <w:rsid w:val="00F26D30"/>
    <w:rsid w:val="00F27DC3"/>
    <w:rsid w:val="00F30B6D"/>
    <w:rsid w:val="00F31131"/>
    <w:rsid w:val="00F31601"/>
    <w:rsid w:val="00F325A4"/>
    <w:rsid w:val="00F33590"/>
    <w:rsid w:val="00F349F7"/>
    <w:rsid w:val="00F355FF"/>
    <w:rsid w:val="00F36758"/>
    <w:rsid w:val="00F37AB8"/>
    <w:rsid w:val="00F43E68"/>
    <w:rsid w:val="00F440D6"/>
    <w:rsid w:val="00F44493"/>
    <w:rsid w:val="00F4671E"/>
    <w:rsid w:val="00F46B07"/>
    <w:rsid w:val="00F476A2"/>
    <w:rsid w:val="00F5293D"/>
    <w:rsid w:val="00F53124"/>
    <w:rsid w:val="00F54F8B"/>
    <w:rsid w:val="00F55976"/>
    <w:rsid w:val="00F56F68"/>
    <w:rsid w:val="00F60EE0"/>
    <w:rsid w:val="00F63C4B"/>
    <w:rsid w:val="00F6469D"/>
    <w:rsid w:val="00F648D0"/>
    <w:rsid w:val="00F64CEB"/>
    <w:rsid w:val="00F652EC"/>
    <w:rsid w:val="00F703DC"/>
    <w:rsid w:val="00F7177B"/>
    <w:rsid w:val="00F71F75"/>
    <w:rsid w:val="00F7246A"/>
    <w:rsid w:val="00F72FB7"/>
    <w:rsid w:val="00F7315F"/>
    <w:rsid w:val="00F7372E"/>
    <w:rsid w:val="00F756B5"/>
    <w:rsid w:val="00F75E71"/>
    <w:rsid w:val="00F76961"/>
    <w:rsid w:val="00F76D6B"/>
    <w:rsid w:val="00F77CCD"/>
    <w:rsid w:val="00F82DFA"/>
    <w:rsid w:val="00F85743"/>
    <w:rsid w:val="00F859E5"/>
    <w:rsid w:val="00F92180"/>
    <w:rsid w:val="00F92ADD"/>
    <w:rsid w:val="00F92CF4"/>
    <w:rsid w:val="00F942BA"/>
    <w:rsid w:val="00F96C6A"/>
    <w:rsid w:val="00F979C4"/>
    <w:rsid w:val="00FA1B55"/>
    <w:rsid w:val="00FA1F77"/>
    <w:rsid w:val="00FA31ED"/>
    <w:rsid w:val="00FA522B"/>
    <w:rsid w:val="00FA5F5D"/>
    <w:rsid w:val="00FA711C"/>
    <w:rsid w:val="00FA7405"/>
    <w:rsid w:val="00FB0EF6"/>
    <w:rsid w:val="00FB1F26"/>
    <w:rsid w:val="00FB23AC"/>
    <w:rsid w:val="00FB3E8A"/>
    <w:rsid w:val="00FB440F"/>
    <w:rsid w:val="00FB4930"/>
    <w:rsid w:val="00FB4BD6"/>
    <w:rsid w:val="00FB5A98"/>
    <w:rsid w:val="00FB5C0B"/>
    <w:rsid w:val="00FB5D35"/>
    <w:rsid w:val="00FB79B2"/>
    <w:rsid w:val="00FB7A7F"/>
    <w:rsid w:val="00FC0D51"/>
    <w:rsid w:val="00FC1673"/>
    <w:rsid w:val="00FC3CC7"/>
    <w:rsid w:val="00FC6B5A"/>
    <w:rsid w:val="00FC763A"/>
    <w:rsid w:val="00FD08EF"/>
    <w:rsid w:val="00FD19A5"/>
    <w:rsid w:val="00FD19FA"/>
    <w:rsid w:val="00FD1CA2"/>
    <w:rsid w:val="00FD37C4"/>
    <w:rsid w:val="00FD3ADE"/>
    <w:rsid w:val="00FD41FA"/>
    <w:rsid w:val="00FD7CAA"/>
    <w:rsid w:val="00FE081D"/>
    <w:rsid w:val="00FE146F"/>
    <w:rsid w:val="00FE1AD1"/>
    <w:rsid w:val="00FE289E"/>
    <w:rsid w:val="00FE2D0A"/>
    <w:rsid w:val="00FE55AB"/>
    <w:rsid w:val="00FE57C7"/>
    <w:rsid w:val="00FE65C4"/>
    <w:rsid w:val="00FE68E0"/>
    <w:rsid w:val="00FE6A86"/>
    <w:rsid w:val="00FE70CD"/>
    <w:rsid w:val="00FE718D"/>
    <w:rsid w:val="00FE7C76"/>
    <w:rsid w:val="00FF0FD4"/>
    <w:rsid w:val="00FF5901"/>
    <w:rsid w:val="00FF5AE6"/>
    <w:rsid w:val="00FF5D04"/>
    <w:rsid w:val="00FF7C35"/>
    <w:rsid w:val="00FF7F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7D7CE02E-D451-4017-B9CD-5FC67946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A1C"/>
    <w:pPr>
      <w:jc w:val="both"/>
    </w:pPr>
    <w:rPr>
      <w:sz w:val="24"/>
    </w:rPr>
  </w:style>
  <w:style w:type="paragraph" w:styleId="Titre1">
    <w:name w:val="heading 1"/>
    <w:basedOn w:val="Normal"/>
    <w:next w:val="Normal"/>
    <w:qFormat/>
    <w:rsid w:val="003274DB"/>
    <w:pPr>
      <w:keepNext/>
      <w:numPr>
        <w:numId w:val="1"/>
      </w:numPr>
      <w:spacing w:before="480" w:after="240"/>
      <w:outlineLvl w:val="0"/>
    </w:pPr>
    <w:rPr>
      <w:rFonts w:ascii="Arial" w:hAnsi="Arial"/>
      <w:b/>
      <w:color w:val="003B8E"/>
    </w:rPr>
  </w:style>
  <w:style w:type="paragraph" w:styleId="Titre2">
    <w:name w:val="heading 2"/>
    <w:basedOn w:val="Titre1"/>
    <w:next w:val="Normal"/>
    <w:link w:val="Titre2Car"/>
    <w:qFormat/>
    <w:rsid w:val="00065E47"/>
    <w:pPr>
      <w:numPr>
        <w:ilvl w:val="1"/>
      </w:numPr>
      <w:spacing w:before="360" w:after="120"/>
      <w:outlineLvl w:val="1"/>
    </w:pPr>
    <w:rPr>
      <w:b w:val="0"/>
      <w:color w:val="auto"/>
      <w:sz w:val="22"/>
    </w:rPr>
  </w:style>
  <w:style w:type="paragraph" w:styleId="Titre3">
    <w:name w:val="heading 3"/>
    <w:basedOn w:val="Titre2"/>
    <w:next w:val="Normal"/>
    <w:qFormat/>
    <w:rsid w:val="0061247F"/>
    <w:pPr>
      <w:numPr>
        <w:ilvl w:val="2"/>
      </w:numPr>
      <w:outlineLvl w:val="2"/>
    </w:pPr>
    <w:rPr>
      <w:b/>
      <w:sz w:val="24"/>
    </w:rPr>
  </w:style>
  <w:style w:type="paragraph" w:styleId="Titre4">
    <w:name w:val="heading 4"/>
    <w:basedOn w:val="Titre3"/>
    <w:next w:val="Normal"/>
    <w:qFormat/>
    <w:rsid w:val="0061247F"/>
    <w:pPr>
      <w:numPr>
        <w:ilvl w:val="3"/>
      </w:numPr>
      <w:spacing w:before="240"/>
      <w:outlineLvl w:val="3"/>
    </w:pPr>
    <w:rPr>
      <w:b w:val="0"/>
      <w:sz w:val="22"/>
    </w:rPr>
  </w:style>
  <w:style w:type="paragraph" w:styleId="Titre5">
    <w:name w:val="heading 5"/>
    <w:basedOn w:val="Titre4"/>
    <w:qFormat/>
    <w:rsid w:val="0061247F"/>
    <w:pPr>
      <w:numPr>
        <w:ilvl w:val="4"/>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aliases w:val="Note de bas de page Car Car Car Car Car Car Car Car Car Car Car,Note de bas de page Car Car Car,Note de bas de page Car Car Car Car Car Car Car Car,Note de bas de page3 Car,Note de bas de page3 Car Car,Footnote Text Char1,ft"/>
    <w:basedOn w:val="Normal"/>
    <w:link w:val="NotedebasdepageCar"/>
    <w:uiPriority w:val="99"/>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uiPriority w:val="39"/>
    <w:rsid w:val="00F23D03"/>
    <w:pPr>
      <w:tabs>
        <w:tab w:val="right" w:leader="dot" w:pos="9628"/>
      </w:tabs>
      <w:spacing w:before="120"/>
      <w:ind w:left="992" w:hanging="992"/>
      <w:jc w:val="left"/>
    </w:pPr>
    <w:rPr>
      <w:rFonts w:ascii="Arial" w:hAnsi="Arial"/>
      <w:bCs/>
      <w:noProof/>
      <w:sz w:val="18"/>
    </w:rPr>
  </w:style>
  <w:style w:type="paragraph" w:styleId="TM2">
    <w:name w:val="toc 2"/>
    <w:basedOn w:val="Normal"/>
    <w:next w:val="Normal"/>
    <w:autoRedefine/>
    <w:rsid w:val="0061247F"/>
    <w:pPr>
      <w:spacing w:before="120"/>
      <w:ind w:left="240"/>
      <w:jc w:val="left"/>
    </w:pPr>
    <w:rPr>
      <w:rFonts w:ascii="Calibri" w:hAnsi="Calibri"/>
      <w:i/>
      <w:iCs/>
      <w:sz w:val="20"/>
    </w:rPr>
  </w:style>
  <w:style w:type="paragraph" w:styleId="TM3">
    <w:name w:val="toc 3"/>
    <w:basedOn w:val="Normal"/>
    <w:next w:val="Normal"/>
    <w:autoRedefine/>
    <w:uiPriority w:val="39"/>
    <w:rsid w:val="0061247F"/>
    <w:pPr>
      <w:ind w:left="480"/>
      <w:jc w:val="left"/>
    </w:pPr>
    <w:rPr>
      <w:rFonts w:ascii="Calibri" w:hAnsi="Calibri"/>
      <w:sz w:val="20"/>
    </w:rPr>
  </w:style>
  <w:style w:type="paragraph" w:styleId="TM4">
    <w:name w:val="toc 4"/>
    <w:basedOn w:val="Normal"/>
    <w:next w:val="Normal"/>
    <w:autoRedefine/>
    <w:semiHidden/>
    <w:rsid w:val="0061247F"/>
    <w:pPr>
      <w:ind w:left="720"/>
      <w:jc w:val="left"/>
    </w:pPr>
    <w:rPr>
      <w:rFonts w:ascii="Calibri" w:hAnsi="Calibri"/>
      <w:sz w:val="20"/>
    </w:rPr>
  </w:style>
  <w:style w:type="paragraph" w:styleId="TM5">
    <w:name w:val="toc 5"/>
    <w:basedOn w:val="Normal"/>
    <w:next w:val="Normal"/>
    <w:autoRedefine/>
    <w:semiHidden/>
    <w:rsid w:val="0061247F"/>
    <w:pPr>
      <w:ind w:left="960"/>
      <w:jc w:val="left"/>
    </w:pPr>
    <w:rPr>
      <w:rFonts w:ascii="Calibri" w:hAnsi="Calibri"/>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D53452"/>
    <w:pPr>
      <w:pBdr>
        <w:bottom w:val="single" w:sz="8" w:space="4" w:color="4F81BD"/>
      </w:pBdr>
      <w:spacing w:after="300"/>
      <w:ind w:right="567"/>
      <w:contextualSpacing/>
    </w:pPr>
    <w:rPr>
      <w:rFonts w:ascii="Arial" w:hAnsi="Arial" w:cs="Arial"/>
      <w:color w:val="000000"/>
      <w:spacing w:val="5"/>
      <w:kern w:val="28"/>
      <w:sz w:val="28"/>
      <w:szCs w:val="28"/>
    </w:rPr>
  </w:style>
  <w:style w:type="character" w:customStyle="1" w:styleId="TitreCar">
    <w:name w:val="Titre Car"/>
    <w:basedOn w:val="Policepardfaut"/>
    <w:link w:val="Titre"/>
    <w:rsid w:val="00D53452"/>
    <w:rPr>
      <w:rFonts w:ascii="Arial" w:hAnsi="Arial" w:cs="Arial"/>
      <w:color w:val="000000"/>
      <w:spacing w:val="5"/>
      <w:kern w:val="28"/>
      <w:sz w:val="28"/>
      <w:szCs w:val="28"/>
    </w:rPr>
  </w:style>
  <w:style w:type="paragraph" w:customStyle="1" w:styleId="SGACP-sommaire">
    <w:name w:val="SGACP-sommaire"/>
    <w:basedOn w:val="Normal"/>
    <w:qFormat/>
    <w:rsid w:val="000845E4"/>
    <w:pPr>
      <w:tabs>
        <w:tab w:val="right" w:leader="dot" w:pos="9639"/>
      </w:tabs>
      <w:jc w:val="left"/>
    </w:pPr>
    <w:rPr>
      <w:rFonts w:ascii="Arial" w:hAnsi="Arial"/>
      <w:sz w:val="18"/>
    </w:rPr>
  </w:style>
  <w:style w:type="paragraph" w:styleId="Paragraphedeliste">
    <w:name w:val="List Paragraph"/>
    <w:basedOn w:val="Normal"/>
    <w:link w:val="ParagraphedelisteCar"/>
    <w:uiPriority w:val="34"/>
    <w:qFormat/>
    <w:rsid w:val="00463A1C"/>
    <w:pPr>
      <w:ind w:left="720"/>
      <w:contextualSpacing/>
    </w:pPr>
    <w:rPr>
      <w:sz w:val="22"/>
    </w:rPr>
  </w:style>
  <w:style w:type="character" w:styleId="Marquedecommentaire">
    <w:name w:val="annotation reference"/>
    <w:basedOn w:val="Policepardfaut"/>
    <w:uiPriority w:val="99"/>
    <w:rsid w:val="00463A1C"/>
    <w:rPr>
      <w:sz w:val="16"/>
      <w:szCs w:val="16"/>
    </w:rPr>
  </w:style>
  <w:style w:type="paragraph" w:styleId="Commentaire">
    <w:name w:val="annotation text"/>
    <w:basedOn w:val="Normal"/>
    <w:link w:val="CommentaireCar"/>
    <w:uiPriority w:val="99"/>
    <w:rsid w:val="00463A1C"/>
    <w:rPr>
      <w:sz w:val="20"/>
    </w:rPr>
  </w:style>
  <w:style w:type="character" w:customStyle="1" w:styleId="CommentaireCar">
    <w:name w:val="Commentaire Car"/>
    <w:basedOn w:val="Policepardfaut"/>
    <w:link w:val="Commentaire"/>
    <w:uiPriority w:val="99"/>
    <w:rsid w:val="00463A1C"/>
  </w:style>
  <w:style w:type="paragraph" w:styleId="Corpsdetexte">
    <w:name w:val="Body Text"/>
    <w:basedOn w:val="Normal"/>
    <w:link w:val="CorpsdetexteCar"/>
    <w:rsid w:val="00463A1C"/>
    <w:pPr>
      <w:spacing w:after="120"/>
    </w:pPr>
    <w:rPr>
      <w:i/>
    </w:rPr>
  </w:style>
  <w:style w:type="character" w:customStyle="1" w:styleId="CorpsdetexteCar">
    <w:name w:val="Corps de texte Car"/>
    <w:basedOn w:val="Policepardfaut"/>
    <w:link w:val="Corpsdetexte"/>
    <w:rsid w:val="00463A1C"/>
    <w:rPr>
      <w:i/>
      <w:sz w:val="24"/>
    </w:rPr>
  </w:style>
  <w:style w:type="paragraph" w:styleId="Corpsdetexte2">
    <w:name w:val="Body Text 2"/>
    <w:basedOn w:val="Normal"/>
    <w:link w:val="Corpsdetexte2Car"/>
    <w:rsid w:val="00463A1C"/>
    <w:pPr>
      <w:spacing w:after="120" w:line="480" w:lineRule="auto"/>
    </w:pPr>
  </w:style>
  <w:style w:type="character" w:customStyle="1" w:styleId="Corpsdetexte2Car">
    <w:name w:val="Corps de texte 2 Car"/>
    <w:basedOn w:val="Policepardfaut"/>
    <w:link w:val="Corpsdetexte2"/>
    <w:rsid w:val="00463A1C"/>
    <w:rPr>
      <w:sz w:val="24"/>
    </w:rPr>
  </w:style>
  <w:style w:type="character" w:customStyle="1" w:styleId="Titre2Car">
    <w:name w:val="Titre 2 Car"/>
    <w:basedOn w:val="Policepardfaut"/>
    <w:link w:val="Titre2"/>
    <w:rsid w:val="00065E47"/>
    <w:rPr>
      <w:rFonts w:ascii="Arial" w:hAnsi="Arial"/>
      <w:sz w:val="22"/>
    </w:rPr>
  </w:style>
  <w:style w:type="paragraph" w:customStyle="1" w:styleId="SGACP-titrederubriqueniveau1">
    <w:name w:val="SGACP-titre de rubrique niveau 1"/>
    <w:basedOn w:val="Normal"/>
    <w:next w:val="Normal"/>
    <w:qFormat/>
    <w:rsid w:val="000845E4"/>
    <w:pPr>
      <w:numPr>
        <w:numId w:val="2"/>
      </w:numPr>
      <w:jc w:val="left"/>
    </w:pPr>
    <w:rPr>
      <w:rFonts w:ascii="Arial" w:hAnsi="Arial"/>
      <w:b/>
    </w:rPr>
  </w:style>
  <w:style w:type="paragraph" w:styleId="Objetducommentaire">
    <w:name w:val="annotation subject"/>
    <w:basedOn w:val="Commentaire"/>
    <w:next w:val="Commentaire"/>
    <w:link w:val="ObjetducommentaireCar"/>
    <w:uiPriority w:val="99"/>
    <w:rsid w:val="00463A1C"/>
    <w:rPr>
      <w:b/>
      <w:bCs/>
    </w:rPr>
  </w:style>
  <w:style w:type="character" w:customStyle="1" w:styleId="ObjetducommentaireCar">
    <w:name w:val="Objet du commentaire Car"/>
    <w:basedOn w:val="CommentaireCar"/>
    <w:link w:val="Objetducommentaire"/>
    <w:uiPriority w:val="99"/>
    <w:rsid w:val="00463A1C"/>
    <w:rPr>
      <w:b/>
      <w:bCs/>
    </w:rPr>
  </w:style>
  <w:style w:type="paragraph" w:styleId="Rvision">
    <w:name w:val="Revision"/>
    <w:hidden/>
    <w:uiPriority w:val="99"/>
    <w:semiHidden/>
    <w:rsid w:val="00463A1C"/>
    <w:rPr>
      <w:sz w:val="24"/>
    </w:rPr>
  </w:style>
  <w:style w:type="paragraph" w:styleId="Textedebulles">
    <w:name w:val="Balloon Text"/>
    <w:basedOn w:val="Normal"/>
    <w:link w:val="TextedebullesCar"/>
    <w:uiPriority w:val="99"/>
    <w:rsid w:val="00463A1C"/>
    <w:rPr>
      <w:rFonts w:ascii="Tahoma" w:hAnsi="Tahoma" w:cs="Tahoma"/>
      <w:sz w:val="16"/>
      <w:szCs w:val="16"/>
    </w:rPr>
  </w:style>
  <w:style w:type="character" w:customStyle="1" w:styleId="TextedebullesCar">
    <w:name w:val="Texte de bulles Car"/>
    <w:basedOn w:val="Policepardfaut"/>
    <w:link w:val="Textedebulles"/>
    <w:uiPriority w:val="99"/>
    <w:rsid w:val="00463A1C"/>
    <w:rPr>
      <w:rFonts w:ascii="Tahoma" w:hAnsi="Tahoma" w:cs="Tahoma"/>
      <w:sz w:val="16"/>
      <w:szCs w:val="16"/>
    </w:rPr>
  </w:style>
  <w:style w:type="character" w:styleId="Numrodepage">
    <w:name w:val="page number"/>
    <w:basedOn w:val="Policepardfaut"/>
    <w:rsid w:val="00463A1C"/>
  </w:style>
  <w:style w:type="paragraph" w:styleId="Corpsdetexte3">
    <w:name w:val="Body Text 3"/>
    <w:basedOn w:val="Normal"/>
    <w:link w:val="Corpsdetexte3Car"/>
    <w:rsid w:val="00463A1C"/>
    <w:pPr>
      <w:spacing w:after="120"/>
    </w:pPr>
    <w:rPr>
      <w:sz w:val="16"/>
      <w:szCs w:val="16"/>
    </w:rPr>
  </w:style>
  <w:style w:type="character" w:customStyle="1" w:styleId="Corpsdetexte3Car">
    <w:name w:val="Corps de texte 3 Car"/>
    <w:basedOn w:val="Policepardfaut"/>
    <w:link w:val="Corpsdetexte3"/>
    <w:rsid w:val="00463A1C"/>
    <w:rPr>
      <w:sz w:val="16"/>
      <w:szCs w:val="16"/>
    </w:rPr>
  </w:style>
  <w:style w:type="paragraph" w:styleId="En-ttedetabledesmatires">
    <w:name w:val="TOC Heading"/>
    <w:basedOn w:val="Titre1"/>
    <w:next w:val="Normal"/>
    <w:uiPriority w:val="39"/>
    <w:semiHidden/>
    <w:unhideWhenUsed/>
    <w:qFormat/>
    <w:rsid w:val="00463A1C"/>
    <w:pPr>
      <w:keepLines/>
      <w:numPr>
        <w:numId w:val="0"/>
      </w:numPr>
      <w:spacing w:after="0" w:line="276" w:lineRule="auto"/>
      <w:outlineLvl w:val="9"/>
    </w:pPr>
    <w:rPr>
      <w:rFonts w:ascii="Cambria" w:hAnsi="Cambria"/>
      <w:bCs/>
      <w:color w:val="365F91"/>
      <w:sz w:val="28"/>
      <w:szCs w:val="28"/>
      <w:lang w:eastAsia="en-US"/>
    </w:rPr>
  </w:style>
  <w:style w:type="table" w:styleId="Grilledutableau">
    <w:name w:val="Table Grid"/>
    <w:basedOn w:val="TableauNormal"/>
    <w:rsid w:val="00463A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fin">
    <w:name w:val="endnote text"/>
    <w:basedOn w:val="Normal"/>
    <w:link w:val="NotedefinCar"/>
    <w:rsid w:val="00463A1C"/>
    <w:rPr>
      <w:sz w:val="20"/>
    </w:rPr>
  </w:style>
  <w:style w:type="character" w:customStyle="1" w:styleId="NotedefinCar">
    <w:name w:val="Note de fin Car"/>
    <w:basedOn w:val="Policepardfaut"/>
    <w:link w:val="Notedefin"/>
    <w:rsid w:val="00463A1C"/>
  </w:style>
  <w:style w:type="paragraph" w:styleId="Explorateurdedocuments">
    <w:name w:val="Document Map"/>
    <w:basedOn w:val="Normal"/>
    <w:link w:val="ExplorateurdedocumentsCar"/>
    <w:rsid w:val="00463A1C"/>
    <w:rPr>
      <w:rFonts w:ascii="Tahoma" w:hAnsi="Tahoma" w:cs="Tahoma"/>
      <w:sz w:val="16"/>
      <w:szCs w:val="16"/>
    </w:rPr>
  </w:style>
  <w:style w:type="character" w:customStyle="1" w:styleId="ExplorateurdedocumentsCar">
    <w:name w:val="Explorateur de documents Car"/>
    <w:basedOn w:val="Policepardfaut"/>
    <w:link w:val="Explorateurdedocuments"/>
    <w:rsid w:val="00463A1C"/>
    <w:rPr>
      <w:rFonts w:ascii="Tahoma" w:hAnsi="Tahoma" w:cs="Tahoma"/>
      <w:sz w:val="16"/>
      <w:szCs w:val="16"/>
    </w:rPr>
  </w:style>
  <w:style w:type="paragraph" w:customStyle="1" w:styleId="SGACP-date">
    <w:name w:val="SGACP-date"/>
    <w:basedOn w:val="Normal"/>
    <w:qFormat/>
    <w:rsid w:val="00463A1C"/>
    <w:pPr>
      <w:jc w:val="right"/>
    </w:pPr>
    <w:rPr>
      <w:rFonts w:ascii="Arial" w:hAnsi="Arial"/>
      <w:sz w:val="20"/>
    </w:rPr>
  </w:style>
  <w:style w:type="paragraph" w:customStyle="1" w:styleId="SGACP-titredocument">
    <w:name w:val="SGACP-titre document"/>
    <w:basedOn w:val="Normal"/>
    <w:qFormat/>
    <w:rsid w:val="00463A1C"/>
    <w:pPr>
      <w:jc w:val="center"/>
    </w:pPr>
    <w:rPr>
      <w:rFonts w:ascii="Arial" w:hAnsi="Arial"/>
      <w:b/>
      <w:sz w:val="32"/>
    </w:rPr>
  </w:style>
  <w:style w:type="paragraph" w:customStyle="1" w:styleId="SGACP-sous-titredocument">
    <w:name w:val="SGACP-sous-titre document"/>
    <w:basedOn w:val="Normal"/>
    <w:qFormat/>
    <w:rsid w:val="00463A1C"/>
    <w:pPr>
      <w:jc w:val="center"/>
    </w:pPr>
    <w:rPr>
      <w:rFonts w:ascii="Arial" w:hAnsi="Arial"/>
    </w:rPr>
  </w:style>
  <w:style w:type="paragraph" w:customStyle="1" w:styleId="SGACP-textecourant">
    <w:name w:val="SGACP-texte courant"/>
    <w:basedOn w:val="Normal"/>
    <w:qFormat/>
    <w:rsid w:val="000845E4"/>
    <w:rPr>
      <w:sz w:val="22"/>
    </w:rPr>
  </w:style>
  <w:style w:type="paragraph" w:customStyle="1" w:styleId="SGACP-sous-titrederubriquenivaeu2">
    <w:name w:val="SGACP-sous-titre de rubrique nivaeu 2"/>
    <w:basedOn w:val="Normal"/>
    <w:qFormat/>
    <w:rsid w:val="00254858"/>
    <w:pPr>
      <w:ind w:left="567" w:hanging="567"/>
      <w:jc w:val="left"/>
    </w:pPr>
    <w:rPr>
      <w:rFonts w:ascii="Arial" w:hAnsi="Arial"/>
      <w:sz w:val="22"/>
    </w:rPr>
  </w:style>
  <w:style w:type="paragraph" w:customStyle="1" w:styleId="SGACP-enumerationniveau1">
    <w:name w:val="SGACP-enumeration niveau 1"/>
    <w:basedOn w:val="Normal"/>
    <w:qFormat/>
    <w:rsid w:val="00902903"/>
    <w:pPr>
      <w:numPr>
        <w:numId w:val="3"/>
      </w:numPr>
      <w:spacing w:before="120"/>
    </w:pPr>
    <w:rPr>
      <w:sz w:val="22"/>
    </w:rPr>
  </w:style>
  <w:style w:type="paragraph" w:customStyle="1" w:styleId="SGACP-enumerationniveau2">
    <w:name w:val="SGACP-enumeration niveau 2"/>
    <w:basedOn w:val="Normal"/>
    <w:qFormat/>
    <w:rsid w:val="00462DED"/>
    <w:pPr>
      <w:numPr>
        <w:numId w:val="4"/>
      </w:numPr>
      <w:spacing w:before="60"/>
    </w:pPr>
    <w:rPr>
      <w:sz w:val="22"/>
    </w:rPr>
  </w:style>
  <w:style w:type="paragraph" w:customStyle="1" w:styleId="SGACP-enumerationniveau3">
    <w:name w:val="SGACP-enumeration niveau 3"/>
    <w:basedOn w:val="Normal"/>
    <w:qFormat/>
    <w:rsid w:val="003637E1"/>
    <w:pPr>
      <w:numPr>
        <w:numId w:val="5"/>
      </w:numPr>
      <w:spacing w:before="60"/>
      <w:ind w:left="993" w:hanging="284"/>
    </w:pPr>
    <w:rPr>
      <w:sz w:val="22"/>
    </w:rPr>
  </w:style>
  <w:style w:type="paragraph" w:customStyle="1" w:styleId="SGACP-sous-titrederubriqueniveau3">
    <w:name w:val="SGACP-sous-titre de rubrique niveau 3"/>
    <w:basedOn w:val="Normal"/>
    <w:qFormat/>
    <w:rsid w:val="00254858"/>
    <w:pPr>
      <w:tabs>
        <w:tab w:val="left" w:pos="709"/>
      </w:tabs>
      <w:ind w:left="709" w:hanging="709"/>
    </w:pPr>
    <w:rPr>
      <w:b/>
      <w:i/>
      <w:sz w:val="22"/>
    </w:rPr>
  </w:style>
  <w:style w:type="paragraph" w:customStyle="1" w:styleId="SGACP-notedebasdepages">
    <w:name w:val="SGACP-note de bas de pages"/>
    <w:basedOn w:val="Notedefin"/>
    <w:qFormat/>
    <w:rsid w:val="009A4651"/>
    <w:pPr>
      <w:ind w:left="397" w:hanging="397"/>
    </w:pPr>
    <w:rPr>
      <w:sz w:val="16"/>
      <w:szCs w:val="18"/>
    </w:rPr>
  </w:style>
  <w:style w:type="paragraph" w:customStyle="1" w:styleId="SGACP-numero-annexe">
    <w:name w:val="SGACP-numero-annexe"/>
    <w:basedOn w:val="Normal"/>
    <w:qFormat/>
    <w:rsid w:val="00992066"/>
    <w:pPr>
      <w:jc w:val="right"/>
    </w:pPr>
    <w:rPr>
      <w:rFonts w:ascii="Arial" w:hAnsi="Arial"/>
      <w:sz w:val="18"/>
    </w:rPr>
  </w:style>
  <w:style w:type="paragraph" w:customStyle="1" w:styleId="SGACP-annexe-titre">
    <w:name w:val="SGACP-annexe-titre"/>
    <w:basedOn w:val="Normal"/>
    <w:qFormat/>
    <w:rsid w:val="00992066"/>
    <w:pPr>
      <w:jc w:val="center"/>
    </w:pPr>
    <w:rPr>
      <w:rFonts w:ascii="Arial" w:hAnsi="Arial"/>
      <w:b/>
      <w:sz w:val="28"/>
    </w:rPr>
  </w:style>
  <w:style w:type="paragraph" w:styleId="TM6">
    <w:name w:val="toc 6"/>
    <w:basedOn w:val="Normal"/>
    <w:next w:val="Normal"/>
    <w:autoRedefine/>
    <w:rsid w:val="00862D96"/>
    <w:pPr>
      <w:ind w:left="1200"/>
      <w:jc w:val="left"/>
    </w:pPr>
    <w:rPr>
      <w:rFonts w:ascii="Calibri" w:hAnsi="Calibri"/>
      <w:sz w:val="20"/>
    </w:rPr>
  </w:style>
  <w:style w:type="paragraph" w:styleId="TM7">
    <w:name w:val="toc 7"/>
    <w:basedOn w:val="Normal"/>
    <w:next w:val="Normal"/>
    <w:autoRedefine/>
    <w:rsid w:val="00862D96"/>
    <w:pPr>
      <w:ind w:left="1440"/>
      <w:jc w:val="left"/>
    </w:pPr>
    <w:rPr>
      <w:rFonts w:ascii="Calibri" w:hAnsi="Calibri"/>
      <w:sz w:val="20"/>
    </w:rPr>
  </w:style>
  <w:style w:type="paragraph" w:styleId="TM8">
    <w:name w:val="toc 8"/>
    <w:basedOn w:val="Normal"/>
    <w:next w:val="Normal"/>
    <w:autoRedefine/>
    <w:rsid w:val="00862D96"/>
    <w:pPr>
      <w:ind w:left="1680"/>
      <w:jc w:val="left"/>
    </w:pPr>
    <w:rPr>
      <w:rFonts w:ascii="Calibri" w:hAnsi="Calibri"/>
      <w:sz w:val="20"/>
    </w:rPr>
  </w:style>
  <w:style w:type="paragraph" w:styleId="TM9">
    <w:name w:val="toc 9"/>
    <w:basedOn w:val="Normal"/>
    <w:next w:val="Normal"/>
    <w:autoRedefine/>
    <w:rsid w:val="00862D96"/>
    <w:pPr>
      <w:ind w:left="1920"/>
      <w:jc w:val="left"/>
    </w:pPr>
    <w:rPr>
      <w:rFonts w:ascii="Calibri" w:hAnsi="Calibri"/>
      <w:sz w:val="20"/>
    </w:rPr>
  </w:style>
  <w:style w:type="character" w:styleId="Lienhypertexte">
    <w:name w:val="Hyperlink"/>
    <w:basedOn w:val="Policepardfaut"/>
    <w:uiPriority w:val="99"/>
    <w:unhideWhenUsed/>
    <w:rsid w:val="00862D96"/>
    <w:rPr>
      <w:color w:val="0000FF"/>
      <w:u w:val="single"/>
    </w:rPr>
  </w:style>
  <w:style w:type="paragraph" w:customStyle="1" w:styleId="SGACP-enumerationniveau4">
    <w:name w:val="SGACP-enumeration niveau 4"/>
    <w:basedOn w:val="Normal"/>
    <w:next w:val="Normal"/>
    <w:qFormat/>
    <w:rsid w:val="0095022E"/>
    <w:pPr>
      <w:numPr>
        <w:numId w:val="7"/>
      </w:numPr>
    </w:pPr>
    <w:rPr>
      <w:b/>
      <w:i/>
      <w:color w:val="003B8E"/>
      <w:sz w:val="22"/>
    </w:rPr>
  </w:style>
  <w:style w:type="paragraph" w:customStyle="1" w:styleId="SGACP-en-tte">
    <w:name w:val="SGACP-en-tête"/>
    <w:basedOn w:val="En-tte"/>
    <w:qFormat/>
    <w:rsid w:val="00010F0F"/>
    <w:pPr>
      <w:jc w:val="right"/>
    </w:pPr>
    <w:rPr>
      <w:rFonts w:ascii="Arial" w:hAnsi="Arial"/>
      <w:b/>
      <w:i/>
    </w:rPr>
  </w:style>
  <w:style w:type="paragraph" w:customStyle="1" w:styleId="StyleSGACP-titrederubriqueniveau1CouleurpersonnaliseRVB">
    <w:name w:val="Style SGACP-titre de rubrique niveau 1 + Couleur personnalisée(RVB(..."/>
    <w:basedOn w:val="SGACP-titrederubriqueniveau1"/>
    <w:rsid w:val="007D7872"/>
    <w:rPr>
      <w:bCs/>
      <w:color w:val="003B8E"/>
    </w:rPr>
  </w:style>
  <w:style w:type="paragraph" w:customStyle="1" w:styleId="SGACP-numerotationpartie20">
    <w:name w:val="SGACP-numerotation partie20"/>
    <w:basedOn w:val="SGACP-enumerationniveau1"/>
    <w:qFormat/>
    <w:rsid w:val="00253611"/>
    <w:pPr>
      <w:numPr>
        <w:numId w:val="8"/>
      </w:numPr>
    </w:pPr>
  </w:style>
  <w:style w:type="paragraph" w:customStyle="1" w:styleId="SCAP-numerotationniveau2partie20">
    <w:name w:val="SCAP-numerotation niveau2 partie 20"/>
    <w:basedOn w:val="Normal"/>
    <w:qFormat/>
    <w:rsid w:val="009402B5"/>
    <w:pPr>
      <w:tabs>
        <w:tab w:val="left" w:pos="851"/>
      </w:tabs>
      <w:spacing w:before="120"/>
      <w:ind w:left="851" w:hanging="425"/>
    </w:pPr>
    <w:rPr>
      <w:sz w:val="22"/>
    </w:rPr>
  </w:style>
  <w:style w:type="character" w:customStyle="1" w:styleId="WW8Num2z0">
    <w:name w:val="WW8Num2z0"/>
    <w:rsid w:val="003D086F"/>
    <w:rPr>
      <w:rFonts w:ascii="Times New Roman" w:eastAsia="Times New Roman" w:hAnsi="Times New Roman" w:cs="Times New Roman"/>
    </w:rPr>
  </w:style>
  <w:style w:type="character" w:customStyle="1" w:styleId="WW8Num2z1">
    <w:name w:val="WW8Num2z1"/>
    <w:rsid w:val="003D086F"/>
    <w:rPr>
      <w:rFonts w:ascii="Courier New" w:hAnsi="Courier New" w:cs="Courier New"/>
    </w:rPr>
  </w:style>
  <w:style w:type="character" w:customStyle="1" w:styleId="WW8Num2z2">
    <w:name w:val="WW8Num2z2"/>
    <w:rsid w:val="003D086F"/>
    <w:rPr>
      <w:rFonts w:ascii="Wingdings" w:hAnsi="Wingdings"/>
    </w:rPr>
  </w:style>
  <w:style w:type="character" w:customStyle="1" w:styleId="WW8Num2z3">
    <w:name w:val="WW8Num2z3"/>
    <w:rsid w:val="003D086F"/>
    <w:rPr>
      <w:rFonts w:ascii="Symbol" w:hAnsi="Symbol"/>
    </w:rPr>
  </w:style>
  <w:style w:type="character" w:customStyle="1" w:styleId="WW8Num3z0">
    <w:name w:val="WW8Num3z0"/>
    <w:rsid w:val="003D086F"/>
    <w:rPr>
      <w:rFonts w:ascii="Wingdings" w:eastAsia="Times New Roman" w:hAnsi="Wingdings" w:cs="Times New Roman"/>
    </w:rPr>
  </w:style>
  <w:style w:type="character" w:customStyle="1" w:styleId="WW8Num3z1">
    <w:name w:val="WW8Num3z1"/>
    <w:rsid w:val="003D086F"/>
    <w:rPr>
      <w:rFonts w:ascii="Courier New" w:hAnsi="Courier New" w:cs="Courier New"/>
    </w:rPr>
  </w:style>
  <w:style w:type="character" w:customStyle="1" w:styleId="WW8Num3z2">
    <w:name w:val="WW8Num3z2"/>
    <w:rsid w:val="003D086F"/>
    <w:rPr>
      <w:rFonts w:ascii="Wingdings" w:hAnsi="Wingdings"/>
    </w:rPr>
  </w:style>
  <w:style w:type="character" w:customStyle="1" w:styleId="WW8Num3z3">
    <w:name w:val="WW8Num3z3"/>
    <w:rsid w:val="003D086F"/>
    <w:rPr>
      <w:rFonts w:ascii="Symbol" w:hAnsi="Symbol"/>
    </w:rPr>
  </w:style>
  <w:style w:type="character" w:customStyle="1" w:styleId="WW8Num4z0">
    <w:name w:val="WW8Num4z0"/>
    <w:rsid w:val="003D086F"/>
    <w:rPr>
      <w:rFonts w:ascii="Symbol" w:hAnsi="Symbol"/>
    </w:rPr>
  </w:style>
  <w:style w:type="character" w:customStyle="1" w:styleId="WW8Num4z1">
    <w:name w:val="WW8Num4z1"/>
    <w:rsid w:val="003D086F"/>
    <w:rPr>
      <w:rFonts w:ascii="Courier New" w:hAnsi="Courier New" w:cs="Courier New"/>
    </w:rPr>
  </w:style>
  <w:style w:type="character" w:customStyle="1" w:styleId="WW8Num4z2">
    <w:name w:val="WW8Num4z2"/>
    <w:rsid w:val="003D086F"/>
    <w:rPr>
      <w:rFonts w:ascii="Wingdings" w:hAnsi="Wingdings"/>
    </w:rPr>
  </w:style>
  <w:style w:type="character" w:customStyle="1" w:styleId="WW8Num5z0">
    <w:name w:val="WW8Num5z0"/>
    <w:rsid w:val="003D086F"/>
    <w:rPr>
      <w:rFonts w:ascii="Symbol" w:hAnsi="Symbol"/>
    </w:rPr>
  </w:style>
  <w:style w:type="character" w:customStyle="1" w:styleId="WW8Num6z0">
    <w:name w:val="WW8Num6z0"/>
    <w:rsid w:val="003D086F"/>
    <w:rPr>
      <w:rFonts w:ascii="Wingdings" w:hAnsi="Wingdings"/>
    </w:rPr>
  </w:style>
  <w:style w:type="character" w:customStyle="1" w:styleId="WW8Num6z1">
    <w:name w:val="WW8Num6z1"/>
    <w:rsid w:val="003D086F"/>
    <w:rPr>
      <w:rFonts w:ascii="Courier New" w:hAnsi="Courier New" w:cs="Courier New"/>
    </w:rPr>
  </w:style>
  <w:style w:type="character" w:customStyle="1" w:styleId="WW8Num6z3">
    <w:name w:val="WW8Num6z3"/>
    <w:rsid w:val="003D086F"/>
    <w:rPr>
      <w:rFonts w:ascii="Symbol" w:hAnsi="Symbol"/>
    </w:rPr>
  </w:style>
  <w:style w:type="character" w:customStyle="1" w:styleId="WW8Num7z0">
    <w:name w:val="WW8Num7z0"/>
    <w:rsid w:val="003D086F"/>
    <w:rPr>
      <w:rFonts w:ascii="Symbol" w:hAnsi="Symbol"/>
    </w:rPr>
  </w:style>
  <w:style w:type="character" w:customStyle="1" w:styleId="WW8Num8z0">
    <w:name w:val="WW8Num8z0"/>
    <w:rsid w:val="003D086F"/>
    <w:rPr>
      <w:rFonts w:ascii="Times New Roman" w:eastAsia="Times New Roman" w:hAnsi="Times New Roman" w:cs="Times New Roman"/>
    </w:rPr>
  </w:style>
  <w:style w:type="character" w:customStyle="1" w:styleId="WW8Num8z1">
    <w:name w:val="WW8Num8z1"/>
    <w:rsid w:val="003D086F"/>
    <w:rPr>
      <w:rFonts w:ascii="Courier New" w:hAnsi="Courier New" w:cs="Courier New"/>
    </w:rPr>
  </w:style>
  <w:style w:type="character" w:customStyle="1" w:styleId="WW8Num8z2">
    <w:name w:val="WW8Num8z2"/>
    <w:rsid w:val="003D086F"/>
    <w:rPr>
      <w:rFonts w:ascii="Wingdings" w:hAnsi="Wingdings"/>
    </w:rPr>
  </w:style>
  <w:style w:type="character" w:customStyle="1" w:styleId="WW8Num8z3">
    <w:name w:val="WW8Num8z3"/>
    <w:rsid w:val="003D086F"/>
    <w:rPr>
      <w:rFonts w:ascii="Symbol" w:hAnsi="Symbol"/>
    </w:rPr>
  </w:style>
  <w:style w:type="character" w:customStyle="1" w:styleId="WW8Num12z0">
    <w:name w:val="WW8Num12z0"/>
    <w:rsid w:val="003D086F"/>
    <w:rPr>
      <w:rFonts w:ascii="Times New (W1)" w:eastAsia="Times New Roman" w:hAnsi="Times New (W1)" w:cs="Times New (W1)"/>
    </w:rPr>
  </w:style>
  <w:style w:type="character" w:customStyle="1" w:styleId="WW8Num12z1">
    <w:name w:val="WW8Num12z1"/>
    <w:rsid w:val="003D086F"/>
    <w:rPr>
      <w:rFonts w:ascii="Courier New" w:hAnsi="Courier New" w:cs="Courier New"/>
    </w:rPr>
  </w:style>
  <w:style w:type="character" w:customStyle="1" w:styleId="WW8Num12z2">
    <w:name w:val="WW8Num12z2"/>
    <w:rsid w:val="003D086F"/>
    <w:rPr>
      <w:rFonts w:ascii="Wingdings" w:hAnsi="Wingdings"/>
    </w:rPr>
  </w:style>
  <w:style w:type="character" w:customStyle="1" w:styleId="WW8Num12z3">
    <w:name w:val="WW8Num12z3"/>
    <w:rsid w:val="003D086F"/>
    <w:rPr>
      <w:rFonts w:ascii="Symbol" w:hAnsi="Symbol"/>
    </w:rPr>
  </w:style>
  <w:style w:type="character" w:customStyle="1" w:styleId="WW8Num13z0">
    <w:name w:val="WW8Num13z0"/>
    <w:rsid w:val="003D086F"/>
    <w:rPr>
      <w:rFonts w:ascii="Symbol" w:hAnsi="Symbol"/>
    </w:rPr>
  </w:style>
  <w:style w:type="character" w:customStyle="1" w:styleId="WW8Num14z0">
    <w:name w:val="WW8Num14z0"/>
    <w:rsid w:val="003D086F"/>
    <w:rPr>
      <w:rFonts w:ascii="Symbol" w:hAnsi="Symbol"/>
    </w:rPr>
  </w:style>
  <w:style w:type="character" w:customStyle="1" w:styleId="WW8Num14z1">
    <w:name w:val="WW8Num14z1"/>
    <w:rsid w:val="003D086F"/>
    <w:rPr>
      <w:rFonts w:ascii="Courier New" w:hAnsi="Courier New" w:cs="Courier New"/>
    </w:rPr>
  </w:style>
  <w:style w:type="character" w:customStyle="1" w:styleId="WW8Num14z2">
    <w:name w:val="WW8Num14z2"/>
    <w:rsid w:val="003D086F"/>
    <w:rPr>
      <w:rFonts w:ascii="Wingdings" w:hAnsi="Wingdings"/>
    </w:rPr>
  </w:style>
  <w:style w:type="character" w:customStyle="1" w:styleId="WW8Num16z1">
    <w:name w:val="WW8Num16z1"/>
    <w:rsid w:val="003D086F"/>
    <w:rPr>
      <w:rFonts w:ascii="Courier New" w:hAnsi="Courier New" w:cs="Courier New"/>
    </w:rPr>
  </w:style>
  <w:style w:type="character" w:customStyle="1" w:styleId="WW8Num16z2">
    <w:name w:val="WW8Num16z2"/>
    <w:rsid w:val="003D086F"/>
    <w:rPr>
      <w:rFonts w:ascii="Wingdings" w:hAnsi="Wingdings"/>
    </w:rPr>
  </w:style>
  <w:style w:type="character" w:customStyle="1" w:styleId="WW8Num16z3">
    <w:name w:val="WW8Num16z3"/>
    <w:rsid w:val="003D086F"/>
    <w:rPr>
      <w:rFonts w:ascii="Symbol" w:hAnsi="Symbol"/>
    </w:rPr>
  </w:style>
  <w:style w:type="character" w:customStyle="1" w:styleId="WW8Num18z0">
    <w:name w:val="WW8Num18z0"/>
    <w:rsid w:val="003D086F"/>
    <w:rPr>
      <w:rFonts w:ascii="Helv" w:eastAsia="Helv" w:hAnsi="Helv" w:cs="Helv"/>
      <w:color w:val="auto"/>
    </w:rPr>
  </w:style>
  <w:style w:type="character" w:customStyle="1" w:styleId="WW8Num18z1">
    <w:name w:val="WW8Num18z1"/>
    <w:rsid w:val="003D086F"/>
    <w:rPr>
      <w:rFonts w:ascii="Courier New" w:hAnsi="Courier New" w:cs="Courier New"/>
    </w:rPr>
  </w:style>
  <w:style w:type="character" w:customStyle="1" w:styleId="WW8Num18z2">
    <w:name w:val="WW8Num18z2"/>
    <w:rsid w:val="003D086F"/>
    <w:rPr>
      <w:rFonts w:ascii="Wingdings" w:hAnsi="Wingdings"/>
    </w:rPr>
  </w:style>
  <w:style w:type="character" w:customStyle="1" w:styleId="WW8Num18z3">
    <w:name w:val="WW8Num18z3"/>
    <w:rsid w:val="003D086F"/>
    <w:rPr>
      <w:rFonts w:ascii="Symbol" w:hAnsi="Symbol"/>
    </w:rPr>
  </w:style>
  <w:style w:type="character" w:customStyle="1" w:styleId="WW8Num19z0">
    <w:name w:val="WW8Num19z0"/>
    <w:rsid w:val="003D086F"/>
    <w:rPr>
      <w:rFonts w:ascii="Symbol" w:hAnsi="Symbol"/>
    </w:rPr>
  </w:style>
  <w:style w:type="character" w:customStyle="1" w:styleId="WW8Num19z1">
    <w:name w:val="WW8Num19z1"/>
    <w:rsid w:val="003D086F"/>
    <w:rPr>
      <w:rFonts w:ascii="Courier New" w:hAnsi="Courier New" w:cs="Courier New"/>
    </w:rPr>
  </w:style>
  <w:style w:type="character" w:customStyle="1" w:styleId="WW8Num19z2">
    <w:name w:val="WW8Num19z2"/>
    <w:rsid w:val="003D086F"/>
    <w:rPr>
      <w:rFonts w:ascii="Wingdings" w:hAnsi="Wingdings"/>
    </w:rPr>
  </w:style>
  <w:style w:type="character" w:customStyle="1" w:styleId="Policepardfaut1">
    <w:name w:val="Police par défaut1"/>
    <w:rsid w:val="003D086F"/>
  </w:style>
  <w:style w:type="character" w:customStyle="1" w:styleId="Smbolodenotaalpie">
    <w:name w:val="Símbolo de nota al pie"/>
    <w:basedOn w:val="Policepardfaut1"/>
    <w:rsid w:val="003D086F"/>
    <w:rPr>
      <w:rFonts w:ascii="Times New Roman" w:hAnsi="Times New Roman"/>
      <w:position w:val="6"/>
      <w:sz w:val="12"/>
    </w:rPr>
  </w:style>
  <w:style w:type="character" w:styleId="Appeldenotedefin">
    <w:name w:val="endnote reference"/>
    <w:rsid w:val="003D086F"/>
    <w:rPr>
      <w:vertAlign w:val="superscript"/>
    </w:rPr>
  </w:style>
  <w:style w:type="character" w:customStyle="1" w:styleId="Smbolodenotafinal">
    <w:name w:val="Símbolo de nota final"/>
    <w:rsid w:val="003D086F"/>
  </w:style>
  <w:style w:type="paragraph" w:customStyle="1" w:styleId="Encabezado">
    <w:name w:val="Encabezado"/>
    <w:basedOn w:val="Normal"/>
    <w:next w:val="Corpsdetexte"/>
    <w:rsid w:val="003D086F"/>
    <w:pPr>
      <w:keepNext/>
      <w:suppressAutoHyphens/>
      <w:spacing w:before="240" w:after="120"/>
    </w:pPr>
    <w:rPr>
      <w:rFonts w:ascii="Arial" w:eastAsia="MS Mincho" w:hAnsi="Arial" w:cs="Tahoma"/>
      <w:sz w:val="28"/>
      <w:szCs w:val="28"/>
      <w:lang w:eastAsia="ar-SA"/>
    </w:rPr>
  </w:style>
  <w:style w:type="paragraph" w:styleId="Liste">
    <w:name w:val="List"/>
    <w:basedOn w:val="Corpsdetexte"/>
    <w:rsid w:val="003D086F"/>
    <w:pPr>
      <w:suppressAutoHyphens/>
    </w:pPr>
    <w:rPr>
      <w:rFonts w:cs="Tahoma"/>
      <w:lang w:eastAsia="ar-SA"/>
    </w:rPr>
  </w:style>
  <w:style w:type="paragraph" w:customStyle="1" w:styleId="Etiqueta">
    <w:name w:val="Etiqueta"/>
    <w:basedOn w:val="Normal"/>
    <w:rsid w:val="003D086F"/>
    <w:pPr>
      <w:suppressLineNumbers/>
      <w:suppressAutoHyphens/>
      <w:spacing w:before="120" w:after="120"/>
    </w:pPr>
    <w:rPr>
      <w:rFonts w:cs="Tahoma"/>
      <w:i/>
      <w:iCs/>
      <w:szCs w:val="24"/>
      <w:lang w:eastAsia="ar-SA"/>
    </w:rPr>
  </w:style>
  <w:style w:type="paragraph" w:customStyle="1" w:styleId="ndice">
    <w:name w:val="Índice"/>
    <w:basedOn w:val="Normal"/>
    <w:rsid w:val="003D086F"/>
    <w:pPr>
      <w:suppressLineNumbers/>
      <w:suppressAutoHyphens/>
    </w:pPr>
    <w:rPr>
      <w:rFonts w:cs="Tahoma"/>
      <w:sz w:val="22"/>
      <w:lang w:eastAsia="ar-SA"/>
    </w:rPr>
  </w:style>
  <w:style w:type="paragraph" w:customStyle="1" w:styleId="Lgende1">
    <w:name w:val="Légende1"/>
    <w:basedOn w:val="Normal"/>
    <w:next w:val="Normal"/>
    <w:rsid w:val="003D086F"/>
    <w:pPr>
      <w:suppressAutoHyphens/>
    </w:pPr>
    <w:rPr>
      <w:rFonts w:ascii="Arial" w:hAnsi="Arial"/>
      <w:b/>
      <w:sz w:val="20"/>
      <w:lang w:eastAsia="ar-SA"/>
    </w:rPr>
  </w:style>
  <w:style w:type="paragraph" w:styleId="Sous-titre">
    <w:name w:val="Subtitle"/>
    <w:basedOn w:val="Encabezado"/>
    <w:next w:val="Corpsdetexte"/>
    <w:link w:val="Sous-titreCar"/>
    <w:qFormat/>
    <w:rsid w:val="003D086F"/>
    <w:pPr>
      <w:jc w:val="center"/>
    </w:pPr>
    <w:rPr>
      <w:i/>
      <w:iCs/>
    </w:rPr>
  </w:style>
  <w:style w:type="character" w:customStyle="1" w:styleId="Sous-titreCar">
    <w:name w:val="Sous-titre Car"/>
    <w:basedOn w:val="Policepardfaut"/>
    <w:link w:val="Sous-titre"/>
    <w:rsid w:val="003D086F"/>
    <w:rPr>
      <w:rFonts w:ascii="Arial" w:eastAsia="MS Mincho" w:hAnsi="Arial" w:cs="Tahoma"/>
      <w:i/>
      <w:iCs/>
      <w:sz w:val="28"/>
      <w:szCs w:val="28"/>
      <w:lang w:eastAsia="ar-SA"/>
    </w:rPr>
  </w:style>
  <w:style w:type="paragraph" w:customStyle="1" w:styleId="Contenidodelmarco">
    <w:name w:val="Contenido del marco"/>
    <w:basedOn w:val="Corpsdetexte"/>
    <w:rsid w:val="003D086F"/>
    <w:pPr>
      <w:suppressAutoHyphens/>
    </w:pPr>
    <w:rPr>
      <w:lang w:eastAsia="ar-SA"/>
    </w:rPr>
  </w:style>
  <w:style w:type="paragraph" w:customStyle="1" w:styleId="Contenidodelatabla">
    <w:name w:val="Contenido de la tabla"/>
    <w:basedOn w:val="Normal"/>
    <w:rsid w:val="003D086F"/>
    <w:pPr>
      <w:suppressLineNumbers/>
      <w:suppressAutoHyphens/>
    </w:pPr>
    <w:rPr>
      <w:sz w:val="22"/>
      <w:lang w:eastAsia="ar-SA"/>
    </w:rPr>
  </w:style>
  <w:style w:type="paragraph" w:customStyle="1" w:styleId="Encabezadodelatabla">
    <w:name w:val="Encabezado de la tabla"/>
    <w:basedOn w:val="Contenidodelatabla"/>
    <w:rsid w:val="003D086F"/>
    <w:pPr>
      <w:jc w:val="center"/>
    </w:pPr>
    <w:rPr>
      <w:b/>
      <w:bCs/>
    </w:rPr>
  </w:style>
  <w:style w:type="character" w:styleId="Lienhypertextesuivivisit">
    <w:name w:val="FollowedHyperlink"/>
    <w:basedOn w:val="Policepardfaut"/>
    <w:uiPriority w:val="99"/>
    <w:unhideWhenUsed/>
    <w:rsid w:val="003D086F"/>
    <w:rPr>
      <w:color w:val="800080"/>
      <w:u w:val="single"/>
    </w:rPr>
  </w:style>
  <w:style w:type="character" w:styleId="lev">
    <w:name w:val="Strong"/>
    <w:basedOn w:val="Policepardfaut1"/>
    <w:uiPriority w:val="22"/>
    <w:qFormat/>
    <w:rsid w:val="003D086F"/>
    <w:rPr>
      <w:b/>
      <w:bCs/>
    </w:rPr>
  </w:style>
  <w:style w:type="paragraph" w:customStyle="1" w:styleId="Default">
    <w:name w:val="Default"/>
    <w:rsid w:val="003D086F"/>
    <w:pPr>
      <w:suppressAutoHyphens/>
      <w:autoSpaceDE w:val="0"/>
    </w:pPr>
    <w:rPr>
      <w:rFonts w:ascii="Garamond" w:eastAsia="Arial" w:hAnsi="Garamond" w:cs="Garamond"/>
      <w:color w:val="000000"/>
      <w:sz w:val="24"/>
      <w:szCs w:val="24"/>
      <w:lang w:eastAsia="ar-SA"/>
    </w:rPr>
  </w:style>
  <w:style w:type="character" w:customStyle="1" w:styleId="NotedebasdepageCar">
    <w:name w:val="Note de bas de page Car"/>
    <w:aliases w:val="Note de bas de page Car Car Car Car Car Car Car Car Car Car Car Car,Note de bas de page Car Car Car Car,Note de bas de page Car Car Car Car Car Car Car Car Car,Note de bas de page3 Car Car1,Note de bas de page3 Car Car Car,ft Car"/>
    <w:basedOn w:val="Policepardfaut"/>
    <w:link w:val="Notedebasdepage"/>
    <w:uiPriority w:val="99"/>
    <w:rsid w:val="003D086F"/>
    <w:rPr>
      <w:sz w:val="16"/>
    </w:rPr>
  </w:style>
  <w:style w:type="paragraph" w:customStyle="1" w:styleId="critres">
    <w:name w:val="critères"/>
    <w:basedOn w:val="Paragraphedeliste"/>
    <w:link w:val="critresCar"/>
    <w:qFormat/>
    <w:rsid w:val="003D086F"/>
    <w:pPr>
      <w:numPr>
        <w:numId w:val="18"/>
      </w:numPr>
      <w:tabs>
        <w:tab w:val="left" w:pos="720"/>
        <w:tab w:val="left" w:pos="951"/>
      </w:tabs>
      <w:suppressAutoHyphens/>
      <w:ind w:left="709" w:right="567"/>
      <w:contextualSpacing w:val="0"/>
    </w:pPr>
    <w:rPr>
      <w:b/>
      <w:sz w:val="24"/>
      <w:szCs w:val="24"/>
      <w:u w:val="single"/>
    </w:rPr>
  </w:style>
  <w:style w:type="character" w:customStyle="1" w:styleId="ParagraphedelisteCar">
    <w:name w:val="Paragraphe de liste Car"/>
    <w:basedOn w:val="Policepardfaut"/>
    <w:link w:val="Paragraphedeliste"/>
    <w:uiPriority w:val="34"/>
    <w:rsid w:val="003D086F"/>
    <w:rPr>
      <w:sz w:val="22"/>
    </w:rPr>
  </w:style>
  <w:style w:type="character" w:customStyle="1" w:styleId="critresCar">
    <w:name w:val="critères Car"/>
    <w:basedOn w:val="ParagraphedelisteCar"/>
    <w:link w:val="critres"/>
    <w:rsid w:val="003D086F"/>
    <w:rPr>
      <w:b/>
      <w:sz w:val="24"/>
      <w:szCs w:val="24"/>
      <w:u w:val="single"/>
    </w:rPr>
  </w:style>
  <w:style w:type="character" w:customStyle="1" w:styleId="En-tteCar">
    <w:name w:val="En-tête Car"/>
    <w:basedOn w:val="Policepardfaut"/>
    <w:link w:val="En-tte"/>
    <w:uiPriority w:val="99"/>
    <w:rsid w:val="009F110B"/>
    <w:rPr>
      <w:sz w:val="18"/>
    </w:rPr>
  </w:style>
  <w:style w:type="character" w:customStyle="1" w:styleId="PieddepageCar">
    <w:name w:val="Pied de page Car"/>
    <w:basedOn w:val="Policepardfaut"/>
    <w:link w:val="Pieddepage"/>
    <w:uiPriority w:val="99"/>
    <w:rsid w:val="009F110B"/>
    <w:rPr>
      <w:rFonts w:ascii="Arial" w:hAnsi="Arial"/>
      <w:sz w:val="18"/>
    </w:rPr>
  </w:style>
  <w:style w:type="paragraph" w:customStyle="1" w:styleId="StyleSGACP-titrederubriqueniveau1CouleurpersonnaliseRVB1">
    <w:name w:val="Style SGACP-titre de rubrique niveau 1 + Couleur personnalisée(RVB(...1"/>
    <w:basedOn w:val="SGACP-titrederubriqueniveau1"/>
    <w:rsid w:val="00902903"/>
    <w:rPr>
      <w:bCs/>
      <w:color w:val="003B8E"/>
    </w:rPr>
  </w:style>
  <w:style w:type="paragraph" w:customStyle="1" w:styleId="CM15">
    <w:name w:val="CM1+5"/>
    <w:basedOn w:val="Normal"/>
    <w:next w:val="Normal"/>
    <w:uiPriority w:val="99"/>
    <w:rsid w:val="0066143C"/>
    <w:pPr>
      <w:autoSpaceDE w:val="0"/>
      <w:autoSpaceDN w:val="0"/>
      <w:adjustRightInd w:val="0"/>
      <w:jc w:val="left"/>
    </w:pPr>
    <w:rPr>
      <w:rFonts w:ascii="EUAlbertina" w:eastAsiaTheme="minorHAnsi" w:hAnsi="EUAlbertina" w:cstheme="minorBidi"/>
      <w:szCs w:val="24"/>
      <w:lang w:eastAsia="en-US"/>
    </w:rPr>
  </w:style>
  <w:style w:type="paragraph" w:customStyle="1" w:styleId="CM45">
    <w:name w:val="CM4+5"/>
    <w:basedOn w:val="Normal"/>
    <w:next w:val="Normal"/>
    <w:uiPriority w:val="99"/>
    <w:rsid w:val="0066143C"/>
    <w:pPr>
      <w:autoSpaceDE w:val="0"/>
      <w:autoSpaceDN w:val="0"/>
      <w:adjustRightInd w:val="0"/>
      <w:jc w:val="left"/>
    </w:pPr>
    <w:rPr>
      <w:rFonts w:ascii="EUAlbertina" w:eastAsiaTheme="minorHAnsi" w:hAnsi="EUAlbertina" w:cstheme="minorBidi"/>
      <w:szCs w:val="24"/>
      <w:lang w:eastAsia="en-US"/>
    </w:rPr>
  </w:style>
  <w:style w:type="character" w:styleId="Accentuation">
    <w:name w:val="Emphasis"/>
    <w:basedOn w:val="Policepardfaut"/>
    <w:qFormat/>
    <w:rsid w:val="00244B74"/>
    <w:rPr>
      <w:i/>
      <w:iCs/>
    </w:rPr>
  </w:style>
  <w:style w:type="paragraph" w:styleId="Sansinterligne">
    <w:name w:val="No Spacing"/>
    <w:uiPriority w:val="1"/>
    <w:qFormat/>
    <w:rsid w:val="00F21573"/>
    <w:pPr>
      <w:jc w:val="both"/>
    </w:pPr>
    <w:rPr>
      <w:sz w:val="24"/>
    </w:rPr>
  </w:style>
  <w:style w:type="numbering" w:customStyle="1" w:styleId="Aucuneliste1">
    <w:name w:val="Aucune liste1"/>
    <w:next w:val="Aucuneliste"/>
    <w:uiPriority w:val="99"/>
    <w:semiHidden/>
    <w:unhideWhenUsed/>
    <w:rsid w:val="00313FFD"/>
  </w:style>
  <w:style w:type="table" w:customStyle="1" w:styleId="Grilledutableau1">
    <w:name w:val="Grille du tableau1"/>
    <w:basedOn w:val="TableauNormal"/>
    <w:next w:val="Grilledutableau"/>
    <w:uiPriority w:val="59"/>
    <w:rsid w:val="00313F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uiPriority w:val="99"/>
    <w:rsid w:val="00313FFD"/>
    <w:pPr>
      <w:suppressAutoHyphens w:val="0"/>
      <w:autoSpaceDN w:val="0"/>
      <w:adjustRightInd w:val="0"/>
    </w:pPr>
    <w:rPr>
      <w:rFonts w:ascii="EUAlbertina" w:eastAsia="Calibri" w:hAnsi="EUAlbertina" w:cs="Times New Roman"/>
      <w:color w:val="auto"/>
      <w:lang w:eastAsia="en-US"/>
    </w:rPr>
  </w:style>
  <w:style w:type="paragraph" w:customStyle="1" w:styleId="CM33">
    <w:name w:val="CM3+3"/>
    <w:basedOn w:val="Default"/>
    <w:next w:val="Default"/>
    <w:uiPriority w:val="99"/>
    <w:rsid w:val="00313FFD"/>
    <w:pPr>
      <w:suppressAutoHyphens w:val="0"/>
      <w:autoSpaceDN w:val="0"/>
      <w:adjustRightInd w:val="0"/>
    </w:pPr>
    <w:rPr>
      <w:rFonts w:ascii="EUAlbertina" w:eastAsia="Calibri" w:hAnsi="EUAlbertina" w:cs="Times New Roman"/>
      <w:color w:val="auto"/>
      <w:lang w:eastAsia="en-US"/>
    </w:rPr>
  </w:style>
  <w:style w:type="numbering" w:customStyle="1" w:styleId="Aucuneliste2">
    <w:name w:val="Aucune liste2"/>
    <w:next w:val="Aucuneliste"/>
    <w:uiPriority w:val="99"/>
    <w:semiHidden/>
    <w:unhideWhenUsed/>
    <w:rsid w:val="005A28EA"/>
  </w:style>
  <w:style w:type="table" w:customStyle="1" w:styleId="Grilledutableau2">
    <w:name w:val="Grille du tableau2"/>
    <w:basedOn w:val="TableauNormal"/>
    <w:next w:val="Grilledutableau"/>
    <w:uiPriority w:val="59"/>
    <w:rsid w:val="005A28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5A28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45C1"/>
    <w:pPr>
      <w:spacing w:before="100" w:beforeAutospacing="1" w:after="100" w:afterAutospacing="1"/>
      <w:jc w:val="left"/>
    </w:pPr>
    <w:rPr>
      <w:szCs w:val="24"/>
    </w:rPr>
  </w:style>
  <w:style w:type="character" w:customStyle="1" w:styleId="highlight">
    <w:name w:val="highlight"/>
    <w:basedOn w:val="Policepardfaut"/>
    <w:rsid w:val="00A90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35281">
      <w:bodyDiv w:val="1"/>
      <w:marLeft w:val="0"/>
      <w:marRight w:val="0"/>
      <w:marTop w:val="0"/>
      <w:marBottom w:val="0"/>
      <w:divBdr>
        <w:top w:val="none" w:sz="0" w:space="0" w:color="auto"/>
        <w:left w:val="none" w:sz="0" w:space="0" w:color="auto"/>
        <w:bottom w:val="none" w:sz="0" w:space="0" w:color="auto"/>
        <w:right w:val="none" w:sz="0" w:space="0" w:color="auto"/>
      </w:divBdr>
    </w:div>
    <w:div w:id="136381384">
      <w:bodyDiv w:val="1"/>
      <w:marLeft w:val="0"/>
      <w:marRight w:val="0"/>
      <w:marTop w:val="0"/>
      <w:marBottom w:val="0"/>
      <w:divBdr>
        <w:top w:val="none" w:sz="0" w:space="0" w:color="auto"/>
        <w:left w:val="none" w:sz="0" w:space="0" w:color="auto"/>
        <w:bottom w:val="none" w:sz="0" w:space="0" w:color="auto"/>
        <w:right w:val="none" w:sz="0" w:space="0" w:color="auto"/>
      </w:divBdr>
    </w:div>
    <w:div w:id="193273014">
      <w:bodyDiv w:val="1"/>
      <w:marLeft w:val="0"/>
      <w:marRight w:val="0"/>
      <w:marTop w:val="0"/>
      <w:marBottom w:val="0"/>
      <w:divBdr>
        <w:top w:val="none" w:sz="0" w:space="0" w:color="auto"/>
        <w:left w:val="none" w:sz="0" w:space="0" w:color="auto"/>
        <w:bottom w:val="none" w:sz="0" w:space="0" w:color="auto"/>
        <w:right w:val="none" w:sz="0" w:space="0" w:color="auto"/>
      </w:divBdr>
      <w:divsChild>
        <w:div w:id="2020083096">
          <w:marLeft w:val="0"/>
          <w:marRight w:val="0"/>
          <w:marTop w:val="0"/>
          <w:marBottom w:val="0"/>
          <w:divBdr>
            <w:top w:val="none" w:sz="0" w:space="0" w:color="auto"/>
            <w:left w:val="none" w:sz="0" w:space="0" w:color="auto"/>
            <w:bottom w:val="none" w:sz="0" w:space="0" w:color="auto"/>
            <w:right w:val="none" w:sz="0" w:space="0" w:color="auto"/>
          </w:divBdr>
        </w:div>
        <w:div w:id="529026707">
          <w:marLeft w:val="0"/>
          <w:marRight w:val="0"/>
          <w:marTop w:val="0"/>
          <w:marBottom w:val="0"/>
          <w:divBdr>
            <w:top w:val="none" w:sz="0" w:space="0" w:color="auto"/>
            <w:left w:val="none" w:sz="0" w:space="0" w:color="auto"/>
            <w:bottom w:val="none" w:sz="0" w:space="0" w:color="auto"/>
            <w:right w:val="none" w:sz="0" w:space="0" w:color="auto"/>
          </w:divBdr>
        </w:div>
        <w:div w:id="1787236893">
          <w:marLeft w:val="0"/>
          <w:marRight w:val="0"/>
          <w:marTop w:val="0"/>
          <w:marBottom w:val="0"/>
          <w:divBdr>
            <w:top w:val="none" w:sz="0" w:space="0" w:color="auto"/>
            <w:left w:val="none" w:sz="0" w:space="0" w:color="auto"/>
            <w:bottom w:val="none" w:sz="0" w:space="0" w:color="auto"/>
            <w:right w:val="none" w:sz="0" w:space="0" w:color="auto"/>
          </w:divBdr>
        </w:div>
        <w:div w:id="1576551894">
          <w:marLeft w:val="0"/>
          <w:marRight w:val="0"/>
          <w:marTop w:val="0"/>
          <w:marBottom w:val="0"/>
          <w:divBdr>
            <w:top w:val="none" w:sz="0" w:space="0" w:color="auto"/>
            <w:left w:val="none" w:sz="0" w:space="0" w:color="auto"/>
            <w:bottom w:val="none" w:sz="0" w:space="0" w:color="auto"/>
            <w:right w:val="none" w:sz="0" w:space="0" w:color="auto"/>
          </w:divBdr>
        </w:div>
        <w:div w:id="1077441458">
          <w:marLeft w:val="0"/>
          <w:marRight w:val="0"/>
          <w:marTop w:val="0"/>
          <w:marBottom w:val="0"/>
          <w:divBdr>
            <w:top w:val="none" w:sz="0" w:space="0" w:color="auto"/>
            <w:left w:val="none" w:sz="0" w:space="0" w:color="auto"/>
            <w:bottom w:val="none" w:sz="0" w:space="0" w:color="auto"/>
            <w:right w:val="none" w:sz="0" w:space="0" w:color="auto"/>
          </w:divBdr>
        </w:div>
      </w:divsChild>
    </w:div>
    <w:div w:id="326254091">
      <w:bodyDiv w:val="1"/>
      <w:marLeft w:val="0"/>
      <w:marRight w:val="0"/>
      <w:marTop w:val="0"/>
      <w:marBottom w:val="0"/>
      <w:divBdr>
        <w:top w:val="none" w:sz="0" w:space="0" w:color="auto"/>
        <w:left w:val="none" w:sz="0" w:space="0" w:color="auto"/>
        <w:bottom w:val="none" w:sz="0" w:space="0" w:color="auto"/>
        <w:right w:val="none" w:sz="0" w:space="0" w:color="auto"/>
      </w:divBdr>
    </w:div>
    <w:div w:id="328291833">
      <w:bodyDiv w:val="1"/>
      <w:marLeft w:val="0"/>
      <w:marRight w:val="0"/>
      <w:marTop w:val="0"/>
      <w:marBottom w:val="0"/>
      <w:divBdr>
        <w:top w:val="none" w:sz="0" w:space="0" w:color="auto"/>
        <w:left w:val="none" w:sz="0" w:space="0" w:color="auto"/>
        <w:bottom w:val="none" w:sz="0" w:space="0" w:color="auto"/>
        <w:right w:val="none" w:sz="0" w:space="0" w:color="auto"/>
      </w:divBdr>
    </w:div>
    <w:div w:id="390886021">
      <w:bodyDiv w:val="1"/>
      <w:marLeft w:val="0"/>
      <w:marRight w:val="0"/>
      <w:marTop w:val="0"/>
      <w:marBottom w:val="0"/>
      <w:divBdr>
        <w:top w:val="none" w:sz="0" w:space="0" w:color="auto"/>
        <w:left w:val="none" w:sz="0" w:space="0" w:color="auto"/>
        <w:bottom w:val="none" w:sz="0" w:space="0" w:color="auto"/>
        <w:right w:val="none" w:sz="0" w:space="0" w:color="auto"/>
      </w:divBdr>
    </w:div>
    <w:div w:id="440031325">
      <w:bodyDiv w:val="1"/>
      <w:marLeft w:val="0"/>
      <w:marRight w:val="0"/>
      <w:marTop w:val="0"/>
      <w:marBottom w:val="0"/>
      <w:divBdr>
        <w:top w:val="none" w:sz="0" w:space="0" w:color="auto"/>
        <w:left w:val="none" w:sz="0" w:space="0" w:color="auto"/>
        <w:bottom w:val="none" w:sz="0" w:space="0" w:color="auto"/>
        <w:right w:val="none" w:sz="0" w:space="0" w:color="auto"/>
      </w:divBdr>
    </w:div>
    <w:div w:id="450785475">
      <w:bodyDiv w:val="1"/>
      <w:marLeft w:val="0"/>
      <w:marRight w:val="0"/>
      <w:marTop w:val="0"/>
      <w:marBottom w:val="0"/>
      <w:divBdr>
        <w:top w:val="none" w:sz="0" w:space="0" w:color="auto"/>
        <w:left w:val="none" w:sz="0" w:space="0" w:color="auto"/>
        <w:bottom w:val="none" w:sz="0" w:space="0" w:color="auto"/>
        <w:right w:val="none" w:sz="0" w:space="0" w:color="auto"/>
      </w:divBdr>
    </w:div>
    <w:div w:id="489175055">
      <w:bodyDiv w:val="1"/>
      <w:marLeft w:val="0"/>
      <w:marRight w:val="0"/>
      <w:marTop w:val="0"/>
      <w:marBottom w:val="0"/>
      <w:divBdr>
        <w:top w:val="none" w:sz="0" w:space="0" w:color="auto"/>
        <w:left w:val="none" w:sz="0" w:space="0" w:color="auto"/>
        <w:bottom w:val="none" w:sz="0" w:space="0" w:color="auto"/>
        <w:right w:val="none" w:sz="0" w:space="0" w:color="auto"/>
      </w:divBdr>
    </w:div>
    <w:div w:id="612204364">
      <w:bodyDiv w:val="1"/>
      <w:marLeft w:val="0"/>
      <w:marRight w:val="0"/>
      <w:marTop w:val="0"/>
      <w:marBottom w:val="0"/>
      <w:divBdr>
        <w:top w:val="none" w:sz="0" w:space="0" w:color="auto"/>
        <w:left w:val="none" w:sz="0" w:space="0" w:color="auto"/>
        <w:bottom w:val="none" w:sz="0" w:space="0" w:color="auto"/>
        <w:right w:val="none" w:sz="0" w:space="0" w:color="auto"/>
      </w:divBdr>
    </w:div>
    <w:div w:id="638342233">
      <w:bodyDiv w:val="1"/>
      <w:marLeft w:val="0"/>
      <w:marRight w:val="0"/>
      <w:marTop w:val="0"/>
      <w:marBottom w:val="0"/>
      <w:divBdr>
        <w:top w:val="none" w:sz="0" w:space="0" w:color="auto"/>
        <w:left w:val="none" w:sz="0" w:space="0" w:color="auto"/>
        <w:bottom w:val="none" w:sz="0" w:space="0" w:color="auto"/>
        <w:right w:val="none" w:sz="0" w:space="0" w:color="auto"/>
      </w:divBdr>
    </w:div>
    <w:div w:id="641738172">
      <w:bodyDiv w:val="1"/>
      <w:marLeft w:val="0"/>
      <w:marRight w:val="0"/>
      <w:marTop w:val="0"/>
      <w:marBottom w:val="0"/>
      <w:divBdr>
        <w:top w:val="none" w:sz="0" w:space="0" w:color="auto"/>
        <w:left w:val="none" w:sz="0" w:space="0" w:color="auto"/>
        <w:bottom w:val="none" w:sz="0" w:space="0" w:color="auto"/>
        <w:right w:val="none" w:sz="0" w:space="0" w:color="auto"/>
      </w:divBdr>
    </w:div>
    <w:div w:id="660356012">
      <w:bodyDiv w:val="1"/>
      <w:marLeft w:val="0"/>
      <w:marRight w:val="0"/>
      <w:marTop w:val="0"/>
      <w:marBottom w:val="0"/>
      <w:divBdr>
        <w:top w:val="none" w:sz="0" w:space="0" w:color="auto"/>
        <w:left w:val="none" w:sz="0" w:space="0" w:color="auto"/>
        <w:bottom w:val="none" w:sz="0" w:space="0" w:color="auto"/>
        <w:right w:val="none" w:sz="0" w:space="0" w:color="auto"/>
      </w:divBdr>
    </w:div>
    <w:div w:id="735205770">
      <w:bodyDiv w:val="1"/>
      <w:marLeft w:val="0"/>
      <w:marRight w:val="0"/>
      <w:marTop w:val="0"/>
      <w:marBottom w:val="0"/>
      <w:divBdr>
        <w:top w:val="none" w:sz="0" w:space="0" w:color="auto"/>
        <w:left w:val="none" w:sz="0" w:space="0" w:color="auto"/>
        <w:bottom w:val="none" w:sz="0" w:space="0" w:color="auto"/>
        <w:right w:val="none" w:sz="0" w:space="0" w:color="auto"/>
      </w:divBdr>
    </w:div>
    <w:div w:id="772170961">
      <w:bodyDiv w:val="1"/>
      <w:marLeft w:val="0"/>
      <w:marRight w:val="0"/>
      <w:marTop w:val="0"/>
      <w:marBottom w:val="0"/>
      <w:divBdr>
        <w:top w:val="none" w:sz="0" w:space="0" w:color="auto"/>
        <w:left w:val="none" w:sz="0" w:space="0" w:color="auto"/>
        <w:bottom w:val="none" w:sz="0" w:space="0" w:color="auto"/>
        <w:right w:val="none" w:sz="0" w:space="0" w:color="auto"/>
      </w:divBdr>
    </w:div>
    <w:div w:id="911086839">
      <w:bodyDiv w:val="1"/>
      <w:marLeft w:val="0"/>
      <w:marRight w:val="0"/>
      <w:marTop w:val="0"/>
      <w:marBottom w:val="0"/>
      <w:divBdr>
        <w:top w:val="none" w:sz="0" w:space="0" w:color="auto"/>
        <w:left w:val="none" w:sz="0" w:space="0" w:color="auto"/>
        <w:bottom w:val="none" w:sz="0" w:space="0" w:color="auto"/>
        <w:right w:val="none" w:sz="0" w:space="0" w:color="auto"/>
      </w:divBdr>
    </w:div>
    <w:div w:id="1058894037">
      <w:bodyDiv w:val="1"/>
      <w:marLeft w:val="0"/>
      <w:marRight w:val="0"/>
      <w:marTop w:val="0"/>
      <w:marBottom w:val="0"/>
      <w:divBdr>
        <w:top w:val="none" w:sz="0" w:space="0" w:color="auto"/>
        <w:left w:val="none" w:sz="0" w:space="0" w:color="auto"/>
        <w:bottom w:val="none" w:sz="0" w:space="0" w:color="auto"/>
        <w:right w:val="none" w:sz="0" w:space="0" w:color="auto"/>
      </w:divBdr>
    </w:div>
    <w:div w:id="1064257015">
      <w:bodyDiv w:val="1"/>
      <w:marLeft w:val="0"/>
      <w:marRight w:val="0"/>
      <w:marTop w:val="0"/>
      <w:marBottom w:val="0"/>
      <w:divBdr>
        <w:top w:val="none" w:sz="0" w:space="0" w:color="auto"/>
        <w:left w:val="none" w:sz="0" w:space="0" w:color="auto"/>
        <w:bottom w:val="none" w:sz="0" w:space="0" w:color="auto"/>
        <w:right w:val="none" w:sz="0" w:space="0" w:color="auto"/>
      </w:divBdr>
    </w:div>
    <w:div w:id="1115518561">
      <w:bodyDiv w:val="1"/>
      <w:marLeft w:val="0"/>
      <w:marRight w:val="0"/>
      <w:marTop w:val="0"/>
      <w:marBottom w:val="0"/>
      <w:divBdr>
        <w:top w:val="none" w:sz="0" w:space="0" w:color="auto"/>
        <w:left w:val="none" w:sz="0" w:space="0" w:color="auto"/>
        <w:bottom w:val="none" w:sz="0" w:space="0" w:color="auto"/>
        <w:right w:val="none" w:sz="0" w:space="0" w:color="auto"/>
      </w:divBdr>
    </w:div>
    <w:div w:id="1131745484">
      <w:bodyDiv w:val="1"/>
      <w:marLeft w:val="0"/>
      <w:marRight w:val="0"/>
      <w:marTop w:val="0"/>
      <w:marBottom w:val="0"/>
      <w:divBdr>
        <w:top w:val="none" w:sz="0" w:space="0" w:color="auto"/>
        <w:left w:val="none" w:sz="0" w:space="0" w:color="auto"/>
        <w:bottom w:val="none" w:sz="0" w:space="0" w:color="auto"/>
        <w:right w:val="none" w:sz="0" w:space="0" w:color="auto"/>
      </w:divBdr>
    </w:div>
    <w:div w:id="1145197831">
      <w:bodyDiv w:val="1"/>
      <w:marLeft w:val="0"/>
      <w:marRight w:val="0"/>
      <w:marTop w:val="0"/>
      <w:marBottom w:val="0"/>
      <w:divBdr>
        <w:top w:val="none" w:sz="0" w:space="0" w:color="auto"/>
        <w:left w:val="none" w:sz="0" w:space="0" w:color="auto"/>
        <w:bottom w:val="none" w:sz="0" w:space="0" w:color="auto"/>
        <w:right w:val="none" w:sz="0" w:space="0" w:color="auto"/>
      </w:divBdr>
    </w:div>
    <w:div w:id="1169755803">
      <w:bodyDiv w:val="1"/>
      <w:marLeft w:val="0"/>
      <w:marRight w:val="0"/>
      <w:marTop w:val="0"/>
      <w:marBottom w:val="0"/>
      <w:divBdr>
        <w:top w:val="none" w:sz="0" w:space="0" w:color="auto"/>
        <w:left w:val="none" w:sz="0" w:space="0" w:color="auto"/>
        <w:bottom w:val="none" w:sz="0" w:space="0" w:color="auto"/>
        <w:right w:val="none" w:sz="0" w:space="0" w:color="auto"/>
      </w:divBdr>
    </w:div>
    <w:div w:id="1179806946">
      <w:bodyDiv w:val="1"/>
      <w:marLeft w:val="0"/>
      <w:marRight w:val="0"/>
      <w:marTop w:val="0"/>
      <w:marBottom w:val="0"/>
      <w:divBdr>
        <w:top w:val="none" w:sz="0" w:space="0" w:color="auto"/>
        <w:left w:val="none" w:sz="0" w:space="0" w:color="auto"/>
        <w:bottom w:val="none" w:sz="0" w:space="0" w:color="auto"/>
        <w:right w:val="none" w:sz="0" w:space="0" w:color="auto"/>
      </w:divBdr>
    </w:div>
    <w:div w:id="1242912155">
      <w:bodyDiv w:val="1"/>
      <w:marLeft w:val="0"/>
      <w:marRight w:val="0"/>
      <w:marTop w:val="0"/>
      <w:marBottom w:val="0"/>
      <w:divBdr>
        <w:top w:val="none" w:sz="0" w:space="0" w:color="auto"/>
        <w:left w:val="none" w:sz="0" w:space="0" w:color="auto"/>
        <w:bottom w:val="none" w:sz="0" w:space="0" w:color="auto"/>
        <w:right w:val="none" w:sz="0" w:space="0" w:color="auto"/>
      </w:divBdr>
    </w:div>
    <w:div w:id="1282765043">
      <w:bodyDiv w:val="1"/>
      <w:marLeft w:val="0"/>
      <w:marRight w:val="0"/>
      <w:marTop w:val="0"/>
      <w:marBottom w:val="0"/>
      <w:divBdr>
        <w:top w:val="none" w:sz="0" w:space="0" w:color="auto"/>
        <w:left w:val="none" w:sz="0" w:space="0" w:color="auto"/>
        <w:bottom w:val="none" w:sz="0" w:space="0" w:color="auto"/>
        <w:right w:val="none" w:sz="0" w:space="0" w:color="auto"/>
      </w:divBdr>
    </w:div>
    <w:div w:id="1322154370">
      <w:bodyDiv w:val="1"/>
      <w:marLeft w:val="0"/>
      <w:marRight w:val="0"/>
      <w:marTop w:val="0"/>
      <w:marBottom w:val="0"/>
      <w:divBdr>
        <w:top w:val="none" w:sz="0" w:space="0" w:color="auto"/>
        <w:left w:val="none" w:sz="0" w:space="0" w:color="auto"/>
        <w:bottom w:val="none" w:sz="0" w:space="0" w:color="auto"/>
        <w:right w:val="none" w:sz="0" w:space="0" w:color="auto"/>
      </w:divBdr>
    </w:div>
    <w:div w:id="1491558146">
      <w:bodyDiv w:val="1"/>
      <w:marLeft w:val="0"/>
      <w:marRight w:val="0"/>
      <w:marTop w:val="0"/>
      <w:marBottom w:val="0"/>
      <w:divBdr>
        <w:top w:val="none" w:sz="0" w:space="0" w:color="auto"/>
        <w:left w:val="none" w:sz="0" w:space="0" w:color="auto"/>
        <w:bottom w:val="none" w:sz="0" w:space="0" w:color="auto"/>
        <w:right w:val="none" w:sz="0" w:space="0" w:color="auto"/>
      </w:divBdr>
    </w:div>
    <w:div w:id="1602184892">
      <w:bodyDiv w:val="1"/>
      <w:marLeft w:val="0"/>
      <w:marRight w:val="0"/>
      <w:marTop w:val="0"/>
      <w:marBottom w:val="0"/>
      <w:divBdr>
        <w:top w:val="none" w:sz="0" w:space="0" w:color="auto"/>
        <w:left w:val="none" w:sz="0" w:space="0" w:color="auto"/>
        <w:bottom w:val="none" w:sz="0" w:space="0" w:color="auto"/>
        <w:right w:val="none" w:sz="0" w:space="0" w:color="auto"/>
      </w:divBdr>
    </w:div>
    <w:div w:id="1668485238">
      <w:bodyDiv w:val="1"/>
      <w:marLeft w:val="0"/>
      <w:marRight w:val="0"/>
      <w:marTop w:val="0"/>
      <w:marBottom w:val="0"/>
      <w:divBdr>
        <w:top w:val="none" w:sz="0" w:space="0" w:color="auto"/>
        <w:left w:val="none" w:sz="0" w:space="0" w:color="auto"/>
        <w:bottom w:val="none" w:sz="0" w:space="0" w:color="auto"/>
        <w:right w:val="none" w:sz="0" w:space="0" w:color="auto"/>
      </w:divBdr>
    </w:div>
    <w:div w:id="1715932940">
      <w:bodyDiv w:val="1"/>
      <w:marLeft w:val="0"/>
      <w:marRight w:val="0"/>
      <w:marTop w:val="0"/>
      <w:marBottom w:val="0"/>
      <w:divBdr>
        <w:top w:val="none" w:sz="0" w:space="0" w:color="auto"/>
        <w:left w:val="none" w:sz="0" w:space="0" w:color="auto"/>
        <w:bottom w:val="none" w:sz="0" w:space="0" w:color="auto"/>
        <w:right w:val="none" w:sz="0" w:space="0" w:color="auto"/>
      </w:divBdr>
    </w:div>
    <w:div w:id="1716999495">
      <w:bodyDiv w:val="1"/>
      <w:marLeft w:val="0"/>
      <w:marRight w:val="0"/>
      <w:marTop w:val="0"/>
      <w:marBottom w:val="0"/>
      <w:divBdr>
        <w:top w:val="none" w:sz="0" w:space="0" w:color="auto"/>
        <w:left w:val="none" w:sz="0" w:space="0" w:color="auto"/>
        <w:bottom w:val="none" w:sz="0" w:space="0" w:color="auto"/>
        <w:right w:val="none" w:sz="0" w:space="0" w:color="auto"/>
      </w:divBdr>
    </w:div>
    <w:div w:id="1718118845">
      <w:bodyDiv w:val="1"/>
      <w:marLeft w:val="0"/>
      <w:marRight w:val="0"/>
      <w:marTop w:val="0"/>
      <w:marBottom w:val="0"/>
      <w:divBdr>
        <w:top w:val="none" w:sz="0" w:space="0" w:color="auto"/>
        <w:left w:val="none" w:sz="0" w:space="0" w:color="auto"/>
        <w:bottom w:val="none" w:sz="0" w:space="0" w:color="auto"/>
        <w:right w:val="none" w:sz="0" w:space="0" w:color="auto"/>
      </w:divBdr>
    </w:div>
    <w:div w:id="1820267035">
      <w:bodyDiv w:val="1"/>
      <w:marLeft w:val="0"/>
      <w:marRight w:val="0"/>
      <w:marTop w:val="0"/>
      <w:marBottom w:val="0"/>
      <w:divBdr>
        <w:top w:val="none" w:sz="0" w:space="0" w:color="auto"/>
        <w:left w:val="none" w:sz="0" w:space="0" w:color="auto"/>
        <w:bottom w:val="none" w:sz="0" w:space="0" w:color="auto"/>
        <w:right w:val="none" w:sz="0" w:space="0" w:color="auto"/>
      </w:divBdr>
    </w:div>
    <w:div w:id="1871916008">
      <w:bodyDiv w:val="1"/>
      <w:marLeft w:val="0"/>
      <w:marRight w:val="0"/>
      <w:marTop w:val="0"/>
      <w:marBottom w:val="0"/>
      <w:divBdr>
        <w:top w:val="none" w:sz="0" w:space="0" w:color="auto"/>
        <w:left w:val="none" w:sz="0" w:space="0" w:color="auto"/>
        <w:bottom w:val="none" w:sz="0" w:space="0" w:color="auto"/>
        <w:right w:val="none" w:sz="0" w:space="0" w:color="auto"/>
      </w:divBdr>
    </w:div>
    <w:div w:id="1911842049">
      <w:bodyDiv w:val="1"/>
      <w:marLeft w:val="0"/>
      <w:marRight w:val="0"/>
      <w:marTop w:val="0"/>
      <w:marBottom w:val="0"/>
      <w:divBdr>
        <w:top w:val="none" w:sz="0" w:space="0" w:color="auto"/>
        <w:left w:val="none" w:sz="0" w:space="0" w:color="auto"/>
        <w:bottom w:val="none" w:sz="0" w:space="0" w:color="auto"/>
        <w:right w:val="none" w:sz="0" w:space="0" w:color="auto"/>
      </w:divBdr>
    </w:div>
    <w:div w:id="1941640307">
      <w:bodyDiv w:val="1"/>
      <w:marLeft w:val="0"/>
      <w:marRight w:val="0"/>
      <w:marTop w:val="0"/>
      <w:marBottom w:val="0"/>
      <w:divBdr>
        <w:top w:val="none" w:sz="0" w:space="0" w:color="auto"/>
        <w:left w:val="none" w:sz="0" w:space="0" w:color="auto"/>
        <w:bottom w:val="none" w:sz="0" w:space="0" w:color="auto"/>
        <w:right w:val="none" w:sz="0" w:space="0" w:color="auto"/>
      </w:divBdr>
    </w:div>
    <w:div w:id="1962372118">
      <w:bodyDiv w:val="1"/>
      <w:marLeft w:val="0"/>
      <w:marRight w:val="0"/>
      <w:marTop w:val="0"/>
      <w:marBottom w:val="0"/>
      <w:divBdr>
        <w:top w:val="none" w:sz="0" w:space="0" w:color="auto"/>
        <w:left w:val="none" w:sz="0" w:space="0" w:color="auto"/>
        <w:bottom w:val="none" w:sz="0" w:space="0" w:color="auto"/>
        <w:right w:val="none" w:sz="0" w:space="0" w:color="auto"/>
      </w:divBdr>
    </w:div>
    <w:div w:id="2021345152">
      <w:bodyDiv w:val="1"/>
      <w:marLeft w:val="0"/>
      <w:marRight w:val="0"/>
      <w:marTop w:val="0"/>
      <w:marBottom w:val="0"/>
      <w:divBdr>
        <w:top w:val="none" w:sz="0" w:space="0" w:color="auto"/>
        <w:left w:val="none" w:sz="0" w:space="0" w:color="auto"/>
        <w:bottom w:val="none" w:sz="0" w:space="0" w:color="auto"/>
        <w:right w:val="none" w:sz="0" w:space="0" w:color="auto"/>
      </w:divBdr>
    </w:div>
    <w:div w:id="2084912162">
      <w:bodyDiv w:val="1"/>
      <w:marLeft w:val="0"/>
      <w:marRight w:val="0"/>
      <w:marTop w:val="0"/>
      <w:marBottom w:val="0"/>
      <w:divBdr>
        <w:top w:val="none" w:sz="0" w:space="0" w:color="auto"/>
        <w:left w:val="none" w:sz="0" w:space="0" w:color="auto"/>
        <w:bottom w:val="none" w:sz="0" w:space="0" w:color="auto"/>
        <w:right w:val="none" w:sz="0" w:space="0" w:color="auto"/>
      </w:divBdr>
    </w:div>
    <w:div w:id="2090732006">
      <w:bodyDiv w:val="1"/>
      <w:marLeft w:val="0"/>
      <w:marRight w:val="0"/>
      <w:marTop w:val="0"/>
      <w:marBottom w:val="0"/>
      <w:divBdr>
        <w:top w:val="none" w:sz="0" w:space="0" w:color="auto"/>
        <w:left w:val="none" w:sz="0" w:space="0" w:color="auto"/>
        <w:bottom w:val="none" w:sz="0" w:space="0" w:color="auto"/>
        <w:right w:val="none" w:sz="0" w:space="0" w:color="auto"/>
      </w:divBdr>
    </w:div>
    <w:div w:id="214561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www.banque-france.fr/stabilite-financiere/securite-des-moyens-de-paiement-scripturaux/collectes-statistiques-reglementaires-espace-declaran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D2A98BB25FC49BF7EDFDD2A854314" ma:contentTypeVersion="3" ma:contentTypeDescription="Crée un document." ma:contentTypeScope="" ma:versionID="a6fba4cc3f1e707715c41bf73d01ac25">
  <xsd:schema xmlns:xsd="http://www.w3.org/2001/XMLSchema" xmlns:p="http://schemas.microsoft.com/office/2006/metadata/properties" xmlns:ns1="http://schemas.microsoft.com/sharepoint/v3" xmlns:ns2="f687ba61-5d74-4821-b051-a88d64463277" xmlns:ns3="http://schemas.microsoft.com/sharepoint/v3/fields" xmlns:ns4="2d6d596d-baa2-4a59-b963-2d68b4aba2c0" targetNamespace="http://schemas.microsoft.com/office/2006/metadata/properties" ma:root="true" ma:fieldsID="8f079f36fcec19b7de796be2f5658abd" ns1:_="" ns2:_="" ns3:_="" ns4:_="">
    <xsd:import namespace="http://schemas.microsoft.com/sharepoint/v3"/>
    <xsd:import namespace="f687ba61-5d74-4821-b051-a88d64463277"/>
    <xsd:import namespace="http://schemas.microsoft.com/sharepoint/v3/fields"/>
    <xsd:import namespace="2d6d596d-baa2-4a59-b963-2d68b4aba2c0"/>
    <xsd:element name="properties">
      <xsd:complexType>
        <xsd:sequence>
          <xsd:element name="documentManagement">
            <xsd:complexType>
              <xsd:all>
                <xsd:element ref="ns2:Description" minOccurs="0"/>
                <xsd:element ref="ns1:BDFTheme" minOccurs="0"/>
                <xsd:element ref="ns1:BDFCategorie" minOccurs="0"/>
                <xsd:element ref="ns3:_DCDateModified" minOccurs="0"/>
                <xsd:element ref="ns4:Statut" minOccurs="0"/>
                <xsd:element ref="ns3:BDFNouvelleFenetr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BDFTheme" ma:index="9" nillable="true" ma:displayName="Thème" ma:format="Dropdown" ma:internalName="BDFTheme">
      <xsd:simpleType>
        <xsd:restriction base="dms:Choice">
          <xsd:enumeration value="-"/>
          <xsd:enumeration value="Information"/>
          <xsd:enumeration value="Note des méthodes"/>
          <xsd:enumeration value="Courrier-type"/>
        </xsd:restriction>
      </xsd:simpleType>
    </xsd:element>
    <xsd:element name="BDFCategorie" ma:index="10" nillable="true" ma:displayName="Catégorie" ma:format="Dropdown" ma:internalName="BDFCategorie">
      <xsd:simpleType>
        <xsd:restriction base="dms:Choice">
          <xsd:enumeration value="-"/>
        </xsd:restriction>
      </xsd:simpleType>
    </xsd:element>
  </xsd:schema>
  <xsd:schema xmlns:xsd="http://www.w3.org/2001/XMLSchema" xmlns:dms="http://schemas.microsoft.com/office/2006/documentManagement/types" targetNamespace="f687ba61-5d74-4821-b051-a88d64463277" elementFormDefault="qualified">
    <xsd:import namespace="http://schemas.microsoft.com/office/2006/documentManagement/types"/>
    <xsd:element name="Description" ma:index="8" nillable="true" ma:displayName="Description" ma:internalName="Description" ma:readOnly="false">
      <xsd:simpleType>
        <xsd:restriction base="dms:Not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11" nillable="true" ma:displayName="Date de modification" ma:description="Date à laquelle la ressource a été modifiée pour la dernière fois" ma:format="DateTime" ma:internalName="_DCDateModified">
      <xsd:simpleType>
        <xsd:restriction base="dms:DateTime"/>
      </xsd:simpleType>
    </xsd:element>
    <xsd:element name="BDFNouvelleFenetre" ma:index="13" nillable="true" ma:displayName="Ouvrir le lien dans une nouvelle fenêtre" ma:internalName="BDFNouvelleFenetre">
      <xsd:simpleType>
        <xsd:restriction base="dms:Boolean"/>
      </xsd:simpleType>
    </xsd:element>
  </xsd:schema>
  <xsd:schema xmlns:xsd="http://www.w3.org/2001/XMLSchema" xmlns:dms="http://schemas.microsoft.com/office/2006/documentManagement/types" targetNamespace="2d6d596d-baa2-4a59-b963-2d68b4aba2c0" elementFormDefault="qualified">
    <xsd:import namespace="http://schemas.microsoft.com/office/2006/documentManagement/types"/>
    <xsd:element name="Statut" ma:index="12" nillable="true" ma:displayName="Statut" ma:list="{641d8864-1ac6-4fb0-a5e5-84ccd87f5946}" ma:internalName="Statu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CDateModified xmlns="http://schemas.microsoft.com/sharepoint/v3/fields" xsi:nil="true"/>
    <BDFTheme xmlns="http://schemas.microsoft.com/sharepoint/v3">Information</BDFTheme>
    <Statut xmlns="2d6d596d-baa2-4a59-b963-2d68b4aba2c0">2</Statut>
    <BDFNouvelleFenetre xmlns="http://schemas.microsoft.com/sharepoint/v3/fields" xsi:nil="true"/>
    <Description xmlns="f687ba61-5d74-4821-b051-a88d64463277" xsi:nil="true"/>
    <BDFCategori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57631-FE26-47E3-B84A-6F6D89EB2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87ba61-5d74-4821-b051-a88d64463277"/>
    <ds:schemaRef ds:uri="http://schemas.microsoft.com/sharepoint/v3/fields"/>
    <ds:schemaRef ds:uri="2d6d596d-baa2-4a59-b963-2d68b4aba2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86610E-7BD6-432F-BA60-89180D0DE88F}">
  <ds:schemaRefs>
    <ds:schemaRef ds:uri="http://schemas.microsoft.com/sharepoint/v3/contenttype/forms"/>
  </ds:schemaRefs>
</ds:datastoreItem>
</file>

<file path=customXml/itemProps3.xml><?xml version="1.0" encoding="utf-8"?>
<ds:datastoreItem xmlns:ds="http://schemas.openxmlformats.org/officeDocument/2006/customXml" ds:itemID="{710813B7-79B6-41E8-88E9-C4C601DB798A}">
  <ds:schemaRefs>
    <ds:schemaRef ds:uri="http://purl.org/dc/terms/"/>
    <ds:schemaRef ds:uri="f687ba61-5d74-4821-b051-a88d64463277"/>
    <ds:schemaRef ds:uri="http://schemas.microsoft.com/sharepoint/v3/field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elements/1.1/"/>
    <ds:schemaRef ds:uri="2d6d596d-baa2-4a59-b963-2d68b4aba2c0"/>
    <ds:schemaRef ds:uri="http://schemas.microsoft.com/sharepoint/v3"/>
    <ds:schemaRef ds:uri="http://purl.org/dc/dcmitype/"/>
  </ds:schemaRefs>
</ds:datastoreItem>
</file>

<file path=customXml/itemProps4.xml><?xml version="1.0" encoding="utf-8"?>
<ds:datastoreItem xmlns:ds="http://schemas.openxmlformats.org/officeDocument/2006/customXml" ds:itemID="{BBEB54EE-A2C1-4E09-9598-CECB4DD53396}">
  <ds:schemaRefs>
    <ds:schemaRef ds:uri="http://schemas.microsoft.com/office/2006/metadata/longProperties"/>
  </ds:schemaRefs>
</ds:datastoreItem>
</file>

<file path=customXml/itemProps5.xml><?xml version="1.0" encoding="utf-8"?>
<ds:datastoreItem xmlns:ds="http://schemas.openxmlformats.org/officeDocument/2006/customXml" ds:itemID="{02A8D448-BC37-4510-A244-4E3C618010BB}">
  <ds:schemaRefs>
    <ds:schemaRef ds:uri="http://schemas.openxmlformats.org/officeDocument/2006/bibliography"/>
  </ds:schemaRefs>
</ds:datastoreItem>
</file>

<file path=customXml/itemProps6.xml><?xml version="1.0" encoding="utf-8"?>
<ds:datastoreItem xmlns:ds="http://schemas.openxmlformats.org/officeDocument/2006/customXml" ds:itemID="{656F139D-B73A-43B8-A919-FA21730B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100</Pages>
  <Words>32341</Words>
  <Characters>186387</Characters>
  <Application>Microsoft Office Word</Application>
  <DocSecurity>4</DocSecurity>
  <Lines>1553</Lines>
  <Paragraphs>436</Paragraphs>
  <ScaleCrop>false</ScaleCrop>
  <HeadingPairs>
    <vt:vector size="2" baseType="variant">
      <vt:variant>
        <vt:lpstr>Titre</vt:lpstr>
      </vt:variant>
      <vt:variant>
        <vt:i4>1</vt:i4>
      </vt:variant>
    </vt:vector>
  </HeadingPairs>
  <TitlesOfParts>
    <vt:vector size="1" baseType="lpstr">
      <vt:lpstr>Rapport sur le contrôle interne 2023 - Version ECSFEI</vt:lpstr>
    </vt:vector>
  </TitlesOfParts>
  <Company>Banque de France</Company>
  <LinksUpToDate>false</LinksUpToDate>
  <CharactersWithSpaces>218292</CharactersWithSpaces>
  <SharedDoc>false</SharedDoc>
  <HLinks>
    <vt:vector size="156" baseType="variant">
      <vt:variant>
        <vt:i4>1179698</vt:i4>
      </vt:variant>
      <vt:variant>
        <vt:i4>288</vt:i4>
      </vt:variant>
      <vt:variant>
        <vt:i4>0</vt:i4>
      </vt:variant>
      <vt:variant>
        <vt:i4>5</vt:i4>
      </vt:variant>
      <vt:variant>
        <vt:lpwstr/>
      </vt:variant>
      <vt:variant>
        <vt:lpwstr>_Toc244938705</vt:lpwstr>
      </vt:variant>
      <vt:variant>
        <vt:i4>1769523</vt:i4>
      </vt:variant>
      <vt:variant>
        <vt:i4>285</vt:i4>
      </vt:variant>
      <vt:variant>
        <vt:i4>0</vt:i4>
      </vt:variant>
      <vt:variant>
        <vt:i4>5</vt:i4>
      </vt:variant>
      <vt:variant>
        <vt:lpwstr/>
      </vt:variant>
      <vt:variant>
        <vt:lpwstr>_Toc244938696</vt:lpwstr>
      </vt:variant>
      <vt:variant>
        <vt:i4>1769523</vt:i4>
      </vt:variant>
      <vt:variant>
        <vt:i4>282</vt:i4>
      </vt:variant>
      <vt:variant>
        <vt:i4>0</vt:i4>
      </vt:variant>
      <vt:variant>
        <vt:i4>5</vt:i4>
      </vt:variant>
      <vt:variant>
        <vt:lpwstr/>
      </vt:variant>
      <vt:variant>
        <vt:lpwstr>_Toc244938695</vt:lpwstr>
      </vt:variant>
      <vt:variant>
        <vt:i4>1769523</vt:i4>
      </vt:variant>
      <vt:variant>
        <vt:i4>279</vt:i4>
      </vt:variant>
      <vt:variant>
        <vt:i4>0</vt:i4>
      </vt:variant>
      <vt:variant>
        <vt:i4>5</vt:i4>
      </vt:variant>
      <vt:variant>
        <vt:lpwstr/>
      </vt:variant>
      <vt:variant>
        <vt:lpwstr>_Toc244938694</vt:lpwstr>
      </vt:variant>
      <vt:variant>
        <vt:i4>1769523</vt:i4>
      </vt:variant>
      <vt:variant>
        <vt:i4>276</vt:i4>
      </vt:variant>
      <vt:variant>
        <vt:i4>0</vt:i4>
      </vt:variant>
      <vt:variant>
        <vt:i4>5</vt:i4>
      </vt:variant>
      <vt:variant>
        <vt:lpwstr/>
      </vt:variant>
      <vt:variant>
        <vt:lpwstr>_Toc244938692</vt:lpwstr>
      </vt:variant>
      <vt:variant>
        <vt:i4>1441845</vt:i4>
      </vt:variant>
      <vt:variant>
        <vt:i4>122</vt:i4>
      </vt:variant>
      <vt:variant>
        <vt:i4>0</vt:i4>
      </vt:variant>
      <vt:variant>
        <vt:i4>5</vt:i4>
      </vt:variant>
      <vt:variant>
        <vt:lpwstr/>
      </vt:variant>
      <vt:variant>
        <vt:lpwstr>_Toc336948439</vt:lpwstr>
      </vt:variant>
      <vt:variant>
        <vt:i4>1441845</vt:i4>
      </vt:variant>
      <vt:variant>
        <vt:i4>116</vt:i4>
      </vt:variant>
      <vt:variant>
        <vt:i4>0</vt:i4>
      </vt:variant>
      <vt:variant>
        <vt:i4>5</vt:i4>
      </vt:variant>
      <vt:variant>
        <vt:lpwstr/>
      </vt:variant>
      <vt:variant>
        <vt:lpwstr>_Toc336948438</vt:lpwstr>
      </vt:variant>
      <vt:variant>
        <vt:i4>1441845</vt:i4>
      </vt:variant>
      <vt:variant>
        <vt:i4>110</vt:i4>
      </vt:variant>
      <vt:variant>
        <vt:i4>0</vt:i4>
      </vt:variant>
      <vt:variant>
        <vt:i4>5</vt:i4>
      </vt:variant>
      <vt:variant>
        <vt:lpwstr/>
      </vt:variant>
      <vt:variant>
        <vt:lpwstr>_Toc336948437</vt:lpwstr>
      </vt:variant>
      <vt:variant>
        <vt:i4>1441845</vt:i4>
      </vt:variant>
      <vt:variant>
        <vt:i4>104</vt:i4>
      </vt:variant>
      <vt:variant>
        <vt:i4>0</vt:i4>
      </vt:variant>
      <vt:variant>
        <vt:i4>5</vt:i4>
      </vt:variant>
      <vt:variant>
        <vt:lpwstr/>
      </vt:variant>
      <vt:variant>
        <vt:lpwstr>_Toc336948436</vt:lpwstr>
      </vt:variant>
      <vt:variant>
        <vt:i4>1441845</vt:i4>
      </vt:variant>
      <vt:variant>
        <vt:i4>98</vt:i4>
      </vt:variant>
      <vt:variant>
        <vt:i4>0</vt:i4>
      </vt:variant>
      <vt:variant>
        <vt:i4>5</vt:i4>
      </vt:variant>
      <vt:variant>
        <vt:lpwstr/>
      </vt:variant>
      <vt:variant>
        <vt:lpwstr>_Toc336948435</vt:lpwstr>
      </vt:variant>
      <vt:variant>
        <vt:i4>1441845</vt:i4>
      </vt:variant>
      <vt:variant>
        <vt:i4>92</vt:i4>
      </vt:variant>
      <vt:variant>
        <vt:i4>0</vt:i4>
      </vt:variant>
      <vt:variant>
        <vt:i4>5</vt:i4>
      </vt:variant>
      <vt:variant>
        <vt:lpwstr/>
      </vt:variant>
      <vt:variant>
        <vt:lpwstr>_Toc336948434</vt:lpwstr>
      </vt:variant>
      <vt:variant>
        <vt:i4>1441845</vt:i4>
      </vt:variant>
      <vt:variant>
        <vt:i4>86</vt:i4>
      </vt:variant>
      <vt:variant>
        <vt:i4>0</vt:i4>
      </vt:variant>
      <vt:variant>
        <vt:i4>5</vt:i4>
      </vt:variant>
      <vt:variant>
        <vt:lpwstr/>
      </vt:variant>
      <vt:variant>
        <vt:lpwstr>_Toc336948433</vt:lpwstr>
      </vt:variant>
      <vt:variant>
        <vt:i4>1441845</vt:i4>
      </vt:variant>
      <vt:variant>
        <vt:i4>80</vt:i4>
      </vt:variant>
      <vt:variant>
        <vt:i4>0</vt:i4>
      </vt:variant>
      <vt:variant>
        <vt:i4>5</vt:i4>
      </vt:variant>
      <vt:variant>
        <vt:lpwstr/>
      </vt:variant>
      <vt:variant>
        <vt:lpwstr>_Toc336948432</vt:lpwstr>
      </vt:variant>
      <vt:variant>
        <vt:i4>1441845</vt:i4>
      </vt:variant>
      <vt:variant>
        <vt:i4>74</vt:i4>
      </vt:variant>
      <vt:variant>
        <vt:i4>0</vt:i4>
      </vt:variant>
      <vt:variant>
        <vt:i4>5</vt:i4>
      </vt:variant>
      <vt:variant>
        <vt:lpwstr/>
      </vt:variant>
      <vt:variant>
        <vt:lpwstr>_Toc336948431</vt:lpwstr>
      </vt:variant>
      <vt:variant>
        <vt:i4>1441845</vt:i4>
      </vt:variant>
      <vt:variant>
        <vt:i4>68</vt:i4>
      </vt:variant>
      <vt:variant>
        <vt:i4>0</vt:i4>
      </vt:variant>
      <vt:variant>
        <vt:i4>5</vt:i4>
      </vt:variant>
      <vt:variant>
        <vt:lpwstr/>
      </vt:variant>
      <vt:variant>
        <vt:lpwstr>_Toc336948430</vt:lpwstr>
      </vt:variant>
      <vt:variant>
        <vt:i4>1507381</vt:i4>
      </vt:variant>
      <vt:variant>
        <vt:i4>62</vt:i4>
      </vt:variant>
      <vt:variant>
        <vt:i4>0</vt:i4>
      </vt:variant>
      <vt:variant>
        <vt:i4>5</vt:i4>
      </vt:variant>
      <vt:variant>
        <vt:lpwstr/>
      </vt:variant>
      <vt:variant>
        <vt:lpwstr>_Toc336948429</vt:lpwstr>
      </vt:variant>
      <vt:variant>
        <vt:i4>1507381</vt:i4>
      </vt:variant>
      <vt:variant>
        <vt:i4>56</vt:i4>
      </vt:variant>
      <vt:variant>
        <vt:i4>0</vt:i4>
      </vt:variant>
      <vt:variant>
        <vt:i4>5</vt:i4>
      </vt:variant>
      <vt:variant>
        <vt:lpwstr/>
      </vt:variant>
      <vt:variant>
        <vt:lpwstr>_Toc336948428</vt:lpwstr>
      </vt:variant>
      <vt:variant>
        <vt:i4>1507381</vt:i4>
      </vt:variant>
      <vt:variant>
        <vt:i4>50</vt:i4>
      </vt:variant>
      <vt:variant>
        <vt:i4>0</vt:i4>
      </vt:variant>
      <vt:variant>
        <vt:i4>5</vt:i4>
      </vt:variant>
      <vt:variant>
        <vt:lpwstr/>
      </vt:variant>
      <vt:variant>
        <vt:lpwstr>_Toc336948427</vt:lpwstr>
      </vt:variant>
      <vt:variant>
        <vt:i4>1507381</vt:i4>
      </vt:variant>
      <vt:variant>
        <vt:i4>44</vt:i4>
      </vt:variant>
      <vt:variant>
        <vt:i4>0</vt:i4>
      </vt:variant>
      <vt:variant>
        <vt:i4>5</vt:i4>
      </vt:variant>
      <vt:variant>
        <vt:lpwstr/>
      </vt:variant>
      <vt:variant>
        <vt:lpwstr>_Toc336948426</vt:lpwstr>
      </vt:variant>
      <vt:variant>
        <vt:i4>1507381</vt:i4>
      </vt:variant>
      <vt:variant>
        <vt:i4>38</vt:i4>
      </vt:variant>
      <vt:variant>
        <vt:i4>0</vt:i4>
      </vt:variant>
      <vt:variant>
        <vt:i4>5</vt:i4>
      </vt:variant>
      <vt:variant>
        <vt:lpwstr/>
      </vt:variant>
      <vt:variant>
        <vt:lpwstr>_Toc336948425</vt:lpwstr>
      </vt:variant>
      <vt:variant>
        <vt:i4>1507381</vt:i4>
      </vt:variant>
      <vt:variant>
        <vt:i4>32</vt:i4>
      </vt:variant>
      <vt:variant>
        <vt:i4>0</vt:i4>
      </vt:variant>
      <vt:variant>
        <vt:i4>5</vt:i4>
      </vt:variant>
      <vt:variant>
        <vt:lpwstr/>
      </vt:variant>
      <vt:variant>
        <vt:lpwstr>_Toc336948424</vt:lpwstr>
      </vt:variant>
      <vt:variant>
        <vt:i4>1507381</vt:i4>
      </vt:variant>
      <vt:variant>
        <vt:i4>26</vt:i4>
      </vt:variant>
      <vt:variant>
        <vt:i4>0</vt:i4>
      </vt:variant>
      <vt:variant>
        <vt:i4>5</vt:i4>
      </vt:variant>
      <vt:variant>
        <vt:lpwstr/>
      </vt:variant>
      <vt:variant>
        <vt:lpwstr>_Toc336948423</vt:lpwstr>
      </vt:variant>
      <vt:variant>
        <vt:i4>1507381</vt:i4>
      </vt:variant>
      <vt:variant>
        <vt:i4>20</vt:i4>
      </vt:variant>
      <vt:variant>
        <vt:i4>0</vt:i4>
      </vt:variant>
      <vt:variant>
        <vt:i4>5</vt:i4>
      </vt:variant>
      <vt:variant>
        <vt:lpwstr/>
      </vt:variant>
      <vt:variant>
        <vt:lpwstr>_Toc336948422</vt:lpwstr>
      </vt:variant>
      <vt:variant>
        <vt:i4>1507381</vt:i4>
      </vt:variant>
      <vt:variant>
        <vt:i4>14</vt:i4>
      </vt:variant>
      <vt:variant>
        <vt:i4>0</vt:i4>
      </vt:variant>
      <vt:variant>
        <vt:i4>5</vt:i4>
      </vt:variant>
      <vt:variant>
        <vt:lpwstr/>
      </vt:variant>
      <vt:variant>
        <vt:lpwstr>_Toc336948421</vt:lpwstr>
      </vt:variant>
      <vt:variant>
        <vt:i4>1507381</vt:i4>
      </vt:variant>
      <vt:variant>
        <vt:i4>8</vt:i4>
      </vt:variant>
      <vt:variant>
        <vt:i4>0</vt:i4>
      </vt:variant>
      <vt:variant>
        <vt:i4>5</vt:i4>
      </vt:variant>
      <vt:variant>
        <vt:lpwstr/>
      </vt:variant>
      <vt:variant>
        <vt:lpwstr>_Toc336948420</vt:lpwstr>
      </vt:variant>
      <vt:variant>
        <vt:i4>1310773</vt:i4>
      </vt:variant>
      <vt:variant>
        <vt:i4>2</vt:i4>
      </vt:variant>
      <vt:variant>
        <vt:i4>0</vt:i4>
      </vt:variant>
      <vt:variant>
        <vt:i4>5</vt:i4>
      </vt:variant>
      <vt:variant>
        <vt:lpwstr/>
      </vt:variant>
      <vt:variant>
        <vt:lpwstr>_Toc336948419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le contrôle interne 2023 - Version ECSFEI</dc:title>
  <dc:creator>SGACPR</dc:creator>
  <cp:lastModifiedBy>SQM</cp:lastModifiedBy>
  <cp:revision>2</cp:revision>
  <cp:lastPrinted>2019-04-02T15:16:00Z</cp:lastPrinted>
  <dcterms:created xsi:type="dcterms:W3CDTF">2023-06-30T07:10:00Z</dcterms:created>
  <dcterms:modified xsi:type="dcterms:W3CDTF">2023-06-30T07:10:00Z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