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44B71" w14:textId="2EF8EE9A" w:rsidR="00EE0875" w:rsidRPr="00223A8D" w:rsidRDefault="0013487C" w:rsidP="00A21285">
      <w:pPr>
        <w:jc w:val="center"/>
        <w:rPr>
          <w:rFonts w:ascii="Arial" w:hAnsi="Arial" w:cs="Arial"/>
          <w:b/>
          <w:sz w:val="24"/>
          <w:szCs w:val="24"/>
        </w:rPr>
      </w:pPr>
      <w:r w:rsidRPr="00223A8D">
        <w:rPr>
          <w:rFonts w:ascii="Arial" w:hAnsi="Arial" w:cs="Arial"/>
          <w:b/>
          <w:sz w:val="24"/>
          <w:szCs w:val="24"/>
        </w:rPr>
        <w:t>Forum aux quest</w:t>
      </w:r>
      <w:bookmarkStart w:id="0" w:name="_GoBack"/>
      <w:bookmarkEnd w:id="0"/>
      <w:r w:rsidRPr="00223A8D">
        <w:rPr>
          <w:rFonts w:ascii="Arial" w:hAnsi="Arial" w:cs="Arial"/>
          <w:b/>
          <w:sz w:val="24"/>
          <w:szCs w:val="24"/>
        </w:rPr>
        <w:t>ions en lien avec les remises des états des OPC</w:t>
      </w:r>
    </w:p>
    <w:p w14:paraId="760EE680" w14:textId="77777777" w:rsidR="003006AB" w:rsidRDefault="004378E9" w:rsidP="003006AB">
      <w:pPr>
        <w:jc w:val="center"/>
        <w:rPr>
          <w:rFonts w:ascii="Arial" w:hAnsi="Arial" w:cs="Arial"/>
          <w:b/>
          <w:sz w:val="24"/>
          <w:szCs w:val="24"/>
        </w:rPr>
      </w:pPr>
      <w:r w:rsidRPr="00223A8D">
        <w:rPr>
          <w:rFonts w:ascii="Arial" w:hAnsi="Arial" w:cs="Arial"/>
          <w:b/>
          <w:sz w:val="24"/>
          <w:szCs w:val="24"/>
        </w:rPr>
        <w:t>Principes généraux et é</w:t>
      </w:r>
      <w:r w:rsidR="0013487C" w:rsidRPr="00223A8D">
        <w:rPr>
          <w:rFonts w:ascii="Arial" w:hAnsi="Arial" w:cs="Arial"/>
          <w:b/>
          <w:sz w:val="24"/>
          <w:szCs w:val="24"/>
        </w:rPr>
        <w:t>volutions liés au nouveau plan comptable</w:t>
      </w:r>
    </w:p>
    <w:p w14:paraId="7FA03369" w14:textId="77777777" w:rsidR="003006AB" w:rsidRDefault="003006AB" w:rsidP="003006AB">
      <w:pPr>
        <w:jc w:val="center"/>
        <w:rPr>
          <w:rFonts w:ascii="Arial" w:hAnsi="Arial" w:cs="Arial"/>
          <w:b/>
          <w:sz w:val="24"/>
          <w:szCs w:val="24"/>
        </w:rPr>
      </w:pPr>
    </w:p>
    <w:p w14:paraId="7814C5C3" w14:textId="4684BEF1" w:rsidR="003006AB" w:rsidRDefault="003006AB" w:rsidP="003006AB">
      <w:pPr>
        <w:jc w:val="left"/>
        <w:rPr>
          <w:rFonts w:ascii="Arial" w:hAnsi="Arial" w:cs="Arial"/>
          <w:b/>
          <w:sz w:val="24"/>
          <w:szCs w:val="24"/>
        </w:rPr>
      </w:pPr>
    </w:p>
    <w:p w14:paraId="6D9E0840" w14:textId="4FE19BD3" w:rsidR="00A847FC" w:rsidRDefault="00A847FC" w:rsidP="003006AB">
      <w:pPr>
        <w:jc w:val="left"/>
        <w:rPr>
          <w:rFonts w:ascii="Arial" w:hAnsi="Arial" w:cs="Arial"/>
          <w:b/>
          <w:sz w:val="24"/>
          <w:szCs w:val="24"/>
        </w:rPr>
      </w:pPr>
    </w:p>
    <w:sdt>
      <w:sdtPr>
        <w:rPr>
          <w:rFonts w:ascii="Times New Roman" w:eastAsia="Times New Roman" w:hAnsi="Times New Roman" w:cs="Times New Roman"/>
          <w:b w:val="0"/>
          <w:bCs w:val="0"/>
          <w:color w:val="auto"/>
          <w:sz w:val="22"/>
          <w:szCs w:val="20"/>
        </w:rPr>
        <w:id w:val="582112514"/>
        <w:docPartObj>
          <w:docPartGallery w:val="Table of Contents"/>
          <w:docPartUnique/>
        </w:docPartObj>
      </w:sdtPr>
      <w:sdtEndPr/>
      <w:sdtContent>
        <w:p w14:paraId="7E1E3605" w14:textId="54CD6C61" w:rsidR="00A44BB4" w:rsidRDefault="00A44BB4">
          <w:pPr>
            <w:pStyle w:val="En-ttedetabledesmatires"/>
          </w:pPr>
          <w:r>
            <w:t>Table des matières</w:t>
          </w:r>
        </w:p>
        <w:p w14:paraId="203890D8" w14:textId="589BFE70" w:rsidR="00085E81" w:rsidRDefault="00A44BB4">
          <w:pPr>
            <w:pStyle w:val="TM1"/>
            <w:rPr>
              <w:rFonts w:asciiTheme="minorHAnsi" w:eastAsiaTheme="minorEastAsia" w:hAnsiTheme="minorHAnsi" w:cstheme="minorBidi"/>
              <w:szCs w:val="22"/>
            </w:rPr>
          </w:pPr>
          <w:r>
            <w:fldChar w:fldCharType="begin"/>
          </w:r>
          <w:r>
            <w:instrText xml:space="preserve"> TOC \o "1-3" \h \z \u </w:instrText>
          </w:r>
          <w:r>
            <w:fldChar w:fldCharType="separate"/>
          </w:r>
          <w:hyperlink w:anchor="_Toc176449269" w:history="1">
            <w:r w:rsidR="00085E81" w:rsidRPr="008C049C">
              <w:rPr>
                <w:rStyle w:val="Lienhypertexte"/>
                <w:rFonts w:ascii="Arial" w:hAnsi="Arial" w:cs="Arial"/>
                <w:b/>
                <w:lang w:eastAsia="en-US"/>
              </w:rPr>
              <w:t>I - Remises annuelles</w:t>
            </w:r>
            <w:r w:rsidR="00085E81">
              <w:rPr>
                <w:webHidden/>
              </w:rPr>
              <w:tab/>
            </w:r>
            <w:r w:rsidR="00085E81">
              <w:rPr>
                <w:webHidden/>
              </w:rPr>
              <w:fldChar w:fldCharType="begin"/>
            </w:r>
            <w:r w:rsidR="00085E81">
              <w:rPr>
                <w:webHidden/>
              </w:rPr>
              <w:instrText xml:space="preserve"> PAGEREF _Toc176449269 \h </w:instrText>
            </w:r>
            <w:r w:rsidR="00085E81">
              <w:rPr>
                <w:webHidden/>
              </w:rPr>
            </w:r>
            <w:r w:rsidR="00085E81">
              <w:rPr>
                <w:webHidden/>
              </w:rPr>
              <w:fldChar w:fldCharType="separate"/>
            </w:r>
            <w:r w:rsidR="00085E81">
              <w:rPr>
                <w:webHidden/>
              </w:rPr>
              <w:t>2</w:t>
            </w:r>
            <w:r w:rsidR="00085E81">
              <w:rPr>
                <w:webHidden/>
              </w:rPr>
              <w:fldChar w:fldCharType="end"/>
            </w:r>
          </w:hyperlink>
        </w:p>
        <w:p w14:paraId="35197F2B" w14:textId="36A714A7" w:rsidR="00085E81" w:rsidRDefault="00085E81">
          <w:pPr>
            <w:pStyle w:val="TM2"/>
            <w:tabs>
              <w:tab w:val="right" w:leader="dot" w:pos="9062"/>
            </w:tabs>
            <w:rPr>
              <w:rFonts w:cstheme="minorBidi"/>
              <w:noProof/>
            </w:rPr>
          </w:pPr>
          <w:hyperlink w:anchor="_Toc176449270" w:history="1">
            <w:r w:rsidRPr="008C049C">
              <w:rPr>
                <w:rStyle w:val="Lienhypertexte"/>
                <w:rFonts w:ascii="Arial" w:hAnsi="Arial" w:cs="Arial"/>
                <w:b/>
                <w:noProof/>
                <w:lang w:eastAsia="en-US"/>
              </w:rPr>
              <w:t>A - Questions à propos des principes généraux</w:t>
            </w:r>
            <w:r>
              <w:rPr>
                <w:noProof/>
                <w:webHidden/>
              </w:rPr>
              <w:tab/>
            </w:r>
            <w:r>
              <w:rPr>
                <w:noProof/>
                <w:webHidden/>
              </w:rPr>
              <w:fldChar w:fldCharType="begin"/>
            </w:r>
            <w:r>
              <w:rPr>
                <w:noProof/>
                <w:webHidden/>
              </w:rPr>
              <w:instrText xml:space="preserve"> PAGEREF _Toc176449270 \h </w:instrText>
            </w:r>
            <w:r>
              <w:rPr>
                <w:noProof/>
                <w:webHidden/>
              </w:rPr>
            </w:r>
            <w:r>
              <w:rPr>
                <w:noProof/>
                <w:webHidden/>
              </w:rPr>
              <w:fldChar w:fldCharType="separate"/>
            </w:r>
            <w:r>
              <w:rPr>
                <w:noProof/>
                <w:webHidden/>
              </w:rPr>
              <w:t>2</w:t>
            </w:r>
            <w:r>
              <w:rPr>
                <w:noProof/>
                <w:webHidden/>
              </w:rPr>
              <w:fldChar w:fldCharType="end"/>
            </w:r>
          </w:hyperlink>
        </w:p>
        <w:p w14:paraId="2E306026" w14:textId="1F75F82E" w:rsidR="00085E81" w:rsidRDefault="00085E81">
          <w:pPr>
            <w:pStyle w:val="TM3"/>
            <w:tabs>
              <w:tab w:val="right" w:leader="dot" w:pos="9062"/>
            </w:tabs>
            <w:rPr>
              <w:rFonts w:cstheme="minorBidi"/>
              <w:noProof/>
            </w:rPr>
          </w:pPr>
          <w:hyperlink w:anchor="_Toc176449271" w:history="1">
            <w:r w:rsidRPr="008C049C">
              <w:rPr>
                <w:rStyle w:val="Lienhypertexte"/>
                <w:rFonts w:ascii="Arial" w:hAnsi="Arial" w:cstheme="majorBidi"/>
                <w:b/>
                <w:noProof/>
                <w:lang w:eastAsia="en-US"/>
              </w:rPr>
              <w:t>1 - Calendrier</w:t>
            </w:r>
            <w:r>
              <w:rPr>
                <w:noProof/>
                <w:webHidden/>
              </w:rPr>
              <w:tab/>
            </w:r>
            <w:r>
              <w:rPr>
                <w:noProof/>
                <w:webHidden/>
              </w:rPr>
              <w:fldChar w:fldCharType="begin"/>
            </w:r>
            <w:r>
              <w:rPr>
                <w:noProof/>
                <w:webHidden/>
              </w:rPr>
              <w:instrText xml:space="preserve"> PAGEREF _Toc176449271 \h </w:instrText>
            </w:r>
            <w:r>
              <w:rPr>
                <w:noProof/>
                <w:webHidden/>
              </w:rPr>
            </w:r>
            <w:r>
              <w:rPr>
                <w:noProof/>
                <w:webHidden/>
              </w:rPr>
              <w:fldChar w:fldCharType="separate"/>
            </w:r>
            <w:r>
              <w:rPr>
                <w:noProof/>
                <w:webHidden/>
              </w:rPr>
              <w:t>2</w:t>
            </w:r>
            <w:r>
              <w:rPr>
                <w:noProof/>
                <w:webHidden/>
              </w:rPr>
              <w:fldChar w:fldCharType="end"/>
            </w:r>
          </w:hyperlink>
        </w:p>
        <w:p w14:paraId="10E56F3E" w14:textId="68306DBC" w:rsidR="00085E81" w:rsidRDefault="00085E81">
          <w:pPr>
            <w:pStyle w:val="TM3"/>
            <w:tabs>
              <w:tab w:val="right" w:leader="dot" w:pos="9062"/>
            </w:tabs>
            <w:rPr>
              <w:rFonts w:cstheme="minorBidi"/>
              <w:noProof/>
            </w:rPr>
          </w:pPr>
          <w:hyperlink w:anchor="_Toc176449272" w:history="1">
            <w:r w:rsidRPr="008C049C">
              <w:rPr>
                <w:rStyle w:val="Lienhypertexte"/>
                <w:rFonts w:ascii="Arial" w:hAnsi="Arial" w:cstheme="majorBidi"/>
                <w:b/>
                <w:noProof/>
                <w:lang w:eastAsia="en-US"/>
              </w:rPr>
              <w:t>2 - Messages automatiques</w:t>
            </w:r>
            <w:r>
              <w:rPr>
                <w:noProof/>
                <w:webHidden/>
              </w:rPr>
              <w:tab/>
            </w:r>
            <w:r>
              <w:rPr>
                <w:noProof/>
                <w:webHidden/>
              </w:rPr>
              <w:fldChar w:fldCharType="begin"/>
            </w:r>
            <w:r>
              <w:rPr>
                <w:noProof/>
                <w:webHidden/>
              </w:rPr>
              <w:instrText xml:space="preserve"> PAGEREF _Toc176449272 \h </w:instrText>
            </w:r>
            <w:r>
              <w:rPr>
                <w:noProof/>
                <w:webHidden/>
              </w:rPr>
            </w:r>
            <w:r>
              <w:rPr>
                <w:noProof/>
                <w:webHidden/>
              </w:rPr>
              <w:fldChar w:fldCharType="separate"/>
            </w:r>
            <w:r>
              <w:rPr>
                <w:noProof/>
                <w:webHidden/>
              </w:rPr>
              <w:t>2</w:t>
            </w:r>
            <w:r>
              <w:rPr>
                <w:noProof/>
                <w:webHidden/>
              </w:rPr>
              <w:fldChar w:fldCharType="end"/>
            </w:r>
          </w:hyperlink>
        </w:p>
        <w:p w14:paraId="4CE96468" w14:textId="50D62722" w:rsidR="00085E81" w:rsidRDefault="00085E81">
          <w:pPr>
            <w:pStyle w:val="TM3"/>
            <w:tabs>
              <w:tab w:val="right" w:leader="dot" w:pos="9062"/>
            </w:tabs>
            <w:rPr>
              <w:rFonts w:cstheme="minorBidi"/>
              <w:noProof/>
            </w:rPr>
          </w:pPr>
          <w:hyperlink w:anchor="_Toc176449273" w:history="1">
            <w:r w:rsidRPr="008C049C">
              <w:rPr>
                <w:rStyle w:val="Lienhypertexte"/>
                <w:rFonts w:ascii="Arial" w:hAnsi="Arial" w:cstheme="majorBidi"/>
                <w:b/>
                <w:noProof/>
                <w:lang w:eastAsia="en-US"/>
              </w:rPr>
              <w:t>3 – Divers</w:t>
            </w:r>
            <w:r>
              <w:rPr>
                <w:noProof/>
                <w:webHidden/>
              </w:rPr>
              <w:tab/>
            </w:r>
            <w:r>
              <w:rPr>
                <w:noProof/>
                <w:webHidden/>
              </w:rPr>
              <w:fldChar w:fldCharType="begin"/>
            </w:r>
            <w:r>
              <w:rPr>
                <w:noProof/>
                <w:webHidden/>
              </w:rPr>
              <w:instrText xml:space="preserve"> PAGEREF _Toc176449273 \h </w:instrText>
            </w:r>
            <w:r>
              <w:rPr>
                <w:noProof/>
                <w:webHidden/>
              </w:rPr>
            </w:r>
            <w:r>
              <w:rPr>
                <w:noProof/>
                <w:webHidden/>
              </w:rPr>
              <w:fldChar w:fldCharType="separate"/>
            </w:r>
            <w:r>
              <w:rPr>
                <w:noProof/>
                <w:webHidden/>
              </w:rPr>
              <w:t>2</w:t>
            </w:r>
            <w:r>
              <w:rPr>
                <w:noProof/>
                <w:webHidden/>
              </w:rPr>
              <w:fldChar w:fldCharType="end"/>
            </w:r>
          </w:hyperlink>
        </w:p>
        <w:p w14:paraId="30BDBD2D" w14:textId="382BEFE2" w:rsidR="00085E81" w:rsidRDefault="00085E81">
          <w:pPr>
            <w:pStyle w:val="TM2"/>
            <w:tabs>
              <w:tab w:val="right" w:leader="dot" w:pos="9062"/>
            </w:tabs>
            <w:rPr>
              <w:rFonts w:cstheme="minorBidi"/>
              <w:noProof/>
            </w:rPr>
          </w:pPr>
          <w:hyperlink w:anchor="_Toc176449274" w:history="1">
            <w:r w:rsidRPr="008C049C">
              <w:rPr>
                <w:rStyle w:val="Lienhypertexte"/>
                <w:rFonts w:ascii="Arial" w:hAnsi="Arial" w:cs="Arial"/>
                <w:b/>
                <w:noProof/>
                <w:lang w:eastAsia="en-US"/>
              </w:rPr>
              <w:t>B - Questions à propos des modalités de déclarations de certaines rubriques</w:t>
            </w:r>
            <w:r>
              <w:rPr>
                <w:noProof/>
                <w:webHidden/>
              </w:rPr>
              <w:tab/>
            </w:r>
            <w:r>
              <w:rPr>
                <w:noProof/>
                <w:webHidden/>
              </w:rPr>
              <w:fldChar w:fldCharType="begin"/>
            </w:r>
            <w:r>
              <w:rPr>
                <w:noProof/>
                <w:webHidden/>
              </w:rPr>
              <w:instrText xml:space="preserve"> PAGEREF _Toc176449274 \h </w:instrText>
            </w:r>
            <w:r>
              <w:rPr>
                <w:noProof/>
                <w:webHidden/>
              </w:rPr>
            </w:r>
            <w:r>
              <w:rPr>
                <w:noProof/>
                <w:webHidden/>
              </w:rPr>
              <w:fldChar w:fldCharType="separate"/>
            </w:r>
            <w:r>
              <w:rPr>
                <w:noProof/>
                <w:webHidden/>
              </w:rPr>
              <w:t>3</w:t>
            </w:r>
            <w:r>
              <w:rPr>
                <w:noProof/>
                <w:webHidden/>
              </w:rPr>
              <w:fldChar w:fldCharType="end"/>
            </w:r>
          </w:hyperlink>
        </w:p>
        <w:p w14:paraId="7A0F478D" w14:textId="6B486631" w:rsidR="00085E81" w:rsidRDefault="00085E81">
          <w:pPr>
            <w:pStyle w:val="TM3"/>
            <w:tabs>
              <w:tab w:val="right" w:leader="dot" w:pos="9062"/>
            </w:tabs>
            <w:rPr>
              <w:rFonts w:cstheme="minorBidi"/>
              <w:noProof/>
            </w:rPr>
          </w:pPr>
          <w:hyperlink w:anchor="_Toc176449275" w:history="1">
            <w:r w:rsidRPr="008C049C">
              <w:rPr>
                <w:rStyle w:val="Lienhypertexte"/>
                <w:rFonts w:ascii="Arial" w:hAnsi="Arial" w:cstheme="majorBidi"/>
                <w:b/>
                <w:noProof/>
                <w:lang w:eastAsia="en-US"/>
              </w:rPr>
              <w:t>1 - Rubrique « Charges et Produits »</w:t>
            </w:r>
            <w:r>
              <w:rPr>
                <w:noProof/>
                <w:webHidden/>
              </w:rPr>
              <w:tab/>
            </w:r>
            <w:r>
              <w:rPr>
                <w:noProof/>
                <w:webHidden/>
              </w:rPr>
              <w:fldChar w:fldCharType="begin"/>
            </w:r>
            <w:r>
              <w:rPr>
                <w:noProof/>
                <w:webHidden/>
              </w:rPr>
              <w:instrText xml:space="preserve"> PAGEREF _Toc176449275 \h </w:instrText>
            </w:r>
            <w:r>
              <w:rPr>
                <w:noProof/>
                <w:webHidden/>
              </w:rPr>
            </w:r>
            <w:r>
              <w:rPr>
                <w:noProof/>
                <w:webHidden/>
              </w:rPr>
              <w:fldChar w:fldCharType="separate"/>
            </w:r>
            <w:r>
              <w:rPr>
                <w:noProof/>
                <w:webHidden/>
              </w:rPr>
              <w:t>3</w:t>
            </w:r>
            <w:r>
              <w:rPr>
                <w:noProof/>
                <w:webHidden/>
              </w:rPr>
              <w:fldChar w:fldCharType="end"/>
            </w:r>
          </w:hyperlink>
        </w:p>
        <w:p w14:paraId="3738F51E" w14:textId="3178B8AC" w:rsidR="00085E81" w:rsidRDefault="00085E81">
          <w:pPr>
            <w:pStyle w:val="TM3"/>
            <w:tabs>
              <w:tab w:val="right" w:leader="dot" w:pos="9062"/>
            </w:tabs>
            <w:rPr>
              <w:rFonts w:cstheme="minorBidi"/>
              <w:noProof/>
            </w:rPr>
          </w:pPr>
          <w:hyperlink w:anchor="_Toc176449276" w:history="1">
            <w:r w:rsidRPr="008C049C">
              <w:rPr>
                <w:rStyle w:val="Lienhypertexte"/>
                <w:rFonts w:ascii="Arial" w:hAnsi="Arial" w:cstheme="majorBidi"/>
                <w:b/>
                <w:noProof/>
                <w:lang w:eastAsia="en-US"/>
              </w:rPr>
              <w:t>2 - Rubrique « Totaux des charges et produits par regroupement »</w:t>
            </w:r>
            <w:r>
              <w:rPr>
                <w:noProof/>
                <w:webHidden/>
              </w:rPr>
              <w:tab/>
            </w:r>
            <w:r>
              <w:rPr>
                <w:noProof/>
                <w:webHidden/>
              </w:rPr>
              <w:fldChar w:fldCharType="begin"/>
            </w:r>
            <w:r>
              <w:rPr>
                <w:noProof/>
                <w:webHidden/>
              </w:rPr>
              <w:instrText xml:space="preserve"> PAGEREF _Toc176449276 \h </w:instrText>
            </w:r>
            <w:r>
              <w:rPr>
                <w:noProof/>
                <w:webHidden/>
              </w:rPr>
            </w:r>
            <w:r>
              <w:rPr>
                <w:noProof/>
                <w:webHidden/>
              </w:rPr>
              <w:fldChar w:fldCharType="separate"/>
            </w:r>
            <w:r>
              <w:rPr>
                <w:noProof/>
                <w:webHidden/>
              </w:rPr>
              <w:t>3</w:t>
            </w:r>
            <w:r>
              <w:rPr>
                <w:noProof/>
                <w:webHidden/>
              </w:rPr>
              <w:fldChar w:fldCharType="end"/>
            </w:r>
          </w:hyperlink>
        </w:p>
        <w:p w14:paraId="1F205458" w14:textId="406D957E" w:rsidR="00085E81" w:rsidRDefault="00085E81">
          <w:pPr>
            <w:pStyle w:val="TM3"/>
            <w:tabs>
              <w:tab w:val="right" w:leader="dot" w:pos="9062"/>
            </w:tabs>
            <w:rPr>
              <w:rFonts w:cstheme="minorBidi"/>
              <w:noProof/>
            </w:rPr>
          </w:pPr>
          <w:hyperlink w:anchor="_Toc176449277" w:history="1">
            <w:r w:rsidRPr="008C049C">
              <w:rPr>
                <w:rStyle w:val="Lienhypertexte"/>
                <w:rFonts w:ascii="Arial" w:hAnsi="Arial" w:cstheme="majorBidi"/>
                <w:b/>
                <w:noProof/>
                <w:lang w:eastAsia="en-US"/>
              </w:rPr>
              <w:t>3 - Rubrique « Evolution du Capital »</w:t>
            </w:r>
            <w:r>
              <w:rPr>
                <w:noProof/>
                <w:webHidden/>
              </w:rPr>
              <w:tab/>
            </w:r>
            <w:r>
              <w:rPr>
                <w:noProof/>
                <w:webHidden/>
              </w:rPr>
              <w:fldChar w:fldCharType="begin"/>
            </w:r>
            <w:r>
              <w:rPr>
                <w:noProof/>
                <w:webHidden/>
              </w:rPr>
              <w:instrText xml:space="preserve"> PAGEREF _Toc176449277 \h </w:instrText>
            </w:r>
            <w:r>
              <w:rPr>
                <w:noProof/>
                <w:webHidden/>
              </w:rPr>
            </w:r>
            <w:r>
              <w:rPr>
                <w:noProof/>
                <w:webHidden/>
              </w:rPr>
              <w:fldChar w:fldCharType="separate"/>
            </w:r>
            <w:r>
              <w:rPr>
                <w:noProof/>
                <w:webHidden/>
              </w:rPr>
              <w:t>4</w:t>
            </w:r>
            <w:r>
              <w:rPr>
                <w:noProof/>
                <w:webHidden/>
              </w:rPr>
              <w:fldChar w:fldCharType="end"/>
            </w:r>
          </w:hyperlink>
        </w:p>
        <w:p w14:paraId="365082A5" w14:textId="2D10038E" w:rsidR="00085E81" w:rsidRDefault="00085E81">
          <w:pPr>
            <w:pStyle w:val="TM1"/>
            <w:rPr>
              <w:rFonts w:asciiTheme="minorHAnsi" w:eastAsiaTheme="minorEastAsia" w:hAnsiTheme="minorHAnsi" w:cstheme="minorBidi"/>
              <w:szCs w:val="22"/>
            </w:rPr>
          </w:pPr>
          <w:hyperlink w:anchor="_Toc176449278" w:history="1">
            <w:r w:rsidRPr="008C049C">
              <w:rPr>
                <w:rStyle w:val="Lienhypertexte"/>
                <w:rFonts w:ascii="Arial" w:hAnsi="Arial" w:cs="Arial"/>
                <w:b/>
                <w:lang w:eastAsia="en-US"/>
              </w:rPr>
              <w:t>II - Remises périodiques</w:t>
            </w:r>
            <w:r>
              <w:rPr>
                <w:webHidden/>
              </w:rPr>
              <w:tab/>
            </w:r>
            <w:r>
              <w:rPr>
                <w:webHidden/>
              </w:rPr>
              <w:fldChar w:fldCharType="begin"/>
            </w:r>
            <w:r>
              <w:rPr>
                <w:webHidden/>
              </w:rPr>
              <w:instrText xml:space="preserve"> PAGEREF _Toc176449278 \h </w:instrText>
            </w:r>
            <w:r>
              <w:rPr>
                <w:webHidden/>
              </w:rPr>
            </w:r>
            <w:r>
              <w:rPr>
                <w:webHidden/>
              </w:rPr>
              <w:fldChar w:fldCharType="separate"/>
            </w:r>
            <w:r>
              <w:rPr>
                <w:webHidden/>
              </w:rPr>
              <w:t>5</w:t>
            </w:r>
            <w:r>
              <w:rPr>
                <w:webHidden/>
              </w:rPr>
              <w:fldChar w:fldCharType="end"/>
            </w:r>
          </w:hyperlink>
        </w:p>
        <w:p w14:paraId="680B64D6" w14:textId="6E67D3E3" w:rsidR="00A44BB4" w:rsidRDefault="00A44BB4">
          <w:r>
            <w:rPr>
              <w:b/>
              <w:bCs/>
            </w:rPr>
            <w:fldChar w:fldCharType="end"/>
          </w:r>
        </w:p>
      </w:sdtContent>
    </w:sdt>
    <w:p w14:paraId="1D23CFBD" w14:textId="45E5AAF1" w:rsidR="00A847FC" w:rsidRDefault="00A847FC" w:rsidP="003006AB">
      <w:pPr>
        <w:jc w:val="left"/>
        <w:rPr>
          <w:rFonts w:ascii="Arial" w:hAnsi="Arial" w:cs="Arial"/>
          <w:b/>
          <w:sz w:val="24"/>
          <w:szCs w:val="24"/>
        </w:rPr>
      </w:pPr>
    </w:p>
    <w:p w14:paraId="16DBAD41" w14:textId="4FCE4D3F" w:rsidR="00A847FC" w:rsidRDefault="00A847FC">
      <w:pPr>
        <w:jc w:val="left"/>
        <w:rPr>
          <w:rFonts w:ascii="Arial" w:hAnsi="Arial" w:cs="Arial"/>
          <w:b/>
          <w:sz w:val="24"/>
          <w:szCs w:val="24"/>
        </w:rPr>
      </w:pPr>
      <w:r>
        <w:rPr>
          <w:rFonts w:ascii="Arial" w:hAnsi="Arial" w:cs="Arial"/>
          <w:b/>
          <w:sz w:val="24"/>
          <w:szCs w:val="24"/>
        </w:rPr>
        <w:br w:type="page"/>
      </w:r>
    </w:p>
    <w:p w14:paraId="38763E8E" w14:textId="77777777" w:rsidR="00A847FC" w:rsidRDefault="00A847FC" w:rsidP="003006AB">
      <w:pPr>
        <w:jc w:val="left"/>
        <w:rPr>
          <w:rFonts w:ascii="Arial" w:hAnsi="Arial" w:cs="Arial"/>
          <w:b/>
          <w:sz w:val="24"/>
          <w:szCs w:val="24"/>
        </w:rPr>
      </w:pPr>
    </w:p>
    <w:p w14:paraId="0F15472D" w14:textId="34984529" w:rsidR="00020EA7" w:rsidRDefault="00020EA7" w:rsidP="00020EA7">
      <w:pPr>
        <w:jc w:val="left"/>
        <w:outlineLvl w:val="0"/>
        <w:rPr>
          <w:rFonts w:ascii="Arial" w:hAnsi="Arial" w:cs="Arial"/>
          <w:b/>
          <w:color w:val="1F497D"/>
          <w:sz w:val="28"/>
          <w:szCs w:val="28"/>
          <w:lang w:eastAsia="en-US"/>
        </w:rPr>
      </w:pPr>
      <w:bookmarkStart w:id="1" w:name="_Toc176449269"/>
      <w:r>
        <w:rPr>
          <w:rFonts w:ascii="Arial" w:hAnsi="Arial" w:cs="Arial"/>
          <w:b/>
          <w:color w:val="1F497D"/>
          <w:sz w:val="28"/>
          <w:szCs w:val="28"/>
          <w:lang w:eastAsia="en-US"/>
        </w:rPr>
        <w:t>I - Remises annuelles</w:t>
      </w:r>
      <w:bookmarkEnd w:id="1"/>
    </w:p>
    <w:p w14:paraId="32BD6B27" w14:textId="77777777" w:rsidR="00020EA7" w:rsidRDefault="00020EA7" w:rsidP="004C5407">
      <w:pPr>
        <w:jc w:val="left"/>
        <w:outlineLvl w:val="0"/>
        <w:rPr>
          <w:rFonts w:ascii="Arial" w:hAnsi="Arial" w:cs="Arial"/>
          <w:b/>
          <w:color w:val="1F497D"/>
          <w:sz w:val="28"/>
          <w:szCs w:val="28"/>
          <w:lang w:eastAsia="en-US"/>
        </w:rPr>
      </w:pPr>
    </w:p>
    <w:p w14:paraId="65F51910" w14:textId="1C5CD2EC" w:rsidR="003006AB" w:rsidRPr="00020EA7" w:rsidRDefault="00020EA7" w:rsidP="00020EA7">
      <w:pPr>
        <w:jc w:val="left"/>
        <w:outlineLvl w:val="1"/>
        <w:rPr>
          <w:rFonts w:ascii="Arial" w:hAnsi="Arial" w:cs="Arial"/>
          <w:b/>
          <w:color w:val="1F497D"/>
          <w:sz w:val="24"/>
          <w:szCs w:val="24"/>
          <w:lang w:eastAsia="en-US"/>
        </w:rPr>
      </w:pPr>
      <w:bookmarkStart w:id="2" w:name="_Toc176449270"/>
      <w:r w:rsidRPr="00020EA7">
        <w:rPr>
          <w:rFonts w:ascii="Arial" w:hAnsi="Arial" w:cs="Arial"/>
          <w:b/>
          <w:color w:val="1F497D"/>
          <w:sz w:val="24"/>
          <w:szCs w:val="24"/>
          <w:lang w:eastAsia="en-US"/>
        </w:rPr>
        <w:t xml:space="preserve">A - </w:t>
      </w:r>
      <w:r w:rsidR="00A1072E" w:rsidRPr="00020EA7">
        <w:rPr>
          <w:rFonts w:ascii="Arial" w:hAnsi="Arial" w:cs="Arial"/>
          <w:b/>
          <w:color w:val="1F497D"/>
          <w:sz w:val="24"/>
          <w:szCs w:val="24"/>
          <w:lang w:eastAsia="en-US"/>
        </w:rPr>
        <w:t>Questions à propos des p</w:t>
      </w:r>
      <w:r w:rsidR="004378E9" w:rsidRPr="00020EA7">
        <w:rPr>
          <w:rFonts w:ascii="Arial" w:hAnsi="Arial" w:cs="Arial"/>
          <w:b/>
          <w:color w:val="1F497D"/>
          <w:sz w:val="24"/>
          <w:szCs w:val="24"/>
          <w:lang w:eastAsia="en-US"/>
        </w:rPr>
        <w:t>rincipes généraux</w:t>
      </w:r>
      <w:bookmarkEnd w:id="2"/>
    </w:p>
    <w:p w14:paraId="219697CB" w14:textId="77777777" w:rsidR="003006AB" w:rsidRDefault="003006AB" w:rsidP="003006AB">
      <w:pPr>
        <w:jc w:val="left"/>
        <w:rPr>
          <w:rFonts w:ascii="Arial" w:hAnsi="Arial" w:cs="Arial"/>
          <w:b/>
          <w:color w:val="1F497D"/>
          <w:sz w:val="28"/>
          <w:szCs w:val="28"/>
          <w:lang w:eastAsia="en-US"/>
        </w:rPr>
      </w:pPr>
    </w:p>
    <w:p w14:paraId="1610B70C" w14:textId="4060D527" w:rsidR="004C5407" w:rsidRPr="00A1072E" w:rsidRDefault="007F6B0E" w:rsidP="00020EA7">
      <w:pPr>
        <w:jc w:val="left"/>
        <w:outlineLvl w:val="2"/>
        <w:rPr>
          <w:rFonts w:ascii="Arial" w:hAnsi="Arial" w:cstheme="majorBidi"/>
          <w:b/>
          <w:szCs w:val="22"/>
          <w:lang w:eastAsia="en-US"/>
        </w:rPr>
      </w:pPr>
      <w:bookmarkStart w:id="3" w:name="_Toc176449271"/>
      <w:r w:rsidRPr="00A1072E">
        <w:rPr>
          <w:rFonts w:ascii="Arial" w:hAnsi="Arial" w:cstheme="majorBidi"/>
          <w:b/>
          <w:szCs w:val="22"/>
          <w:lang w:eastAsia="en-US"/>
        </w:rPr>
        <w:t xml:space="preserve">1 - </w:t>
      </w:r>
      <w:r w:rsidR="00A1072E" w:rsidRPr="00A1072E">
        <w:rPr>
          <w:rFonts w:ascii="Arial" w:hAnsi="Arial" w:cstheme="majorBidi"/>
          <w:b/>
          <w:szCs w:val="22"/>
          <w:lang w:eastAsia="en-US"/>
        </w:rPr>
        <w:t>Calendrier</w:t>
      </w:r>
      <w:bookmarkEnd w:id="3"/>
    </w:p>
    <w:p w14:paraId="271AB1F7" w14:textId="25C73C37" w:rsidR="004C5407" w:rsidRDefault="004C5407" w:rsidP="003006AB">
      <w:pPr>
        <w:jc w:val="left"/>
        <w:rPr>
          <w:rFonts w:ascii="Arial" w:hAnsi="Arial" w:cstheme="majorBidi"/>
          <w:b/>
          <w:sz w:val="20"/>
          <w:lang w:eastAsia="en-US"/>
        </w:rPr>
      </w:pPr>
    </w:p>
    <w:p w14:paraId="675DDF66" w14:textId="77777777" w:rsidR="00A1072E" w:rsidRDefault="00A1072E" w:rsidP="003006AB">
      <w:pPr>
        <w:jc w:val="left"/>
        <w:rPr>
          <w:rFonts w:ascii="Arial" w:hAnsi="Arial" w:cstheme="majorBidi"/>
          <w:b/>
          <w:sz w:val="20"/>
          <w:lang w:eastAsia="en-US"/>
        </w:rPr>
      </w:pPr>
    </w:p>
    <w:p w14:paraId="59E04BB6" w14:textId="3D2748A5" w:rsidR="0013487C" w:rsidRPr="004C5407" w:rsidRDefault="00037747" w:rsidP="004C5407">
      <w:pPr>
        <w:pStyle w:val="Paragraphedeliste"/>
        <w:numPr>
          <w:ilvl w:val="0"/>
          <w:numId w:val="29"/>
        </w:numPr>
        <w:jc w:val="left"/>
        <w:rPr>
          <w:rFonts w:ascii="Arial" w:hAnsi="Arial" w:cstheme="majorBidi"/>
          <w:b/>
          <w:sz w:val="20"/>
          <w:lang w:eastAsia="en-US"/>
        </w:rPr>
      </w:pPr>
      <w:r w:rsidRPr="004C5407">
        <w:rPr>
          <w:rFonts w:ascii="Arial" w:hAnsi="Arial" w:cstheme="majorBidi"/>
          <w:b/>
          <w:sz w:val="20"/>
          <w:lang w:eastAsia="en-US"/>
        </w:rPr>
        <w:t>Jusqu’à qu</w:t>
      </w:r>
      <w:r w:rsidR="009630B3" w:rsidRPr="004C5407">
        <w:rPr>
          <w:rFonts w:ascii="Arial" w:hAnsi="Arial" w:cstheme="majorBidi"/>
          <w:b/>
          <w:sz w:val="20"/>
          <w:lang w:eastAsia="en-US"/>
        </w:rPr>
        <w:t>and les OPC pourront-ils déclarer</w:t>
      </w:r>
      <w:r w:rsidRPr="004C5407">
        <w:rPr>
          <w:rFonts w:ascii="Arial" w:hAnsi="Arial" w:cstheme="majorBidi"/>
          <w:b/>
          <w:sz w:val="20"/>
          <w:lang w:eastAsia="en-US"/>
        </w:rPr>
        <w:t xml:space="preserve"> sur les anciennes rubriques des états annuels ?</w:t>
      </w:r>
    </w:p>
    <w:p w14:paraId="36F13E70" w14:textId="77777777" w:rsidR="003006AB" w:rsidRPr="003006AB" w:rsidRDefault="003006AB" w:rsidP="003006AB">
      <w:pPr>
        <w:jc w:val="left"/>
        <w:rPr>
          <w:rFonts w:ascii="Arial" w:hAnsi="Arial" w:cs="Arial"/>
          <w:b/>
          <w:sz w:val="24"/>
          <w:szCs w:val="24"/>
        </w:rPr>
      </w:pPr>
    </w:p>
    <w:p w14:paraId="72DF3210" w14:textId="77777777" w:rsidR="003006AB" w:rsidRDefault="0013487C" w:rsidP="003006AB">
      <w:pPr>
        <w:rPr>
          <w:color w:val="1F497D"/>
          <w:lang w:eastAsia="en-US"/>
        </w:rPr>
      </w:pPr>
      <w:r w:rsidRPr="0013487C">
        <w:rPr>
          <w:rFonts w:asciiTheme="minorHAnsi" w:hAnsiTheme="minorHAnsi"/>
          <w:b/>
          <w:color w:val="1F497D"/>
          <w:lang w:eastAsia="en-US"/>
        </w:rPr>
        <w:t>Réponse :</w:t>
      </w:r>
      <w:r w:rsidRPr="0013487C">
        <w:rPr>
          <w:rFonts w:asciiTheme="minorHAnsi" w:hAnsiTheme="minorHAnsi"/>
          <w:color w:val="1F497D"/>
          <w:lang w:eastAsia="en-US"/>
        </w:rPr>
        <w:t xml:space="preserve"> </w:t>
      </w:r>
      <w:r w:rsidR="00037747">
        <w:rPr>
          <w:color w:val="1F497D"/>
          <w:lang w:eastAsia="en-US"/>
        </w:rPr>
        <w:t>Les OPC pourront déclarer</w:t>
      </w:r>
      <w:r w:rsidR="00037747" w:rsidRPr="00037747">
        <w:rPr>
          <w:color w:val="1F497D"/>
          <w:lang w:eastAsia="en-US"/>
        </w:rPr>
        <w:t xml:space="preserve"> </w:t>
      </w:r>
      <w:r w:rsidR="00037747">
        <w:rPr>
          <w:color w:val="1F497D"/>
          <w:lang w:eastAsia="en-US"/>
        </w:rPr>
        <w:t>leurs</w:t>
      </w:r>
      <w:r w:rsidR="00037747" w:rsidRPr="00037747">
        <w:rPr>
          <w:color w:val="1F497D"/>
          <w:lang w:eastAsia="en-US"/>
        </w:rPr>
        <w:t xml:space="preserve"> états annuels </w:t>
      </w:r>
      <w:r w:rsidR="00037747">
        <w:rPr>
          <w:color w:val="1F497D"/>
          <w:lang w:eastAsia="en-US"/>
        </w:rPr>
        <w:t>en utilisant les rubriques des</w:t>
      </w:r>
      <w:r w:rsidR="00037747" w:rsidRPr="00037747">
        <w:rPr>
          <w:color w:val="1F497D"/>
          <w:lang w:eastAsia="en-US"/>
        </w:rPr>
        <w:t xml:space="preserve"> anciens règlements comptables jusqu’à fin décembre 2025</w:t>
      </w:r>
      <w:r w:rsidR="00037747">
        <w:rPr>
          <w:color w:val="1F497D"/>
          <w:lang w:eastAsia="en-US"/>
        </w:rPr>
        <w:t xml:space="preserve"> de référence (date de clôture des comptes annuels)</w:t>
      </w:r>
      <w:r w:rsidR="00037747" w:rsidRPr="00037747">
        <w:rPr>
          <w:color w:val="1F497D"/>
          <w:lang w:eastAsia="en-US"/>
        </w:rPr>
        <w:t>.</w:t>
      </w:r>
    </w:p>
    <w:p w14:paraId="74BD85E6" w14:textId="77777777" w:rsidR="003006AB" w:rsidRDefault="003006AB" w:rsidP="003006AB">
      <w:pPr>
        <w:rPr>
          <w:color w:val="1F497D"/>
          <w:lang w:eastAsia="en-US"/>
        </w:rPr>
      </w:pPr>
    </w:p>
    <w:p w14:paraId="7D1429AC" w14:textId="77777777" w:rsidR="003006AB" w:rsidRDefault="003006AB" w:rsidP="003006AB">
      <w:pPr>
        <w:rPr>
          <w:color w:val="1F497D"/>
          <w:lang w:eastAsia="en-US"/>
        </w:rPr>
      </w:pPr>
    </w:p>
    <w:p w14:paraId="01137045" w14:textId="15A676DA" w:rsidR="00133AF8" w:rsidRPr="004C5407" w:rsidRDefault="00037747" w:rsidP="004C5407">
      <w:pPr>
        <w:pStyle w:val="Paragraphedeliste"/>
        <w:numPr>
          <w:ilvl w:val="0"/>
          <w:numId w:val="29"/>
        </w:numPr>
        <w:rPr>
          <w:rFonts w:ascii="Arial" w:hAnsi="Arial" w:cstheme="majorBidi"/>
          <w:b/>
          <w:sz w:val="20"/>
          <w:lang w:eastAsia="en-US"/>
        </w:rPr>
      </w:pPr>
      <w:r w:rsidRPr="004C5407">
        <w:rPr>
          <w:rFonts w:ascii="Arial" w:hAnsi="Arial" w:cstheme="majorBidi"/>
          <w:b/>
          <w:sz w:val="20"/>
          <w:lang w:eastAsia="en-US"/>
        </w:rPr>
        <w:t xml:space="preserve">Le calendrier </w:t>
      </w:r>
      <w:r w:rsidR="00F17665" w:rsidRPr="004C5407">
        <w:rPr>
          <w:rFonts w:ascii="Arial" w:hAnsi="Arial" w:cstheme="majorBidi"/>
          <w:b/>
          <w:sz w:val="20"/>
          <w:lang w:eastAsia="en-US"/>
        </w:rPr>
        <w:t>des remises</w:t>
      </w:r>
      <w:r w:rsidRPr="004C5407">
        <w:rPr>
          <w:rFonts w:ascii="Arial" w:hAnsi="Arial" w:cstheme="majorBidi"/>
          <w:b/>
          <w:sz w:val="20"/>
          <w:lang w:eastAsia="en-US"/>
        </w:rPr>
        <w:t xml:space="preserve"> </w:t>
      </w:r>
      <w:r w:rsidR="00F17665" w:rsidRPr="004C5407">
        <w:rPr>
          <w:rFonts w:ascii="Arial" w:hAnsi="Arial" w:cstheme="majorBidi"/>
          <w:b/>
          <w:sz w:val="20"/>
          <w:lang w:eastAsia="en-US"/>
        </w:rPr>
        <w:t>des états annuels (deadline 60</w:t>
      </w:r>
      <w:r w:rsidR="00133AF8" w:rsidRPr="004C5407">
        <w:rPr>
          <w:rFonts w:ascii="Arial" w:hAnsi="Arial" w:cstheme="majorBidi"/>
          <w:b/>
          <w:sz w:val="20"/>
          <w:lang w:eastAsia="en-US"/>
        </w:rPr>
        <w:t xml:space="preserve"> </w:t>
      </w:r>
      <w:r w:rsidR="00F17665" w:rsidRPr="004C5407">
        <w:rPr>
          <w:rFonts w:ascii="Arial" w:hAnsi="Arial" w:cstheme="majorBidi"/>
          <w:b/>
          <w:sz w:val="20"/>
          <w:lang w:eastAsia="en-US"/>
        </w:rPr>
        <w:t>JO après la date de clôture des comptes annuels) peut</w:t>
      </w:r>
      <w:r w:rsidR="00133AF8" w:rsidRPr="004C5407">
        <w:rPr>
          <w:rFonts w:ascii="Arial" w:hAnsi="Arial" w:cstheme="majorBidi"/>
          <w:b/>
          <w:sz w:val="20"/>
          <w:lang w:eastAsia="en-US"/>
        </w:rPr>
        <w:t>-il</w:t>
      </w:r>
      <w:r w:rsidR="00F17665" w:rsidRPr="004C5407">
        <w:rPr>
          <w:rFonts w:ascii="Arial" w:hAnsi="Arial" w:cstheme="majorBidi"/>
          <w:b/>
          <w:sz w:val="20"/>
          <w:lang w:eastAsia="en-US"/>
        </w:rPr>
        <w:t xml:space="preserve"> précéder dans certains cas la date de disponibilité des comptes annuels certifiés par les commissaires aux comptes</w:t>
      </w:r>
      <w:r w:rsidR="00133AF8" w:rsidRPr="004C5407">
        <w:rPr>
          <w:rFonts w:ascii="Arial" w:hAnsi="Arial" w:cstheme="majorBidi"/>
          <w:b/>
          <w:sz w:val="20"/>
          <w:lang w:eastAsia="en-US"/>
        </w:rPr>
        <w:t> ?</w:t>
      </w:r>
    </w:p>
    <w:p w14:paraId="2E2A58D8" w14:textId="77777777" w:rsidR="003006AB" w:rsidRPr="00223A8D" w:rsidRDefault="003006AB" w:rsidP="003006AB">
      <w:pPr>
        <w:rPr>
          <w:rFonts w:ascii="Arial" w:hAnsi="Arial" w:cstheme="majorBidi"/>
          <w:b/>
          <w:sz w:val="20"/>
          <w:lang w:eastAsia="en-US"/>
        </w:rPr>
      </w:pPr>
    </w:p>
    <w:p w14:paraId="3A1FE142" w14:textId="77777777" w:rsidR="003006AB" w:rsidRDefault="00037747" w:rsidP="003006AB">
      <w:pPr>
        <w:rPr>
          <w:color w:val="1F497D"/>
          <w:lang w:eastAsia="en-US"/>
        </w:rPr>
      </w:pPr>
      <w:r w:rsidRPr="0013487C">
        <w:rPr>
          <w:rFonts w:asciiTheme="minorHAnsi" w:hAnsiTheme="minorHAnsi"/>
          <w:b/>
          <w:color w:val="1F497D"/>
          <w:lang w:eastAsia="en-US"/>
        </w:rPr>
        <w:t>Réponse :</w:t>
      </w:r>
      <w:r w:rsidRPr="0013487C">
        <w:rPr>
          <w:rFonts w:asciiTheme="minorHAnsi" w:hAnsiTheme="minorHAnsi"/>
          <w:color w:val="1F497D"/>
          <w:lang w:eastAsia="en-US"/>
        </w:rPr>
        <w:t xml:space="preserve"> </w:t>
      </w:r>
      <w:r w:rsidR="00F17665">
        <w:rPr>
          <w:color w:val="1F497D"/>
          <w:lang w:eastAsia="en-US"/>
        </w:rPr>
        <w:t>L</w:t>
      </w:r>
      <w:r w:rsidRPr="00037747">
        <w:rPr>
          <w:color w:val="1F497D"/>
          <w:lang w:eastAsia="en-US"/>
        </w:rPr>
        <w:t xml:space="preserve">es délais applicables à nos remises (60 JO après la date de clôture des comptes) peuvent </w:t>
      </w:r>
      <w:r w:rsidR="00F17665">
        <w:rPr>
          <w:color w:val="1F497D"/>
          <w:lang w:eastAsia="en-US"/>
        </w:rPr>
        <w:t xml:space="preserve">effectivement </w:t>
      </w:r>
      <w:r w:rsidRPr="00037747">
        <w:rPr>
          <w:color w:val="1F497D"/>
          <w:lang w:eastAsia="en-US"/>
        </w:rPr>
        <w:t>précéder la finalisation des états annuels</w:t>
      </w:r>
      <w:r w:rsidR="000B12F2">
        <w:rPr>
          <w:color w:val="1F497D"/>
          <w:lang w:eastAsia="en-US"/>
        </w:rPr>
        <w:t xml:space="preserve"> </w:t>
      </w:r>
      <w:r w:rsidR="000D6B68">
        <w:rPr>
          <w:color w:val="1F497D"/>
          <w:lang w:eastAsia="en-US"/>
        </w:rPr>
        <w:t>validés par le Commissaire aux Comptes</w:t>
      </w:r>
      <w:r w:rsidRPr="00037747">
        <w:rPr>
          <w:color w:val="1F497D"/>
          <w:lang w:eastAsia="en-US"/>
        </w:rPr>
        <w:t xml:space="preserve">. </w:t>
      </w:r>
      <w:r w:rsidR="00F17665">
        <w:rPr>
          <w:color w:val="1F497D"/>
          <w:lang w:eastAsia="en-US"/>
        </w:rPr>
        <w:t xml:space="preserve">Ces deadlines s’appliquent quand même. </w:t>
      </w:r>
      <w:r w:rsidRPr="00037747">
        <w:rPr>
          <w:color w:val="1F497D"/>
          <w:lang w:eastAsia="en-US"/>
        </w:rPr>
        <w:t>Le cas échéant il appartient au remettant de déclarer des données ‘provisoires’ (au sens pas encore certifiés pa</w:t>
      </w:r>
      <w:r w:rsidR="00F17665">
        <w:rPr>
          <w:color w:val="1F497D"/>
          <w:lang w:eastAsia="en-US"/>
        </w:rPr>
        <w:t>r les commissaires aux comptes) et de procéder à une remise rectificative</w:t>
      </w:r>
      <w:r w:rsidR="00133AF8">
        <w:rPr>
          <w:color w:val="1F497D"/>
          <w:lang w:eastAsia="en-US"/>
        </w:rPr>
        <w:t xml:space="preserve"> dès que possible</w:t>
      </w:r>
      <w:r w:rsidR="00F17665">
        <w:rPr>
          <w:color w:val="1F497D"/>
          <w:lang w:eastAsia="en-US"/>
        </w:rPr>
        <w:t>.</w:t>
      </w:r>
    </w:p>
    <w:p w14:paraId="18BFF4C3" w14:textId="0D58680D" w:rsidR="003006AB" w:rsidRDefault="003006AB" w:rsidP="003006AB">
      <w:pPr>
        <w:rPr>
          <w:color w:val="1F497D"/>
          <w:lang w:eastAsia="en-US"/>
        </w:rPr>
      </w:pPr>
    </w:p>
    <w:p w14:paraId="6F942CFE" w14:textId="77777777" w:rsidR="004C5407" w:rsidRDefault="004C5407" w:rsidP="004C5407">
      <w:pPr>
        <w:rPr>
          <w:color w:val="1F497D"/>
          <w:lang w:eastAsia="en-US"/>
        </w:rPr>
      </w:pPr>
    </w:p>
    <w:p w14:paraId="5151B3E6" w14:textId="62CB84F3" w:rsidR="004C5407" w:rsidRPr="00A1072E" w:rsidRDefault="007F6B0E" w:rsidP="00020EA7">
      <w:pPr>
        <w:jc w:val="left"/>
        <w:outlineLvl w:val="2"/>
        <w:rPr>
          <w:rFonts w:ascii="Arial" w:hAnsi="Arial" w:cstheme="majorBidi"/>
          <w:b/>
          <w:szCs w:val="22"/>
          <w:lang w:eastAsia="en-US"/>
        </w:rPr>
      </w:pPr>
      <w:bookmarkStart w:id="4" w:name="_Toc176449272"/>
      <w:r w:rsidRPr="00A1072E">
        <w:rPr>
          <w:rFonts w:ascii="Arial" w:hAnsi="Arial" w:cstheme="majorBidi"/>
          <w:b/>
          <w:szCs w:val="22"/>
          <w:lang w:eastAsia="en-US"/>
        </w:rPr>
        <w:t xml:space="preserve">2 - </w:t>
      </w:r>
      <w:r w:rsidR="00A1072E" w:rsidRPr="00A1072E">
        <w:rPr>
          <w:rFonts w:ascii="Arial" w:hAnsi="Arial" w:cstheme="majorBidi"/>
          <w:b/>
          <w:szCs w:val="22"/>
          <w:lang w:eastAsia="en-US"/>
        </w:rPr>
        <w:t>M</w:t>
      </w:r>
      <w:r w:rsidR="004C5407" w:rsidRPr="00A1072E">
        <w:rPr>
          <w:rFonts w:ascii="Arial" w:hAnsi="Arial" w:cstheme="majorBidi"/>
          <w:b/>
          <w:szCs w:val="22"/>
          <w:lang w:eastAsia="en-US"/>
        </w:rPr>
        <w:t>essages automatiques</w:t>
      </w:r>
      <w:bookmarkEnd w:id="4"/>
    </w:p>
    <w:p w14:paraId="75A288C2" w14:textId="72AE7D98" w:rsidR="004C5407" w:rsidRDefault="004C5407" w:rsidP="003006AB">
      <w:pPr>
        <w:rPr>
          <w:rFonts w:ascii="Arial" w:eastAsiaTheme="majorEastAsia" w:hAnsi="Arial" w:cstheme="majorBidi"/>
          <w:b/>
          <w:sz w:val="20"/>
          <w:lang w:eastAsia="en-US"/>
        </w:rPr>
      </w:pPr>
    </w:p>
    <w:p w14:paraId="2B151BE4" w14:textId="77777777" w:rsidR="00A1072E" w:rsidRDefault="00A1072E" w:rsidP="003006AB">
      <w:pPr>
        <w:rPr>
          <w:rFonts w:ascii="Arial" w:eastAsiaTheme="majorEastAsia" w:hAnsi="Arial" w:cstheme="majorBidi"/>
          <w:b/>
          <w:sz w:val="20"/>
          <w:lang w:eastAsia="en-US"/>
        </w:rPr>
      </w:pPr>
    </w:p>
    <w:p w14:paraId="45D929C5" w14:textId="183CF57D" w:rsidR="00480967" w:rsidRPr="004C5407" w:rsidRDefault="00480967" w:rsidP="004C5407">
      <w:pPr>
        <w:pStyle w:val="Paragraphedeliste"/>
        <w:numPr>
          <w:ilvl w:val="0"/>
          <w:numId w:val="29"/>
        </w:numPr>
        <w:rPr>
          <w:rFonts w:ascii="Arial" w:hAnsi="Arial" w:cstheme="majorBidi"/>
          <w:b/>
          <w:sz w:val="20"/>
          <w:lang w:eastAsia="en-US"/>
        </w:rPr>
      </w:pPr>
      <w:r w:rsidRPr="004C5407">
        <w:rPr>
          <w:rFonts w:ascii="Arial" w:eastAsiaTheme="majorEastAsia" w:hAnsi="Arial" w:cstheme="majorBidi"/>
          <w:b/>
          <w:sz w:val="20"/>
          <w:lang w:eastAsia="en-US"/>
        </w:rPr>
        <w:t>Es</w:t>
      </w:r>
      <w:r w:rsidRPr="004C5407">
        <w:rPr>
          <w:rFonts w:ascii="Arial" w:hAnsi="Arial" w:cstheme="majorBidi"/>
          <w:b/>
          <w:sz w:val="20"/>
          <w:lang w:eastAsia="en-US"/>
        </w:rPr>
        <w:t xml:space="preserve">t-ce que nous allons recevoir des mails automatiques </w:t>
      </w:r>
      <w:r w:rsidR="00291314" w:rsidRPr="004C5407">
        <w:rPr>
          <w:rFonts w:ascii="Arial" w:hAnsi="Arial" w:cstheme="majorBidi"/>
          <w:b/>
          <w:sz w:val="20"/>
          <w:lang w:eastAsia="en-US"/>
        </w:rPr>
        <w:t>pour l</w:t>
      </w:r>
      <w:r w:rsidRPr="004C5407">
        <w:rPr>
          <w:rFonts w:ascii="Arial" w:hAnsi="Arial" w:cstheme="majorBidi"/>
          <w:b/>
          <w:sz w:val="20"/>
          <w:lang w:eastAsia="en-US"/>
        </w:rPr>
        <w:t xml:space="preserve">es fonds attendus </w:t>
      </w:r>
      <w:r w:rsidR="00291314" w:rsidRPr="004C5407">
        <w:rPr>
          <w:rFonts w:ascii="Arial" w:hAnsi="Arial" w:cstheme="majorBidi"/>
          <w:b/>
          <w:sz w:val="20"/>
          <w:lang w:eastAsia="en-US"/>
        </w:rPr>
        <w:t>de</w:t>
      </w:r>
      <w:r w:rsidRPr="004C5407">
        <w:rPr>
          <w:rFonts w:ascii="Arial" w:hAnsi="Arial" w:cstheme="majorBidi"/>
          <w:b/>
          <w:sz w:val="20"/>
          <w:lang w:eastAsia="en-US"/>
        </w:rPr>
        <w:t xml:space="preserve"> la collecte annuelle comme pour les collectes périodiques ?</w:t>
      </w:r>
    </w:p>
    <w:p w14:paraId="70AEC6DE" w14:textId="77777777" w:rsidR="003006AB" w:rsidRPr="00223A8D" w:rsidRDefault="003006AB" w:rsidP="003006AB">
      <w:pPr>
        <w:rPr>
          <w:rFonts w:ascii="Arial" w:hAnsi="Arial" w:cstheme="majorBidi"/>
          <w:b/>
          <w:sz w:val="20"/>
          <w:lang w:eastAsia="en-US"/>
        </w:rPr>
      </w:pPr>
    </w:p>
    <w:p w14:paraId="4415101F" w14:textId="77777777" w:rsidR="00E075EB" w:rsidRDefault="00480967" w:rsidP="00E075EB">
      <w:pPr>
        <w:rPr>
          <w:color w:val="1F497D"/>
          <w:lang w:eastAsia="en-US"/>
        </w:rPr>
      </w:pPr>
      <w:r w:rsidRPr="008A450F">
        <w:rPr>
          <w:rFonts w:asciiTheme="minorHAnsi" w:hAnsiTheme="minorHAnsi"/>
          <w:b/>
          <w:color w:val="1F497D"/>
          <w:lang w:eastAsia="en-US"/>
        </w:rPr>
        <w:t xml:space="preserve">Réponse : </w:t>
      </w:r>
      <w:r w:rsidRPr="008A450F">
        <w:rPr>
          <w:color w:val="1F497D"/>
          <w:lang w:eastAsia="en-US"/>
        </w:rPr>
        <w:t>Non, vous ne recevrez pas de mai</w:t>
      </w:r>
      <w:r w:rsidR="00291314" w:rsidRPr="008A450F">
        <w:rPr>
          <w:color w:val="1F497D"/>
          <w:lang w:eastAsia="en-US"/>
        </w:rPr>
        <w:t>l</w:t>
      </w:r>
      <w:r w:rsidRPr="008A450F">
        <w:rPr>
          <w:color w:val="1F497D"/>
          <w:lang w:eastAsia="en-US"/>
        </w:rPr>
        <w:t xml:space="preserve">s des attendus car pour le moment </w:t>
      </w:r>
      <w:r w:rsidR="00291314" w:rsidRPr="008A450F">
        <w:rPr>
          <w:color w:val="1F497D"/>
          <w:lang w:eastAsia="en-US"/>
        </w:rPr>
        <w:t>l’AMF ne</w:t>
      </w:r>
      <w:r w:rsidR="00133AF8" w:rsidRPr="008A450F">
        <w:rPr>
          <w:color w:val="1F497D"/>
          <w:lang w:eastAsia="en-US"/>
        </w:rPr>
        <w:t xml:space="preserve"> </w:t>
      </w:r>
      <w:r w:rsidR="00291314" w:rsidRPr="008A450F">
        <w:rPr>
          <w:color w:val="1F497D"/>
          <w:lang w:eastAsia="en-US"/>
        </w:rPr>
        <w:t xml:space="preserve">nous envoie </w:t>
      </w:r>
      <w:r w:rsidRPr="008A450F">
        <w:rPr>
          <w:color w:val="1F497D"/>
          <w:lang w:eastAsia="en-US"/>
        </w:rPr>
        <w:t>pas les dates de clôture d’exercice des fonds. Nous pouvons vous fournir une liste de fonds mais il faudra faire le tri de votre côté en fonction des dates de clôture de chacun.</w:t>
      </w:r>
    </w:p>
    <w:p w14:paraId="5B667787" w14:textId="17FE2A8B" w:rsidR="00E075EB" w:rsidRDefault="00E075EB" w:rsidP="00E075EB">
      <w:pPr>
        <w:rPr>
          <w:color w:val="1F497D"/>
          <w:lang w:eastAsia="en-US"/>
        </w:rPr>
      </w:pPr>
    </w:p>
    <w:p w14:paraId="0CB2DAC2" w14:textId="77777777" w:rsidR="009B0F87" w:rsidRDefault="009B0F87" w:rsidP="00E075EB">
      <w:pPr>
        <w:rPr>
          <w:color w:val="1F497D"/>
          <w:lang w:eastAsia="en-US"/>
        </w:rPr>
      </w:pPr>
    </w:p>
    <w:p w14:paraId="61F8C83A" w14:textId="68D4B06A" w:rsidR="00480967" w:rsidRPr="004C5407" w:rsidRDefault="00480967" w:rsidP="004C5407">
      <w:pPr>
        <w:pStyle w:val="Paragraphedeliste"/>
        <w:numPr>
          <w:ilvl w:val="0"/>
          <w:numId w:val="29"/>
        </w:numPr>
        <w:rPr>
          <w:rFonts w:ascii="Arial" w:hAnsi="Arial" w:cstheme="majorBidi"/>
          <w:b/>
          <w:sz w:val="20"/>
          <w:lang w:eastAsia="en-US"/>
        </w:rPr>
      </w:pPr>
      <w:r w:rsidRPr="004C5407">
        <w:rPr>
          <w:rFonts w:ascii="Arial" w:hAnsi="Arial" w:cstheme="majorBidi"/>
          <w:b/>
          <w:sz w:val="20"/>
          <w:lang w:eastAsia="en-US"/>
        </w:rPr>
        <w:t>Est-ce que nous allons recevoir une extraction automatique pour nous donner l’état de validation de nos fonds ?</w:t>
      </w:r>
    </w:p>
    <w:p w14:paraId="4280B09F" w14:textId="77777777" w:rsidR="00E075EB" w:rsidRPr="00223A8D" w:rsidRDefault="00E075EB" w:rsidP="00E075EB">
      <w:pPr>
        <w:rPr>
          <w:rFonts w:ascii="Arial" w:hAnsi="Arial" w:cstheme="majorBidi"/>
          <w:b/>
          <w:sz w:val="20"/>
          <w:lang w:eastAsia="en-US"/>
        </w:rPr>
      </w:pPr>
    </w:p>
    <w:p w14:paraId="20264BF0" w14:textId="44A558EA" w:rsidR="00480967" w:rsidRPr="008A450F" w:rsidRDefault="00480967" w:rsidP="00480967">
      <w:pPr>
        <w:rPr>
          <w:color w:val="1F497D"/>
          <w:lang w:eastAsia="en-US"/>
        </w:rPr>
      </w:pPr>
      <w:r w:rsidRPr="009B0F87">
        <w:rPr>
          <w:rFonts w:asciiTheme="minorHAnsi" w:hAnsiTheme="minorHAnsi"/>
          <w:b/>
          <w:color w:val="1F497D"/>
          <w:lang w:eastAsia="en-US"/>
        </w:rPr>
        <w:t>Réponse :</w:t>
      </w:r>
      <w:r w:rsidRPr="008B5449">
        <w:rPr>
          <w:rFonts w:ascii="Arial" w:hAnsi="Arial" w:cs="Arial"/>
          <w:color w:val="2F5496"/>
          <w:sz w:val="20"/>
        </w:rPr>
        <w:t xml:space="preserve"> </w:t>
      </w:r>
      <w:r w:rsidRPr="008A450F">
        <w:rPr>
          <w:color w:val="1F497D"/>
          <w:lang w:eastAsia="en-US"/>
        </w:rPr>
        <w:t xml:space="preserve">Non, vous ne recevrez pas d’état de validation automatique pour les </w:t>
      </w:r>
      <w:r w:rsidR="00291314" w:rsidRPr="008A450F">
        <w:rPr>
          <w:color w:val="1F497D"/>
          <w:lang w:eastAsia="en-US"/>
        </w:rPr>
        <w:t xml:space="preserve">remises </w:t>
      </w:r>
      <w:r w:rsidRPr="008A450F">
        <w:rPr>
          <w:color w:val="1F497D"/>
          <w:lang w:eastAsia="en-US"/>
        </w:rPr>
        <w:t>annuelles.</w:t>
      </w:r>
    </w:p>
    <w:p w14:paraId="2564A57A" w14:textId="23E07225" w:rsidR="00E075EB" w:rsidRDefault="00480967" w:rsidP="00E075EB">
      <w:pPr>
        <w:rPr>
          <w:color w:val="1F497D"/>
          <w:lang w:eastAsia="en-US"/>
        </w:rPr>
      </w:pPr>
      <w:r w:rsidRPr="008A450F">
        <w:rPr>
          <w:color w:val="1F497D"/>
          <w:lang w:eastAsia="en-US"/>
        </w:rPr>
        <w:t>Nous pouvons vous en fournir sur demande.</w:t>
      </w:r>
    </w:p>
    <w:p w14:paraId="7487A8D7" w14:textId="156B9E59" w:rsidR="007F6B0E" w:rsidRDefault="007F6B0E" w:rsidP="00E075EB">
      <w:pPr>
        <w:rPr>
          <w:color w:val="1F497D"/>
          <w:lang w:eastAsia="en-US"/>
        </w:rPr>
      </w:pPr>
    </w:p>
    <w:p w14:paraId="5CA66EC2" w14:textId="77777777" w:rsidR="00F319B0" w:rsidRDefault="00F319B0" w:rsidP="00E075EB">
      <w:pPr>
        <w:rPr>
          <w:color w:val="1F497D"/>
          <w:lang w:eastAsia="en-US"/>
        </w:rPr>
      </w:pPr>
    </w:p>
    <w:p w14:paraId="19D6DB95" w14:textId="634A14AC" w:rsidR="007F6B0E" w:rsidRPr="00A1072E" w:rsidRDefault="007F6B0E" w:rsidP="00020EA7">
      <w:pPr>
        <w:jc w:val="left"/>
        <w:outlineLvl w:val="2"/>
        <w:rPr>
          <w:rFonts w:ascii="Arial" w:hAnsi="Arial" w:cstheme="majorBidi"/>
          <w:b/>
          <w:szCs w:val="22"/>
          <w:lang w:eastAsia="en-US"/>
        </w:rPr>
      </w:pPr>
      <w:bookmarkStart w:id="5" w:name="_Toc176449273"/>
      <w:r w:rsidRPr="00A1072E">
        <w:rPr>
          <w:rFonts w:ascii="Arial" w:hAnsi="Arial" w:cstheme="majorBidi"/>
          <w:b/>
          <w:szCs w:val="22"/>
          <w:lang w:eastAsia="en-US"/>
        </w:rPr>
        <w:t xml:space="preserve">3 </w:t>
      </w:r>
      <w:r w:rsidR="00264C88" w:rsidRPr="00A1072E">
        <w:rPr>
          <w:rFonts w:ascii="Arial" w:hAnsi="Arial" w:cstheme="majorBidi"/>
          <w:b/>
          <w:szCs w:val="22"/>
          <w:lang w:eastAsia="en-US"/>
        </w:rPr>
        <w:t>–</w:t>
      </w:r>
      <w:r w:rsidRPr="00A1072E">
        <w:rPr>
          <w:rFonts w:ascii="Arial" w:hAnsi="Arial" w:cstheme="majorBidi"/>
          <w:b/>
          <w:szCs w:val="22"/>
          <w:lang w:eastAsia="en-US"/>
        </w:rPr>
        <w:t xml:space="preserve"> </w:t>
      </w:r>
      <w:r w:rsidR="00A1072E" w:rsidRPr="00A1072E">
        <w:rPr>
          <w:rFonts w:ascii="Arial" w:hAnsi="Arial" w:cstheme="majorBidi"/>
          <w:b/>
          <w:szCs w:val="22"/>
          <w:lang w:eastAsia="en-US"/>
        </w:rPr>
        <w:t>Divers</w:t>
      </w:r>
      <w:bookmarkEnd w:id="5"/>
    </w:p>
    <w:p w14:paraId="7D6BC0D9" w14:textId="08ACD367" w:rsidR="007F6B0E" w:rsidRDefault="007F6B0E" w:rsidP="00E075EB">
      <w:pPr>
        <w:rPr>
          <w:color w:val="1F497D"/>
          <w:lang w:eastAsia="en-US"/>
        </w:rPr>
      </w:pPr>
    </w:p>
    <w:p w14:paraId="6936D295" w14:textId="77777777" w:rsidR="00A1072E" w:rsidRDefault="00A1072E" w:rsidP="00E075EB">
      <w:pPr>
        <w:rPr>
          <w:color w:val="1F497D"/>
          <w:lang w:eastAsia="en-US"/>
        </w:rPr>
      </w:pPr>
    </w:p>
    <w:p w14:paraId="41DC5167" w14:textId="77777777" w:rsidR="007F6B0E" w:rsidRPr="004C5407" w:rsidRDefault="007F6B0E" w:rsidP="007F6B0E">
      <w:pPr>
        <w:pStyle w:val="Paragraphedeliste"/>
        <w:numPr>
          <w:ilvl w:val="0"/>
          <w:numId w:val="29"/>
        </w:numPr>
        <w:rPr>
          <w:rFonts w:ascii="Arial" w:hAnsi="Arial" w:cstheme="majorBidi"/>
          <w:b/>
          <w:sz w:val="20"/>
          <w:lang w:eastAsia="en-US"/>
        </w:rPr>
      </w:pPr>
      <w:r w:rsidRPr="004C5407">
        <w:rPr>
          <w:rFonts w:ascii="Arial" w:hAnsi="Arial" w:cstheme="majorBidi"/>
          <w:b/>
          <w:sz w:val="20"/>
          <w:lang w:eastAsia="en-US"/>
        </w:rPr>
        <w:t>Les rubriques de la remise des états annuels via OPC sont-elles alignées sur les concepts comptables ?</w:t>
      </w:r>
    </w:p>
    <w:p w14:paraId="3C2BAFBD" w14:textId="77777777" w:rsidR="007F6B0E" w:rsidRPr="00223A8D" w:rsidRDefault="007F6B0E" w:rsidP="007F6B0E">
      <w:pPr>
        <w:rPr>
          <w:rFonts w:ascii="Arial" w:hAnsi="Arial" w:cstheme="majorBidi"/>
          <w:b/>
          <w:sz w:val="20"/>
          <w:lang w:eastAsia="en-US"/>
        </w:rPr>
      </w:pPr>
    </w:p>
    <w:p w14:paraId="7301BEE6" w14:textId="77777777" w:rsidR="007F6B0E" w:rsidRDefault="007F6B0E" w:rsidP="007F6B0E">
      <w:pPr>
        <w:rPr>
          <w:color w:val="1F497D"/>
          <w:lang w:eastAsia="en-US"/>
        </w:rPr>
      </w:pPr>
      <w:r w:rsidRPr="0013487C">
        <w:rPr>
          <w:rFonts w:asciiTheme="minorHAnsi" w:hAnsiTheme="minorHAnsi"/>
          <w:b/>
          <w:color w:val="1F497D"/>
          <w:lang w:eastAsia="en-US"/>
        </w:rPr>
        <w:t>Réponse :</w:t>
      </w:r>
      <w:r w:rsidRPr="0013487C">
        <w:rPr>
          <w:rFonts w:asciiTheme="minorHAnsi" w:hAnsiTheme="minorHAnsi"/>
          <w:color w:val="1F497D"/>
          <w:lang w:eastAsia="en-US"/>
        </w:rPr>
        <w:t xml:space="preserve"> </w:t>
      </w:r>
      <w:r>
        <w:rPr>
          <w:color w:val="1F497D"/>
          <w:lang w:eastAsia="en-US"/>
        </w:rPr>
        <w:t>L</w:t>
      </w:r>
      <w:r w:rsidRPr="00037747">
        <w:rPr>
          <w:color w:val="1F497D"/>
          <w:lang w:eastAsia="en-US"/>
        </w:rPr>
        <w:t xml:space="preserve">e projet de refonte de la collecte annuelle a été conçu de manière à ce que les rubriques collectées au titre de notre collecte correspondent aux concepts des états annuels officiels. </w:t>
      </w:r>
      <w:r>
        <w:rPr>
          <w:color w:val="1F497D"/>
          <w:lang w:eastAsia="en-US"/>
        </w:rPr>
        <w:t>Les concepts doivent normalement être alignés.</w:t>
      </w:r>
    </w:p>
    <w:p w14:paraId="04BC4483" w14:textId="77777777" w:rsidR="007F6B0E" w:rsidRDefault="007F6B0E" w:rsidP="00E075EB">
      <w:pPr>
        <w:rPr>
          <w:color w:val="1F497D"/>
          <w:lang w:eastAsia="en-US"/>
        </w:rPr>
      </w:pPr>
    </w:p>
    <w:p w14:paraId="3582F954" w14:textId="77777777" w:rsidR="00A44BB4" w:rsidRDefault="00A44BB4">
      <w:pPr>
        <w:jc w:val="left"/>
        <w:rPr>
          <w:color w:val="1F497D"/>
          <w:lang w:eastAsia="en-US"/>
        </w:rPr>
      </w:pPr>
      <w:r>
        <w:rPr>
          <w:color w:val="1F497D"/>
          <w:lang w:eastAsia="en-US"/>
        </w:rPr>
        <w:br w:type="page"/>
      </w:r>
    </w:p>
    <w:p w14:paraId="33764D6F" w14:textId="1FDB8159" w:rsidR="00E075EB" w:rsidRPr="00A44BB4" w:rsidRDefault="00E075EB" w:rsidP="00A44BB4">
      <w:pPr>
        <w:rPr>
          <w:color w:val="1F497D"/>
          <w:lang w:eastAsia="en-US"/>
        </w:rPr>
      </w:pPr>
    </w:p>
    <w:p w14:paraId="2052A802" w14:textId="1D774DCC" w:rsidR="000B2F99" w:rsidRPr="00020EA7" w:rsidRDefault="00020EA7" w:rsidP="00085E81">
      <w:pPr>
        <w:jc w:val="left"/>
        <w:outlineLvl w:val="1"/>
        <w:rPr>
          <w:rFonts w:ascii="Arial" w:hAnsi="Arial" w:cs="Arial"/>
          <w:b/>
          <w:color w:val="1F497D"/>
          <w:sz w:val="24"/>
          <w:szCs w:val="24"/>
          <w:lang w:eastAsia="en-US"/>
        </w:rPr>
      </w:pPr>
      <w:bookmarkStart w:id="6" w:name="_Toc176449274"/>
      <w:r>
        <w:rPr>
          <w:rFonts w:ascii="Arial" w:hAnsi="Arial" w:cs="Arial"/>
          <w:b/>
          <w:color w:val="1F497D"/>
          <w:sz w:val="24"/>
          <w:szCs w:val="24"/>
          <w:lang w:eastAsia="en-US"/>
        </w:rPr>
        <w:t xml:space="preserve">B - </w:t>
      </w:r>
      <w:r w:rsidR="00A1072E" w:rsidRPr="00020EA7">
        <w:rPr>
          <w:rFonts w:ascii="Arial" w:hAnsi="Arial" w:cs="Arial"/>
          <w:b/>
          <w:color w:val="1F497D"/>
          <w:sz w:val="24"/>
          <w:szCs w:val="24"/>
          <w:lang w:eastAsia="en-US"/>
        </w:rPr>
        <w:t>Questions à propos des m</w:t>
      </w:r>
      <w:r w:rsidR="00037747" w:rsidRPr="00020EA7">
        <w:rPr>
          <w:rFonts w:ascii="Arial" w:hAnsi="Arial" w:cs="Arial"/>
          <w:b/>
          <w:color w:val="1F497D"/>
          <w:sz w:val="24"/>
          <w:szCs w:val="24"/>
          <w:lang w:eastAsia="en-US"/>
        </w:rPr>
        <w:t>odalités de déclarations de certaines rubriques</w:t>
      </w:r>
      <w:bookmarkEnd w:id="6"/>
    </w:p>
    <w:p w14:paraId="17B61745" w14:textId="68F43D26" w:rsidR="000B2F99" w:rsidRDefault="000B2F99" w:rsidP="000B2F99">
      <w:pPr>
        <w:jc w:val="left"/>
        <w:rPr>
          <w:rFonts w:ascii="Arial" w:hAnsi="Arial" w:cs="Arial"/>
          <w:b/>
          <w:color w:val="1F497D"/>
          <w:sz w:val="28"/>
          <w:szCs w:val="28"/>
          <w:lang w:eastAsia="en-US"/>
        </w:rPr>
      </w:pPr>
    </w:p>
    <w:p w14:paraId="7CDAB7B6" w14:textId="77777777" w:rsidR="00A1072E" w:rsidRDefault="00A1072E" w:rsidP="000B2F99">
      <w:pPr>
        <w:jc w:val="left"/>
        <w:rPr>
          <w:rFonts w:ascii="Arial" w:hAnsi="Arial" w:cs="Arial"/>
          <w:b/>
          <w:color w:val="1F497D"/>
          <w:sz w:val="28"/>
          <w:szCs w:val="28"/>
          <w:lang w:eastAsia="en-US"/>
        </w:rPr>
      </w:pPr>
    </w:p>
    <w:p w14:paraId="177EE9CD" w14:textId="2DDB86D9" w:rsidR="00F319B0" w:rsidRDefault="00F319B0" w:rsidP="00085E81">
      <w:pPr>
        <w:jc w:val="left"/>
        <w:outlineLvl w:val="2"/>
        <w:rPr>
          <w:rFonts w:ascii="Arial" w:hAnsi="Arial" w:cstheme="majorBidi"/>
          <w:b/>
          <w:szCs w:val="22"/>
          <w:lang w:eastAsia="en-US"/>
        </w:rPr>
      </w:pPr>
      <w:bookmarkStart w:id="7" w:name="_Toc176449275"/>
      <w:r w:rsidRPr="00A1072E">
        <w:rPr>
          <w:rFonts w:ascii="Arial" w:hAnsi="Arial" w:cstheme="majorBidi"/>
          <w:b/>
          <w:szCs w:val="22"/>
          <w:lang w:eastAsia="en-US"/>
        </w:rPr>
        <w:t xml:space="preserve">1 - </w:t>
      </w:r>
      <w:r w:rsidR="00A1072E" w:rsidRPr="00A1072E">
        <w:rPr>
          <w:rFonts w:ascii="Arial" w:hAnsi="Arial" w:cstheme="majorBidi"/>
          <w:b/>
          <w:szCs w:val="22"/>
          <w:lang w:eastAsia="en-US"/>
        </w:rPr>
        <w:t>R</w:t>
      </w:r>
      <w:r w:rsidRPr="00A1072E">
        <w:rPr>
          <w:rFonts w:ascii="Arial" w:hAnsi="Arial" w:cstheme="majorBidi"/>
          <w:b/>
          <w:szCs w:val="22"/>
          <w:lang w:eastAsia="en-US"/>
        </w:rPr>
        <w:t>ubrique « Charges </w:t>
      </w:r>
      <w:r w:rsidR="00C177BD">
        <w:rPr>
          <w:rFonts w:ascii="Arial" w:hAnsi="Arial" w:cstheme="majorBidi"/>
          <w:b/>
          <w:szCs w:val="22"/>
          <w:lang w:eastAsia="en-US"/>
        </w:rPr>
        <w:t xml:space="preserve">et Produits </w:t>
      </w:r>
      <w:r w:rsidRPr="00A1072E">
        <w:rPr>
          <w:rFonts w:ascii="Arial" w:hAnsi="Arial" w:cstheme="majorBidi"/>
          <w:b/>
          <w:szCs w:val="22"/>
          <w:lang w:eastAsia="en-US"/>
        </w:rPr>
        <w:t>»</w:t>
      </w:r>
      <w:bookmarkEnd w:id="7"/>
    </w:p>
    <w:p w14:paraId="59D106AD" w14:textId="77777777" w:rsidR="00C177BD" w:rsidRPr="00A1072E" w:rsidRDefault="00C177BD" w:rsidP="00264C88">
      <w:pPr>
        <w:jc w:val="left"/>
        <w:outlineLvl w:val="1"/>
        <w:rPr>
          <w:rFonts w:ascii="Arial" w:hAnsi="Arial" w:cstheme="majorBidi"/>
          <w:b/>
          <w:szCs w:val="22"/>
          <w:lang w:eastAsia="en-US"/>
        </w:rPr>
      </w:pPr>
    </w:p>
    <w:p w14:paraId="7ADC185D" w14:textId="77777777" w:rsidR="00F319B0" w:rsidRPr="009B0F87" w:rsidRDefault="00F319B0" w:rsidP="00F319B0">
      <w:pPr>
        <w:rPr>
          <w:color w:val="1F497D"/>
          <w:lang w:eastAsia="en-US"/>
        </w:rPr>
      </w:pPr>
    </w:p>
    <w:p w14:paraId="689F9F25" w14:textId="77777777" w:rsidR="00F319B0" w:rsidRPr="00A44BB4" w:rsidRDefault="00F319B0" w:rsidP="00F319B0">
      <w:pPr>
        <w:pStyle w:val="Paragraphedeliste"/>
        <w:numPr>
          <w:ilvl w:val="0"/>
          <w:numId w:val="29"/>
        </w:numPr>
        <w:jc w:val="left"/>
        <w:rPr>
          <w:rFonts w:ascii="Arial" w:eastAsiaTheme="majorEastAsia" w:hAnsi="Arial" w:cstheme="majorBidi"/>
          <w:b/>
          <w:sz w:val="20"/>
          <w:lang w:eastAsia="en-US"/>
        </w:rPr>
      </w:pPr>
      <w:r w:rsidRPr="00A44BB4">
        <w:rPr>
          <w:rFonts w:ascii="Arial" w:eastAsiaTheme="majorEastAsia" w:hAnsi="Arial" w:cstheme="majorBidi"/>
          <w:b/>
          <w:sz w:val="20"/>
          <w:lang w:eastAsia="en-US"/>
        </w:rPr>
        <w:t>Concernant la déclaration des SCPI, quelle est la différence entre le code rubrique « frais de gestion » et « frais d’exploitation » dans le tableau des Charges ? : Faut-il indiquer les charges facturées par la société de gestion en frais de gestion ? et les autres charges qui ne sont pas immobilières en frais d’exploitation ?</w:t>
      </w:r>
    </w:p>
    <w:p w14:paraId="4EA935EB" w14:textId="77777777" w:rsidR="00F319B0" w:rsidRPr="000B2F99" w:rsidRDefault="00F319B0" w:rsidP="00F319B0">
      <w:pPr>
        <w:jc w:val="left"/>
        <w:rPr>
          <w:rFonts w:ascii="Arial" w:eastAsiaTheme="majorEastAsia" w:hAnsi="Arial" w:cstheme="majorBidi"/>
          <w:b/>
          <w:sz w:val="20"/>
          <w:lang w:eastAsia="en-US"/>
        </w:rPr>
      </w:pPr>
    </w:p>
    <w:p w14:paraId="4C864C4A" w14:textId="7BDE0953" w:rsidR="00F319B0" w:rsidRDefault="00F319B0" w:rsidP="00F319B0">
      <w:pPr>
        <w:rPr>
          <w:color w:val="1F497D"/>
          <w:lang w:eastAsia="en-US"/>
        </w:rPr>
      </w:pPr>
      <w:r w:rsidRPr="009B0F87">
        <w:rPr>
          <w:rFonts w:asciiTheme="minorHAnsi" w:hAnsiTheme="minorHAnsi"/>
          <w:b/>
          <w:color w:val="1F497D"/>
          <w:lang w:eastAsia="en-US"/>
        </w:rPr>
        <w:t>Réponse :</w:t>
      </w:r>
      <w:r w:rsidRPr="000B12F2">
        <w:rPr>
          <w:rFonts w:ascii="Arial" w:hAnsi="Arial" w:cs="Arial"/>
          <w:color w:val="1F497D"/>
          <w:sz w:val="20"/>
        </w:rPr>
        <w:t xml:space="preserve"> </w:t>
      </w:r>
      <w:r w:rsidRPr="009B0F87">
        <w:rPr>
          <w:color w:val="1F497D"/>
          <w:lang w:eastAsia="en-US"/>
        </w:rPr>
        <w:t>OUI, pour les 2 questions</w:t>
      </w:r>
    </w:p>
    <w:p w14:paraId="10189DFB" w14:textId="1DEFB780" w:rsidR="00C177BD" w:rsidRDefault="00C177BD" w:rsidP="00F319B0">
      <w:pPr>
        <w:rPr>
          <w:color w:val="1F497D"/>
          <w:lang w:eastAsia="en-US"/>
        </w:rPr>
      </w:pPr>
    </w:p>
    <w:p w14:paraId="105F6AFE" w14:textId="77777777" w:rsidR="00C177BD" w:rsidRPr="009B0F87" w:rsidRDefault="00C177BD" w:rsidP="00F319B0">
      <w:pPr>
        <w:rPr>
          <w:color w:val="1F497D"/>
          <w:lang w:eastAsia="en-US"/>
        </w:rPr>
      </w:pPr>
    </w:p>
    <w:p w14:paraId="778BB2D4" w14:textId="77777777" w:rsidR="00C177BD" w:rsidRPr="00A44BB4" w:rsidRDefault="00C177BD" w:rsidP="00C177BD">
      <w:pPr>
        <w:pStyle w:val="Paragraphedeliste"/>
        <w:numPr>
          <w:ilvl w:val="0"/>
          <w:numId w:val="29"/>
        </w:numPr>
        <w:jc w:val="left"/>
        <w:rPr>
          <w:rFonts w:ascii="Arial" w:eastAsiaTheme="majorEastAsia" w:hAnsi="Arial" w:cstheme="majorBidi"/>
          <w:b/>
          <w:sz w:val="20"/>
          <w:lang w:eastAsia="en-US"/>
        </w:rPr>
      </w:pPr>
      <w:r w:rsidRPr="00A44BB4">
        <w:rPr>
          <w:rFonts w:ascii="Arial" w:eastAsiaTheme="majorEastAsia" w:hAnsi="Arial" w:cstheme="majorBidi"/>
          <w:b/>
          <w:sz w:val="20"/>
          <w:lang w:eastAsia="en-US"/>
        </w:rPr>
        <w:t xml:space="preserve">Comment se calcule la rubrique « 115P - Variation des plus ou moins-values latentes </w:t>
      </w:r>
      <w:proofErr w:type="spellStart"/>
      <w:r w:rsidRPr="00A44BB4">
        <w:rPr>
          <w:rFonts w:ascii="Arial" w:eastAsiaTheme="majorEastAsia" w:hAnsi="Arial" w:cstheme="majorBidi"/>
          <w:b/>
          <w:sz w:val="20"/>
          <w:lang w:eastAsia="en-US"/>
        </w:rPr>
        <w:t>yc</w:t>
      </w:r>
      <w:proofErr w:type="spellEnd"/>
      <w:r w:rsidRPr="00A44BB4">
        <w:rPr>
          <w:rFonts w:ascii="Arial" w:eastAsiaTheme="majorEastAsia" w:hAnsi="Arial" w:cstheme="majorBidi"/>
          <w:b/>
          <w:sz w:val="20"/>
          <w:lang w:eastAsia="en-US"/>
        </w:rPr>
        <w:t xml:space="preserve"> les écarts de change sur les actifs éligibles » ?</w:t>
      </w:r>
    </w:p>
    <w:p w14:paraId="455853F2" w14:textId="77777777" w:rsidR="00C177BD" w:rsidRPr="000B2F99" w:rsidRDefault="00C177BD" w:rsidP="00C177BD">
      <w:pPr>
        <w:jc w:val="left"/>
        <w:rPr>
          <w:rFonts w:ascii="Arial" w:eastAsiaTheme="majorEastAsia" w:hAnsi="Arial" w:cstheme="majorBidi"/>
          <w:b/>
          <w:sz w:val="20"/>
          <w:lang w:eastAsia="en-US"/>
        </w:rPr>
      </w:pPr>
    </w:p>
    <w:p w14:paraId="6899382A" w14:textId="77777777" w:rsidR="00C177BD" w:rsidRPr="00037747" w:rsidRDefault="00C177BD" w:rsidP="00C177BD">
      <w:pPr>
        <w:rPr>
          <w:color w:val="1F497D"/>
          <w:lang w:eastAsia="en-US"/>
        </w:rPr>
      </w:pPr>
      <w:r w:rsidRPr="0013487C">
        <w:rPr>
          <w:rFonts w:asciiTheme="minorHAnsi" w:hAnsiTheme="minorHAnsi"/>
          <w:b/>
          <w:color w:val="1F497D"/>
          <w:lang w:eastAsia="en-US"/>
        </w:rPr>
        <w:t>Réponse :</w:t>
      </w:r>
      <w:r w:rsidRPr="0013487C">
        <w:rPr>
          <w:rFonts w:asciiTheme="minorHAnsi" w:hAnsiTheme="minorHAnsi"/>
          <w:color w:val="1F497D"/>
          <w:lang w:eastAsia="en-US"/>
        </w:rPr>
        <w:t xml:space="preserve"> </w:t>
      </w:r>
      <w:r w:rsidRPr="009B0F87">
        <w:rPr>
          <w:color w:val="1F497D"/>
          <w:lang w:eastAsia="en-US"/>
        </w:rPr>
        <w:t>L</w:t>
      </w:r>
      <w:r w:rsidRPr="00037747">
        <w:rPr>
          <w:color w:val="1F497D"/>
          <w:lang w:eastAsia="en-US"/>
        </w:rPr>
        <w:t>e but est de déclarer ici la variation des plus ou moins-values latentes</w:t>
      </w:r>
      <w:r>
        <w:rPr>
          <w:color w:val="1F497D"/>
          <w:lang w:eastAsia="en-US"/>
        </w:rPr>
        <w:t xml:space="preserve"> sur l’exercice</w:t>
      </w:r>
      <w:r w:rsidRPr="00037747">
        <w:rPr>
          <w:color w:val="1F497D"/>
          <w:lang w:eastAsia="en-US"/>
        </w:rPr>
        <w:t xml:space="preserve">, de manière cohérente (en termes de concepts) avec ce qui doit être publié dans les états annuels. </w:t>
      </w:r>
    </w:p>
    <w:p w14:paraId="590C8783" w14:textId="77777777" w:rsidR="00C177BD" w:rsidRDefault="00C177BD" w:rsidP="00C177BD">
      <w:pPr>
        <w:rPr>
          <w:color w:val="1F497D"/>
          <w:lang w:eastAsia="en-US"/>
        </w:rPr>
      </w:pPr>
      <w:r>
        <w:rPr>
          <w:color w:val="1F497D"/>
          <w:lang w:eastAsia="en-US"/>
        </w:rPr>
        <w:t>Par conséquent, l</w:t>
      </w:r>
      <w:r w:rsidRPr="00037747">
        <w:rPr>
          <w:color w:val="1F497D"/>
          <w:lang w:eastAsia="en-US"/>
        </w:rPr>
        <w:t>a rubrique 115P s’obtient en faisant la différence entre la situation des plus ou moins-values latentes en fin d’exercice (compte 755) et celle de</w:t>
      </w:r>
      <w:r>
        <w:rPr>
          <w:color w:val="1F497D"/>
          <w:lang w:eastAsia="en-US"/>
        </w:rPr>
        <w:t xml:space="preserve"> début d’exercice (compte 651).</w:t>
      </w:r>
    </w:p>
    <w:p w14:paraId="57299D81" w14:textId="04971D86" w:rsidR="00F319B0" w:rsidRDefault="00F319B0" w:rsidP="00F319B0">
      <w:pPr>
        <w:rPr>
          <w:color w:val="1F497D"/>
          <w:lang w:eastAsia="en-US"/>
        </w:rPr>
      </w:pPr>
    </w:p>
    <w:p w14:paraId="34543E46" w14:textId="77777777" w:rsidR="00F319B0" w:rsidRPr="00A1072E" w:rsidRDefault="00F319B0" w:rsidP="00F319B0">
      <w:pPr>
        <w:rPr>
          <w:color w:val="1F497D"/>
          <w:szCs w:val="22"/>
          <w:lang w:eastAsia="en-US"/>
        </w:rPr>
      </w:pPr>
    </w:p>
    <w:p w14:paraId="728C49E8" w14:textId="308DA70E" w:rsidR="00F319B0" w:rsidRPr="00A1072E" w:rsidRDefault="00F319B0" w:rsidP="00020EA7">
      <w:pPr>
        <w:jc w:val="left"/>
        <w:outlineLvl w:val="2"/>
        <w:rPr>
          <w:rFonts w:ascii="Arial" w:hAnsi="Arial" w:cstheme="majorBidi"/>
          <w:b/>
          <w:szCs w:val="22"/>
          <w:lang w:eastAsia="en-US"/>
        </w:rPr>
      </w:pPr>
      <w:bookmarkStart w:id="8" w:name="_Toc176449276"/>
      <w:r w:rsidRPr="00A1072E">
        <w:rPr>
          <w:rFonts w:ascii="Arial" w:hAnsi="Arial" w:cstheme="majorBidi"/>
          <w:b/>
          <w:szCs w:val="22"/>
          <w:lang w:eastAsia="en-US"/>
        </w:rPr>
        <w:t xml:space="preserve">2 - </w:t>
      </w:r>
      <w:r w:rsidR="00A1072E" w:rsidRPr="00A1072E">
        <w:rPr>
          <w:rFonts w:ascii="Arial" w:hAnsi="Arial" w:cstheme="majorBidi"/>
          <w:b/>
          <w:szCs w:val="22"/>
          <w:lang w:eastAsia="en-US"/>
        </w:rPr>
        <w:t>Rubrique</w:t>
      </w:r>
      <w:r w:rsidRPr="00A1072E">
        <w:rPr>
          <w:rFonts w:ascii="Arial" w:hAnsi="Arial" w:cstheme="majorBidi"/>
          <w:b/>
          <w:szCs w:val="22"/>
          <w:lang w:eastAsia="en-US"/>
        </w:rPr>
        <w:t xml:space="preserve"> « Totaux des charges et produits par regroupement </w:t>
      </w:r>
      <w:r w:rsidRPr="00A1072E">
        <w:rPr>
          <w:rFonts w:ascii="Arial" w:hAnsi="Arial" w:cstheme="majorBidi" w:hint="eastAsia"/>
          <w:b/>
          <w:szCs w:val="22"/>
          <w:lang w:eastAsia="en-US"/>
        </w:rPr>
        <w:t>»</w:t>
      </w:r>
      <w:bookmarkEnd w:id="8"/>
    </w:p>
    <w:p w14:paraId="0AFC46A4" w14:textId="4A4DD085" w:rsidR="00F319B0" w:rsidRDefault="00F319B0" w:rsidP="00F319B0">
      <w:pPr>
        <w:jc w:val="left"/>
        <w:rPr>
          <w:rFonts w:ascii="Arial" w:hAnsi="Arial" w:cs="Arial"/>
          <w:b/>
          <w:color w:val="1F497D"/>
          <w:sz w:val="28"/>
          <w:szCs w:val="28"/>
          <w:lang w:eastAsia="en-US"/>
        </w:rPr>
      </w:pPr>
    </w:p>
    <w:p w14:paraId="264563FF" w14:textId="77777777" w:rsidR="00C177BD" w:rsidRDefault="00C177BD" w:rsidP="00F319B0">
      <w:pPr>
        <w:jc w:val="left"/>
        <w:rPr>
          <w:rFonts w:ascii="Arial" w:hAnsi="Arial" w:cs="Arial"/>
          <w:b/>
          <w:color w:val="1F497D"/>
          <w:sz w:val="28"/>
          <w:szCs w:val="28"/>
          <w:lang w:eastAsia="en-US"/>
        </w:rPr>
      </w:pPr>
    </w:p>
    <w:p w14:paraId="0B2EB0B6" w14:textId="77777777" w:rsidR="00F319B0" w:rsidRPr="00A44BB4" w:rsidRDefault="00F319B0" w:rsidP="00F319B0">
      <w:pPr>
        <w:pStyle w:val="Paragraphedeliste"/>
        <w:numPr>
          <w:ilvl w:val="0"/>
          <w:numId w:val="29"/>
        </w:numPr>
        <w:jc w:val="left"/>
        <w:rPr>
          <w:rFonts w:ascii="Arial" w:eastAsiaTheme="majorEastAsia" w:hAnsi="Arial" w:cstheme="majorBidi"/>
          <w:b/>
          <w:sz w:val="20"/>
          <w:lang w:eastAsia="en-US"/>
        </w:rPr>
      </w:pPr>
      <w:r w:rsidRPr="00A44BB4">
        <w:rPr>
          <w:rFonts w:ascii="Arial" w:eastAsiaTheme="majorEastAsia" w:hAnsi="Arial" w:cstheme="majorBidi"/>
          <w:b/>
          <w:sz w:val="20"/>
          <w:lang w:eastAsia="en-US"/>
        </w:rPr>
        <w:t xml:space="preserve">L’item « AN_RESNET » de la section « Totaux des charges et produits par regroupement </w:t>
      </w:r>
      <w:r w:rsidRPr="00A44BB4">
        <w:rPr>
          <w:rFonts w:ascii="Arial" w:eastAsiaTheme="majorEastAsia" w:hAnsi="Arial" w:cstheme="majorBidi" w:hint="eastAsia"/>
          <w:b/>
          <w:sz w:val="20"/>
          <w:lang w:eastAsia="en-US"/>
        </w:rPr>
        <w:t>»</w:t>
      </w:r>
      <w:r w:rsidRPr="00A44BB4">
        <w:rPr>
          <w:rFonts w:ascii="Arial" w:eastAsiaTheme="majorEastAsia" w:hAnsi="Arial" w:cstheme="majorBidi"/>
          <w:b/>
          <w:sz w:val="20"/>
          <w:lang w:eastAsia="en-US"/>
        </w:rPr>
        <w:t xml:space="preserve"> est-il à renseigner</w:t>
      </w:r>
      <w:r w:rsidRPr="00A44BB4">
        <w:rPr>
          <w:sz w:val="20"/>
          <w:lang w:eastAsia="en-US"/>
        </w:rPr>
        <w:t xml:space="preserve"> </w:t>
      </w:r>
      <w:r w:rsidRPr="00A44BB4">
        <w:rPr>
          <w:rFonts w:ascii="Arial" w:eastAsiaTheme="majorEastAsia" w:hAnsi="Arial" w:cstheme="majorBidi"/>
          <w:b/>
          <w:sz w:val="20"/>
          <w:lang w:eastAsia="en-US"/>
        </w:rPr>
        <w:t>uniquement pour les remises de l’ancienne génération ?</w:t>
      </w:r>
    </w:p>
    <w:p w14:paraId="193DF343" w14:textId="77777777" w:rsidR="00F319B0" w:rsidRDefault="00F319B0" w:rsidP="00F319B0">
      <w:pPr>
        <w:jc w:val="left"/>
        <w:rPr>
          <w:sz w:val="20"/>
          <w:lang w:eastAsia="en-US"/>
        </w:rPr>
      </w:pPr>
    </w:p>
    <w:p w14:paraId="78AA0D34" w14:textId="77777777" w:rsidR="00F319B0" w:rsidRDefault="00F319B0" w:rsidP="00F319B0">
      <w:pPr>
        <w:rPr>
          <w:color w:val="1F497D"/>
          <w:lang w:eastAsia="en-US"/>
        </w:rPr>
      </w:pPr>
      <w:r w:rsidRPr="009B0F87">
        <w:rPr>
          <w:rFonts w:asciiTheme="minorHAnsi" w:hAnsiTheme="minorHAnsi"/>
          <w:b/>
          <w:color w:val="1F497D"/>
          <w:lang w:eastAsia="en-US"/>
        </w:rPr>
        <w:t>Réponse :</w:t>
      </w:r>
      <w:r w:rsidRPr="0013487C">
        <w:rPr>
          <w:rFonts w:asciiTheme="minorHAnsi" w:hAnsiTheme="minorHAnsi"/>
          <w:color w:val="1F497D"/>
          <w:lang w:eastAsia="en-US"/>
        </w:rPr>
        <w:t xml:space="preserve"> </w:t>
      </w:r>
      <w:r>
        <w:rPr>
          <w:color w:val="1F497D"/>
          <w:lang w:eastAsia="en-US"/>
        </w:rPr>
        <w:t>Oui. Le statut de ce champ est devenu facultatif et ne doit être déclaré que par les fonds remettant sur les anciens plans comptables.</w:t>
      </w:r>
    </w:p>
    <w:p w14:paraId="2EC9891D" w14:textId="77777777" w:rsidR="00F319B0" w:rsidRDefault="00F319B0" w:rsidP="00F319B0">
      <w:pPr>
        <w:rPr>
          <w:color w:val="1F497D"/>
          <w:lang w:eastAsia="en-US"/>
        </w:rPr>
      </w:pPr>
    </w:p>
    <w:p w14:paraId="049DF5E1" w14:textId="77777777" w:rsidR="00F319B0" w:rsidRDefault="00F319B0" w:rsidP="00F319B0">
      <w:pPr>
        <w:rPr>
          <w:color w:val="1F497D"/>
          <w:lang w:eastAsia="en-US"/>
        </w:rPr>
      </w:pPr>
      <w:r>
        <w:rPr>
          <w:noProof/>
          <w:color w:val="1F497D"/>
        </w:rPr>
        <w:drawing>
          <wp:inline distT="0" distB="0" distL="0" distR="0" wp14:anchorId="5A86BF82" wp14:editId="7E6DC89F">
            <wp:extent cx="6257925" cy="333375"/>
            <wp:effectExtent l="19050" t="19050" r="28575" b="28575"/>
            <wp:docPr id="2" name="Image 2" descr="cid:image002.png@01DA8C26.8CE11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png@01DA8C26.8CE11CA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1776" t="13043" r="1035" b="10870"/>
                    <a:stretch/>
                  </pic:blipFill>
                  <pic:spPr bwMode="auto">
                    <a:xfrm>
                      <a:off x="0" y="0"/>
                      <a:ext cx="6257925" cy="333375"/>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3AEE7222" w14:textId="77777777" w:rsidR="00F319B0" w:rsidRDefault="00F319B0" w:rsidP="00F319B0">
      <w:pPr>
        <w:rPr>
          <w:color w:val="1F497D"/>
          <w:lang w:eastAsia="en-US"/>
        </w:rPr>
      </w:pPr>
    </w:p>
    <w:p w14:paraId="689D616F" w14:textId="77777777" w:rsidR="00F319B0" w:rsidRDefault="00F319B0" w:rsidP="00F319B0">
      <w:pPr>
        <w:rPr>
          <w:color w:val="1F497D"/>
          <w:lang w:eastAsia="en-US"/>
        </w:rPr>
      </w:pPr>
      <w:r>
        <w:rPr>
          <w:color w:val="1F497D"/>
          <w:lang w:eastAsia="en-US"/>
        </w:rPr>
        <w:t>Les fonds passés au NPC utiliseront le champ équivalent, propriété « </w:t>
      </w:r>
      <w:r w:rsidRPr="00D63CDB">
        <w:rPr>
          <w:color w:val="1F497D"/>
          <w:lang w:eastAsia="en-US"/>
        </w:rPr>
        <w:t>AN_RESNET_AV</w:t>
      </w:r>
      <w:r>
        <w:rPr>
          <w:color w:val="1F497D"/>
          <w:lang w:eastAsia="en-US"/>
        </w:rPr>
        <w:t> », créé dans la section « Régularisations et résultat régularisé »</w:t>
      </w:r>
    </w:p>
    <w:p w14:paraId="78AFCC6B" w14:textId="0763DBDD" w:rsidR="00F319B0" w:rsidRDefault="00F319B0" w:rsidP="00F319B0">
      <w:pPr>
        <w:rPr>
          <w:color w:val="1F497D"/>
          <w:lang w:eastAsia="en-US"/>
        </w:rPr>
      </w:pPr>
    </w:p>
    <w:p w14:paraId="1CF65C58" w14:textId="77777777" w:rsidR="00F319B0" w:rsidRDefault="00F319B0" w:rsidP="00F319B0">
      <w:pPr>
        <w:rPr>
          <w:color w:val="1F497D"/>
          <w:lang w:eastAsia="en-US"/>
        </w:rPr>
      </w:pPr>
    </w:p>
    <w:p w14:paraId="0B4210B2" w14:textId="77777777" w:rsidR="00F319B0" w:rsidRPr="00A44BB4" w:rsidRDefault="00F319B0" w:rsidP="00F319B0">
      <w:pPr>
        <w:pStyle w:val="Paragraphedeliste"/>
        <w:numPr>
          <w:ilvl w:val="0"/>
          <w:numId w:val="29"/>
        </w:numPr>
        <w:jc w:val="left"/>
        <w:rPr>
          <w:rFonts w:ascii="Arial" w:eastAsiaTheme="majorEastAsia" w:hAnsi="Arial" w:cstheme="majorBidi"/>
          <w:b/>
          <w:sz w:val="20"/>
          <w:lang w:eastAsia="en-US"/>
        </w:rPr>
      </w:pPr>
      <w:r w:rsidRPr="00A44BB4">
        <w:rPr>
          <w:rFonts w:ascii="Arial" w:eastAsiaTheme="majorEastAsia" w:hAnsi="Arial" w:cstheme="majorBidi"/>
          <w:b/>
          <w:sz w:val="20"/>
          <w:lang w:eastAsia="en-US"/>
        </w:rPr>
        <w:t xml:space="preserve">Quelle est la différence entre la rubrique « charges financières » et « charges d’opérations financières » dans le tableau des Totaux des charges et Produits par regroupement :? </w:t>
      </w:r>
    </w:p>
    <w:p w14:paraId="00873ED4" w14:textId="77777777" w:rsidR="00F319B0" w:rsidRPr="009B0F87" w:rsidRDefault="00F319B0" w:rsidP="00F319B0">
      <w:pPr>
        <w:spacing w:before="240"/>
        <w:rPr>
          <w:color w:val="1F497D"/>
          <w:lang w:eastAsia="en-US"/>
        </w:rPr>
      </w:pPr>
      <w:r w:rsidRPr="009B0F87">
        <w:rPr>
          <w:rFonts w:asciiTheme="minorHAnsi" w:hAnsiTheme="minorHAnsi"/>
          <w:b/>
          <w:color w:val="1F497D"/>
          <w:lang w:eastAsia="en-US"/>
        </w:rPr>
        <w:t>Réponse :</w:t>
      </w:r>
      <w:r w:rsidRPr="000B12F2">
        <w:rPr>
          <w:rFonts w:ascii="Arial" w:hAnsi="Arial" w:cs="Arial"/>
          <w:color w:val="1F497D"/>
          <w:sz w:val="20"/>
        </w:rPr>
        <w:t xml:space="preserve"> </w:t>
      </w:r>
      <w:r w:rsidRPr="009B0F87">
        <w:rPr>
          <w:color w:val="1F497D"/>
          <w:lang w:eastAsia="en-US"/>
        </w:rPr>
        <w:t>La démarcation entre les deux notions étant parfois difficile à opérer selon la catégorie de fonds, et afin de faciliter les contrôles nous avons décidé de regrouper les deux rubriques.</w:t>
      </w:r>
    </w:p>
    <w:p w14:paraId="5F820D67" w14:textId="77777777" w:rsidR="00F319B0" w:rsidRDefault="00F319B0" w:rsidP="00F319B0">
      <w:pPr>
        <w:rPr>
          <w:color w:val="1F497D"/>
          <w:lang w:eastAsia="en-US"/>
        </w:rPr>
      </w:pPr>
    </w:p>
    <w:p w14:paraId="2C7B68B4" w14:textId="77777777" w:rsidR="00F319B0" w:rsidRPr="00B9062D" w:rsidRDefault="00F319B0" w:rsidP="00A44BB4">
      <w:pPr>
        <w:rPr>
          <w:rFonts w:ascii="Arial" w:hAnsi="Arial" w:cs="Arial"/>
          <w:color w:val="1F497D"/>
          <w:sz w:val="20"/>
          <w:lang w:eastAsia="en-US"/>
        </w:rPr>
      </w:pPr>
    </w:p>
    <w:p w14:paraId="54B7B30A" w14:textId="77777777" w:rsidR="00A44BB4" w:rsidRPr="00A44BB4" w:rsidRDefault="00A44BB4" w:rsidP="00A44BB4">
      <w:pPr>
        <w:pStyle w:val="Paragraphedeliste"/>
        <w:numPr>
          <w:ilvl w:val="0"/>
          <w:numId w:val="29"/>
        </w:numPr>
        <w:jc w:val="left"/>
        <w:rPr>
          <w:rFonts w:ascii="Arial" w:eastAsiaTheme="majorEastAsia" w:hAnsi="Arial" w:cstheme="majorBidi"/>
          <w:b/>
          <w:sz w:val="20"/>
          <w:lang w:eastAsia="en-US"/>
        </w:rPr>
      </w:pPr>
      <w:r w:rsidRPr="00A44BB4">
        <w:rPr>
          <w:rFonts w:ascii="Arial" w:eastAsiaTheme="majorEastAsia" w:hAnsi="Arial" w:cstheme="majorBidi"/>
          <w:b/>
          <w:sz w:val="20"/>
          <w:lang w:eastAsia="en-US"/>
        </w:rPr>
        <w:t xml:space="preserve">De manière générale, existe-t-il un détail des comptes comptables qui doivent être compris dans chacun des codes rubrique (Charges / Produits / Totaux des charges et Produits par regroupement / </w:t>
      </w:r>
      <w:proofErr w:type="spellStart"/>
      <w:r w:rsidRPr="00A44BB4">
        <w:rPr>
          <w:rFonts w:ascii="Arial" w:eastAsiaTheme="majorEastAsia" w:hAnsi="Arial" w:cstheme="majorBidi"/>
          <w:b/>
          <w:sz w:val="20"/>
          <w:lang w:eastAsia="en-US"/>
        </w:rPr>
        <w:t>Evolution</w:t>
      </w:r>
      <w:proofErr w:type="spellEnd"/>
      <w:r w:rsidRPr="00A44BB4">
        <w:rPr>
          <w:rFonts w:ascii="Arial" w:eastAsiaTheme="majorEastAsia" w:hAnsi="Arial" w:cstheme="majorBidi"/>
          <w:b/>
          <w:sz w:val="20"/>
          <w:lang w:eastAsia="en-US"/>
        </w:rPr>
        <w:t xml:space="preserve"> du capital) ? </w:t>
      </w:r>
    </w:p>
    <w:p w14:paraId="265C74EE" w14:textId="77777777" w:rsidR="00A44BB4" w:rsidRPr="000B2F99" w:rsidRDefault="00A44BB4" w:rsidP="00A44BB4">
      <w:pPr>
        <w:jc w:val="left"/>
        <w:rPr>
          <w:rFonts w:ascii="Arial" w:eastAsiaTheme="majorEastAsia" w:hAnsi="Arial" w:cstheme="majorBidi"/>
          <w:b/>
          <w:sz w:val="20"/>
          <w:lang w:eastAsia="en-US"/>
        </w:rPr>
      </w:pPr>
    </w:p>
    <w:p w14:paraId="43FE9053" w14:textId="77777777" w:rsidR="00A44BB4" w:rsidRPr="009B0F87" w:rsidRDefault="00A44BB4" w:rsidP="00A44BB4">
      <w:pPr>
        <w:rPr>
          <w:color w:val="1F497D"/>
          <w:lang w:eastAsia="en-US"/>
        </w:rPr>
      </w:pPr>
      <w:r w:rsidRPr="009B0F87">
        <w:rPr>
          <w:rFonts w:asciiTheme="minorHAnsi" w:hAnsiTheme="minorHAnsi"/>
          <w:b/>
          <w:color w:val="1F497D"/>
          <w:lang w:eastAsia="en-US"/>
        </w:rPr>
        <w:t>Réponse </w:t>
      </w:r>
      <w:r w:rsidRPr="00C55B58">
        <w:rPr>
          <w:rFonts w:ascii="Arial" w:hAnsi="Arial" w:cs="Arial"/>
          <w:b/>
          <w:color w:val="1F497D"/>
          <w:sz w:val="20"/>
        </w:rPr>
        <w:t>:</w:t>
      </w:r>
      <w:r w:rsidRPr="00C55B58">
        <w:rPr>
          <w:rFonts w:ascii="Arial" w:hAnsi="Arial" w:cs="Arial"/>
          <w:color w:val="1F497D"/>
          <w:sz w:val="20"/>
        </w:rPr>
        <w:t xml:space="preserve"> </w:t>
      </w:r>
      <w:r w:rsidRPr="009B0F87">
        <w:rPr>
          <w:color w:val="1F497D"/>
          <w:lang w:eastAsia="en-US"/>
        </w:rPr>
        <w:t xml:space="preserve">Non, nous n’avons pas plus de précisions pour connaître le détail de chaque compte à reporter dans chaque rubrique. Pour cela nous vous invitons à consulter les différents règlements en fonction des </w:t>
      </w:r>
      <w:r w:rsidRPr="009B0F87">
        <w:rPr>
          <w:color w:val="1F497D"/>
          <w:lang w:eastAsia="en-US"/>
        </w:rPr>
        <w:lastRenderedPageBreak/>
        <w:t>fonds concernés, le règlement ANC 2020-07 relatif aux comptes annuels des organismes de placement collectif à capital variable, le r</w:t>
      </w:r>
      <w:r w:rsidRPr="009B0F87">
        <w:rPr>
          <w:rFonts w:hint="eastAsia"/>
          <w:color w:val="1F497D"/>
          <w:lang w:eastAsia="en-US"/>
        </w:rPr>
        <w:t>è</w:t>
      </w:r>
      <w:r w:rsidRPr="009B0F87">
        <w:rPr>
          <w:color w:val="1F497D"/>
          <w:lang w:eastAsia="en-US"/>
        </w:rPr>
        <w:t>glement ANC n</w:t>
      </w:r>
      <w:r w:rsidRPr="009B0F87">
        <w:rPr>
          <w:rFonts w:hint="eastAsia"/>
          <w:color w:val="1F497D"/>
          <w:lang w:eastAsia="en-US"/>
        </w:rPr>
        <w:t>°</w:t>
      </w:r>
      <w:r w:rsidRPr="009B0F87">
        <w:rPr>
          <w:color w:val="1F497D"/>
          <w:lang w:eastAsia="en-US"/>
        </w:rPr>
        <w:t xml:space="preserve"> 2016-03 relatif aux soci</w:t>
      </w:r>
      <w:r w:rsidRPr="009B0F87">
        <w:rPr>
          <w:rFonts w:hint="eastAsia"/>
          <w:color w:val="1F497D"/>
          <w:lang w:eastAsia="en-US"/>
        </w:rPr>
        <w:t>é</w:t>
      </w:r>
      <w:r w:rsidRPr="009B0F87">
        <w:rPr>
          <w:color w:val="1F497D"/>
          <w:lang w:eastAsia="en-US"/>
        </w:rPr>
        <w:t>t</w:t>
      </w:r>
      <w:r w:rsidRPr="009B0F87">
        <w:rPr>
          <w:rFonts w:hint="eastAsia"/>
          <w:color w:val="1F497D"/>
          <w:lang w:eastAsia="en-US"/>
        </w:rPr>
        <w:t>é</w:t>
      </w:r>
      <w:r w:rsidRPr="009B0F87">
        <w:rPr>
          <w:color w:val="1F497D"/>
          <w:lang w:eastAsia="en-US"/>
        </w:rPr>
        <w:t>s civiles de placement immobilier (SCPI), le règlement, ANC n° 2016-06 dérivé du règlement OPC à capital variable relatif aux organismes de placement collectif immobilier (OPCI).</w:t>
      </w:r>
    </w:p>
    <w:p w14:paraId="08AB8BBB" w14:textId="6FD3E816" w:rsidR="000B2F99" w:rsidRDefault="000B2F99" w:rsidP="00223A8D">
      <w:pPr>
        <w:rPr>
          <w:color w:val="1F497D"/>
          <w:lang w:eastAsia="en-US"/>
        </w:rPr>
      </w:pPr>
    </w:p>
    <w:p w14:paraId="2F7B8463" w14:textId="77777777" w:rsidR="00F319B0" w:rsidRDefault="00F319B0" w:rsidP="00223A8D">
      <w:pPr>
        <w:rPr>
          <w:color w:val="1F497D"/>
          <w:lang w:eastAsia="en-US"/>
        </w:rPr>
      </w:pPr>
    </w:p>
    <w:p w14:paraId="68FC3765" w14:textId="3C3C2CE2" w:rsidR="00A44BB4" w:rsidRPr="00A1072E" w:rsidRDefault="00A44BB4" w:rsidP="00085E81">
      <w:pPr>
        <w:jc w:val="left"/>
        <w:outlineLvl w:val="2"/>
        <w:rPr>
          <w:rFonts w:ascii="Arial" w:hAnsi="Arial" w:cstheme="majorBidi"/>
          <w:b/>
          <w:szCs w:val="22"/>
          <w:lang w:eastAsia="en-US"/>
        </w:rPr>
      </w:pPr>
      <w:bookmarkStart w:id="9" w:name="_Toc176449277"/>
      <w:r w:rsidRPr="00A1072E">
        <w:rPr>
          <w:rFonts w:ascii="Arial" w:hAnsi="Arial" w:cstheme="majorBidi"/>
          <w:b/>
          <w:szCs w:val="22"/>
          <w:lang w:eastAsia="en-US"/>
        </w:rPr>
        <w:t xml:space="preserve">3 - </w:t>
      </w:r>
      <w:r w:rsidR="00A1072E" w:rsidRPr="00A1072E">
        <w:rPr>
          <w:rFonts w:ascii="Arial" w:hAnsi="Arial" w:cstheme="majorBidi"/>
          <w:b/>
          <w:szCs w:val="22"/>
          <w:lang w:eastAsia="en-US"/>
        </w:rPr>
        <w:t>R</w:t>
      </w:r>
      <w:r w:rsidR="00F319B0" w:rsidRPr="00A1072E">
        <w:rPr>
          <w:rFonts w:ascii="Arial" w:hAnsi="Arial" w:cstheme="majorBidi"/>
          <w:b/>
          <w:szCs w:val="22"/>
          <w:lang w:eastAsia="en-US"/>
        </w:rPr>
        <w:t>ubrique « </w:t>
      </w:r>
      <w:proofErr w:type="spellStart"/>
      <w:r w:rsidR="00F319B0" w:rsidRPr="00A1072E">
        <w:rPr>
          <w:rFonts w:ascii="Arial" w:hAnsi="Arial" w:cstheme="majorBidi"/>
          <w:b/>
          <w:szCs w:val="22"/>
          <w:lang w:eastAsia="en-US"/>
        </w:rPr>
        <w:t>Evolution</w:t>
      </w:r>
      <w:proofErr w:type="spellEnd"/>
      <w:r w:rsidR="00F319B0" w:rsidRPr="00A1072E">
        <w:rPr>
          <w:rFonts w:ascii="Arial" w:hAnsi="Arial" w:cstheme="majorBidi"/>
          <w:b/>
          <w:szCs w:val="22"/>
          <w:lang w:eastAsia="en-US"/>
        </w:rPr>
        <w:t xml:space="preserve"> du Capital »</w:t>
      </w:r>
      <w:bookmarkEnd w:id="9"/>
    </w:p>
    <w:p w14:paraId="0455FBE0" w14:textId="4BCAD7FF" w:rsidR="00A44BB4" w:rsidRDefault="00A44BB4" w:rsidP="00223A8D">
      <w:pPr>
        <w:rPr>
          <w:color w:val="1F497D"/>
          <w:lang w:eastAsia="en-US"/>
        </w:rPr>
      </w:pPr>
    </w:p>
    <w:p w14:paraId="3FCD2B54" w14:textId="77777777" w:rsidR="00A1072E" w:rsidRDefault="00A1072E" w:rsidP="00223A8D">
      <w:pPr>
        <w:rPr>
          <w:color w:val="1F497D"/>
          <w:lang w:eastAsia="en-US"/>
        </w:rPr>
      </w:pPr>
    </w:p>
    <w:p w14:paraId="23672E40" w14:textId="20D55B0F" w:rsidR="00F17665" w:rsidRPr="00A44BB4" w:rsidRDefault="00F17665" w:rsidP="00A44BB4">
      <w:pPr>
        <w:pStyle w:val="Paragraphedeliste"/>
        <w:numPr>
          <w:ilvl w:val="0"/>
          <w:numId w:val="29"/>
        </w:numPr>
        <w:jc w:val="left"/>
        <w:rPr>
          <w:rFonts w:ascii="Arial" w:eastAsiaTheme="majorEastAsia" w:hAnsi="Arial" w:cstheme="majorBidi"/>
          <w:b/>
          <w:sz w:val="20"/>
          <w:lang w:eastAsia="en-US"/>
        </w:rPr>
      </w:pPr>
      <w:r w:rsidRPr="00A44BB4">
        <w:rPr>
          <w:rFonts w:ascii="Arial" w:eastAsiaTheme="majorEastAsia" w:hAnsi="Arial" w:cstheme="majorBidi"/>
          <w:b/>
          <w:sz w:val="20"/>
          <w:lang w:eastAsia="en-US"/>
        </w:rPr>
        <w:t>Pour les fonds de capital investissement, quelle rubrique du NPC doit-on utiliser pour les acomptes versés au cours de l’exercice sur les plus ou moins-values réalisées nettes et sur les revenus nets ?</w:t>
      </w:r>
    </w:p>
    <w:p w14:paraId="34130AC4" w14:textId="77777777" w:rsidR="000B2F99" w:rsidRPr="000B2F99" w:rsidRDefault="000B2F99" w:rsidP="000B2F99">
      <w:pPr>
        <w:jc w:val="left"/>
        <w:rPr>
          <w:rFonts w:ascii="Arial" w:eastAsiaTheme="majorEastAsia" w:hAnsi="Arial" w:cstheme="majorBidi"/>
          <w:b/>
          <w:sz w:val="20"/>
          <w:lang w:eastAsia="en-US"/>
        </w:rPr>
      </w:pPr>
    </w:p>
    <w:p w14:paraId="48661CD3" w14:textId="57D7F2E9" w:rsidR="00F17665" w:rsidRPr="009B0F87" w:rsidRDefault="00F17665" w:rsidP="00223A8D">
      <w:pPr>
        <w:rPr>
          <w:color w:val="1F497D"/>
          <w:lang w:eastAsia="en-US"/>
        </w:rPr>
      </w:pPr>
      <w:r w:rsidRPr="0013487C">
        <w:rPr>
          <w:rFonts w:asciiTheme="minorHAnsi" w:hAnsiTheme="minorHAnsi"/>
          <w:b/>
          <w:color w:val="1F497D"/>
          <w:lang w:eastAsia="en-US"/>
        </w:rPr>
        <w:t>Réponse :</w:t>
      </w:r>
      <w:r w:rsidRPr="0013487C">
        <w:rPr>
          <w:rFonts w:asciiTheme="minorHAnsi" w:hAnsiTheme="minorHAnsi"/>
          <w:color w:val="1F497D"/>
          <w:lang w:eastAsia="en-US"/>
        </w:rPr>
        <w:t xml:space="preserve"> </w:t>
      </w:r>
      <w:r w:rsidRPr="009B0F87">
        <w:rPr>
          <w:color w:val="1F497D"/>
          <w:lang w:eastAsia="en-US"/>
        </w:rPr>
        <w:t xml:space="preserve">Les fonds de capital investissements (ainsi que certains autres véhicules, comme certains SLP, FPS, ou OFS) doivent remplir dans leurs états annuels </w:t>
      </w:r>
      <w:r w:rsidR="00B9062D" w:rsidRPr="009B0F87">
        <w:rPr>
          <w:color w:val="1F497D"/>
          <w:lang w:eastAsia="en-US"/>
        </w:rPr>
        <w:t>le</w:t>
      </w:r>
      <w:r w:rsidRPr="009B0F87">
        <w:rPr>
          <w:color w:val="1F497D"/>
          <w:lang w:eastAsia="en-US"/>
        </w:rPr>
        <w:t xml:space="preserve"> tableau de reconstitution des capitaux propres depuis l’origine en lieu et place du tableau d’évolution des capitaux propres prévu pour les autres OPC à capital variable (cf. Article 433-2)</w:t>
      </w:r>
    </w:p>
    <w:p w14:paraId="106CA0C0" w14:textId="77777777" w:rsidR="00F17665" w:rsidRPr="009B0F87" w:rsidRDefault="00F17665" w:rsidP="00223A8D">
      <w:pPr>
        <w:rPr>
          <w:color w:val="1F497D"/>
          <w:lang w:eastAsia="en-US"/>
        </w:rPr>
      </w:pPr>
    </w:p>
    <w:p w14:paraId="325F8DEA" w14:textId="77777777" w:rsidR="00F17665" w:rsidRPr="009B0F87" w:rsidRDefault="00F17665" w:rsidP="00223A8D">
      <w:pPr>
        <w:rPr>
          <w:color w:val="1F497D"/>
          <w:lang w:eastAsia="en-US"/>
        </w:rPr>
      </w:pPr>
      <w:r w:rsidRPr="009B0F87">
        <w:rPr>
          <w:color w:val="1F497D"/>
          <w:lang w:eastAsia="en-US"/>
        </w:rPr>
        <w:t>Le tableau de reconstitution des capitaux propres depuis l’origine ne prévoit pas de distinction entre les acomptes et les autres distributions à la différence du tableau d’évolution des capitaux propres.</w:t>
      </w:r>
    </w:p>
    <w:p w14:paraId="16D40B46" w14:textId="77777777" w:rsidR="00F17665" w:rsidRPr="009B0F87" w:rsidRDefault="00F17665" w:rsidP="00223A8D">
      <w:pPr>
        <w:rPr>
          <w:color w:val="1F497D"/>
          <w:lang w:eastAsia="en-US"/>
        </w:rPr>
      </w:pPr>
    </w:p>
    <w:p w14:paraId="5FC137EC" w14:textId="26EF2070" w:rsidR="00F17665" w:rsidRPr="009B0F87" w:rsidRDefault="00F17665" w:rsidP="00223A8D">
      <w:pPr>
        <w:rPr>
          <w:color w:val="1F497D"/>
          <w:lang w:eastAsia="en-US"/>
        </w:rPr>
      </w:pPr>
      <w:r w:rsidRPr="009B0F87">
        <w:rPr>
          <w:color w:val="1F497D"/>
          <w:lang w:eastAsia="en-US"/>
        </w:rPr>
        <w:t>Par conséquent les acomptes et les autres distributions doivent être déclarées en utilisant selon le cas l’une ou l’autre des rubriques ci-dessous</w:t>
      </w:r>
      <w:r w:rsidR="00D63CDB" w:rsidRPr="009B0F87">
        <w:rPr>
          <w:color w:val="1F497D"/>
          <w:lang w:eastAsia="en-US"/>
        </w:rPr>
        <w:t> :</w:t>
      </w:r>
    </w:p>
    <w:p w14:paraId="128B3B1E" w14:textId="77777777" w:rsidR="00F17665" w:rsidRPr="009B0F87" w:rsidRDefault="00F17665" w:rsidP="00223A8D">
      <w:pPr>
        <w:rPr>
          <w:color w:val="1F497D"/>
          <w:lang w:eastAsia="en-US"/>
        </w:rPr>
      </w:pPr>
      <w:r w:rsidRPr="009B0F87">
        <w:rPr>
          <w:color w:val="1F497D"/>
          <w:lang w:eastAsia="en-US"/>
        </w:rPr>
        <w:t>124E - Distributions de résultats nets (-)</w:t>
      </w:r>
    </w:p>
    <w:p w14:paraId="0267B456" w14:textId="77777777" w:rsidR="00F17665" w:rsidRPr="009B0F87" w:rsidRDefault="00F17665" w:rsidP="00223A8D">
      <w:pPr>
        <w:rPr>
          <w:color w:val="1F497D"/>
          <w:lang w:eastAsia="en-US"/>
        </w:rPr>
      </w:pPr>
      <w:r w:rsidRPr="009B0F87">
        <w:rPr>
          <w:color w:val="1F497D"/>
          <w:lang w:eastAsia="en-US"/>
        </w:rPr>
        <w:t>156E - Distribution de plus et moins-values nettes (-)</w:t>
      </w:r>
    </w:p>
    <w:p w14:paraId="5F7DF0D3" w14:textId="2B1AC6D2" w:rsidR="0013487C" w:rsidRPr="009B0F87" w:rsidRDefault="00F17665" w:rsidP="00223A8D">
      <w:pPr>
        <w:rPr>
          <w:color w:val="1F497D"/>
          <w:lang w:eastAsia="en-US"/>
        </w:rPr>
      </w:pPr>
      <w:r w:rsidRPr="009B0F87">
        <w:rPr>
          <w:color w:val="1F497D"/>
          <w:lang w:eastAsia="en-US"/>
        </w:rPr>
        <w:t>127E – Distributions d'actifs (-)</w:t>
      </w:r>
    </w:p>
    <w:p w14:paraId="3D4A2AB3" w14:textId="02C43ED0" w:rsidR="00480967" w:rsidRDefault="00480967" w:rsidP="00F17665">
      <w:pPr>
        <w:rPr>
          <w:color w:val="1F497D"/>
          <w:lang w:eastAsia="en-US"/>
        </w:rPr>
      </w:pPr>
    </w:p>
    <w:p w14:paraId="3DAA5EAB" w14:textId="7D3C1E54" w:rsidR="00020EA7" w:rsidRDefault="00020EA7">
      <w:pPr>
        <w:jc w:val="left"/>
        <w:rPr>
          <w:color w:val="1F497D"/>
          <w:lang w:eastAsia="en-US"/>
        </w:rPr>
      </w:pPr>
      <w:r>
        <w:rPr>
          <w:color w:val="1F497D"/>
          <w:lang w:eastAsia="en-US"/>
        </w:rPr>
        <w:br w:type="page"/>
      </w:r>
    </w:p>
    <w:p w14:paraId="4EA4807A" w14:textId="67473CF1" w:rsidR="00020EA7" w:rsidRDefault="00020EA7" w:rsidP="00020EA7">
      <w:pPr>
        <w:jc w:val="left"/>
        <w:outlineLvl w:val="0"/>
        <w:rPr>
          <w:rFonts w:ascii="Arial" w:hAnsi="Arial" w:cs="Arial"/>
          <w:b/>
          <w:color w:val="1F497D"/>
          <w:sz w:val="28"/>
          <w:szCs w:val="28"/>
          <w:lang w:eastAsia="en-US"/>
        </w:rPr>
      </w:pPr>
      <w:bookmarkStart w:id="10" w:name="_Toc176449278"/>
      <w:r>
        <w:rPr>
          <w:rFonts w:ascii="Arial" w:hAnsi="Arial" w:cs="Arial"/>
          <w:b/>
          <w:color w:val="1F497D"/>
          <w:sz w:val="28"/>
          <w:szCs w:val="28"/>
          <w:lang w:eastAsia="en-US"/>
        </w:rPr>
        <w:lastRenderedPageBreak/>
        <w:t>II</w:t>
      </w:r>
      <w:r>
        <w:rPr>
          <w:rFonts w:ascii="Arial" w:hAnsi="Arial" w:cs="Arial"/>
          <w:b/>
          <w:color w:val="1F497D"/>
          <w:sz w:val="28"/>
          <w:szCs w:val="28"/>
          <w:lang w:eastAsia="en-US"/>
        </w:rPr>
        <w:t xml:space="preserve"> - Remises </w:t>
      </w:r>
      <w:r>
        <w:rPr>
          <w:rFonts w:ascii="Arial" w:hAnsi="Arial" w:cs="Arial"/>
          <w:b/>
          <w:color w:val="1F497D"/>
          <w:sz w:val="28"/>
          <w:szCs w:val="28"/>
          <w:lang w:eastAsia="en-US"/>
        </w:rPr>
        <w:t>périodiqu</w:t>
      </w:r>
      <w:r>
        <w:rPr>
          <w:rFonts w:ascii="Arial" w:hAnsi="Arial" w:cs="Arial"/>
          <w:b/>
          <w:color w:val="1F497D"/>
          <w:sz w:val="28"/>
          <w:szCs w:val="28"/>
          <w:lang w:eastAsia="en-US"/>
        </w:rPr>
        <w:t>es</w:t>
      </w:r>
      <w:bookmarkEnd w:id="10"/>
    </w:p>
    <w:p w14:paraId="06648497" w14:textId="25512D76" w:rsidR="00020EA7" w:rsidRDefault="00020EA7" w:rsidP="00F17665">
      <w:pPr>
        <w:rPr>
          <w:color w:val="1F497D"/>
          <w:lang w:eastAsia="en-US"/>
        </w:rPr>
      </w:pPr>
    </w:p>
    <w:p w14:paraId="3649DFC2" w14:textId="49457FDB" w:rsidR="00020EA7" w:rsidRDefault="00020EA7" w:rsidP="00F17665">
      <w:pPr>
        <w:rPr>
          <w:color w:val="1F497D"/>
          <w:lang w:eastAsia="en-US"/>
        </w:rPr>
      </w:pPr>
    </w:p>
    <w:p w14:paraId="4CAF8306" w14:textId="77777777" w:rsidR="00020EA7" w:rsidRDefault="00020EA7" w:rsidP="00020EA7">
      <w:pPr>
        <w:rPr>
          <w:color w:val="1F497D"/>
          <w:lang w:eastAsia="en-US"/>
        </w:rPr>
      </w:pPr>
    </w:p>
    <w:p w14:paraId="04424E08" w14:textId="77777777" w:rsidR="00020EA7" w:rsidRPr="00A44BB4" w:rsidRDefault="00020EA7" w:rsidP="00020EA7">
      <w:pPr>
        <w:pStyle w:val="Paragraphedeliste"/>
        <w:numPr>
          <w:ilvl w:val="0"/>
          <w:numId w:val="29"/>
        </w:numPr>
        <w:jc w:val="left"/>
        <w:rPr>
          <w:rFonts w:ascii="Arial" w:eastAsiaTheme="majorEastAsia" w:hAnsi="Arial" w:cstheme="majorBidi"/>
          <w:b/>
          <w:sz w:val="20"/>
          <w:lang w:eastAsia="en-US"/>
        </w:rPr>
      </w:pPr>
      <w:r w:rsidRPr="00A44BB4">
        <w:rPr>
          <w:rFonts w:ascii="Arial" w:eastAsiaTheme="majorEastAsia" w:hAnsi="Arial" w:cstheme="majorBidi"/>
          <w:b/>
          <w:sz w:val="20"/>
          <w:lang w:eastAsia="en-US"/>
        </w:rPr>
        <w:t>Pourriez-vous nous préciser la rubrique de regroupement applicable à vos remises pour les comptes 108 et 130 du plan comptable?  (108 - Provisions et 130 - Frais de constitution, de fusion, d’apport)</w:t>
      </w:r>
    </w:p>
    <w:p w14:paraId="7EB83C01" w14:textId="77777777" w:rsidR="00020EA7" w:rsidRPr="00223A8D" w:rsidRDefault="00020EA7" w:rsidP="00020EA7">
      <w:pPr>
        <w:rPr>
          <w:lang w:eastAsia="en-US"/>
        </w:rPr>
      </w:pPr>
    </w:p>
    <w:p w14:paraId="7CE2EDEB" w14:textId="77777777" w:rsidR="00020EA7" w:rsidRPr="009B0F87" w:rsidRDefault="00020EA7" w:rsidP="00020EA7">
      <w:pPr>
        <w:rPr>
          <w:rFonts w:asciiTheme="minorHAnsi" w:hAnsiTheme="minorHAnsi"/>
          <w:b/>
          <w:color w:val="1F497D"/>
          <w:lang w:eastAsia="en-US"/>
        </w:rPr>
      </w:pPr>
      <w:r w:rsidRPr="009B0F87">
        <w:rPr>
          <w:rFonts w:asciiTheme="minorHAnsi" w:hAnsiTheme="minorHAnsi"/>
          <w:b/>
          <w:color w:val="1F497D"/>
          <w:lang w:eastAsia="en-US"/>
        </w:rPr>
        <w:t>Réponse :</w:t>
      </w:r>
    </w:p>
    <w:p w14:paraId="28CE3E71" w14:textId="77777777" w:rsidR="00020EA7" w:rsidRPr="009B0F87" w:rsidRDefault="00020EA7" w:rsidP="00020EA7">
      <w:pPr>
        <w:numPr>
          <w:ilvl w:val="0"/>
          <w:numId w:val="14"/>
        </w:numPr>
        <w:jc w:val="left"/>
        <w:rPr>
          <w:color w:val="1F497D"/>
          <w:lang w:eastAsia="en-US"/>
        </w:rPr>
      </w:pPr>
      <w:r w:rsidRPr="009B0F87">
        <w:rPr>
          <w:color w:val="1F497D"/>
          <w:lang w:eastAsia="en-US"/>
        </w:rPr>
        <w:t xml:space="preserve">Pour le compte « 13- Frais de constitution, de fusion, d’apport » le détail est pas demandé, Vous devez le sommer dans le compte P10000 « Compte de capitaux propres ». </w:t>
      </w:r>
    </w:p>
    <w:p w14:paraId="0B3E4873" w14:textId="77777777" w:rsidR="00020EA7" w:rsidRPr="009B0F87" w:rsidRDefault="00020EA7" w:rsidP="00020EA7">
      <w:pPr>
        <w:rPr>
          <w:color w:val="1F497D"/>
          <w:lang w:eastAsia="en-US"/>
        </w:rPr>
      </w:pPr>
    </w:p>
    <w:p w14:paraId="6F6E1D9F" w14:textId="77777777" w:rsidR="00020EA7" w:rsidRPr="009B0F87" w:rsidRDefault="00020EA7" w:rsidP="00020EA7">
      <w:pPr>
        <w:numPr>
          <w:ilvl w:val="0"/>
          <w:numId w:val="14"/>
        </w:numPr>
        <w:jc w:val="left"/>
        <w:rPr>
          <w:color w:val="1F497D"/>
          <w:lang w:eastAsia="en-US"/>
        </w:rPr>
      </w:pPr>
      <w:r w:rsidRPr="009B0F87">
        <w:rPr>
          <w:color w:val="1F497D"/>
          <w:lang w:eastAsia="en-US"/>
        </w:rPr>
        <w:t xml:space="preserve">Concernant le compte 108 de provisions applicables aux OPC à capital variable, la nomenclature BDF des comptes propose le compte P14150. </w:t>
      </w:r>
    </w:p>
    <w:p w14:paraId="6E733F4A" w14:textId="77777777" w:rsidR="00020EA7" w:rsidRPr="009B0F87" w:rsidRDefault="00020EA7" w:rsidP="00020EA7">
      <w:pPr>
        <w:rPr>
          <w:color w:val="1F497D"/>
          <w:lang w:eastAsia="en-US"/>
        </w:rPr>
      </w:pPr>
      <w:r w:rsidRPr="009B0F87">
        <w:rPr>
          <w:color w:val="1F497D"/>
          <w:lang w:eastAsia="en-US"/>
        </w:rPr>
        <w:t>Vous pouvez utiliser ce compte pour les types de fonds autres que les SCPI.</w:t>
      </w:r>
    </w:p>
    <w:p w14:paraId="564FF4B0" w14:textId="77777777" w:rsidR="00020EA7" w:rsidRDefault="00020EA7" w:rsidP="00020EA7">
      <w:pPr>
        <w:rPr>
          <w:rFonts w:ascii="Arial" w:hAnsi="Arial" w:cs="Arial"/>
          <w:color w:val="1F497D"/>
          <w:sz w:val="20"/>
          <w:lang w:eastAsia="en-US"/>
        </w:rPr>
      </w:pPr>
    </w:p>
    <w:p w14:paraId="0A46E089" w14:textId="77777777" w:rsidR="00020EA7" w:rsidRPr="009B0F87" w:rsidRDefault="00020EA7" w:rsidP="00F17665">
      <w:pPr>
        <w:rPr>
          <w:color w:val="1F497D"/>
          <w:lang w:eastAsia="en-US"/>
        </w:rPr>
      </w:pPr>
    </w:p>
    <w:sectPr w:rsidR="00020EA7" w:rsidRPr="009B0F8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88AC" w14:textId="77777777" w:rsidR="0013487C" w:rsidRDefault="0013487C" w:rsidP="0013487C">
      <w:r>
        <w:separator/>
      </w:r>
    </w:p>
  </w:endnote>
  <w:endnote w:type="continuationSeparator" w:id="0">
    <w:p w14:paraId="6CACE887" w14:textId="77777777" w:rsidR="0013487C" w:rsidRDefault="0013487C" w:rsidP="0013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6F6C" w14:textId="77777777" w:rsidR="00F65CAF" w:rsidRDefault="00F65C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1343"/>
      <w:docPartObj>
        <w:docPartGallery w:val="Page Numbers (Bottom of Page)"/>
        <w:docPartUnique/>
      </w:docPartObj>
    </w:sdtPr>
    <w:sdtEndPr/>
    <w:sdtContent>
      <w:p w14:paraId="77765F52" w14:textId="5BFE4FD7" w:rsidR="0013487C" w:rsidRDefault="0013487C">
        <w:pPr>
          <w:pStyle w:val="Pieddepage"/>
        </w:pPr>
        <w:r>
          <w:fldChar w:fldCharType="begin"/>
        </w:r>
        <w:r>
          <w:instrText>PAGE   \* MERGEFORMAT</w:instrText>
        </w:r>
        <w:r>
          <w:fldChar w:fldCharType="separate"/>
        </w:r>
        <w:r w:rsidR="00085E81">
          <w:rPr>
            <w:noProof/>
          </w:rPr>
          <w:t>1</w:t>
        </w:r>
        <w:r>
          <w:fldChar w:fldCharType="end"/>
        </w:r>
        <w:r>
          <w:tab/>
        </w:r>
        <w:r>
          <w:tab/>
          <w:t xml:space="preserve">version en date du </w:t>
        </w:r>
        <w:r w:rsidR="00F65CAF">
          <w:t>0</w:t>
        </w:r>
        <w:r w:rsidR="007B2A36">
          <w:t>5</w:t>
        </w:r>
        <w:r w:rsidR="00F65CAF">
          <w:t>/09/2024</w:t>
        </w:r>
      </w:p>
    </w:sdtContent>
  </w:sdt>
  <w:p w14:paraId="1333C906" w14:textId="77777777" w:rsidR="0013487C" w:rsidRDefault="001348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B11D" w14:textId="77777777" w:rsidR="00F65CAF" w:rsidRDefault="00F65C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8A516" w14:textId="77777777" w:rsidR="0013487C" w:rsidRDefault="0013487C" w:rsidP="0013487C">
      <w:r>
        <w:separator/>
      </w:r>
    </w:p>
  </w:footnote>
  <w:footnote w:type="continuationSeparator" w:id="0">
    <w:p w14:paraId="0AE840A2" w14:textId="77777777" w:rsidR="0013487C" w:rsidRDefault="0013487C" w:rsidP="0013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10A0" w14:textId="77777777" w:rsidR="00F65CAF" w:rsidRDefault="00F65C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B8487" w14:textId="77777777" w:rsidR="00F65CAF" w:rsidRDefault="00F65C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B746" w14:textId="77777777" w:rsidR="00F65CAF" w:rsidRDefault="00F65C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40EEA"/>
    <w:multiLevelType w:val="hybridMultilevel"/>
    <w:tmpl w:val="8F427434"/>
    <w:lvl w:ilvl="0" w:tplc="1CDC752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AAE3176"/>
    <w:multiLevelType w:val="multilevel"/>
    <w:tmpl w:val="562C3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3979E7"/>
    <w:multiLevelType w:val="hybridMultilevel"/>
    <w:tmpl w:val="50ECC7CE"/>
    <w:lvl w:ilvl="0" w:tplc="5726E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A87345"/>
    <w:multiLevelType w:val="hybridMultilevel"/>
    <w:tmpl w:val="2B5A82C2"/>
    <w:lvl w:ilvl="0" w:tplc="658ACB3A">
      <w:start w:val="10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8D329E9"/>
    <w:multiLevelType w:val="multilevel"/>
    <w:tmpl w:val="35DE0888"/>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7B46081D"/>
    <w:multiLevelType w:val="hybridMultilevel"/>
    <w:tmpl w:val="E76A5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
  </w:num>
  <w:num w:numId="14">
    <w:abstractNumId w:val="0"/>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85"/>
    <w:rsid w:val="00020EA7"/>
    <w:rsid w:val="00037747"/>
    <w:rsid w:val="00085E81"/>
    <w:rsid w:val="000B12F2"/>
    <w:rsid w:val="000B2F99"/>
    <w:rsid w:val="000C750D"/>
    <w:rsid w:val="000D6B68"/>
    <w:rsid w:val="00133AF8"/>
    <w:rsid w:val="0013487C"/>
    <w:rsid w:val="00143A7F"/>
    <w:rsid w:val="00177268"/>
    <w:rsid w:val="001B7C81"/>
    <w:rsid w:val="001E348A"/>
    <w:rsid w:val="00200C38"/>
    <w:rsid w:val="002150C4"/>
    <w:rsid w:val="00223A8D"/>
    <w:rsid w:val="002416EF"/>
    <w:rsid w:val="00264C88"/>
    <w:rsid w:val="00291314"/>
    <w:rsid w:val="002D1E38"/>
    <w:rsid w:val="003006AB"/>
    <w:rsid w:val="003B2FC1"/>
    <w:rsid w:val="004378E9"/>
    <w:rsid w:val="00477BE0"/>
    <w:rsid w:val="00480967"/>
    <w:rsid w:val="004C5407"/>
    <w:rsid w:val="0052706F"/>
    <w:rsid w:val="0053586D"/>
    <w:rsid w:val="005E6D73"/>
    <w:rsid w:val="007A2A3F"/>
    <w:rsid w:val="007B1BDA"/>
    <w:rsid w:val="007B2A36"/>
    <w:rsid w:val="007E2A20"/>
    <w:rsid w:val="007E7150"/>
    <w:rsid w:val="007F6B0E"/>
    <w:rsid w:val="00810848"/>
    <w:rsid w:val="008247BD"/>
    <w:rsid w:val="008623DA"/>
    <w:rsid w:val="008A450F"/>
    <w:rsid w:val="008B5449"/>
    <w:rsid w:val="008F6129"/>
    <w:rsid w:val="00961AB6"/>
    <w:rsid w:val="009630B3"/>
    <w:rsid w:val="009B0F87"/>
    <w:rsid w:val="00A1072E"/>
    <w:rsid w:val="00A21285"/>
    <w:rsid w:val="00A44BB4"/>
    <w:rsid w:val="00A847FC"/>
    <w:rsid w:val="00A977DB"/>
    <w:rsid w:val="00B9062D"/>
    <w:rsid w:val="00C152A5"/>
    <w:rsid w:val="00C177BD"/>
    <w:rsid w:val="00C55B58"/>
    <w:rsid w:val="00C659C3"/>
    <w:rsid w:val="00D63CDB"/>
    <w:rsid w:val="00D856F3"/>
    <w:rsid w:val="00D86514"/>
    <w:rsid w:val="00DE6485"/>
    <w:rsid w:val="00E016B4"/>
    <w:rsid w:val="00E075EB"/>
    <w:rsid w:val="00EE3B69"/>
    <w:rsid w:val="00F17665"/>
    <w:rsid w:val="00F319B0"/>
    <w:rsid w:val="00F65CAF"/>
    <w:rsid w:val="00F76059"/>
    <w:rsid w:val="00F80B37"/>
    <w:rsid w:val="00F918A5"/>
    <w:rsid w:val="00F93929"/>
    <w:rsid w:val="00F95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E5EA"/>
  <w15:chartTrackingRefBased/>
  <w15:docId w15:val="{211C3223-E97E-4EAD-81C4-406348C8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7C"/>
    <w:pPr>
      <w:jc w:val="both"/>
    </w:pPr>
    <w:rPr>
      <w:sz w:val="22"/>
    </w:rPr>
  </w:style>
  <w:style w:type="paragraph" w:styleId="Titre1">
    <w:name w:val="heading 1"/>
    <w:basedOn w:val="Normal"/>
    <w:next w:val="Normal"/>
    <w:link w:val="Titre1Car"/>
    <w:qFormat/>
    <w:rsid w:val="0013487C"/>
    <w:pPr>
      <w:keepNext/>
      <w:numPr>
        <w:numId w:val="10"/>
      </w:numPr>
      <w:spacing w:before="480" w:after="240"/>
      <w:jc w:val="left"/>
      <w:outlineLvl w:val="0"/>
    </w:pPr>
    <w:rPr>
      <w:rFonts w:ascii="Arial" w:eastAsiaTheme="majorEastAsia" w:hAnsi="Arial" w:cstheme="majorBidi"/>
      <w:b/>
      <w:sz w:val="36"/>
    </w:rPr>
  </w:style>
  <w:style w:type="paragraph" w:styleId="Titre2">
    <w:name w:val="heading 2"/>
    <w:basedOn w:val="Titre1"/>
    <w:next w:val="Normal"/>
    <w:link w:val="Titre2Car"/>
    <w:qFormat/>
    <w:rsid w:val="0013487C"/>
    <w:pPr>
      <w:numPr>
        <w:ilvl w:val="1"/>
      </w:numPr>
      <w:spacing w:before="360" w:after="120"/>
      <w:outlineLvl w:val="1"/>
    </w:pPr>
    <w:rPr>
      <w:b w:val="0"/>
      <w:sz w:val="32"/>
    </w:rPr>
  </w:style>
  <w:style w:type="paragraph" w:styleId="Titre3">
    <w:name w:val="heading 3"/>
    <w:basedOn w:val="Titre2"/>
    <w:next w:val="Normal"/>
    <w:link w:val="Titre3Car"/>
    <w:qFormat/>
    <w:rsid w:val="0013487C"/>
    <w:pPr>
      <w:numPr>
        <w:ilvl w:val="2"/>
      </w:numPr>
      <w:outlineLvl w:val="2"/>
    </w:pPr>
    <w:rPr>
      <w:b/>
      <w:sz w:val="24"/>
    </w:rPr>
  </w:style>
  <w:style w:type="paragraph" w:styleId="Titre4">
    <w:name w:val="heading 4"/>
    <w:basedOn w:val="Titre3"/>
    <w:next w:val="Normal"/>
    <w:link w:val="Titre4Car"/>
    <w:qFormat/>
    <w:rsid w:val="0013487C"/>
    <w:pPr>
      <w:numPr>
        <w:ilvl w:val="3"/>
      </w:numPr>
      <w:spacing w:before="240"/>
      <w:outlineLvl w:val="3"/>
    </w:pPr>
    <w:rPr>
      <w:b w:val="0"/>
      <w:sz w:val="22"/>
    </w:rPr>
  </w:style>
  <w:style w:type="paragraph" w:styleId="Titre5">
    <w:name w:val="heading 5"/>
    <w:basedOn w:val="Titre4"/>
    <w:link w:val="Titre5Car"/>
    <w:qFormat/>
    <w:rsid w:val="0013487C"/>
    <w:pPr>
      <w:numPr>
        <w:ilvl w:val="4"/>
        <w:numId w:val="13"/>
      </w:numPr>
      <w:outlineLvl w:val="4"/>
    </w:pPr>
    <w:rPr>
      <w:rFonts w:ascii="Times New Roman" w:hAnsi="Times New Roman"/>
      <w:b/>
      <w:i/>
    </w:rPr>
  </w:style>
  <w:style w:type="paragraph" w:styleId="Titre6">
    <w:name w:val="heading 6"/>
    <w:basedOn w:val="Normal"/>
    <w:next w:val="Normal"/>
    <w:link w:val="Titre6Car"/>
    <w:semiHidden/>
    <w:unhideWhenUsed/>
    <w:qFormat/>
    <w:rsid w:val="0013487C"/>
    <w:pPr>
      <w:keepNext/>
      <w:keepLines/>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semiHidden/>
    <w:unhideWhenUsed/>
    <w:qFormat/>
    <w:rsid w:val="0013487C"/>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487C"/>
    <w:pPr>
      <w:keepNext/>
      <w:keepLines/>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semiHidden/>
    <w:unhideWhenUsed/>
    <w:qFormat/>
    <w:rsid w:val="001348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487C"/>
    <w:pPr>
      <w:tabs>
        <w:tab w:val="center" w:pos="4536"/>
        <w:tab w:val="right" w:pos="9072"/>
      </w:tabs>
    </w:pPr>
  </w:style>
  <w:style w:type="character" w:customStyle="1" w:styleId="En-tteCar">
    <w:name w:val="En-tête Car"/>
    <w:basedOn w:val="Policepardfaut"/>
    <w:link w:val="En-tte"/>
    <w:uiPriority w:val="99"/>
    <w:rsid w:val="0013487C"/>
  </w:style>
  <w:style w:type="paragraph" w:styleId="Pieddepage">
    <w:name w:val="footer"/>
    <w:basedOn w:val="Normal"/>
    <w:link w:val="PieddepageCar"/>
    <w:uiPriority w:val="99"/>
    <w:unhideWhenUsed/>
    <w:rsid w:val="0013487C"/>
    <w:pPr>
      <w:tabs>
        <w:tab w:val="center" w:pos="4536"/>
        <w:tab w:val="right" w:pos="9072"/>
      </w:tabs>
    </w:pPr>
  </w:style>
  <w:style w:type="character" w:customStyle="1" w:styleId="PieddepageCar">
    <w:name w:val="Pied de page Car"/>
    <w:basedOn w:val="Policepardfaut"/>
    <w:link w:val="Pieddepage"/>
    <w:uiPriority w:val="99"/>
    <w:rsid w:val="0013487C"/>
  </w:style>
  <w:style w:type="character" w:customStyle="1" w:styleId="Titre1Car">
    <w:name w:val="Titre 1 Car"/>
    <w:basedOn w:val="Policepardfaut"/>
    <w:link w:val="Titre1"/>
    <w:rsid w:val="0013487C"/>
    <w:rPr>
      <w:rFonts w:ascii="Arial" w:eastAsiaTheme="majorEastAsia" w:hAnsi="Arial" w:cstheme="majorBidi"/>
      <w:b/>
      <w:sz w:val="36"/>
    </w:rPr>
  </w:style>
  <w:style w:type="paragraph" w:styleId="En-ttedetabledesmatires">
    <w:name w:val="TOC Heading"/>
    <w:basedOn w:val="Titre1"/>
    <w:next w:val="Normal"/>
    <w:uiPriority w:val="39"/>
    <w:unhideWhenUsed/>
    <w:qFormat/>
    <w:rsid w:val="0013487C"/>
    <w:pPr>
      <w:keepLines/>
      <w:numPr>
        <w:numId w:val="0"/>
      </w:numPr>
      <w:spacing w:after="0"/>
      <w:jc w:val="both"/>
      <w:outlineLvl w:val="9"/>
    </w:pPr>
    <w:rPr>
      <w:rFonts w:asciiTheme="majorHAnsi" w:hAnsiTheme="majorHAnsi"/>
      <w:bCs/>
      <w:color w:val="2E74B5" w:themeColor="accent1" w:themeShade="BF"/>
      <w:sz w:val="28"/>
      <w:szCs w:val="28"/>
    </w:rPr>
  </w:style>
  <w:style w:type="character" w:customStyle="1" w:styleId="Titre2Car">
    <w:name w:val="Titre 2 Car"/>
    <w:basedOn w:val="Policepardfaut"/>
    <w:link w:val="Titre2"/>
    <w:rsid w:val="0013487C"/>
    <w:rPr>
      <w:rFonts w:ascii="Arial" w:eastAsiaTheme="majorEastAsia" w:hAnsi="Arial" w:cstheme="majorBidi"/>
      <w:sz w:val="32"/>
    </w:rPr>
  </w:style>
  <w:style w:type="character" w:customStyle="1" w:styleId="Titre3Car">
    <w:name w:val="Titre 3 Car"/>
    <w:basedOn w:val="Policepardfaut"/>
    <w:link w:val="Titre3"/>
    <w:rsid w:val="0013487C"/>
    <w:rPr>
      <w:rFonts w:ascii="Arial" w:eastAsiaTheme="majorEastAsia" w:hAnsi="Arial" w:cstheme="majorBidi"/>
      <w:b/>
      <w:sz w:val="24"/>
    </w:rPr>
  </w:style>
  <w:style w:type="character" w:customStyle="1" w:styleId="Titre4Car">
    <w:name w:val="Titre 4 Car"/>
    <w:basedOn w:val="Policepardfaut"/>
    <w:link w:val="Titre4"/>
    <w:rsid w:val="0013487C"/>
    <w:rPr>
      <w:rFonts w:ascii="Arial" w:eastAsiaTheme="majorEastAsia" w:hAnsi="Arial" w:cstheme="majorBidi"/>
      <w:sz w:val="22"/>
    </w:rPr>
  </w:style>
  <w:style w:type="character" w:customStyle="1" w:styleId="Titre5Car">
    <w:name w:val="Titre 5 Car"/>
    <w:basedOn w:val="Policepardfaut"/>
    <w:link w:val="Titre5"/>
    <w:rsid w:val="0013487C"/>
    <w:rPr>
      <w:rFonts w:eastAsiaTheme="majorEastAsia" w:cstheme="majorBidi"/>
      <w:b/>
      <w:i/>
      <w:sz w:val="22"/>
    </w:rPr>
  </w:style>
  <w:style w:type="character" w:customStyle="1" w:styleId="Titre6Car">
    <w:name w:val="Titre 6 Car"/>
    <w:basedOn w:val="Policepardfaut"/>
    <w:link w:val="Titre6"/>
    <w:semiHidden/>
    <w:rsid w:val="0013487C"/>
    <w:rPr>
      <w:rFonts w:asciiTheme="majorHAnsi" w:eastAsiaTheme="majorEastAsia" w:hAnsiTheme="majorHAnsi" w:cstheme="majorBidi"/>
      <w:i/>
      <w:iCs/>
      <w:color w:val="1F4D78" w:themeColor="accent1" w:themeShade="7F"/>
      <w:sz w:val="22"/>
    </w:rPr>
  </w:style>
  <w:style w:type="character" w:customStyle="1" w:styleId="Titre7Car">
    <w:name w:val="Titre 7 Car"/>
    <w:basedOn w:val="Policepardfaut"/>
    <w:link w:val="Titre7"/>
    <w:semiHidden/>
    <w:rsid w:val="0013487C"/>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semiHidden/>
    <w:rsid w:val="0013487C"/>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13487C"/>
    <w:rPr>
      <w:rFonts w:asciiTheme="majorHAnsi" w:eastAsiaTheme="majorEastAsia" w:hAnsiTheme="majorHAnsi" w:cstheme="majorBidi"/>
      <w:i/>
      <w:iCs/>
      <w:color w:val="404040" w:themeColor="text1" w:themeTint="BF"/>
    </w:rPr>
  </w:style>
  <w:style w:type="paragraph" w:styleId="Lgende">
    <w:name w:val="caption"/>
    <w:basedOn w:val="Normal"/>
    <w:next w:val="Normal"/>
    <w:qFormat/>
    <w:rsid w:val="0013487C"/>
    <w:rPr>
      <w:rFonts w:ascii="Arial" w:hAnsi="Arial"/>
      <w:b/>
      <w:sz w:val="20"/>
    </w:rPr>
  </w:style>
  <w:style w:type="paragraph" w:styleId="Titre">
    <w:name w:val="Title"/>
    <w:basedOn w:val="Normal"/>
    <w:next w:val="Normal"/>
    <w:link w:val="TitreCar"/>
    <w:autoRedefine/>
    <w:qFormat/>
    <w:rsid w:val="0013487C"/>
    <w:pPr>
      <w:pBdr>
        <w:bottom w:val="single" w:sz="8" w:space="4" w:color="5B9BD5" w:themeColor="accent1"/>
      </w:pBdr>
      <w:spacing w:after="300"/>
      <w:contextualSpacing/>
    </w:pPr>
    <w:rPr>
      <w:rFonts w:ascii="Arial" w:eastAsiaTheme="majorEastAsia" w:hAnsi="Arial" w:cstheme="majorBidi"/>
      <w:color w:val="323E4F" w:themeColor="text2" w:themeShade="BF"/>
      <w:spacing w:val="5"/>
      <w:kern w:val="28"/>
      <w:sz w:val="52"/>
      <w:szCs w:val="52"/>
    </w:rPr>
  </w:style>
  <w:style w:type="character" w:customStyle="1" w:styleId="TitreCar">
    <w:name w:val="Titre Car"/>
    <w:basedOn w:val="Policepardfaut"/>
    <w:link w:val="Titre"/>
    <w:rsid w:val="0013487C"/>
    <w:rPr>
      <w:rFonts w:ascii="Arial" w:eastAsiaTheme="majorEastAsia" w:hAnsi="Arial" w:cstheme="majorBidi"/>
      <w:color w:val="323E4F" w:themeColor="text2" w:themeShade="BF"/>
      <w:spacing w:val="5"/>
      <w:kern w:val="28"/>
      <w:sz w:val="52"/>
      <w:szCs w:val="52"/>
    </w:rPr>
  </w:style>
  <w:style w:type="paragraph" w:styleId="Sous-titre">
    <w:name w:val="Subtitle"/>
    <w:basedOn w:val="Normal"/>
    <w:next w:val="Normal"/>
    <w:link w:val="Sous-titreCar"/>
    <w:qFormat/>
    <w:rsid w:val="0013487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rsid w:val="0013487C"/>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qFormat/>
    <w:rsid w:val="0013487C"/>
    <w:rPr>
      <w:b/>
      <w:bCs/>
    </w:rPr>
  </w:style>
  <w:style w:type="character" w:styleId="Accentuation">
    <w:name w:val="Emphasis"/>
    <w:basedOn w:val="Policepardfaut"/>
    <w:qFormat/>
    <w:rsid w:val="0013487C"/>
    <w:rPr>
      <w:i/>
      <w:iCs/>
    </w:rPr>
  </w:style>
  <w:style w:type="paragraph" w:styleId="Sansinterligne">
    <w:name w:val="No Spacing"/>
    <w:link w:val="SansinterligneCar"/>
    <w:uiPriority w:val="1"/>
    <w:qFormat/>
    <w:rsid w:val="0013487C"/>
    <w:pPr>
      <w:jc w:val="both"/>
    </w:pPr>
    <w:rPr>
      <w:sz w:val="22"/>
    </w:rPr>
  </w:style>
  <w:style w:type="character" w:customStyle="1" w:styleId="SansinterligneCar">
    <w:name w:val="Sans interligne Car"/>
    <w:basedOn w:val="Policepardfaut"/>
    <w:link w:val="Sansinterligne"/>
    <w:uiPriority w:val="1"/>
    <w:rsid w:val="0013487C"/>
    <w:rPr>
      <w:sz w:val="22"/>
    </w:rPr>
  </w:style>
  <w:style w:type="paragraph" w:styleId="Paragraphedeliste">
    <w:name w:val="List Paragraph"/>
    <w:basedOn w:val="Normal"/>
    <w:uiPriority w:val="34"/>
    <w:qFormat/>
    <w:rsid w:val="0013487C"/>
    <w:pPr>
      <w:ind w:left="720"/>
      <w:contextualSpacing/>
    </w:pPr>
  </w:style>
  <w:style w:type="paragraph" w:styleId="Citation">
    <w:name w:val="Quote"/>
    <w:basedOn w:val="Normal"/>
    <w:next w:val="Normal"/>
    <w:link w:val="CitationCar"/>
    <w:uiPriority w:val="29"/>
    <w:qFormat/>
    <w:rsid w:val="0013487C"/>
    <w:rPr>
      <w:i/>
      <w:iCs/>
      <w:color w:val="000000" w:themeColor="text1"/>
    </w:rPr>
  </w:style>
  <w:style w:type="character" w:customStyle="1" w:styleId="CitationCar">
    <w:name w:val="Citation Car"/>
    <w:basedOn w:val="Policepardfaut"/>
    <w:link w:val="Citation"/>
    <w:uiPriority w:val="29"/>
    <w:rsid w:val="0013487C"/>
    <w:rPr>
      <w:i/>
      <w:iCs/>
      <w:color w:val="000000" w:themeColor="text1"/>
      <w:sz w:val="22"/>
    </w:rPr>
  </w:style>
  <w:style w:type="paragraph" w:styleId="Citationintense">
    <w:name w:val="Intense Quote"/>
    <w:basedOn w:val="Normal"/>
    <w:next w:val="Normal"/>
    <w:link w:val="CitationintenseCar"/>
    <w:uiPriority w:val="30"/>
    <w:qFormat/>
    <w:rsid w:val="0013487C"/>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13487C"/>
    <w:rPr>
      <w:b/>
      <w:bCs/>
      <w:i/>
      <w:iCs/>
      <w:color w:val="5B9BD5" w:themeColor="accent1"/>
      <w:sz w:val="22"/>
    </w:rPr>
  </w:style>
  <w:style w:type="character" w:styleId="Emphaseple">
    <w:name w:val="Subtle Emphasis"/>
    <w:basedOn w:val="Policepardfaut"/>
    <w:uiPriority w:val="19"/>
    <w:qFormat/>
    <w:rsid w:val="0013487C"/>
    <w:rPr>
      <w:i/>
      <w:iCs/>
      <w:color w:val="808080" w:themeColor="text1" w:themeTint="7F"/>
    </w:rPr>
  </w:style>
  <w:style w:type="character" w:styleId="Emphaseintense">
    <w:name w:val="Intense Emphasis"/>
    <w:basedOn w:val="Policepardfaut"/>
    <w:uiPriority w:val="21"/>
    <w:qFormat/>
    <w:rsid w:val="0013487C"/>
    <w:rPr>
      <w:b/>
      <w:bCs/>
      <w:i/>
      <w:iCs/>
      <w:color w:val="5B9BD5" w:themeColor="accent1"/>
    </w:rPr>
  </w:style>
  <w:style w:type="character" w:styleId="Rfrenceple">
    <w:name w:val="Subtle Reference"/>
    <w:basedOn w:val="Policepardfaut"/>
    <w:uiPriority w:val="31"/>
    <w:qFormat/>
    <w:rsid w:val="0013487C"/>
    <w:rPr>
      <w:smallCaps/>
      <w:color w:val="ED7D31" w:themeColor="accent2"/>
      <w:u w:val="single"/>
    </w:rPr>
  </w:style>
  <w:style w:type="character" w:styleId="Rfrenceintense">
    <w:name w:val="Intense Reference"/>
    <w:basedOn w:val="Policepardfaut"/>
    <w:uiPriority w:val="32"/>
    <w:qFormat/>
    <w:rsid w:val="0013487C"/>
    <w:rPr>
      <w:b/>
      <w:bCs/>
      <w:smallCaps/>
      <w:color w:val="ED7D31" w:themeColor="accent2"/>
      <w:spacing w:val="5"/>
      <w:u w:val="single"/>
    </w:rPr>
  </w:style>
  <w:style w:type="character" w:styleId="Titredulivre">
    <w:name w:val="Book Title"/>
    <w:basedOn w:val="Policepardfaut"/>
    <w:uiPriority w:val="33"/>
    <w:qFormat/>
    <w:rsid w:val="0013487C"/>
    <w:rPr>
      <w:b/>
      <w:bCs/>
      <w:smallCaps/>
      <w:spacing w:val="5"/>
    </w:rPr>
  </w:style>
  <w:style w:type="character" w:styleId="Marquedecommentaire">
    <w:name w:val="annotation reference"/>
    <w:basedOn w:val="Policepardfaut"/>
    <w:uiPriority w:val="99"/>
    <w:semiHidden/>
    <w:unhideWhenUsed/>
    <w:rsid w:val="00F17665"/>
    <w:rPr>
      <w:sz w:val="16"/>
      <w:szCs w:val="16"/>
    </w:rPr>
  </w:style>
  <w:style w:type="paragraph" w:styleId="Commentaire">
    <w:name w:val="annotation text"/>
    <w:basedOn w:val="Normal"/>
    <w:link w:val="CommentaireCar"/>
    <w:uiPriority w:val="99"/>
    <w:unhideWhenUsed/>
    <w:rsid w:val="00F17665"/>
    <w:rPr>
      <w:sz w:val="20"/>
    </w:rPr>
  </w:style>
  <w:style w:type="character" w:customStyle="1" w:styleId="CommentaireCar">
    <w:name w:val="Commentaire Car"/>
    <w:basedOn w:val="Policepardfaut"/>
    <w:link w:val="Commentaire"/>
    <w:uiPriority w:val="99"/>
    <w:rsid w:val="00F17665"/>
  </w:style>
  <w:style w:type="paragraph" w:styleId="Objetducommentaire">
    <w:name w:val="annotation subject"/>
    <w:basedOn w:val="Commentaire"/>
    <w:next w:val="Commentaire"/>
    <w:link w:val="ObjetducommentaireCar"/>
    <w:uiPriority w:val="99"/>
    <w:semiHidden/>
    <w:unhideWhenUsed/>
    <w:rsid w:val="00F17665"/>
    <w:rPr>
      <w:b/>
      <w:bCs/>
    </w:rPr>
  </w:style>
  <w:style w:type="character" w:customStyle="1" w:styleId="ObjetducommentaireCar">
    <w:name w:val="Objet du commentaire Car"/>
    <w:basedOn w:val="CommentaireCar"/>
    <w:link w:val="Objetducommentaire"/>
    <w:uiPriority w:val="99"/>
    <w:semiHidden/>
    <w:rsid w:val="00F17665"/>
    <w:rPr>
      <w:b/>
      <w:bCs/>
    </w:rPr>
  </w:style>
  <w:style w:type="paragraph" w:styleId="Textedebulles">
    <w:name w:val="Balloon Text"/>
    <w:basedOn w:val="Normal"/>
    <w:link w:val="TextedebullesCar"/>
    <w:uiPriority w:val="99"/>
    <w:semiHidden/>
    <w:unhideWhenUsed/>
    <w:rsid w:val="00F176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7665"/>
    <w:rPr>
      <w:rFonts w:ascii="Segoe UI" w:hAnsi="Segoe UI" w:cs="Segoe UI"/>
      <w:sz w:val="18"/>
      <w:szCs w:val="18"/>
    </w:rPr>
  </w:style>
  <w:style w:type="paragraph" w:styleId="TM1">
    <w:name w:val="toc 1"/>
    <w:basedOn w:val="Normal"/>
    <w:next w:val="Normal"/>
    <w:autoRedefine/>
    <w:uiPriority w:val="39"/>
    <w:unhideWhenUsed/>
    <w:rsid w:val="00264C88"/>
    <w:pPr>
      <w:tabs>
        <w:tab w:val="right" w:leader="dot" w:pos="9062"/>
      </w:tabs>
      <w:spacing w:after="100"/>
    </w:pPr>
    <w:rPr>
      <w:rFonts w:eastAsiaTheme="majorEastAsia"/>
      <w:noProof/>
    </w:rPr>
  </w:style>
  <w:style w:type="character" w:styleId="Lienhypertexte">
    <w:name w:val="Hyperlink"/>
    <w:basedOn w:val="Policepardfaut"/>
    <w:uiPriority w:val="99"/>
    <w:unhideWhenUsed/>
    <w:rsid w:val="00F93929"/>
    <w:rPr>
      <w:color w:val="0563C1" w:themeColor="hyperlink"/>
      <w:u w:val="single"/>
    </w:rPr>
  </w:style>
  <w:style w:type="paragraph" w:styleId="TM2">
    <w:name w:val="toc 2"/>
    <w:basedOn w:val="Normal"/>
    <w:next w:val="Normal"/>
    <w:autoRedefine/>
    <w:uiPriority w:val="39"/>
    <w:unhideWhenUsed/>
    <w:rsid w:val="00A21285"/>
    <w:pPr>
      <w:spacing w:after="100" w:line="259" w:lineRule="auto"/>
      <w:ind w:left="220"/>
      <w:jc w:val="left"/>
    </w:pPr>
    <w:rPr>
      <w:rFonts w:asciiTheme="minorHAnsi" w:eastAsiaTheme="minorEastAsia" w:hAnsiTheme="minorHAnsi"/>
      <w:szCs w:val="22"/>
    </w:rPr>
  </w:style>
  <w:style w:type="paragraph" w:styleId="TM3">
    <w:name w:val="toc 3"/>
    <w:basedOn w:val="Normal"/>
    <w:next w:val="Normal"/>
    <w:autoRedefine/>
    <w:uiPriority w:val="39"/>
    <w:unhideWhenUsed/>
    <w:rsid w:val="00A21285"/>
    <w:pPr>
      <w:spacing w:after="100" w:line="259" w:lineRule="auto"/>
      <w:ind w:left="440"/>
      <w:jc w:val="left"/>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4015">
      <w:bodyDiv w:val="1"/>
      <w:marLeft w:val="0"/>
      <w:marRight w:val="0"/>
      <w:marTop w:val="0"/>
      <w:marBottom w:val="0"/>
      <w:divBdr>
        <w:top w:val="none" w:sz="0" w:space="0" w:color="auto"/>
        <w:left w:val="none" w:sz="0" w:space="0" w:color="auto"/>
        <w:bottom w:val="none" w:sz="0" w:space="0" w:color="auto"/>
        <w:right w:val="none" w:sz="0" w:space="0" w:color="auto"/>
      </w:divBdr>
    </w:div>
    <w:div w:id="17686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A8C26.8CE11CA0"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22ED-4D32-4648-99C6-C21AFC63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1191</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GUIMIOT Frédéric (DGSO DMPM)</dc:creator>
  <cp:keywords/>
  <dc:description/>
  <cp:lastModifiedBy>HORLING Valérie (DGSEI DSMF)</cp:lastModifiedBy>
  <cp:revision>13</cp:revision>
  <dcterms:created xsi:type="dcterms:W3CDTF">2024-09-04T09:40:00Z</dcterms:created>
  <dcterms:modified xsi:type="dcterms:W3CDTF">2024-09-05T15:20:00Z</dcterms:modified>
</cp:coreProperties>
</file>